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D2" w:rsidRDefault="002918D2" w:rsidP="002918D2">
      <w:pPr>
        <w:pStyle w:val="Title"/>
        <w:spacing w:before="840"/>
        <w:jc w:val="center"/>
        <w:rPr>
          <w:color w:val="auto"/>
        </w:rPr>
      </w:pPr>
      <w:bookmarkStart w:id="0" w:name="_GoBack"/>
      <w:bookmarkEnd w:id="0"/>
      <w:r w:rsidRPr="00B7527F">
        <w:rPr>
          <w:rFonts w:ascii="Times New Roman" w:hAnsi="Times New Roman" w:cs="Times New Roman"/>
          <w:noProof/>
          <w:sz w:val="24"/>
          <w:szCs w:val="24"/>
          <w:lang w:eastAsia="en-AU"/>
        </w:rPr>
        <w:drawing>
          <wp:inline distT="0" distB="0" distL="0" distR="0" wp14:anchorId="74292E77" wp14:editId="6AE87567">
            <wp:extent cx="5070529" cy="990600"/>
            <wp:effectExtent l="0" t="0" r="0" b="0"/>
            <wp:docPr id="9" name="Picture 9" descr="Dept Education and Training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1278" name="Picture 1" descr="Dept Education and Training_In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90308" cy="994464"/>
                    </a:xfrm>
                    <a:prstGeom prst="rect">
                      <a:avLst/>
                    </a:prstGeom>
                    <a:noFill/>
                    <a:ln>
                      <a:noFill/>
                    </a:ln>
                  </pic:spPr>
                </pic:pic>
              </a:graphicData>
            </a:graphic>
          </wp:inline>
        </w:drawing>
      </w:r>
    </w:p>
    <w:p w:rsidR="002918D2" w:rsidRDefault="002918D2" w:rsidP="002918D2">
      <w:pPr>
        <w:pStyle w:val="Title"/>
        <w:spacing w:before="840"/>
        <w:rPr>
          <w:color w:val="auto"/>
        </w:rPr>
      </w:pPr>
    </w:p>
    <w:p w:rsidR="002918D2" w:rsidRDefault="002918D2" w:rsidP="002918D2"/>
    <w:p w:rsidR="002918D2" w:rsidRDefault="002918D2" w:rsidP="002918D2"/>
    <w:p w:rsidR="002918D2" w:rsidRDefault="002918D2" w:rsidP="002918D2"/>
    <w:p w:rsidR="002918D2" w:rsidRPr="002918D2" w:rsidRDefault="002918D2" w:rsidP="002918D2"/>
    <w:p w:rsidR="001B4689" w:rsidRDefault="00B56EAC" w:rsidP="002918D2">
      <w:pPr>
        <w:pStyle w:val="Title"/>
        <w:spacing w:before="840"/>
        <w:rPr>
          <w:color w:val="auto"/>
        </w:rPr>
      </w:pPr>
      <w:r w:rsidRPr="00944A44">
        <w:rPr>
          <w:color w:val="auto"/>
        </w:rPr>
        <w:t xml:space="preserve">National Collaborative Research Infrastructure Strategy (NCRIS) </w:t>
      </w:r>
    </w:p>
    <w:p w:rsidR="001B4689" w:rsidRDefault="001B4689" w:rsidP="00C836BC">
      <w:pPr>
        <w:pStyle w:val="Title"/>
        <w:rPr>
          <w:color w:val="auto"/>
        </w:rPr>
      </w:pPr>
    </w:p>
    <w:p w:rsidR="00794773" w:rsidRPr="00C836BC" w:rsidRDefault="00B56EAC" w:rsidP="00C836BC">
      <w:pPr>
        <w:pStyle w:val="Title"/>
      </w:pPr>
      <w:r w:rsidRPr="00944A44">
        <w:rPr>
          <w:bCs w:val="0"/>
          <w:color w:val="auto"/>
        </w:rPr>
        <w:t>2018</w:t>
      </w:r>
      <w:r w:rsidR="001B4689">
        <w:rPr>
          <w:color w:val="auto"/>
        </w:rPr>
        <w:t xml:space="preserve"> </w:t>
      </w:r>
      <w:r w:rsidR="00794773" w:rsidRPr="00C836BC">
        <w:t>Guidelines</w:t>
      </w:r>
      <w:r w:rsidR="00A8263D">
        <w:t xml:space="preserve"> </w:t>
      </w:r>
    </w:p>
    <w:p w:rsidR="00794773" w:rsidRDefault="00794773" w:rsidP="00794773">
      <w:pPr>
        <w:spacing w:line="240" w:lineRule="auto"/>
      </w:pPr>
    </w:p>
    <w:p w:rsidR="00735720" w:rsidRPr="007040EB" w:rsidRDefault="00735720" w:rsidP="00794773">
      <w:pPr>
        <w:spacing w:line="240" w:lineRule="auto"/>
      </w:pPr>
    </w:p>
    <w:tbl>
      <w:tblPr>
        <w:tblStyle w:val="TableGrid"/>
        <w:tblW w:w="9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404"/>
      </w:tblGrid>
      <w:tr w:rsidR="00794773" w:rsidRPr="007040EB" w:rsidTr="00C836BC">
        <w:tc>
          <w:tcPr>
            <w:tcW w:w="2977" w:type="dxa"/>
          </w:tcPr>
          <w:p w:rsidR="00794773" w:rsidRPr="007040EB" w:rsidRDefault="00794773" w:rsidP="00694DF9">
            <w:pPr>
              <w:spacing w:line="240" w:lineRule="auto"/>
              <w:jc w:val="both"/>
            </w:pPr>
            <w:r w:rsidRPr="007040EB">
              <w:t>Opening date</w:t>
            </w:r>
            <w:r>
              <w:t>:</w:t>
            </w:r>
          </w:p>
        </w:tc>
        <w:tc>
          <w:tcPr>
            <w:tcW w:w="6404" w:type="dxa"/>
            <w:shd w:val="clear" w:color="auto" w:fill="auto"/>
          </w:tcPr>
          <w:p w:rsidR="00794773" w:rsidRPr="002918D2" w:rsidRDefault="00B56EAC" w:rsidP="00B56EAC">
            <w:pPr>
              <w:pStyle w:val="inputcomment"/>
              <w:rPr>
                <w:b w:val="0"/>
                <w:color w:val="auto"/>
              </w:rPr>
            </w:pPr>
            <w:r w:rsidRPr="002918D2">
              <w:rPr>
                <w:b w:val="0"/>
                <w:color w:val="auto"/>
              </w:rPr>
              <w:t>Not applicable</w:t>
            </w:r>
          </w:p>
        </w:tc>
      </w:tr>
      <w:tr w:rsidR="00794773" w:rsidRPr="007040EB" w:rsidTr="002C7BB1">
        <w:tc>
          <w:tcPr>
            <w:tcW w:w="2977" w:type="dxa"/>
          </w:tcPr>
          <w:p w:rsidR="00794773" w:rsidRPr="007040EB" w:rsidRDefault="00794773" w:rsidP="00694DF9">
            <w:pPr>
              <w:spacing w:line="240" w:lineRule="auto"/>
              <w:jc w:val="both"/>
            </w:pPr>
            <w:r w:rsidRPr="007040EB">
              <w:t>Closing date and time</w:t>
            </w:r>
            <w:r>
              <w:t>:</w:t>
            </w:r>
          </w:p>
        </w:tc>
        <w:tc>
          <w:tcPr>
            <w:tcW w:w="6404" w:type="dxa"/>
            <w:shd w:val="clear" w:color="auto" w:fill="auto"/>
          </w:tcPr>
          <w:p w:rsidR="00794773" w:rsidRPr="002918D2" w:rsidRDefault="00B56EAC" w:rsidP="00B56EAC">
            <w:pPr>
              <w:pStyle w:val="inputcomment"/>
              <w:rPr>
                <w:b w:val="0"/>
                <w:color w:val="auto"/>
              </w:rPr>
            </w:pPr>
            <w:r w:rsidRPr="002918D2">
              <w:rPr>
                <w:b w:val="0"/>
                <w:color w:val="auto"/>
              </w:rPr>
              <w:t>Not applicable</w:t>
            </w:r>
          </w:p>
        </w:tc>
      </w:tr>
      <w:tr w:rsidR="00794773" w:rsidRPr="007040EB" w:rsidTr="002C7BB1">
        <w:tc>
          <w:tcPr>
            <w:tcW w:w="2977" w:type="dxa"/>
          </w:tcPr>
          <w:p w:rsidR="00794773" w:rsidRPr="007040EB" w:rsidRDefault="00794773" w:rsidP="00694DF9">
            <w:pPr>
              <w:spacing w:line="240" w:lineRule="auto"/>
            </w:pPr>
            <w:r w:rsidRPr="007040EB">
              <w:t>Commonwealth policy entity</w:t>
            </w:r>
            <w:r>
              <w:t>:</w:t>
            </w:r>
          </w:p>
        </w:tc>
        <w:tc>
          <w:tcPr>
            <w:tcW w:w="6404" w:type="dxa"/>
            <w:shd w:val="clear" w:color="auto" w:fill="auto"/>
          </w:tcPr>
          <w:p w:rsidR="00794773" w:rsidRPr="002918D2" w:rsidRDefault="00B56EAC" w:rsidP="00B56EAC">
            <w:pPr>
              <w:spacing w:line="240" w:lineRule="auto"/>
            </w:pPr>
            <w:r w:rsidRPr="002918D2">
              <w:t xml:space="preserve">Department of </w:t>
            </w:r>
            <w:r w:rsidR="0054367B" w:rsidRPr="002918D2">
              <w:t>E</w:t>
            </w:r>
            <w:r w:rsidRPr="002918D2">
              <w:t>ducation and Training</w:t>
            </w:r>
          </w:p>
        </w:tc>
      </w:tr>
      <w:tr w:rsidR="00794773" w:rsidRPr="007040EB" w:rsidTr="002C7BB1">
        <w:tc>
          <w:tcPr>
            <w:tcW w:w="2977" w:type="dxa"/>
          </w:tcPr>
          <w:p w:rsidR="00794773" w:rsidRPr="007040EB" w:rsidRDefault="00794773" w:rsidP="00694DF9">
            <w:pPr>
              <w:spacing w:line="240" w:lineRule="auto"/>
              <w:jc w:val="both"/>
            </w:pPr>
            <w:r w:rsidRPr="007040EB">
              <w:t>Co-Sponsoring Entities</w:t>
            </w:r>
          </w:p>
        </w:tc>
        <w:tc>
          <w:tcPr>
            <w:tcW w:w="6404" w:type="dxa"/>
            <w:shd w:val="clear" w:color="auto" w:fill="auto"/>
          </w:tcPr>
          <w:p w:rsidR="00794773" w:rsidRPr="002918D2" w:rsidRDefault="00B56EAC" w:rsidP="00B56EAC">
            <w:pPr>
              <w:spacing w:line="240" w:lineRule="auto"/>
            </w:pPr>
            <w:r w:rsidRPr="002918D2">
              <w:t>Not applicable</w:t>
            </w:r>
            <w:r w:rsidR="00A97C9C" w:rsidRPr="002918D2">
              <w:t xml:space="preserve"> </w:t>
            </w:r>
          </w:p>
        </w:tc>
      </w:tr>
      <w:tr w:rsidR="00794773" w:rsidRPr="007040EB" w:rsidTr="002C7BB1">
        <w:tc>
          <w:tcPr>
            <w:tcW w:w="2977" w:type="dxa"/>
          </w:tcPr>
          <w:p w:rsidR="00794773" w:rsidRPr="007040EB" w:rsidRDefault="00794773" w:rsidP="00694DF9">
            <w:pPr>
              <w:spacing w:line="240" w:lineRule="auto"/>
              <w:jc w:val="both"/>
            </w:pPr>
            <w:r w:rsidRPr="007040EB">
              <w:t>Enquir</w:t>
            </w:r>
            <w:r>
              <w:t>i</w:t>
            </w:r>
            <w:r w:rsidRPr="007040EB">
              <w:t>es</w:t>
            </w:r>
            <w:r>
              <w:t>:</w:t>
            </w:r>
          </w:p>
        </w:tc>
        <w:tc>
          <w:tcPr>
            <w:tcW w:w="6404" w:type="dxa"/>
            <w:shd w:val="clear" w:color="auto" w:fill="auto"/>
          </w:tcPr>
          <w:p w:rsidR="00B56EAC" w:rsidRDefault="00794773" w:rsidP="00B56EAC">
            <w:pPr>
              <w:spacing w:line="240" w:lineRule="auto"/>
            </w:pPr>
            <w:r w:rsidRPr="002C7BB1">
              <w:t xml:space="preserve">If you have any questions, please contact </w:t>
            </w:r>
            <w:r w:rsidR="00B56EAC">
              <w:t xml:space="preserve">Mr Tony Rothnie, Director, NCRIS Program Management at </w:t>
            </w:r>
            <w:hyperlink r:id="rId12" w:history="1">
              <w:r w:rsidR="007C23F3" w:rsidRPr="007C23F3">
                <w:rPr>
                  <w:rStyle w:val="Hyperlink"/>
                </w:rPr>
                <w:t>NCRIS</w:t>
              </w:r>
              <w:r w:rsidR="007C23F3" w:rsidRPr="00BB7C9D">
                <w:rPr>
                  <w:rStyle w:val="Hyperlink"/>
                  <w:rFonts w:cstheme="minorBidi"/>
                </w:rPr>
                <w:t>@education.gov.au</w:t>
              </w:r>
            </w:hyperlink>
            <w:r w:rsidR="00B56EAC">
              <w:t xml:space="preserve"> .</w:t>
            </w:r>
            <w:r w:rsidR="00B56EAC" w:rsidRPr="002C7BB1">
              <w:t xml:space="preserve"> </w:t>
            </w:r>
            <w:r w:rsidRPr="002C7BB1">
              <w:br/>
            </w:r>
          </w:p>
          <w:p w:rsidR="00794773" w:rsidRPr="002C7BB1" w:rsidRDefault="00794773" w:rsidP="00B56EAC">
            <w:pPr>
              <w:spacing w:line="240" w:lineRule="auto"/>
            </w:pPr>
            <w:r w:rsidRPr="002C7BB1">
              <w:t xml:space="preserve">Questions </w:t>
            </w:r>
            <w:r w:rsidR="00B56EAC">
              <w:t>may be sent at any time.</w:t>
            </w:r>
          </w:p>
        </w:tc>
      </w:tr>
      <w:tr w:rsidR="00794773" w:rsidRPr="007040EB" w:rsidTr="002C7BB1">
        <w:tc>
          <w:tcPr>
            <w:tcW w:w="2977" w:type="dxa"/>
          </w:tcPr>
          <w:p w:rsidR="00794773" w:rsidRPr="007040EB" w:rsidRDefault="00794773" w:rsidP="00694DF9">
            <w:pPr>
              <w:spacing w:line="240" w:lineRule="auto"/>
              <w:jc w:val="both"/>
            </w:pPr>
            <w:r w:rsidRPr="007040EB">
              <w:t>Date guidelines released</w:t>
            </w:r>
            <w:r>
              <w:t>:</w:t>
            </w:r>
          </w:p>
        </w:tc>
        <w:tc>
          <w:tcPr>
            <w:tcW w:w="6404" w:type="dxa"/>
            <w:shd w:val="clear" w:color="auto" w:fill="auto"/>
          </w:tcPr>
          <w:p w:rsidR="00794773" w:rsidRPr="002C7BB1" w:rsidRDefault="002C21B4" w:rsidP="00FA6936">
            <w:pPr>
              <w:spacing w:line="240" w:lineRule="auto"/>
            </w:pPr>
            <w:r>
              <w:t>31 May 2018</w:t>
            </w:r>
          </w:p>
        </w:tc>
      </w:tr>
      <w:tr w:rsidR="00794773" w:rsidTr="002C7BB1">
        <w:tc>
          <w:tcPr>
            <w:tcW w:w="2977" w:type="dxa"/>
          </w:tcPr>
          <w:p w:rsidR="00794773" w:rsidRPr="007040EB" w:rsidRDefault="00794773" w:rsidP="00694DF9">
            <w:pPr>
              <w:spacing w:line="240" w:lineRule="auto"/>
              <w:jc w:val="both"/>
            </w:pPr>
            <w:r w:rsidRPr="007040EB">
              <w:t>Type of grant opportunity</w:t>
            </w:r>
            <w:r>
              <w:t>:</w:t>
            </w:r>
          </w:p>
        </w:tc>
        <w:tc>
          <w:tcPr>
            <w:tcW w:w="6404" w:type="dxa"/>
            <w:shd w:val="clear" w:color="auto" w:fill="auto"/>
          </w:tcPr>
          <w:p w:rsidR="00794773" w:rsidRPr="002C7BB1" w:rsidRDefault="00794773" w:rsidP="006539C9">
            <w:pPr>
              <w:spacing w:line="240" w:lineRule="auto"/>
            </w:pPr>
            <w:r w:rsidRPr="00B56EAC">
              <w:t>Restricted non-competitive</w:t>
            </w:r>
          </w:p>
        </w:tc>
      </w:tr>
    </w:tbl>
    <w:p w:rsidR="003142DD" w:rsidRDefault="003142DD" w:rsidP="005E0682">
      <w:r>
        <w:br w:type="page"/>
      </w:r>
    </w:p>
    <w:p w:rsidR="0020122A" w:rsidRDefault="0020122A" w:rsidP="0020122A">
      <w:pPr>
        <w:pStyle w:val="TOCHeading"/>
      </w:pPr>
      <w:r>
        <w:lastRenderedPageBreak/>
        <w:t>Contents</w:t>
      </w:r>
    </w:p>
    <w:p w:rsidR="00EF4F59" w:rsidRDefault="0020122A">
      <w:pPr>
        <w:pStyle w:val="TOC1"/>
        <w:rPr>
          <w:rFonts w:eastAsiaTheme="minorEastAsia"/>
          <w:b w:val="0"/>
          <w:noProof/>
          <w:sz w:val="22"/>
          <w:lang w:eastAsia="en-AU"/>
        </w:rPr>
      </w:pPr>
      <w:r>
        <w:rPr>
          <w:sz w:val="19"/>
        </w:rPr>
        <w:fldChar w:fldCharType="begin"/>
      </w:r>
      <w:r>
        <w:instrText xml:space="preserve"> TOC \o "2-3" \h \z \t "Heading 1,1,Heading 1 Numbered,1" </w:instrText>
      </w:r>
      <w:r>
        <w:rPr>
          <w:sz w:val="19"/>
        </w:rPr>
        <w:fldChar w:fldCharType="separate"/>
      </w:r>
      <w:hyperlink w:anchor="_Toc514836280" w:history="1">
        <w:r w:rsidR="00EF4F59" w:rsidRPr="00BC3BE9">
          <w:rPr>
            <w:rStyle w:val="Hyperlink"/>
            <w:noProof/>
          </w:rPr>
          <w:t>1.</w:t>
        </w:r>
        <w:r w:rsidR="00EF4F59">
          <w:rPr>
            <w:rFonts w:eastAsiaTheme="minorEastAsia"/>
            <w:b w:val="0"/>
            <w:noProof/>
            <w:sz w:val="22"/>
            <w:lang w:eastAsia="en-AU"/>
          </w:rPr>
          <w:tab/>
        </w:r>
        <w:r w:rsidR="00EF4F59" w:rsidRPr="00BC3BE9">
          <w:rPr>
            <w:rStyle w:val="Hyperlink"/>
            <w:noProof/>
          </w:rPr>
          <w:t>NCRIS: NCRIS 2018 Processes</w:t>
        </w:r>
        <w:r w:rsidR="00EF4F59">
          <w:rPr>
            <w:noProof/>
            <w:webHidden/>
          </w:rPr>
          <w:tab/>
        </w:r>
        <w:r w:rsidR="00EF4F59">
          <w:rPr>
            <w:noProof/>
            <w:webHidden/>
          </w:rPr>
          <w:fldChar w:fldCharType="begin"/>
        </w:r>
        <w:r w:rsidR="00EF4F59">
          <w:rPr>
            <w:noProof/>
            <w:webHidden/>
          </w:rPr>
          <w:instrText xml:space="preserve"> PAGEREF _Toc514836280 \h </w:instrText>
        </w:r>
        <w:r w:rsidR="00EF4F59">
          <w:rPr>
            <w:noProof/>
            <w:webHidden/>
          </w:rPr>
        </w:r>
        <w:r w:rsidR="00EF4F59">
          <w:rPr>
            <w:noProof/>
            <w:webHidden/>
          </w:rPr>
          <w:fldChar w:fldCharType="separate"/>
        </w:r>
        <w:r w:rsidR="00A81612">
          <w:rPr>
            <w:noProof/>
            <w:webHidden/>
          </w:rPr>
          <w:t>3</w:t>
        </w:r>
        <w:r w:rsidR="00EF4F59">
          <w:rPr>
            <w:noProof/>
            <w:webHidden/>
          </w:rPr>
          <w:fldChar w:fldCharType="end"/>
        </w:r>
      </w:hyperlink>
    </w:p>
    <w:p w:rsidR="00EF4F59" w:rsidRDefault="00A81612">
      <w:pPr>
        <w:pStyle w:val="TOC2"/>
        <w:rPr>
          <w:rFonts w:eastAsiaTheme="minorEastAsia"/>
          <w:noProof/>
          <w:lang w:eastAsia="en-AU"/>
        </w:rPr>
      </w:pPr>
      <w:hyperlink w:anchor="_Toc514836281" w:history="1">
        <w:r w:rsidR="00EF4F59" w:rsidRPr="00BC3BE9">
          <w:rPr>
            <w:rStyle w:val="Hyperlink"/>
            <w:noProof/>
          </w:rPr>
          <w:t>1.1</w:t>
        </w:r>
        <w:r w:rsidR="00EF4F59">
          <w:rPr>
            <w:rFonts w:eastAsiaTheme="minorEastAsia"/>
            <w:noProof/>
            <w:lang w:eastAsia="en-AU"/>
          </w:rPr>
          <w:tab/>
        </w:r>
        <w:r w:rsidR="00EF4F59" w:rsidRPr="00BC3BE9">
          <w:rPr>
            <w:rStyle w:val="Hyperlink"/>
            <w:noProof/>
          </w:rPr>
          <w:t>About the grant program</w:t>
        </w:r>
        <w:r w:rsidR="00EF4F59">
          <w:rPr>
            <w:noProof/>
            <w:webHidden/>
          </w:rPr>
          <w:tab/>
        </w:r>
        <w:r w:rsidR="00EF4F59">
          <w:rPr>
            <w:noProof/>
            <w:webHidden/>
          </w:rPr>
          <w:fldChar w:fldCharType="begin"/>
        </w:r>
        <w:r w:rsidR="00EF4F59">
          <w:rPr>
            <w:noProof/>
            <w:webHidden/>
          </w:rPr>
          <w:instrText xml:space="preserve"> PAGEREF _Toc514836281 \h </w:instrText>
        </w:r>
        <w:r w:rsidR="00EF4F59">
          <w:rPr>
            <w:noProof/>
            <w:webHidden/>
          </w:rPr>
        </w:r>
        <w:r w:rsidR="00EF4F59">
          <w:rPr>
            <w:noProof/>
            <w:webHidden/>
          </w:rPr>
          <w:fldChar w:fldCharType="separate"/>
        </w:r>
        <w:r>
          <w:rPr>
            <w:noProof/>
            <w:webHidden/>
          </w:rPr>
          <w:t>4</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82" w:history="1">
        <w:r w:rsidR="00EF4F59" w:rsidRPr="00BC3BE9">
          <w:rPr>
            <w:rStyle w:val="Hyperlink"/>
            <w:noProof/>
          </w:rPr>
          <w:t>2.</w:t>
        </w:r>
        <w:r w:rsidR="00EF4F59">
          <w:rPr>
            <w:rFonts w:eastAsiaTheme="minorEastAsia"/>
            <w:b w:val="0"/>
            <w:noProof/>
            <w:sz w:val="22"/>
            <w:lang w:eastAsia="en-AU"/>
          </w:rPr>
          <w:tab/>
        </w:r>
        <w:r w:rsidR="00EF4F59" w:rsidRPr="00BC3BE9">
          <w:rPr>
            <w:rStyle w:val="Hyperlink"/>
            <w:noProof/>
          </w:rPr>
          <w:t>Grant amount</w:t>
        </w:r>
        <w:r w:rsidR="00EF4F59">
          <w:rPr>
            <w:noProof/>
            <w:webHidden/>
          </w:rPr>
          <w:tab/>
        </w:r>
        <w:r w:rsidR="00EF4F59">
          <w:rPr>
            <w:noProof/>
            <w:webHidden/>
          </w:rPr>
          <w:fldChar w:fldCharType="begin"/>
        </w:r>
        <w:r w:rsidR="00EF4F59">
          <w:rPr>
            <w:noProof/>
            <w:webHidden/>
          </w:rPr>
          <w:instrText xml:space="preserve"> PAGEREF _Toc514836282 \h </w:instrText>
        </w:r>
        <w:r w:rsidR="00EF4F59">
          <w:rPr>
            <w:noProof/>
            <w:webHidden/>
          </w:rPr>
        </w:r>
        <w:r w:rsidR="00EF4F59">
          <w:rPr>
            <w:noProof/>
            <w:webHidden/>
          </w:rPr>
          <w:fldChar w:fldCharType="separate"/>
        </w:r>
        <w:r>
          <w:rPr>
            <w:noProof/>
            <w:webHidden/>
          </w:rPr>
          <w:t>6</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83" w:history="1">
        <w:r w:rsidR="00EF4F59" w:rsidRPr="00BC3BE9">
          <w:rPr>
            <w:rStyle w:val="Hyperlink"/>
            <w:noProof/>
          </w:rPr>
          <w:t>3.</w:t>
        </w:r>
        <w:r w:rsidR="00EF4F59">
          <w:rPr>
            <w:rFonts w:eastAsiaTheme="minorEastAsia"/>
            <w:b w:val="0"/>
            <w:noProof/>
            <w:sz w:val="22"/>
            <w:lang w:eastAsia="en-AU"/>
          </w:rPr>
          <w:tab/>
        </w:r>
        <w:r w:rsidR="00EF4F59" w:rsidRPr="00BC3BE9">
          <w:rPr>
            <w:rStyle w:val="Hyperlink"/>
            <w:noProof/>
          </w:rPr>
          <w:t>Eligible grant activities</w:t>
        </w:r>
        <w:r w:rsidR="00EF4F59">
          <w:rPr>
            <w:noProof/>
            <w:webHidden/>
          </w:rPr>
          <w:tab/>
        </w:r>
        <w:r w:rsidR="00EF4F59">
          <w:rPr>
            <w:noProof/>
            <w:webHidden/>
          </w:rPr>
          <w:fldChar w:fldCharType="begin"/>
        </w:r>
        <w:r w:rsidR="00EF4F59">
          <w:rPr>
            <w:noProof/>
            <w:webHidden/>
          </w:rPr>
          <w:instrText xml:space="preserve"> PAGEREF _Toc514836283 \h </w:instrText>
        </w:r>
        <w:r w:rsidR="00EF4F59">
          <w:rPr>
            <w:noProof/>
            <w:webHidden/>
          </w:rPr>
        </w:r>
        <w:r w:rsidR="00EF4F59">
          <w:rPr>
            <w:noProof/>
            <w:webHidden/>
          </w:rPr>
          <w:fldChar w:fldCharType="separate"/>
        </w:r>
        <w:r>
          <w:rPr>
            <w:noProof/>
            <w:webHidden/>
          </w:rPr>
          <w:t>7</w:t>
        </w:r>
        <w:r w:rsidR="00EF4F59">
          <w:rPr>
            <w:noProof/>
            <w:webHidden/>
          </w:rPr>
          <w:fldChar w:fldCharType="end"/>
        </w:r>
      </w:hyperlink>
    </w:p>
    <w:p w:rsidR="00EF4F59" w:rsidRDefault="00A81612">
      <w:pPr>
        <w:pStyle w:val="TOC2"/>
        <w:rPr>
          <w:rFonts w:eastAsiaTheme="minorEastAsia"/>
          <w:noProof/>
          <w:lang w:eastAsia="en-AU"/>
        </w:rPr>
      </w:pPr>
      <w:hyperlink w:anchor="_Toc514836284" w:history="1">
        <w:r w:rsidR="00EF4F59" w:rsidRPr="00BC3BE9">
          <w:rPr>
            <w:rStyle w:val="Hyperlink"/>
            <w:noProof/>
          </w:rPr>
          <w:t>3.1</w:t>
        </w:r>
        <w:r w:rsidR="00EF4F59">
          <w:rPr>
            <w:rFonts w:eastAsiaTheme="minorEastAsia"/>
            <w:noProof/>
            <w:lang w:eastAsia="en-AU"/>
          </w:rPr>
          <w:tab/>
        </w:r>
        <w:r w:rsidR="00EF4F59" w:rsidRPr="00BC3BE9">
          <w:rPr>
            <w:rStyle w:val="Hyperlink"/>
            <w:noProof/>
          </w:rPr>
          <w:t>What can the grant money be used for?</w:t>
        </w:r>
        <w:r w:rsidR="00EF4F59">
          <w:rPr>
            <w:noProof/>
            <w:webHidden/>
          </w:rPr>
          <w:tab/>
        </w:r>
        <w:r w:rsidR="00EF4F59">
          <w:rPr>
            <w:noProof/>
            <w:webHidden/>
          </w:rPr>
          <w:fldChar w:fldCharType="begin"/>
        </w:r>
        <w:r w:rsidR="00EF4F59">
          <w:rPr>
            <w:noProof/>
            <w:webHidden/>
          </w:rPr>
          <w:instrText xml:space="preserve"> PAGEREF _Toc514836284 \h </w:instrText>
        </w:r>
        <w:r w:rsidR="00EF4F59">
          <w:rPr>
            <w:noProof/>
            <w:webHidden/>
          </w:rPr>
        </w:r>
        <w:r w:rsidR="00EF4F59">
          <w:rPr>
            <w:noProof/>
            <w:webHidden/>
          </w:rPr>
          <w:fldChar w:fldCharType="separate"/>
        </w:r>
        <w:r>
          <w:rPr>
            <w:noProof/>
            <w:webHidden/>
          </w:rPr>
          <w:t>7</w:t>
        </w:r>
        <w:r w:rsidR="00EF4F59">
          <w:rPr>
            <w:noProof/>
            <w:webHidden/>
          </w:rPr>
          <w:fldChar w:fldCharType="end"/>
        </w:r>
      </w:hyperlink>
    </w:p>
    <w:p w:rsidR="00EF4F59" w:rsidRDefault="00A81612">
      <w:pPr>
        <w:pStyle w:val="TOC2"/>
        <w:rPr>
          <w:rFonts w:eastAsiaTheme="minorEastAsia"/>
          <w:noProof/>
          <w:lang w:eastAsia="en-AU"/>
        </w:rPr>
      </w:pPr>
      <w:hyperlink w:anchor="_Toc514836285" w:history="1">
        <w:r w:rsidR="00EF4F59" w:rsidRPr="00BC3BE9">
          <w:rPr>
            <w:rStyle w:val="Hyperlink"/>
            <w:noProof/>
          </w:rPr>
          <w:t>3.2</w:t>
        </w:r>
        <w:r w:rsidR="00EF4F59">
          <w:rPr>
            <w:rFonts w:eastAsiaTheme="minorEastAsia"/>
            <w:noProof/>
            <w:lang w:eastAsia="en-AU"/>
          </w:rPr>
          <w:tab/>
        </w:r>
        <w:r w:rsidR="00EF4F59" w:rsidRPr="00BC3BE9">
          <w:rPr>
            <w:rStyle w:val="Hyperlink"/>
            <w:noProof/>
          </w:rPr>
          <w:t>What the grant money cannot be used for?</w:t>
        </w:r>
        <w:r w:rsidR="00EF4F59">
          <w:rPr>
            <w:noProof/>
            <w:webHidden/>
          </w:rPr>
          <w:tab/>
        </w:r>
        <w:r w:rsidR="00EF4F59">
          <w:rPr>
            <w:noProof/>
            <w:webHidden/>
          </w:rPr>
          <w:fldChar w:fldCharType="begin"/>
        </w:r>
        <w:r w:rsidR="00EF4F59">
          <w:rPr>
            <w:noProof/>
            <w:webHidden/>
          </w:rPr>
          <w:instrText xml:space="preserve"> PAGEREF _Toc514836285 \h </w:instrText>
        </w:r>
        <w:r w:rsidR="00EF4F59">
          <w:rPr>
            <w:noProof/>
            <w:webHidden/>
          </w:rPr>
        </w:r>
        <w:r w:rsidR="00EF4F59">
          <w:rPr>
            <w:noProof/>
            <w:webHidden/>
          </w:rPr>
          <w:fldChar w:fldCharType="separate"/>
        </w:r>
        <w:r>
          <w:rPr>
            <w:noProof/>
            <w:webHidden/>
          </w:rPr>
          <w:t>9</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86" w:history="1">
        <w:r w:rsidR="00EF4F59" w:rsidRPr="00BC3BE9">
          <w:rPr>
            <w:rStyle w:val="Hyperlink"/>
            <w:noProof/>
          </w:rPr>
          <w:t>4.</w:t>
        </w:r>
        <w:r w:rsidR="00EF4F59">
          <w:rPr>
            <w:rFonts w:eastAsiaTheme="minorEastAsia"/>
            <w:b w:val="0"/>
            <w:noProof/>
            <w:sz w:val="22"/>
            <w:lang w:eastAsia="en-AU"/>
          </w:rPr>
          <w:tab/>
        </w:r>
        <w:r w:rsidR="00EF4F59" w:rsidRPr="00BC3BE9">
          <w:rPr>
            <w:rStyle w:val="Hyperlink"/>
            <w:noProof/>
          </w:rPr>
          <w:t>The grant selection process</w:t>
        </w:r>
        <w:r w:rsidR="00EF4F59">
          <w:rPr>
            <w:noProof/>
            <w:webHidden/>
          </w:rPr>
          <w:tab/>
        </w:r>
        <w:r w:rsidR="00EF4F59">
          <w:rPr>
            <w:noProof/>
            <w:webHidden/>
          </w:rPr>
          <w:fldChar w:fldCharType="begin"/>
        </w:r>
        <w:r w:rsidR="00EF4F59">
          <w:rPr>
            <w:noProof/>
            <w:webHidden/>
          </w:rPr>
          <w:instrText xml:space="preserve"> PAGEREF _Toc514836286 \h </w:instrText>
        </w:r>
        <w:r w:rsidR="00EF4F59">
          <w:rPr>
            <w:noProof/>
            <w:webHidden/>
          </w:rPr>
        </w:r>
        <w:r w:rsidR="00EF4F59">
          <w:rPr>
            <w:noProof/>
            <w:webHidden/>
          </w:rPr>
          <w:fldChar w:fldCharType="separate"/>
        </w:r>
        <w:r>
          <w:rPr>
            <w:noProof/>
            <w:webHidden/>
          </w:rPr>
          <w:t>9</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87" w:history="1">
        <w:r w:rsidR="00EF4F59" w:rsidRPr="00BC3BE9">
          <w:rPr>
            <w:rStyle w:val="Hyperlink"/>
            <w:noProof/>
          </w:rPr>
          <w:t>5.</w:t>
        </w:r>
        <w:r w:rsidR="00EF4F59">
          <w:rPr>
            <w:rFonts w:eastAsiaTheme="minorEastAsia"/>
            <w:b w:val="0"/>
            <w:noProof/>
            <w:sz w:val="22"/>
            <w:lang w:eastAsia="en-AU"/>
          </w:rPr>
          <w:tab/>
        </w:r>
        <w:r w:rsidR="00EF4F59" w:rsidRPr="00BC3BE9">
          <w:rPr>
            <w:rStyle w:val="Hyperlink"/>
            <w:noProof/>
          </w:rPr>
          <w:t>Timing</w:t>
        </w:r>
        <w:r w:rsidR="00EF4F59">
          <w:rPr>
            <w:noProof/>
            <w:webHidden/>
          </w:rPr>
          <w:tab/>
        </w:r>
        <w:r w:rsidR="00EF4F59">
          <w:rPr>
            <w:noProof/>
            <w:webHidden/>
          </w:rPr>
          <w:fldChar w:fldCharType="begin"/>
        </w:r>
        <w:r w:rsidR="00EF4F59">
          <w:rPr>
            <w:noProof/>
            <w:webHidden/>
          </w:rPr>
          <w:instrText xml:space="preserve"> PAGEREF _Toc514836287 \h </w:instrText>
        </w:r>
        <w:r w:rsidR="00EF4F59">
          <w:rPr>
            <w:noProof/>
            <w:webHidden/>
          </w:rPr>
        </w:r>
        <w:r w:rsidR="00EF4F59">
          <w:rPr>
            <w:noProof/>
            <w:webHidden/>
          </w:rPr>
          <w:fldChar w:fldCharType="separate"/>
        </w:r>
        <w:r>
          <w:rPr>
            <w:noProof/>
            <w:webHidden/>
          </w:rPr>
          <w:t>11</w:t>
        </w:r>
        <w:r w:rsidR="00EF4F59">
          <w:rPr>
            <w:noProof/>
            <w:webHidden/>
          </w:rPr>
          <w:fldChar w:fldCharType="end"/>
        </w:r>
      </w:hyperlink>
    </w:p>
    <w:p w:rsidR="00EF4F59" w:rsidRDefault="00A81612">
      <w:pPr>
        <w:pStyle w:val="TOC2"/>
        <w:rPr>
          <w:rFonts w:eastAsiaTheme="minorEastAsia"/>
          <w:noProof/>
          <w:lang w:eastAsia="en-AU"/>
        </w:rPr>
      </w:pPr>
      <w:hyperlink w:anchor="_Toc514836288" w:history="1">
        <w:r w:rsidR="00EF4F59" w:rsidRPr="00BC3BE9">
          <w:rPr>
            <w:rStyle w:val="Hyperlink"/>
            <w:noProof/>
          </w:rPr>
          <w:t>5.1</w:t>
        </w:r>
        <w:r w:rsidR="00EF4F59">
          <w:rPr>
            <w:rFonts w:eastAsiaTheme="minorEastAsia"/>
            <w:noProof/>
            <w:lang w:eastAsia="en-AU"/>
          </w:rPr>
          <w:tab/>
        </w:r>
        <w:r w:rsidR="00EF4F59" w:rsidRPr="00BC3BE9">
          <w:rPr>
            <w:rStyle w:val="Hyperlink"/>
            <w:noProof/>
          </w:rPr>
          <w:t>Further grant opportunities</w:t>
        </w:r>
        <w:r w:rsidR="00EF4F59">
          <w:rPr>
            <w:noProof/>
            <w:webHidden/>
          </w:rPr>
          <w:tab/>
        </w:r>
        <w:r w:rsidR="00EF4F59">
          <w:rPr>
            <w:noProof/>
            <w:webHidden/>
          </w:rPr>
          <w:fldChar w:fldCharType="begin"/>
        </w:r>
        <w:r w:rsidR="00EF4F59">
          <w:rPr>
            <w:noProof/>
            <w:webHidden/>
          </w:rPr>
          <w:instrText xml:space="preserve"> PAGEREF _Toc514836288 \h </w:instrText>
        </w:r>
        <w:r w:rsidR="00EF4F59">
          <w:rPr>
            <w:noProof/>
            <w:webHidden/>
          </w:rPr>
        </w:r>
        <w:r w:rsidR="00EF4F59">
          <w:rPr>
            <w:noProof/>
            <w:webHidden/>
          </w:rPr>
          <w:fldChar w:fldCharType="separate"/>
        </w:r>
        <w:r>
          <w:rPr>
            <w:noProof/>
            <w:webHidden/>
          </w:rPr>
          <w:t>12</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89" w:history="1">
        <w:r w:rsidR="00EF4F59" w:rsidRPr="00BC3BE9">
          <w:rPr>
            <w:rStyle w:val="Hyperlink"/>
            <w:noProof/>
          </w:rPr>
          <w:t>6.</w:t>
        </w:r>
        <w:r w:rsidR="00EF4F59">
          <w:rPr>
            <w:rFonts w:eastAsiaTheme="minorEastAsia"/>
            <w:b w:val="0"/>
            <w:noProof/>
            <w:sz w:val="22"/>
            <w:lang w:eastAsia="en-AU"/>
          </w:rPr>
          <w:tab/>
        </w:r>
        <w:r w:rsidR="00EF4F59" w:rsidRPr="00BC3BE9">
          <w:rPr>
            <w:rStyle w:val="Hyperlink"/>
            <w:noProof/>
          </w:rPr>
          <w:t>Who will approve grants?</w:t>
        </w:r>
        <w:r w:rsidR="00EF4F59">
          <w:rPr>
            <w:noProof/>
            <w:webHidden/>
          </w:rPr>
          <w:tab/>
        </w:r>
        <w:r w:rsidR="00EF4F59">
          <w:rPr>
            <w:noProof/>
            <w:webHidden/>
          </w:rPr>
          <w:fldChar w:fldCharType="begin"/>
        </w:r>
        <w:r w:rsidR="00EF4F59">
          <w:rPr>
            <w:noProof/>
            <w:webHidden/>
          </w:rPr>
          <w:instrText xml:space="preserve"> PAGEREF _Toc514836289 \h </w:instrText>
        </w:r>
        <w:r w:rsidR="00EF4F59">
          <w:rPr>
            <w:noProof/>
            <w:webHidden/>
          </w:rPr>
        </w:r>
        <w:r w:rsidR="00EF4F59">
          <w:rPr>
            <w:noProof/>
            <w:webHidden/>
          </w:rPr>
          <w:fldChar w:fldCharType="separate"/>
        </w:r>
        <w:r>
          <w:rPr>
            <w:noProof/>
            <w:webHidden/>
          </w:rPr>
          <w:t>12</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90" w:history="1">
        <w:r w:rsidR="00EF4F59" w:rsidRPr="00BC3BE9">
          <w:rPr>
            <w:rStyle w:val="Hyperlink"/>
            <w:noProof/>
          </w:rPr>
          <w:t>7.</w:t>
        </w:r>
        <w:r w:rsidR="00EF4F59">
          <w:rPr>
            <w:rFonts w:eastAsiaTheme="minorEastAsia"/>
            <w:b w:val="0"/>
            <w:noProof/>
            <w:sz w:val="22"/>
            <w:lang w:eastAsia="en-AU"/>
          </w:rPr>
          <w:tab/>
        </w:r>
        <w:r w:rsidR="00EF4F59" w:rsidRPr="00BC3BE9">
          <w:rPr>
            <w:rStyle w:val="Hyperlink"/>
            <w:noProof/>
          </w:rPr>
          <w:t>Notification of outcomes</w:t>
        </w:r>
        <w:r w:rsidR="00EF4F59">
          <w:rPr>
            <w:noProof/>
            <w:webHidden/>
          </w:rPr>
          <w:tab/>
        </w:r>
        <w:r w:rsidR="00EF4F59">
          <w:rPr>
            <w:noProof/>
            <w:webHidden/>
          </w:rPr>
          <w:fldChar w:fldCharType="begin"/>
        </w:r>
        <w:r w:rsidR="00EF4F59">
          <w:rPr>
            <w:noProof/>
            <w:webHidden/>
          </w:rPr>
          <w:instrText xml:space="preserve"> PAGEREF _Toc514836290 \h </w:instrText>
        </w:r>
        <w:r w:rsidR="00EF4F59">
          <w:rPr>
            <w:noProof/>
            <w:webHidden/>
          </w:rPr>
        </w:r>
        <w:r w:rsidR="00EF4F59">
          <w:rPr>
            <w:noProof/>
            <w:webHidden/>
          </w:rPr>
          <w:fldChar w:fldCharType="separate"/>
        </w:r>
        <w:r>
          <w:rPr>
            <w:noProof/>
            <w:webHidden/>
          </w:rPr>
          <w:t>13</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91" w:history="1">
        <w:r w:rsidR="00EF4F59" w:rsidRPr="00BC3BE9">
          <w:rPr>
            <w:rStyle w:val="Hyperlink"/>
            <w:noProof/>
          </w:rPr>
          <w:t>8.</w:t>
        </w:r>
        <w:r w:rsidR="00EF4F59">
          <w:rPr>
            <w:rFonts w:eastAsiaTheme="minorEastAsia"/>
            <w:b w:val="0"/>
            <w:noProof/>
            <w:sz w:val="22"/>
            <w:lang w:eastAsia="en-AU"/>
          </w:rPr>
          <w:tab/>
        </w:r>
        <w:r w:rsidR="00EF4F59" w:rsidRPr="00BC3BE9">
          <w:rPr>
            <w:rStyle w:val="Hyperlink"/>
            <w:noProof/>
          </w:rPr>
          <w:t>Grants</w:t>
        </w:r>
        <w:r w:rsidR="00EF4F59">
          <w:rPr>
            <w:noProof/>
            <w:webHidden/>
          </w:rPr>
          <w:tab/>
        </w:r>
        <w:r w:rsidR="00EF4F59">
          <w:rPr>
            <w:noProof/>
            <w:webHidden/>
          </w:rPr>
          <w:fldChar w:fldCharType="begin"/>
        </w:r>
        <w:r w:rsidR="00EF4F59">
          <w:rPr>
            <w:noProof/>
            <w:webHidden/>
          </w:rPr>
          <w:instrText xml:space="preserve"> PAGEREF _Toc514836291 \h </w:instrText>
        </w:r>
        <w:r w:rsidR="00EF4F59">
          <w:rPr>
            <w:noProof/>
            <w:webHidden/>
          </w:rPr>
        </w:r>
        <w:r w:rsidR="00EF4F59">
          <w:rPr>
            <w:noProof/>
            <w:webHidden/>
          </w:rPr>
          <w:fldChar w:fldCharType="separate"/>
        </w:r>
        <w:r>
          <w:rPr>
            <w:noProof/>
            <w:webHidden/>
          </w:rPr>
          <w:t>13</w:t>
        </w:r>
        <w:r w:rsidR="00EF4F59">
          <w:rPr>
            <w:noProof/>
            <w:webHidden/>
          </w:rPr>
          <w:fldChar w:fldCharType="end"/>
        </w:r>
      </w:hyperlink>
    </w:p>
    <w:p w:rsidR="00EF4F59" w:rsidRDefault="00A81612">
      <w:pPr>
        <w:pStyle w:val="TOC2"/>
        <w:rPr>
          <w:rFonts w:eastAsiaTheme="minorEastAsia"/>
          <w:noProof/>
          <w:lang w:eastAsia="en-AU"/>
        </w:rPr>
      </w:pPr>
      <w:hyperlink w:anchor="_Toc514836292" w:history="1">
        <w:r w:rsidR="00EF4F59" w:rsidRPr="00BC3BE9">
          <w:rPr>
            <w:rStyle w:val="Hyperlink"/>
            <w:noProof/>
          </w:rPr>
          <w:t>8.1</w:t>
        </w:r>
        <w:r w:rsidR="00EF4F59">
          <w:rPr>
            <w:rFonts w:eastAsiaTheme="minorEastAsia"/>
            <w:noProof/>
            <w:lang w:eastAsia="en-AU"/>
          </w:rPr>
          <w:tab/>
        </w:r>
        <w:r w:rsidR="00EF4F59" w:rsidRPr="00BC3BE9">
          <w:rPr>
            <w:rStyle w:val="Hyperlink"/>
            <w:noProof/>
          </w:rPr>
          <w:t>The grant agreement</w:t>
        </w:r>
        <w:r w:rsidR="00EF4F59">
          <w:rPr>
            <w:noProof/>
            <w:webHidden/>
          </w:rPr>
          <w:tab/>
        </w:r>
        <w:r w:rsidR="00EF4F59">
          <w:rPr>
            <w:noProof/>
            <w:webHidden/>
          </w:rPr>
          <w:fldChar w:fldCharType="begin"/>
        </w:r>
        <w:r w:rsidR="00EF4F59">
          <w:rPr>
            <w:noProof/>
            <w:webHidden/>
          </w:rPr>
          <w:instrText xml:space="preserve"> PAGEREF _Toc514836292 \h </w:instrText>
        </w:r>
        <w:r w:rsidR="00EF4F59">
          <w:rPr>
            <w:noProof/>
            <w:webHidden/>
          </w:rPr>
        </w:r>
        <w:r w:rsidR="00EF4F59">
          <w:rPr>
            <w:noProof/>
            <w:webHidden/>
          </w:rPr>
          <w:fldChar w:fldCharType="separate"/>
        </w:r>
        <w:r>
          <w:rPr>
            <w:noProof/>
            <w:webHidden/>
          </w:rPr>
          <w:t>13</w:t>
        </w:r>
        <w:r w:rsidR="00EF4F59">
          <w:rPr>
            <w:noProof/>
            <w:webHidden/>
          </w:rPr>
          <w:fldChar w:fldCharType="end"/>
        </w:r>
      </w:hyperlink>
    </w:p>
    <w:p w:rsidR="00EF4F59" w:rsidRDefault="00A81612">
      <w:pPr>
        <w:pStyle w:val="TOC2"/>
        <w:rPr>
          <w:rFonts w:eastAsiaTheme="minorEastAsia"/>
          <w:noProof/>
          <w:lang w:eastAsia="en-AU"/>
        </w:rPr>
      </w:pPr>
      <w:hyperlink w:anchor="_Toc514836293" w:history="1">
        <w:r w:rsidR="00EF4F59" w:rsidRPr="00BC3BE9">
          <w:rPr>
            <w:rStyle w:val="Hyperlink"/>
            <w:noProof/>
          </w:rPr>
          <w:t>8.2</w:t>
        </w:r>
        <w:r w:rsidR="00EF4F59">
          <w:rPr>
            <w:rFonts w:eastAsiaTheme="minorEastAsia"/>
            <w:noProof/>
            <w:lang w:eastAsia="en-AU"/>
          </w:rPr>
          <w:tab/>
        </w:r>
        <w:r w:rsidR="00EF4F59" w:rsidRPr="00BC3BE9">
          <w:rPr>
            <w:rStyle w:val="Hyperlink"/>
            <w:noProof/>
          </w:rPr>
          <w:t>How the grant will be paid</w:t>
        </w:r>
        <w:r w:rsidR="00EF4F59">
          <w:rPr>
            <w:noProof/>
            <w:webHidden/>
          </w:rPr>
          <w:tab/>
        </w:r>
        <w:r w:rsidR="00EF4F59">
          <w:rPr>
            <w:noProof/>
            <w:webHidden/>
          </w:rPr>
          <w:fldChar w:fldCharType="begin"/>
        </w:r>
        <w:r w:rsidR="00EF4F59">
          <w:rPr>
            <w:noProof/>
            <w:webHidden/>
          </w:rPr>
          <w:instrText xml:space="preserve"> PAGEREF _Toc514836293 \h </w:instrText>
        </w:r>
        <w:r w:rsidR="00EF4F59">
          <w:rPr>
            <w:noProof/>
            <w:webHidden/>
          </w:rPr>
        </w:r>
        <w:r w:rsidR="00EF4F59">
          <w:rPr>
            <w:noProof/>
            <w:webHidden/>
          </w:rPr>
          <w:fldChar w:fldCharType="separate"/>
        </w:r>
        <w:r>
          <w:rPr>
            <w:noProof/>
            <w:webHidden/>
          </w:rPr>
          <w:t>14</w:t>
        </w:r>
        <w:r w:rsidR="00EF4F59">
          <w:rPr>
            <w:noProof/>
            <w:webHidden/>
          </w:rPr>
          <w:fldChar w:fldCharType="end"/>
        </w:r>
      </w:hyperlink>
    </w:p>
    <w:p w:rsidR="00EF4F59" w:rsidRDefault="00A81612">
      <w:pPr>
        <w:pStyle w:val="TOC2"/>
        <w:rPr>
          <w:rFonts w:eastAsiaTheme="minorEastAsia"/>
          <w:noProof/>
          <w:lang w:eastAsia="en-AU"/>
        </w:rPr>
      </w:pPr>
      <w:hyperlink w:anchor="_Toc514836294" w:history="1">
        <w:r w:rsidR="00EF4F59" w:rsidRPr="00BC3BE9">
          <w:rPr>
            <w:rStyle w:val="Hyperlink"/>
            <w:noProof/>
          </w:rPr>
          <w:t>8.3</w:t>
        </w:r>
        <w:r w:rsidR="00EF4F59">
          <w:rPr>
            <w:rFonts w:eastAsiaTheme="minorEastAsia"/>
            <w:noProof/>
            <w:lang w:eastAsia="en-AU"/>
          </w:rPr>
          <w:tab/>
        </w:r>
        <w:r w:rsidR="00EF4F59" w:rsidRPr="00BC3BE9">
          <w:rPr>
            <w:rStyle w:val="Hyperlink"/>
            <w:noProof/>
          </w:rPr>
          <w:t>Grant agreement variations</w:t>
        </w:r>
        <w:r w:rsidR="00EF4F59">
          <w:rPr>
            <w:noProof/>
            <w:webHidden/>
          </w:rPr>
          <w:tab/>
        </w:r>
        <w:r w:rsidR="00EF4F59">
          <w:rPr>
            <w:noProof/>
            <w:webHidden/>
          </w:rPr>
          <w:fldChar w:fldCharType="begin"/>
        </w:r>
        <w:r w:rsidR="00EF4F59">
          <w:rPr>
            <w:noProof/>
            <w:webHidden/>
          </w:rPr>
          <w:instrText xml:space="preserve"> PAGEREF _Toc514836294 \h </w:instrText>
        </w:r>
        <w:r w:rsidR="00EF4F59">
          <w:rPr>
            <w:noProof/>
            <w:webHidden/>
          </w:rPr>
        </w:r>
        <w:r w:rsidR="00EF4F59">
          <w:rPr>
            <w:noProof/>
            <w:webHidden/>
          </w:rPr>
          <w:fldChar w:fldCharType="separate"/>
        </w:r>
        <w:r>
          <w:rPr>
            <w:noProof/>
            <w:webHidden/>
          </w:rPr>
          <w:t>14</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95" w:history="1">
        <w:r w:rsidR="00EF4F59" w:rsidRPr="00BC3BE9">
          <w:rPr>
            <w:rStyle w:val="Hyperlink"/>
            <w:noProof/>
          </w:rPr>
          <w:t>9.</w:t>
        </w:r>
        <w:r w:rsidR="00EF4F59">
          <w:rPr>
            <w:rFonts w:eastAsiaTheme="minorEastAsia"/>
            <w:b w:val="0"/>
            <w:noProof/>
            <w:sz w:val="22"/>
            <w:lang w:eastAsia="en-AU"/>
          </w:rPr>
          <w:tab/>
        </w:r>
        <w:r w:rsidR="00EF4F59" w:rsidRPr="00BC3BE9">
          <w:rPr>
            <w:rStyle w:val="Hyperlink"/>
            <w:noProof/>
          </w:rPr>
          <w:t>Announcement of grants</w:t>
        </w:r>
        <w:r w:rsidR="00EF4F59">
          <w:rPr>
            <w:noProof/>
            <w:webHidden/>
          </w:rPr>
          <w:tab/>
        </w:r>
        <w:r w:rsidR="00EF4F59">
          <w:rPr>
            <w:noProof/>
            <w:webHidden/>
          </w:rPr>
          <w:fldChar w:fldCharType="begin"/>
        </w:r>
        <w:r w:rsidR="00EF4F59">
          <w:rPr>
            <w:noProof/>
            <w:webHidden/>
          </w:rPr>
          <w:instrText xml:space="preserve"> PAGEREF _Toc514836295 \h </w:instrText>
        </w:r>
        <w:r w:rsidR="00EF4F59">
          <w:rPr>
            <w:noProof/>
            <w:webHidden/>
          </w:rPr>
        </w:r>
        <w:r w:rsidR="00EF4F59">
          <w:rPr>
            <w:noProof/>
            <w:webHidden/>
          </w:rPr>
          <w:fldChar w:fldCharType="separate"/>
        </w:r>
        <w:r>
          <w:rPr>
            <w:noProof/>
            <w:webHidden/>
          </w:rPr>
          <w:t>14</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296" w:history="1">
        <w:r w:rsidR="00EF4F59" w:rsidRPr="00BC3BE9">
          <w:rPr>
            <w:rStyle w:val="Hyperlink"/>
            <w:noProof/>
          </w:rPr>
          <w:t>10.</w:t>
        </w:r>
        <w:r w:rsidR="00EF4F59">
          <w:rPr>
            <w:rFonts w:eastAsiaTheme="minorEastAsia"/>
            <w:b w:val="0"/>
            <w:noProof/>
            <w:sz w:val="22"/>
            <w:lang w:eastAsia="en-AU"/>
          </w:rPr>
          <w:tab/>
        </w:r>
        <w:r w:rsidR="00EF4F59" w:rsidRPr="00BC3BE9">
          <w:rPr>
            <w:rStyle w:val="Hyperlink"/>
            <w:noProof/>
          </w:rPr>
          <w:t>Delivery of grant activities</w:t>
        </w:r>
        <w:r w:rsidR="00EF4F59">
          <w:rPr>
            <w:noProof/>
            <w:webHidden/>
          </w:rPr>
          <w:tab/>
        </w:r>
        <w:r w:rsidR="00EF4F59">
          <w:rPr>
            <w:noProof/>
            <w:webHidden/>
          </w:rPr>
          <w:fldChar w:fldCharType="begin"/>
        </w:r>
        <w:r w:rsidR="00EF4F59">
          <w:rPr>
            <w:noProof/>
            <w:webHidden/>
          </w:rPr>
          <w:instrText xml:space="preserve"> PAGEREF _Toc514836296 \h </w:instrText>
        </w:r>
        <w:r w:rsidR="00EF4F59">
          <w:rPr>
            <w:noProof/>
            <w:webHidden/>
          </w:rPr>
        </w:r>
        <w:r w:rsidR="00EF4F59">
          <w:rPr>
            <w:noProof/>
            <w:webHidden/>
          </w:rPr>
          <w:fldChar w:fldCharType="separate"/>
        </w:r>
        <w:r>
          <w:rPr>
            <w:noProof/>
            <w:webHidden/>
          </w:rPr>
          <w:t>15</w:t>
        </w:r>
        <w:r w:rsidR="00EF4F59">
          <w:rPr>
            <w:noProof/>
            <w:webHidden/>
          </w:rPr>
          <w:fldChar w:fldCharType="end"/>
        </w:r>
      </w:hyperlink>
    </w:p>
    <w:p w:rsidR="00EF4F59" w:rsidRDefault="00A81612">
      <w:pPr>
        <w:pStyle w:val="TOC2"/>
        <w:rPr>
          <w:rFonts w:eastAsiaTheme="minorEastAsia"/>
          <w:noProof/>
          <w:lang w:eastAsia="en-AU"/>
        </w:rPr>
      </w:pPr>
      <w:hyperlink w:anchor="_Toc514836297" w:history="1">
        <w:r w:rsidR="00EF4F59" w:rsidRPr="00BC3BE9">
          <w:rPr>
            <w:rStyle w:val="Hyperlink"/>
            <w:noProof/>
          </w:rPr>
          <w:t>10.1</w:t>
        </w:r>
        <w:r w:rsidR="00EF4F59">
          <w:rPr>
            <w:rFonts w:eastAsiaTheme="minorEastAsia"/>
            <w:noProof/>
            <w:lang w:eastAsia="en-AU"/>
          </w:rPr>
          <w:tab/>
        </w:r>
        <w:r w:rsidR="00EF4F59" w:rsidRPr="00BC3BE9">
          <w:rPr>
            <w:rStyle w:val="Hyperlink"/>
            <w:noProof/>
          </w:rPr>
          <w:t>Your responsibilities</w:t>
        </w:r>
        <w:r w:rsidR="00EF4F59">
          <w:rPr>
            <w:noProof/>
            <w:webHidden/>
          </w:rPr>
          <w:tab/>
        </w:r>
        <w:r w:rsidR="00EF4F59">
          <w:rPr>
            <w:noProof/>
            <w:webHidden/>
          </w:rPr>
          <w:fldChar w:fldCharType="begin"/>
        </w:r>
        <w:r w:rsidR="00EF4F59">
          <w:rPr>
            <w:noProof/>
            <w:webHidden/>
          </w:rPr>
          <w:instrText xml:space="preserve"> PAGEREF _Toc514836297 \h </w:instrText>
        </w:r>
        <w:r w:rsidR="00EF4F59">
          <w:rPr>
            <w:noProof/>
            <w:webHidden/>
          </w:rPr>
        </w:r>
        <w:r w:rsidR="00EF4F59">
          <w:rPr>
            <w:noProof/>
            <w:webHidden/>
          </w:rPr>
          <w:fldChar w:fldCharType="separate"/>
        </w:r>
        <w:r>
          <w:rPr>
            <w:noProof/>
            <w:webHidden/>
          </w:rPr>
          <w:t>15</w:t>
        </w:r>
        <w:r w:rsidR="00EF4F59">
          <w:rPr>
            <w:noProof/>
            <w:webHidden/>
          </w:rPr>
          <w:fldChar w:fldCharType="end"/>
        </w:r>
      </w:hyperlink>
    </w:p>
    <w:p w:rsidR="00EF4F59" w:rsidRDefault="00A81612">
      <w:pPr>
        <w:pStyle w:val="TOC2"/>
        <w:rPr>
          <w:rFonts w:eastAsiaTheme="minorEastAsia"/>
          <w:noProof/>
          <w:lang w:eastAsia="en-AU"/>
        </w:rPr>
      </w:pPr>
      <w:hyperlink w:anchor="_Toc514836298" w:history="1">
        <w:r w:rsidR="00EF4F59" w:rsidRPr="00BC3BE9">
          <w:rPr>
            <w:rStyle w:val="Hyperlink"/>
            <w:noProof/>
          </w:rPr>
          <w:t>10.2</w:t>
        </w:r>
        <w:r w:rsidR="00EF4F59">
          <w:rPr>
            <w:rFonts w:eastAsiaTheme="minorEastAsia"/>
            <w:noProof/>
            <w:lang w:eastAsia="en-AU"/>
          </w:rPr>
          <w:tab/>
        </w:r>
        <w:r w:rsidR="00EF4F59" w:rsidRPr="00BC3BE9">
          <w:rPr>
            <w:rStyle w:val="Hyperlink"/>
            <w:noProof/>
          </w:rPr>
          <w:t>Relevant Commonwealth entity’s responsibilities</w:t>
        </w:r>
        <w:r w:rsidR="00EF4F59">
          <w:rPr>
            <w:noProof/>
            <w:webHidden/>
          </w:rPr>
          <w:tab/>
        </w:r>
        <w:r w:rsidR="00EF4F59">
          <w:rPr>
            <w:noProof/>
            <w:webHidden/>
          </w:rPr>
          <w:fldChar w:fldCharType="begin"/>
        </w:r>
        <w:r w:rsidR="00EF4F59">
          <w:rPr>
            <w:noProof/>
            <w:webHidden/>
          </w:rPr>
          <w:instrText xml:space="preserve"> PAGEREF _Toc514836298 \h </w:instrText>
        </w:r>
        <w:r w:rsidR="00EF4F59">
          <w:rPr>
            <w:noProof/>
            <w:webHidden/>
          </w:rPr>
        </w:r>
        <w:r w:rsidR="00EF4F59">
          <w:rPr>
            <w:noProof/>
            <w:webHidden/>
          </w:rPr>
          <w:fldChar w:fldCharType="separate"/>
        </w:r>
        <w:r>
          <w:rPr>
            <w:noProof/>
            <w:webHidden/>
          </w:rPr>
          <w:t>15</w:t>
        </w:r>
        <w:r w:rsidR="00EF4F59">
          <w:rPr>
            <w:noProof/>
            <w:webHidden/>
          </w:rPr>
          <w:fldChar w:fldCharType="end"/>
        </w:r>
      </w:hyperlink>
    </w:p>
    <w:p w:rsidR="00EF4F59" w:rsidRDefault="00A81612">
      <w:pPr>
        <w:pStyle w:val="TOC2"/>
        <w:rPr>
          <w:rFonts w:eastAsiaTheme="minorEastAsia"/>
          <w:noProof/>
          <w:lang w:eastAsia="en-AU"/>
        </w:rPr>
      </w:pPr>
      <w:hyperlink w:anchor="_Toc514836299" w:history="1">
        <w:r w:rsidR="00EF4F59" w:rsidRPr="00BC3BE9">
          <w:rPr>
            <w:rStyle w:val="Hyperlink"/>
            <w:noProof/>
          </w:rPr>
          <w:t>10.3</w:t>
        </w:r>
        <w:r w:rsidR="00EF4F59">
          <w:rPr>
            <w:rFonts w:eastAsiaTheme="minorEastAsia"/>
            <w:noProof/>
            <w:lang w:eastAsia="en-AU"/>
          </w:rPr>
          <w:tab/>
        </w:r>
        <w:r w:rsidR="00EF4F59" w:rsidRPr="00BC3BE9">
          <w:rPr>
            <w:rStyle w:val="Hyperlink"/>
            <w:noProof/>
          </w:rPr>
          <w:t>Grant payments and GST</w:t>
        </w:r>
        <w:r w:rsidR="00EF4F59">
          <w:rPr>
            <w:noProof/>
            <w:webHidden/>
          </w:rPr>
          <w:tab/>
        </w:r>
        <w:r w:rsidR="00EF4F59">
          <w:rPr>
            <w:noProof/>
            <w:webHidden/>
          </w:rPr>
          <w:fldChar w:fldCharType="begin"/>
        </w:r>
        <w:r w:rsidR="00EF4F59">
          <w:rPr>
            <w:noProof/>
            <w:webHidden/>
          </w:rPr>
          <w:instrText xml:space="preserve"> PAGEREF _Toc514836299 \h </w:instrText>
        </w:r>
        <w:r w:rsidR="00EF4F59">
          <w:rPr>
            <w:noProof/>
            <w:webHidden/>
          </w:rPr>
        </w:r>
        <w:r w:rsidR="00EF4F59">
          <w:rPr>
            <w:noProof/>
            <w:webHidden/>
          </w:rPr>
          <w:fldChar w:fldCharType="separate"/>
        </w:r>
        <w:r>
          <w:rPr>
            <w:noProof/>
            <w:webHidden/>
          </w:rPr>
          <w:t>16</w:t>
        </w:r>
        <w:r w:rsidR="00EF4F59">
          <w:rPr>
            <w:noProof/>
            <w:webHidden/>
          </w:rPr>
          <w:fldChar w:fldCharType="end"/>
        </w:r>
      </w:hyperlink>
    </w:p>
    <w:p w:rsidR="00EF4F59" w:rsidRDefault="00A81612">
      <w:pPr>
        <w:pStyle w:val="TOC2"/>
        <w:rPr>
          <w:rFonts w:eastAsiaTheme="minorEastAsia"/>
          <w:noProof/>
          <w:lang w:eastAsia="en-AU"/>
        </w:rPr>
      </w:pPr>
      <w:hyperlink w:anchor="_Toc514836300" w:history="1">
        <w:r w:rsidR="00EF4F59" w:rsidRPr="00BC3BE9">
          <w:rPr>
            <w:rStyle w:val="Hyperlink"/>
            <w:noProof/>
          </w:rPr>
          <w:t>10.4</w:t>
        </w:r>
        <w:r w:rsidR="00EF4F59">
          <w:rPr>
            <w:rFonts w:eastAsiaTheme="minorEastAsia"/>
            <w:noProof/>
            <w:lang w:eastAsia="en-AU"/>
          </w:rPr>
          <w:tab/>
        </w:r>
        <w:r w:rsidR="00EF4F59" w:rsidRPr="00BC3BE9">
          <w:rPr>
            <w:rStyle w:val="Hyperlink"/>
            <w:noProof/>
          </w:rPr>
          <w:t>Evaluation</w:t>
        </w:r>
        <w:r w:rsidR="00EF4F59">
          <w:rPr>
            <w:noProof/>
            <w:webHidden/>
          </w:rPr>
          <w:tab/>
        </w:r>
        <w:r w:rsidR="00EF4F59">
          <w:rPr>
            <w:noProof/>
            <w:webHidden/>
          </w:rPr>
          <w:fldChar w:fldCharType="begin"/>
        </w:r>
        <w:r w:rsidR="00EF4F59">
          <w:rPr>
            <w:noProof/>
            <w:webHidden/>
          </w:rPr>
          <w:instrText xml:space="preserve"> PAGEREF _Toc514836300 \h </w:instrText>
        </w:r>
        <w:r w:rsidR="00EF4F59">
          <w:rPr>
            <w:noProof/>
            <w:webHidden/>
          </w:rPr>
        </w:r>
        <w:r w:rsidR="00EF4F59">
          <w:rPr>
            <w:noProof/>
            <w:webHidden/>
          </w:rPr>
          <w:fldChar w:fldCharType="separate"/>
        </w:r>
        <w:r>
          <w:rPr>
            <w:noProof/>
            <w:webHidden/>
          </w:rPr>
          <w:t>16</w:t>
        </w:r>
        <w:r w:rsidR="00EF4F59">
          <w:rPr>
            <w:noProof/>
            <w:webHidden/>
          </w:rPr>
          <w:fldChar w:fldCharType="end"/>
        </w:r>
      </w:hyperlink>
    </w:p>
    <w:p w:rsidR="00EF4F59" w:rsidRDefault="00A81612">
      <w:pPr>
        <w:pStyle w:val="TOC2"/>
        <w:rPr>
          <w:rFonts w:eastAsiaTheme="minorEastAsia"/>
          <w:noProof/>
          <w:lang w:eastAsia="en-AU"/>
        </w:rPr>
      </w:pPr>
      <w:hyperlink w:anchor="_Toc514836301" w:history="1">
        <w:r w:rsidR="00EF4F59" w:rsidRPr="00BC3BE9">
          <w:rPr>
            <w:rStyle w:val="Hyperlink"/>
            <w:noProof/>
          </w:rPr>
          <w:t>10.5</w:t>
        </w:r>
        <w:r w:rsidR="00EF4F59">
          <w:rPr>
            <w:rFonts w:eastAsiaTheme="minorEastAsia"/>
            <w:noProof/>
            <w:lang w:eastAsia="en-AU"/>
          </w:rPr>
          <w:tab/>
        </w:r>
        <w:r w:rsidR="00EF4F59" w:rsidRPr="00BC3BE9">
          <w:rPr>
            <w:rStyle w:val="Hyperlink"/>
            <w:noProof/>
          </w:rPr>
          <w:t>Acknowledgement</w:t>
        </w:r>
        <w:r w:rsidR="00EF4F59">
          <w:rPr>
            <w:noProof/>
            <w:webHidden/>
          </w:rPr>
          <w:tab/>
        </w:r>
        <w:r w:rsidR="00EF4F59">
          <w:rPr>
            <w:noProof/>
            <w:webHidden/>
          </w:rPr>
          <w:fldChar w:fldCharType="begin"/>
        </w:r>
        <w:r w:rsidR="00EF4F59">
          <w:rPr>
            <w:noProof/>
            <w:webHidden/>
          </w:rPr>
          <w:instrText xml:space="preserve"> PAGEREF _Toc514836301 \h </w:instrText>
        </w:r>
        <w:r w:rsidR="00EF4F59">
          <w:rPr>
            <w:noProof/>
            <w:webHidden/>
          </w:rPr>
        </w:r>
        <w:r w:rsidR="00EF4F59">
          <w:rPr>
            <w:noProof/>
            <w:webHidden/>
          </w:rPr>
          <w:fldChar w:fldCharType="separate"/>
        </w:r>
        <w:r>
          <w:rPr>
            <w:noProof/>
            <w:webHidden/>
          </w:rPr>
          <w:t>16</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302" w:history="1">
        <w:r w:rsidR="00EF4F59" w:rsidRPr="00BC3BE9">
          <w:rPr>
            <w:rStyle w:val="Hyperlink"/>
            <w:noProof/>
          </w:rPr>
          <w:t>11.</w:t>
        </w:r>
        <w:r w:rsidR="00EF4F59">
          <w:rPr>
            <w:rFonts w:eastAsiaTheme="minorEastAsia"/>
            <w:b w:val="0"/>
            <w:noProof/>
            <w:sz w:val="22"/>
            <w:lang w:eastAsia="en-AU"/>
          </w:rPr>
          <w:tab/>
        </w:r>
        <w:r w:rsidR="00EF4F59" w:rsidRPr="00BC3BE9">
          <w:rPr>
            <w:rStyle w:val="Hyperlink"/>
            <w:noProof/>
          </w:rPr>
          <w:t>Probity</w:t>
        </w:r>
        <w:r w:rsidR="00EF4F59">
          <w:rPr>
            <w:noProof/>
            <w:webHidden/>
          </w:rPr>
          <w:tab/>
        </w:r>
        <w:r w:rsidR="00EF4F59">
          <w:rPr>
            <w:noProof/>
            <w:webHidden/>
          </w:rPr>
          <w:fldChar w:fldCharType="begin"/>
        </w:r>
        <w:r w:rsidR="00EF4F59">
          <w:rPr>
            <w:noProof/>
            <w:webHidden/>
          </w:rPr>
          <w:instrText xml:space="preserve"> PAGEREF _Toc514836302 \h </w:instrText>
        </w:r>
        <w:r w:rsidR="00EF4F59">
          <w:rPr>
            <w:noProof/>
            <w:webHidden/>
          </w:rPr>
        </w:r>
        <w:r w:rsidR="00EF4F59">
          <w:rPr>
            <w:noProof/>
            <w:webHidden/>
          </w:rPr>
          <w:fldChar w:fldCharType="separate"/>
        </w:r>
        <w:r>
          <w:rPr>
            <w:noProof/>
            <w:webHidden/>
          </w:rPr>
          <w:t>17</w:t>
        </w:r>
        <w:r w:rsidR="00EF4F59">
          <w:rPr>
            <w:noProof/>
            <w:webHidden/>
          </w:rPr>
          <w:fldChar w:fldCharType="end"/>
        </w:r>
      </w:hyperlink>
    </w:p>
    <w:p w:rsidR="00EF4F59" w:rsidRDefault="00A81612">
      <w:pPr>
        <w:pStyle w:val="TOC2"/>
        <w:rPr>
          <w:rFonts w:eastAsiaTheme="minorEastAsia"/>
          <w:noProof/>
          <w:lang w:eastAsia="en-AU"/>
        </w:rPr>
      </w:pPr>
      <w:hyperlink w:anchor="_Toc514836303" w:history="1">
        <w:r w:rsidR="00EF4F59" w:rsidRPr="00BC3BE9">
          <w:rPr>
            <w:rStyle w:val="Hyperlink"/>
            <w:noProof/>
          </w:rPr>
          <w:t>11.1</w:t>
        </w:r>
        <w:r w:rsidR="00EF4F59">
          <w:rPr>
            <w:rFonts w:eastAsiaTheme="minorEastAsia"/>
            <w:noProof/>
            <w:lang w:eastAsia="en-AU"/>
          </w:rPr>
          <w:tab/>
        </w:r>
        <w:r w:rsidR="00EF4F59" w:rsidRPr="00BC3BE9">
          <w:rPr>
            <w:rStyle w:val="Hyperlink"/>
            <w:noProof/>
          </w:rPr>
          <w:t>Complaints process</w:t>
        </w:r>
        <w:r w:rsidR="00EF4F59">
          <w:rPr>
            <w:noProof/>
            <w:webHidden/>
          </w:rPr>
          <w:tab/>
        </w:r>
        <w:r w:rsidR="00EF4F59">
          <w:rPr>
            <w:noProof/>
            <w:webHidden/>
          </w:rPr>
          <w:fldChar w:fldCharType="begin"/>
        </w:r>
        <w:r w:rsidR="00EF4F59">
          <w:rPr>
            <w:noProof/>
            <w:webHidden/>
          </w:rPr>
          <w:instrText xml:space="preserve"> PAGEREF _Toc514836303 \h </w:instrText>
        </w:r>
        <w:r w:rsidR="00EF4F59">
          <w:rPr>
            <w:noProof/>
            <w:webHidden/>
          </w:rPr>
        </w:r>
        <w:r w:rsidR="00EF4F59">
          <w:rPr>
            <w:noProof/>
            <w:webHidden/>
          </w:rPr>
          <w:fldChar w:fldCharType="separate"/>
        </w:r>
        <w:r>
          <w:rPr>
            <w:noProof/>
            <w:webHidden/>
          </w:rPr>
          <w:t>17</w:t>
        </w:r>
        <w:r w:rsidR="00EF4F59">
          <w:rPr>
            <w:noProof/>
            <w:webHidden/>
          </w:rPr>
          <w:fldChar w:fldCharType="end"/>
        </w:r>
      </w:hyperlink>
    </w:p>
    <w:p w:rsidR="00EF4F59" w:rsidRDefault="00A81612">
      <w:pPr>
        <w:pStyle w:val="TOC2"/>
        <w:rPr>
          <w:rFonts w:eastAsiaTheme="minorEastAsia"/>
          <w:noProof/>
          <w:lang w:eastAsia="en-AU"/>
        </w:rPr>
      </w:pPr>
      <w:hyperlink w:anchor="_Toc514836304" w:history="1">
        <w:r w:rsidR="00EF4F59" w:rsidRPr="00BC3BE9">
          <w:rPr>
            <w:rStyle w:val="Hyperlink"/>
            <w:noProof/>
          </w:rPr>
          <w:t>11.2</w:t>
        </w:r>
        <w:r w:rsidR="00EF4F59">
          <w:rPr>
            <w:rFonts w:eastAsiaTheme="minorEastAsia"/>
            <w:noProof/>
            <w:lang w:eastAsia="en-AU"/>
          </w:rPr>
          <w:tab/>
        </w:r>
        <w:r w:rsidR="00EF4F59" w:rsidRPr="00BC3BE9">
          <w:rPr>
            <w:rStyle w:val="Hyperlink"/>
            <w:noProof/>
          </w:rPr>
          <w:t>Conflict of interest</w:t>
        </w:r>
        <w:r w:rsidR="00EF4F59">
          <w:rPr>
            <w:noProof/>
            <w:webHidden/>
          </w:rPr>
          <w:tab/>
        </w:r>
        <w:r w:rsidR="00EF4F59">
          <w:rPr>
            <w:noProof/>
            <w:webHidden/>
          </w:rPr>
          <w:fldChar w:fldCharType="begin"/>
        </w:r>
        <w:r w:rsidR="00EF4F59">
          <w:rPr>
            <w:noProof/>
            <w:webHidden/>
          </w:rPr>
          <w:instrText xml:space="preserve"> PAGEREF _Toc514836304 \h </w:instrText>
        </w:r>
        <w:r w:rsidR="00EF4F59">
          <w:rPr>
            <w:noProof/>
            <w:webHidden/>
          </w:rPr>
        </w:r>
        <w:r w:rsidR="00EF4F59">
          <w:rPr>
            <w:noProof/>
            <w:webHidden/>
          </w:rPr>
          <w:fldChar w:fldCharType="separate"/>
        </w:r>
        <w:r>
          <w:rPr>
            <w:noProof/>
            <w:webHidden/>
          </w:rPr>
          <w:t>17</w:t>
        </w:r>
        <w:r w:rsidR="00EF4F59">
          <w:rPr>
            <w:noProof/>
            <w:webHidden/>
          </w:rPr>
          <w:fldChar w:fldCharType="end"/>
        </w:r>
      </w:hyperlink>
    </w:p>
    <w:p w:rsidR="00EF4F59" w:rsidRDefault="00A81612">
      <w:pPr>
        <w:pStyle w:val="TOC2"/>
        <w:rPr>
          <w:rFonts w:eastAsiaTheme="minorEastAsia"/>
          <w:noProof/>
          <w:lang w:eastAsia="en-AU"/>
        </w:rPr>
      </w:pPr>
      <w:hyperlink w:anchor="_Toc514836305" w:history="1">
        <w:r w:rsidR="00EF4F59" w:rsidRPr="00BC3BE9">
          <w:rPr>
            <w:rStyle w:val="Hyperlink"/>
            <w:noProof/>
          </w:rPr>
          <w:t>11.3</w:t>
        </w:r>
        <w:r w:rsidR="00EF4F59">
          <w:rPr>
            <w:rFonts w:eastAsiaTheme="minorEastAsia"/>
            <w:noProof/>
            <w:lang w:eastAsia="en-AU"/>
          </w:rPr>
          <w:tab/>
        </w:r>
        <w:r w:rsidR="00EF4F59" w:rsidRPr="00BC3BE9">
          <w:rPr>
            <w:rStyle w:val="Hyperlink"/>
            <w:noProof/>
          </w:rPr>
          <w:t>Privacy: confidentiality and protection of personal information</w:t>
        </w:r>
        <w:r w:rsidR="00EF4F59">
          <w:rPr>
            <w:noProof/>
            <w:webHidden/>
          </w:rPr>
          <w:tab/>
        </w:r>
        <w:r w:rsidR="00EF4F59">
          <w:rPr>
            <w:noProof/>
            <w:webHidden/>
          </w:rPr>
          <w:fldChar w:fldCharType="begin"/>
        </w:r>
        <w:r w:rsidR="00EF4F59">
          <w:rPr>
            <w:noProof/>
            <w:webHidden/>
          </w:rPr>
          <w:instrText xml:space="preserve"> PAGEREF _Toc514836305 \h </w:instrText>
        </w:r>
        <w:r w:rsidR="00EF4F59">
          <w:rPr>
            <w:noProof/>
            <w:webHidden/>
          </w:rPr>
        </w:r>
        <w:r w:rsidR="00EF4F59">
          <w:rPr>
            <w:noProof/>
            <w:webHidden/>
          </w:rPr>
          <w:fldChar w:fldCharType="separate"/>
        </w:r>
        <w:r>
          <w:rPr>
            <w:noProof/>
            <w:webHidden/>
          </w:rPr>
          <w:t>18</w:t>
        </w:r>
        <w:r w:rsidR="00EF4F59">
          <w:rPr>
            <w:noProof/>
            <w:webHidden/>
          </w:rPr>
          <w:fldChar w:fldCharType="end"/>
        </w:r>
      </w:hyperlink>
    </w:p>
    <w:p w:rsidR="00EF4F59" w:rsidRDefault="00A81612">
      <w:pPr>
        <w:pStyle w:val="TOC2"/>
        <w:rPr>
          <w:rFonts w:eastAsiaTheme="minorEastAsia"/>
          <w:noProof/>
          <w:lang w:eastAsia="en-AU"/>
        </w:rPr>
      </w:pPr>
      <w:hyperlink w:anchor="_Toc514836306" w:history="1">
        <w:r w:rsidR="00EF4F59" w:rsidRPr="00BC3BE9">
          <w:rPr>
            <w:rStyle w:val="Hyperlink"/>
            <w:noProof/>
          </w:rPr>
          <w:t>11.4</w:t>
        </w:r>
        <w:r w:rsidR="00EF4F59">
          <w:rPr>
            <w:rFonts w:eastAsiaTheme="minorEastAsia"/>
            <w:noProof/>
            <w:lang w:eastAsia="en-AU"/>
          </w:rPr>
          <w:tab/>
        </w:r>
        <w:r w:rsidR="00EF4F59" w:rsidRPr="00BC3BE9">
          <w:rPr>
            <w:rStyle w:val="Hyperlink"/>
            <w:noProof/>
          </w:rPr>
          <w:t>Freedom of information</w:t>
        </w:r>
        <w:r w:rsidR="00EF4F59">
          <w:rPr>
            <w:noProof/>
            <w:webHidden/>
          </w:rPr>
          <w:tab/>
        </w:r>
        <w:r w:rsidR="00EF4F59">
          <w:rPr>
            <w:noProof/>
            <w:webHidden/>
          </w:rPr>
          <w:fldChar w:fldCharType="begin"/>
        </w:r>
        <w:r w:rsidR="00EF4F59">
          <w:rPr>
            <w:noProof/>
            <w:webHidden/>
          </w:rPr>
          <w:instrText xml:space="preserve"> PAGEREF _Toc514836306 \h </w:instrText>
        </w:r>
        <w:r w:rsidR="00EF4F59">
          <w:rPr>
            <w:noProof/>
            <w:webHidden/>
          </w:rPr>
        </w:r>
        <w:r w:rsidR="00EF4F59">
          <w:rPr>
            <w:noProof/>
            <w:webHidden/>
          </w:rPr>
          <w:fldChar w:fldCharType="separate"/>
        </w:r>
        <w:r>
          <w:rPr>
            <w:noProof/>
            <w:webHidden/>
          </w:rPr>
          <w:t>19</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307" w:history="1">
        <w:r w:rsidR="00EF4F59" w:rsidRPr="00BC3BE9">
          <w:rPr>
            <w:rStyle w:val="Hyperlink"/>
            <w:noProof/>
          </w:rPr>
          <w:t>12.</w:t>
        </w:r>
        <w:r w:rsidR="00EF4F59">
          <w:rPr>
            <w:rFonts w:eastAsiaTheme="minorEastAsia"/>
            <w:b w:val="0"/>
            <w:noProof/>
            <w:sz w:val="22"/>
            <w:lang w:eastAsia="en-AU"/>
          </w:rPr>
          <w:tab/>
        </w:r>
        <w:r w:rsidR="00EF4F59" w:rsidRPr="00BC3BE9">
          <w:rPr>
            <w:rStyle w:val="Hyperlink"/>
            <w:noProof/>
          </w:rPr>
          <w:t>Consultation</w:t>
        </w:r>
        <w:r w:rsidR="00EF4F59">
          <w:rPr>
            <w:noProof/>
            <w:webHidden/>
          </w:rPr>
          <w:tab/>
        </w:r>
        <w:r w:rsidR="00EF4F59">
          <w:rPr>
            <w:noProof/>
            <w:webHidden/>
          </w:rPr>
          <w:fldChar w:fldCharType="begin"/>
        </w:r>
        <w:r w:rsidR="00EF4F59">
          <w:rPr>
            <w:noProof/>
            <w:webHidden/>
          </w:rPr>
          <w:instrText xml:space="preserve"> PAGEREF _Toc514836307 \h </w:instrText>
        </w:r>
        <w:r w:rsidR="00EF4F59">
          <w:rPr>
            <w:noProof/>
            <w:webHidden/>
          </w:rPr>
        </w:r>
        <w:r w:rsidR="00EF4F59">
          <w:rPr>
            <w:noProof/>
            <w:webHidden/>
          </w:rPr>
          <w:fldChar w:fldCharType="separate"/>
        </w:r>
        <w:r>
          <w:rPr>
            <w:noProof/>
            <w:webHidden/>
          </w:rPr>
          <w:t>19</w:t>
        </w:r>
        <w:r w:rsidR="00EF4F59">
          <w:rPr>
            <w:noProof/>
            <w:webHidden/>
          </w:rPr>
          <w:fldChar w:fldCharType="end"/>
        </w:r>
      </w:hyperlink>
    </w:p>
    <w:p w:rsidR="00EF4F59" w:rsidRDefault="00A81612">
      <w:pPr>
        <w:pStyle w:val="TOC1"/>
        <w:rPr>
          <w:rFonts w:eastAsiaTheme="minorEastAsia"/>
          <w:b w:val="0"/>
          <w:noProof/>
          <w:sz w:val="22"/>
          <w:lang w:eastAsia="en-AU"/>
        </w:rPr>
      </w:pPr>
      <w:hyperlink w:anchor="_Toc514836308" w:history="1">
        <w:r w:rsidR="00EF4F59" w:rsidRPr="00BC3BE9">
          <w:rPr>
            <w:rStyle w:val="Hyperlink"/>
            <w:noProof/>
          </w:rPr>
          <w:t>13.</w:t>
        </w:r>
        <w:r w:rsidR="00EF4F59">
          <w:rPr>
            <w:rFonts w:eastAsiaTheme="minorEastAsia"/>
            <w:b w:val="0"/>
            <w:noProof/>
            <w:sz w:val="22"/>
            <w:lang w:eastAsia="en-AU"/>
          </w:rPr>
          <w:tab/>
        </w:r>
        <w:r w:rsidR="00EF4F59" w:rsidRPr="00BC3BE9">
          <w:rPr>
            <w:rStyle w:val="Hyperlink"/>
            <w:noProof/>
          </w:rPr>
          <w:t>Glossary</w:t>
        </w:r>
        <w:r w:rsidR="00EF4F59">
          <w:rPr>
            <w:noProof/>
            <w:webHidden/>
          </w:rPr>
          <w:tab/>
        </w:r>
        <w:r w:rsidR="00EF4F59">
          <w:rPr>
            <w:noProof/>
            <w:webHidden/>
          </w:rPr>
          <w:fldChar w:fldCharType="begin"/>
        </w:r>
        <w:r w:rsidR="00EF4F59">
          <w:rPr>
            <w:noProof/>
            <w:webHidden/>
          </w:rPr>
          <w:instrText xml:space="preserve"> PAGEREF _Toc514836308 \h </w:instrText>
        </w:r>
        <w:r w:rsidR="00EF4F59">
          <w:rPr>
            <w:noProof/>
            <w:webHidden/>
          </w:rPr>
        </w:r>
        <w:r w:rsidR="00EF4F59">
          <w:rPr>
            <w:noProof/>
            <w:webHidden/>
          </w:rPr>
          <w:fldChar w:fldCharType="separate"/>
        </w:r>
        <w:r>
          <w:rPr>
            <w:noProof/>
            <w:webHidden/>
          </w:rPr>
          <w:t>21</w:t>
        </w:r>
        <w:r w:rsidR="00EF4F59">
          <w:rPr>
            <w:noProof/>
            <w:webHidden/>
          </w:rPr>
          <w:fldChar w:fldCharType="end"/>
        </w:r>
      </w:hyperlink>
    </w:p>
    <w:p w:rsidR="00EF4F59" w:rsidRDefault="00A81612">
      <w:pPr>
        <w:pStyle w:val="TOC2"/>
        <w:rPr>
          <w:rFonts w:eastAsiaTheme="minorEastAsia"/>
          <w:noProof/>
          <w:lang w:eastAsia="en-AU"/>
        </w:rPr>
      </w:pPr>
      <w:hyperlink w:anchor="_Toc514836309" w:history="1">
        <w:r w:rsidR="00EF4F59" w:rsidRPr="00BC3BE9">
          <w:rPr>
            <w:rStyle w:val="Hyperlink"/>
            <w:noProof/>
          </w:rPr>
          <w:t>Appendix A: NCRIS Principles</w:t>
        </w:r>
        <w:r w:rsidR="00EF4F59">
          <w:rPr>
            <w:noProof/>
            <w:webHidden/>
          </w:rPr>
          <w:tab/>
        </w:r>
        <w:r w:rsidR="00EF4F59">
          <w:rPr>
            <w:noProof/>
            <w:webHidden/>
          </w:rPr>
          <w:fldChar w:fldCharType="begin"/>
        </w:r>
        <w:r w:rsidR="00EF4F59">
          <w:rPr>
            <w:noProof/>
            <w:webHidden/>
          </w:rPr>
          <w:instrText xml:space="preserve"> PAGEREF _Toc514836309 \h </w:instrText>
        </w:r>
        <w:r w:rsidR="00EF4F59">
          <w:rPr>
            <w:noProof/>
            <w:webHidden/>
          </w:rPr>
        </w:r>
        <w:r w:rsidR="00EF4F59">
          <w:rPr>
            <w:noProof/>
            <w:webHidden/>
          </w:rPr>
          <w:fldChar w:fldCharType="separate"/>
        </w:r>
        <w:r>
          <w:rPr>
            <w:noProof/>
            <w:webHidden/>
          </w:rPr>
          <w:t>23</w:t>
        </w:r>
        <w:r w:rsidR="00EF4F59">
          <w:rPr>
            <w:noProof/>
            <w:webHidden/>
          </w:rPr>
          <w:fldChar w:fldCharType="end"/>
        </w:r>
      </w:hyperlink>
    </w:p>
    <w:p w:rsidR="00EF4F59" w:rsidRDefault="00A81612">
      <w:pPr>
        <w:pStyle w:val="TOC2"/>
        <w:rPr>
          <w:rFonts w:eastAsiaTheme="minorEastAsia"/>
          <w:noProof/>
          <w:lang w:eastAsia="en-AU"/>
        </w:rPr>
      </w:pPr>
      <w:hyperlink w:anchor="_Toc514836310" w:history="1">
        <w:r w:rsidR="00EF4F59" w:rsidRPr="00BC3BE9">
          <w:rPr>
            <w:rStyle w:val="Hyperlink"/>
            <w:noProof/>
          </w:rPr>
          <w:t>Appendix B: Funding sources for these Guidelines</w:t>
        </w:r>
        <w:r w:rsidR="00EF4F59">
          <w:rPr>
            <w:noProof/>
            <w:webHidden/>
          </w:rPr>
          <w:tab/>
        </w:r>
        <w:r w:rsidR="00EF4F59">
          <w:rPr>
            <w:noProof/>
            <w:webHidden/>
          </w:rPr>
          <w:fldChar w:fldCharType="begin"/>
        </w:r>
        <w:r w:rsidR="00EF4F59">
          <w:rPr>
            <w:noProof/>
            <w:webHidden/>
          </w:rPr>
          <w:instrText xml:space="preserve"> PAGEREF _Toc514836310 \h </w:instrText>
        </w:r>
        <w:r w:rsidR="00EF4F59">
          <w:rPr>
            <w:noProof/>
            <w:webHidden/>
          </w:rPr>
        </w:r>
        <w:r w:rsidR="00EF4F59">
          <w:rPr>
            <w:noProof/>
            <w:webHidden/>
          </w:rPr>
          <w:fldChar w:fldCharType="separate"/>
        </w:r>
        <w:r>
          <w:rPr>
            <w:noProof/>
            <w:webHidden/>
          </w:rPr>
          <w:t>24</w:t>
        </w:r>
        <w:r w:rsidR="00EF4F59">
          <w:rPr>
            <w:noProof/>
            <w:webHidden/>
          </w:rPr>
          <w:fldChar w:fldCharType="end"/>
        </w:r>
      </w:hyperlink>
    </w:p>
    <w:p w:rsidR="00EF4F59" w:rsidRDefault="00A81612">
      <w:pPr>
        <w:pStyle w:val="TOC2"/>
        <w:rPr>
          <w:rFonts w:eastAsiaTheme="minorEastAsia"/>
          <w:noProof/>
          <w:lang w:eastAsia="en-AU"/>
        </w:rPr>
      </w:pPr>
      <w:hyperlink w:anchor="_Toc514836311" w:history="1">
        <w:r w:rsidR="00EF4F59" w:rsidRPr="00BC3BE9">
          <w:rPr>
            <w:rStyle w:val="Hyperlink"/>
            <w:noProof/>
          </w:rPr>
          <w:t>Appendix C: Grants awarded by these Guidelines ($, GST excl.)</w:t>
        </w:r>
        <w:r w:rsidR="00EF4F59">
          <w:rPr>
            <w:noProof/>
            <w:webHidden/>
          </w:rPr>
          <w:tab/>
        </w:r>
        <w:r w:rsidR="00EF4F59">
          <w:rPr>
            <w:noProof/>
            <w:webHidden/>
          </w:rPr>
          <w:fldChar w:fldCharType="begin"/>
        </w:r>
        <w:r w:rsidR="00EF4F59">
          <w:rPr>
            <w:noProof/>
            <w:webHidden/>
          </w:rPr>
          <w:instrText xml:space="preserve"> PAGEREF _Toc514836311 \h </w:instrText>
        </w:r>
        <w:r w:rsidR="00EF4F59">
          <w:rPr>
            <w:noProof/>
            <w:webHidden/>
          </w:rPr>
        </w:r>
        <w:r w:rsidR="00EF4F59">
          <w:rPr>
            <w:noProof/>
            <w:webHidden/>
          </w:rPr>
          <w:fldChar w:fldCharType="separate"/>
        </w:r>
        <w:r>
          <w:rPr>
            <w:noProof/>
            <w:webHidden/>
          </w:rPr>
          <w:t>25</w:t>
        </w:r>
        <w:r w:rsidR="00EF4F59">
          <w:rPr>
            <w:noProof/>
            <w:webHidden/>
          </w:rPr>
          <w:fldChar w:fldCharType="end"/>
        </w:r>
      </w:hyperlink>
    </w:p>
    <w:p w:rsidR="00EF4F59" w:rsidRDefault="00A81612">
      <w:pPr>
        <w:pStyle w:val="TOC2"/>
        <w:rPr>
          <w:rFonts w:eastAsiaTheme="minorEastAsia"/>
          <w:noProof/>
          <w:lang w:eastAsia="en-AU"/>
        </w:rPr>
      </w:pPr>
      <w:hyperlink w:anchor="_Toc514836312" w:history="1">
        <w:r w:rsidR="00EF4F59" w:rsidRPr="00BC3BE9">
          <w:rPr>
            <w:rStyle w:val="Hyperlink"/>
            <w:noProof/>
          </w:rPr>
          <w:t>Appendix D: Annual Business Plan Template</w:t>
        </w:r>
        <w:r w:rsidR="00EF4F59">
          <w:rPr>
            <w:noProof/>
            <w:webHidden/>
          </w:rPr>
          <w:tab/>
        </w:r>
        <w:r w:rsidR="00EF4F59">
          <w:rPr>
            <w:noProof/>
            <w:webHidden/>
          </w:rPr>
          <w:fldChar w:fldCharType="begin"/>
        </w:r>
        <w:r w:rsidR="00EF4F59">
          <w:rPr>
            <w:noProof/>
            <w:webHidden/>
          </w:rPr>
          <w:instrText xml:space="preserve"> PAGEREF _Toc514836312 \h </w:instrText>
        </w:r>
        <w:r w:rsidR="00EF4F59">
          <w:rPr>
            <w:noProof/>
            <w:webHidden/>
          </w:rPr>
        </w:r>
        <w:r w:rsidR="00EF4F59">
          <w:rPr>
            <w:noProof/>
            <w:webHidden/>
          </w:rPr>
          <w:fldChar w:fldCharType="separate"/>
        </w:r>
        <w:r>
          <w:rPr>
            <w:noProof/>
            <w:webHidden/>
          </w:rPr>
          <w:t>31</w:t>
        </w:r>
        <w:r w:rsidR="00EF4F59">
          <w:rPr>
            <w:noProof/>
            <w:webHidden/>
          </w:rPr>
          <w:fldChar w:fldCharType="end"/>
        </w:r>
      </w:hyperlink>
    </w:p>
    <w:p w:rsidR="00934587" w:rsidRDefault="0020122A" w:rsidP="00CC2AA4">
      <w:r>
        <w:fldChar w:fldCharType="end"/>
      </w:r>
    </w:p>
    <w:p w:rsidR="004E058F" w:rsidRPr="00934587" w:rsidRDefault="00726710" w:rsidP="00934587">
      <w:pPr>
        <w:pBdr>
          <w:bottom w:val="single" w:sz="4" w:space="1" w:color="auto"/>
        </w:pBdr>
        <w:rPr>
          <w:b/>
          <w:color w:val="745B00"/>
        </w:rPr>
      </w:pPr>
      <w:r w:rsidRPr="00934587">
        <w:rPr>
          <w:b/>
          <w:color w:val="745B00"/>
        </w:rPr>
        <w:t>Introduction</w:t>
      </w:r>
    </w:p>
    <w:p w:rsidR="00BE0F17" w:rsidRDefault="00BE0F17" w:rsidP="00F772E4">
      <w:pPr>
        <w:suppressAutoHyphens w:val="0"/>
        <w:spacing w:before="0" w:after="0" w:line="240" w:lineRule="auto"/>
      </w:pPr>
    </w:p>
    <w:p w:rsidR="00EE2B1C" w:rsidRPr="00944A44" w:rsidRDefault="00BF7AD8" w:rsidP="00F772E4">
      <w:pPr>
        <w:pStyle w:val="Heading1Numbered"/>
        <w:spacing w:before="120"/>
        <w:rPr>
          <w:color w:val="auto"/>
        </w:rPr>
      </w:pPr>
      <w:bookmarkStart w:id="1" w:name="_Toc458420391"/>
      <w:bookmarkStart w:id="2" w:name="_Toc467773950"/>
      <w:bookmarkStart w:id="3" w:name="_Toc514836280"/>
      <w:r w:rsidRPr="00944A44">
        <w:rPr>
          <w:color w:val="auto"/>
        </w:rPr>
        <w:t>NCRIS</w:t>
      </w:r>
      <w:r w:rsidR="00EE2B1C" w:rsidRPr="00944A44">
        <w:rPr>
          <w:color w:val="auto"/>
        </w:rPr>
        <w:t xml:space="preserve">: </w:t>
      </w:r>
      <w:r w:rsidRPr="00944A44">
        <w:rPr>
          <w:color w:val="auto"/>
        </w:rPr>
        <w:t>NCRIS 2018</w:t>
      </w:r>
      <w:r w:rsidR="00EE2B1C" w:rsidRPr="00944A44">
        <w:rPr>
          <w:color w:val="auto"/>
        </w:rPr>
        <w:t xml:space="preserve"> Processes</w:t>
      </w:r>
      <w:bookmarkEnd w:id="1"/>
      <w:bookmarkEnd w:id="2"/>
      <w:bookmarkEnd w:id="3"/>
    </w:p>
    <w:p w:rsidR="00EE2B1C" w:rsidRDefault="00EE2B1C" w:rsidP="00EE2B1C">
      <w:pPr>
        <w:pBdr>
          <w:top w:val="single" w:sz="4" w:space="1" w:color="auto"/>
          <w:left w:val="single" w:sz="4" w:space="4" w:color="auto"/>
          <w:bottom w:val="single" w:sz="4" w:space="1" w:color="auto"/>
          <w:right w:val="single" w:sz="4" w:space="4" w:color="auto"/>
        </w:pBdr>
        <w:spacing w:after="0"/>
        <w:jc w:val="center"/>
        <w:rPr>
          <w:b/>
        </w:rPr>
      </w:pPr>
      <w:r w:rsidRPr="00EE2B1C">
        <w:rPr>
          <w:b/>
        </w:rPr>
        <w:t>The Program is designed to achieve Australian</w:t>
      </w:r>
      <w:r w:rsidRPr="00F40BDA">
        <w:rPr>
          <w:b/>
        </w:rPr>
        <w:t xml:space="preserve"> Government </w:t>
      </w:r>
      <w:r>
        <w:rPr>
          <w:b/>
        </w:rPr>
        <w:t>objectives</w:t>
      </w:r>
      <w:r w:rsidRPr="00F40BDA">
        <w:rPr>
          <w:b/>
        </w:rPr>
        <w:t xml:space="preserve"> </w:t>
      </w:r>
    </w:p>
    <w:p w:rsidR="0029246F" w:rsidRDefault="0029246F" w:rsidP="0029246F">
      <w:pPr>
        <w:pBdr>
          <w:top w:val="single" w:sz="4" w:space="1" w:color="auto"/>
          <w:left w:val="single" w:sz="4" w:space="4" w:color="auto"/>
          <w:bottom w:val="single" w:sz="4" w:space="1" w:color="auto"/>
          <w:right w:val="single" w:sz="4" w:space="4" w:color="auto"/>
        </w:pBdr>
        <w:spacing w:after="0"/>
        <w:jc w:val="center"/>
        <w:rPr>
          <w:b/>
        </w:rPr>
      </w:pPr>
      <w:r w:rsidRPr="00EE2B1C">
        <w:rPr>
          <w:b/>
        </w:rPr>
        <w:t xml:space="preserve">The </w:t>
      </w:r>
      <w:r>
        <w:rPr>
          <w:b/>
        </w:rPr>
        <w:t>Research Infrastructure Investment Plan was announced</w:t>
      </w:r>
    </w:p>
    <w:p w:rsidR="0029246F" w:rsidRDefault="0029246F" w:rsidP="0029246F">
      <w:pPr>
        <w:pBdr>
          <w:top w:val="single" w:sz="4" w:space="1" w:color="auto"/>
          <w:left w:val="single" w:sz="4" w:space="4" w:color="auto"/>
          <w:bottom w:val="single" w:sz="4" w:space="1" w:color="auto"/>
          <w:right w:val="single" w:sz="4" w:space="4" w:color="auto"/>
        </w:pBdr>
        <w:spacing w:after="0"/>
        <w:jc w:val="center"/>
      </w:pPr>
      <w:r>
        <w:t xml:space="preserve">The Government announced in the 2017-18 </w:t>
      </w:r>
      <w:r w:rsidR="00E331E0">
        <w:t xml:space="preserve">Budget that </w:t>
      </w:r>
      <w:r>
        <w:t xml:space="preserve">a Research Infrastructure Investment Plan (Investment Plan) would be developed. The Investment Plan </w:t>
      </w:r>
      <w:r w:rsidR="00E331E0">
        <w:t xml:space="preserve">was developed consultatively by the Department </w:t>
      </w:r>
      <w:r w:rsidR="00BE6BAC">
        <w:t xml:space="preserve">of Education and Training </w:t>
      </w:r>
      <w:r w:rsidR="00E331E0">
        <w:t xml:space="preserve">and the Department of Industry, Innovation and Science. It was agreed by the Government and </w:t>
      </w:r>
      <w:r>
        <w:t xml:space="preserve">released on 15 </w:t>
      </w:r>
      <w:r w:rsidR="006B6F16">
        <w:t xml:space="preserve">May </w:t>
      </w:r>
      <w:r>
        <w:t xml:space="preserve">2018. </w:t>
      </w:r>
    </w:p>
    <w:p w:rsidR="00E331E0" w:rsidRDefault="00E331E0" w:rsidP="0029246F">
      <w:pPr>
        <w:pBdr>
          <w:top w:val="single" w:sz="4" w:space="1" w:color="auto"/>
          <w:left w:val="single" w:sz="4" w:space="4" w:color="auto"/>
          <w:bottom w:val="single" w:sz="4" w:space="1" w:color="auto"/>
          <w:right w:val="single" w:sz="4" w:space="4" w:color="auto"/>
        </w:pBdr>
        <w:spacing w:after="0"/>
        <w:jc w:val="center"/>
      </w:pPr>
      <w:r>
        <w:t xml:space="preserve">The Investment Plan </w:t>
      </w:r>
      <w:r w:rsidR="003F0256">
        <w:t>provided further set amounts of funding for the majority of priority projects</w:t>
      </w:r>
      <w:r>
        <w:t>, and added a number of other projects to NCRIS</w:t>
      </w:r>
      <w:r w:rsidR="003F0256">
        <w:t xml:space="preserve"> that are to receive </w:t>
      </w:r>
      <w:r w:rsidR="002634F9">
        <w:t>set funding</w:t>
      </w:r>
      <w:r>
        <w:t>.</w:t>
      </w:r>
    </w:p>
    <w:p w:rsidR="00673AA3" w:rsidRPr="00F40BDA" w:rsidRDefault="00673AA3" w:rsidP="004E29D6">
      <w:pPr>
        <w:spacing w:after="0"/>
        <w:jc w:val="center"/>
        <w:rPr>
          <w:rFonts w:ascii="Wingdings" w:hAnsi="Wingdings"/>
          <w:sz w:val="20"/>
          <w:szCs w:val="20"/>
        </w:rPr>
      </w:pPr>
      <w:r w:rsidRPr="00F40BDA">
        <w:rPr>
          <w:rFonts w:ascii="Wingdings" w:hAnsi="Wingdings"/>
          <w:sz w:val="20"/>
          <w:szCs w:val="20"/>
        </w:rPr>
        <w:t></w:t>
      </w:r>
    </w:p>
    <w:p w:rsidR="00EE2B1C" w:rsidRDefault="00DA1D3A" w:rsidP="00EE2B1C">
      <w:pPr>
        <w:pBdr>
          <w:top w:val="single" w:sz="2" w:space="1" w:color="auto"/>
          <w:left w:val="single" w:sz="2" w:space="4" w:color="auto"/>
          <w:bottom w:val="single" w:sz="2" w:space="1" w:color="auto"/>
          <w:right w:val="single" w:sz="2" w:space="4" w:color="auto"/>
        </w:pBdr>
        <w:spacing w:after="0"/>
        <w:jc w:val="center"/>
        <w:rPr>
          <w:b/>
        </w:rPr>
      </w:pPr>
      <w:r>
        <w:rPr>
          <w:b/>
        </w:rPr>
        <w:t xml:space="preserve">PGPA </w:t>
      </w:r>
      <w:r w:rsidR="00EE2B1C">
        <w:rPr>
          <w:b/>
        </w:rPr>
        <w:t>D</w:t>
      </w:r>
      <w:r w:rsidR="00EE2B1C" w:rsidRPr="00DB0315">
        <w:rPr>
          <w:b/>
        </w:rPr>
        <w:t>ecision</w:t>
      </w:r>
      <w:r w:rsidR="00EE2B1C">
        <w:rPr>
          <w:b/>
        </w:rPr>
        <w:t>s are made</w:t>
      </w:r>
    </w:p>
    <w:p w:rsidR="00EE2B1C" w:rsidRPr="00123D11" w:rsidRDefault="00DA1D3A" w:rsidP="00EE2B1C">
      <w:pPr>
        <w:pBdr>
          <w:top w:val="single" w:sz="2" w:space="1" w:color="auto"/>
          <w:left w:val="single" w:sz="2" w:space="4" w:color="auto"/>
          <w:bottom w:val="single" w:sz="2" w:space="1" w:color="auto"/>
          <w:right w:val="single" w:sz="2" w:space="4" w:color="auto"/>
        </w:pBdr>
        <w:spacing w:after="0"/>
        <w:jc w:val="center"/>
      </w:pPr>
      <w:r>
        <w:t xml:space="preserve">Following the Investment Plan’s </w:t>
      </w:r>
      <w:r w:rsidR="00C47C12">
        <w:t>approval</w:t>
      </w:r>
      <w:r>
        <w:t xml:space="preserve"> and release</w:t>
      </w:r>
      <w:r w:rsidR="00C47C12">
        <w:t xml:space="preserve"> by the Government</w:t>
      </w:r>
      <w:r>
        <w:t xml:space="preserve">, </w:t>
      </w:r>
      <w:r w:rsidR="002634F9">
        <w:t xml:space="preserve">and the approval and release of relevant guidelines, </w:t>
      </w:r>
      <w:r>
        <w:t>t</w:t>
      </w:r>
      <w:r w:rsidR="00EE2B1C">
        <w:t>he</w:t>
      </w:r>
      <w:r w:rsidR="00EE2B1C" w:rsidRPr="00123D11">
        <w:t xml:space="preserve"> </w:t>
      </w:r>
      <w:r>
        <w:t xml:space="preserve">Department’s </w:t>
      </w:r>
      <w:r w:rsidR="004E3FB7">
        <w:t>delegate</w:t>
      </w:r>
      <w:r w:rsidR="00EE2B1C" w:rsidRPr="00123D11">
        <w:t xml:space="preserve"> </w:t>
      </w:r>
      <w:r w:rsidR="00366A8C">
        <w:t xml:space="preserve">approves </w:t>
      </w:r>
      <w:r w:rsidR="00EE2B1C" w:rsidRPr="00123D11">
        <w:t>successful</w:t>
      </w:r>
      <w:r w:rsidR="00366A8C">
        <w:t xml:space="preserve"> grants</w:t>
      </w:r>
      <w:r w:rsidR="00A505BC">
        <w:t xml:space="preserve"> under </w:t>
      </w:r>
      <w:r w:rsidR="00735720">
        <w:t>Section 23(</w:t>
      </w:r>
      <w:r w:rsidR="00FA6936">
        <w:t>3</w:t>
      </w:r>
      <w:r w:rsidR="00735720">
        <w:t xml:space="preserve">) of the </w:t>
      </w:r>
      <w:r w:rsidR="00735720" w:rsidRPr="00726710">
        <w:rPr>
          <w:i/>
        </w:rPr>
        <w:t>Public Governance, Performance and Accountability Act</w:t>
      </w:r>
      <w:r w:rsidR="00EE2B1C" w:rsidRPr="00123D11">
        <w:t>.</w:t>
      </w:r>
    </w:p>
    <w:p w:rsidR="00D44A62" w:rsidRDefault="00D44A62" w:rsidP="00EE2B1C">
      <w:pPr>
        <w:spacing w:after="0"/>
        <w:jc w:val="center"/>
        <w:rPr>
          <w:rFonts w:ascii="Wingdings" w:hAnsi="Wingdings"/>
          <w:sz w:val="20"/>
          <w:szCs w:val="20"/>
        </w:rPr>
      </w:pPr>
      <w:r w:rsidRPr="00F40BDA">
        <w:rPr>
          <w:rFonts w:ascii="Wingdings" w:hAnsi="Wingdings"/>
          <w:sz w:val="20"/>
          <w:szCs w:val="20"/>
        </w:rPr>
        <w:t></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rPr>
      </w:pPr>
      <w:r>
        <w:rPr>
          <w:b/>
        </w:rPr>
        <w:t xml:space="preserve">We notify you of the </w:t>
      </w:r>
      <w:r w:rsidRPr="00F40BDA">
        <w:rPr>
          <w:b/>
        </w:rPr>
        <w:t>outcome</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pPr>
      <w:r>
        <w:t xml:space="preserve">We advise you of </w:t>
      </w:r>
      <w:r w:rsidR="0054367B">
        <w:t xml:space="preserve">your </w:t>
      </w:r>
      <w:r w:rsidR="00366A8C">
        <w:t>grant</w:t>
      </w:r>
      <w:r w:rsidRPr="00F40BDA">
        <w:t>.</w:t>
      </w:r>
    </w:p>
    <w:p w:rsidR="002918D2" w:rsidRDefault="002918D2" w:rsidP="00EE2B1C">
      <w:pPr>
        <w:spacing w:after="0"/>
        <w:jc w:val="center"/>
        <w:rPr>
          <w:rFonts w:ascii="Wingdings" w:hAnsi="Wingdings"/>
          <w:sz w:val="20"/>
          <w:szCs w:val="20"/>
        </w:rPr>
      </w:pPr>
      <w:r w:rsidRPr="00F40BDA">
        <w:rPr>
          <w:rFonts w:ascii="Wingdings" w:hAnsi="Wingdings"/>
          <w:sz w:val="20"/>
          <w:szCs w:val="20"/>
        </w:rPr>
        <w:t></w:t>
      </w:r>
    </w:p>
    <w:p w:rsidR="00EE2B1C" w:rsidRPr="00B627D6" w:rsidRDefault="00EE2B1C" w:rsidP="00EE2B1C">
      <w:pPr>
        <w:pBdr>
          <w:top w:val="single" w:sz="2" w:space="1" w:color="auto"/>
          <w:left w:val="single" w:sz="2" w:space="4" w:color="auto"/>
          <w:bottom w:val="single" w:sz="2" w:space="1" w:color="auto"/>
          <w:right w:val="single" w:sz="2" w:space="4" w:color="auto"/>
        </w:pBdr>
        <w:spacing w:after="0"/>
        <w:jc w:val="center"/>
        <w:rPr>
          <w:b/>
        </w:rPr>
      </w:pPr>
      <w:r w:rsidRPr="00944A44">
        <w:rPr>
          <w:rStyle w:val="highlightedtextChar"/>
          <w:color w:val="auto"/>
        </w:rPr>
        <w:t xml:space="preserve">We enter into a grant agreement </w:t>
      </w:r>
      <w:r w:rsidR="00A247F3" w:rsidRPr="00944A44">
        <w:rPr>
          <w:rStyle w:val="highlightedtextChar"/>
          <w:color w:val="auto"/>
        </w:rPr>
        <w:t xml:space="preserve">(or variation) </w:t>
      </w:r>
      <w:r w:rsidRPr="00944A44">
        <w:rPr>
          <w:rStyle w:val="highlightedtextChar"/>
          <w:color w:val="auto"/>
        </w:rPr>
        <w:t>or a letter of agreement</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bCs/>
        </w:rPr>
      </w:pPr>
      <w:r>
        <w:t xml:space="preserve">We will enter into a grant agreement </w:t>
      </w:r>
      <w:r w:rsidR="0054367B">
        <w:t xml:space="preserve">(or variation) </w:t>
      </w:r>
      <w:r>
        <w:t xml:space="preserve">or letter of agreement with </w:t>
      </w:r>
      <w:r w:rsidR="00BF7AD8">
        <w:t>grantees</w:t>
      </w:r>
      <w:r>
        <w:t xml:space="preserve">.  </w:t>
      </w:r>
      <w:r w:rsidRPr="00F40BDA">
        <w:t>The type of grant agreement is based on the nature of the grant and proportional to the risks involved.</w:t>
      </w:r>
      <w:r>
        <w:t xml:space="preserve"> </w:t>
      </w:r>
    </w:p>
    <w:p w:rsidR="00EE2B1C" w:rsidRPr="00F40BDA"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bCs/>
        </w:rPr>
      </w:pPr>
      <w:r w:rsidRPr="00F40BDA">
        <w:rPr>
          <w:b/>
        </w:rPr>
        <w:t>Delivery of grant</w:t>
      </w:r>
      <w:r w:rsidRPr="00F40BDA">
        <w:rPr>
          <w:b/>
          <w:bCs/>
        </w:rPr>
        <w:t xml:space="preserve"> </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Cs/>
        </w:rPr>
      </w:pPr>
      <w:r>
        <w:rPr>
          <w:bCs/>
        </w:rPr>
        <w:t xml:space="preserve">You undertake </w:t>
      </w:r>
      <w:r w:rsidRPr="00F40BDA">
        <w:rPr>
          <w:bCs/>
        </w:rPr>
        <w:t>the grant activity</w:t>
      </w:r>
      <w:r>
        <w:rPr>
          <w:bCs/>
        </w:rPr>
        <w:t xml:space="preserve"> as set out in </w:t>
      </w:r>
      <w:r w:rsidRPr="00B627D6">
        <w:rPr>
          <w:bCs/>
        </w:rPr>
        <w:t>your grant agreement</w:t>
      </w:r>
      <w:r w:rsidR="00BF7AD8">
        <w:rPr>
          <w:bCs/>
        </w:rPr>
        <w:t xml:space="preserve"> and these Guidelines</w:t>
      </w:r>
      <w:r w:rsidRPr="00B627D6">
        <w:rPr>
          <w:bCs/>
        </w:rPr>
        <w:t>. We</w:t>
      </w:r>
      <w:r>
        <w:rPr>
          <w:bCs/>
        </w:rPr>
        <w:t xml:space="preserve"> </w:t>
      </w:r>
      <w:r w:rsidRPr="00F40BDA">
        <w:rPr>
          <w:bCs/>
        </w:rPr>
        <w:t>manage the grant</w:t>
      </w:r>
      <w:r>
        <w:rPr>
          <w:bCs/>
        </w:rPr>
        <w:t xml:space="preserve"> by working with you, monitoring your progress and </w:t>
      </w:r>
      <w:r w:rsidRPr="00F40BDA">
        <w:rPr>
          <w:bCs/>
        </w:rPr>
        <w:t>making payments.</w:t>
      </w:r>
    </w:p>
    <w:p w:rsidR="00C55759" w:rsidRDefault="00C55759" w:rsidP="00EE2B1C">
      <w:pPr>
        <w:pBdr>
          <w:top w:val="single" w:sz="2" w:space="1" w:color="auto"/>
          <w:left w:val="single" w:sz="2" w:space="4" w:color="auto"/>
          <w:bottom w:val="single" w:sz="2" w:space="1" w:color="auto"/>
          <w:right w:val="single" w:sz="2" w:space="4" w:color="auto"/>
        </w:pBdr>
        <w:spacing w:after="0"/>
        <w:jc w:val="center"/>
        <w:rPr>
          <w:bCs/>
        </w:rPr>
      </w:pPr>
      <w:r>
        <w:rPr>
          <w:bCs/>
        </w:rPr>
        <w:t xml:space="preserve">This may take into account changes in priorities following from </w:t>
      </w:r>
      <w:r w:rsidR="00FA6936">
        <w:rPr>
          <w:bCs/>
        </w:rPr>
        <w:t>future</w:t>
      </w:r>
      <w:r>
        <w:rPr>
          <w:bCs/>
        </w:rPr>
        <w:t xml:space="preserve"> National </w:t>
      </w:r>
      <w:r w:rsidR="00527152">
        <w:rPr>
          <w:bCs/>
        </w:rPr>
        <w:t>R</w:t>
      </w:r>
      <w:r>
        <w:rPr>
          <w:bCs/>
        </w:rPr>
        <w:t>esearch Infrastructure Roadmaps and/or Research Infrastructure Investment Plans.</w:t>
      </w:r>
      <w:r w:rsidR="00FA6936">
        <w:rPr>
          <w:bCs/>
        </w:rPr>
        <w:t xml:space="preserve"> Following consultation with you, we may direct you to make changes to the project.</w:t>
      </w:r>
    </w:p>
    <w:p w:rsidR="00EE2B1C"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rPr>
      </w:pPr>
      <w:r w:rsidRPr="00F40BDA">
        <w:rPr>
          <w:b/>
        </w:rPr>
        <w:t xml:space="preserve">Evaluation of </w:t>
      </w:r>
      <w:r w:rsidR="00366A8C">
        <w:rPr>
          <w:b/>
        </w:rPr>
        <w:t xml:space="preserve">NCRIS </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pPr>
      <w:r>
        <w:t>We evaluate t</w:t>
      </w:r>
      <w:r w:rsidRPr="00F40BDA">
        <w:t xml:space="preserve">he specific grant </w:t>
      </w:r>
      <w:r>
        <w:t xml:space="preserve">activity and </w:t>
      </w:r>
      <w:r w:rsidR="00A247F3">
        <w:t>NCRIS</w:t>
      </w:r>
      <w:r>
        <w:t xml:space="preserve"> as a whole</w:t>
      </w:r>
      <w:r w:rsidRPr="00F40BDA">
        <w:t xml:space="preserve">. </w:t>
      </w:r>
      <w:r>
        <w:t xml:space="preserve">We </w:t>
      </w:r>
      <w:r w:rsidRPr="00F40BDA">
        <w:t xml:space="preserve">base </w:t>
      </w:r>
      <w:r>
        <w:t xml:space="preserve">this on </w:t>
      </w:r>
      <w:r w:rsidRPr="00F40BDA">
        <w:t xml:space="preserve">information </w:t>
      </w:r>
      <w:r>
        <w:t>you provide to us and that we collect from various sources</w:t>
      </w:r>
      <w:r w:rsidRPr="00F40BDA">
        <w:t xml:space="preserve">. </w:t>
      </w:r>
    </w:p>
    <w:p w:rsidR="00045933" w:rsidRPr="00B72EE8" w:rsidRDefault="00045933" w:rsidP="0054078D">
      <w:pPr>
        <w:pStyle w:val="Heading2Numbered"/>
      </w:pPr>
      <w:bookmarkStart w:id="4" w:name="_Toc467773951"/>
      <w:bookmarkStart w:id="5" w:name="_Toc514836281"/>
      <w:r>
        <w:t>About the grant program</w:t>
      </w:r>
      <w:bookmarkEnd w:id="4"/>
      <w:bookmarkEnd w:id="5"/>
    </w:p>
    <w:p w:rsidR="00064E7B" w:rsidRDefault="00064E7B" w:rsidP="00687C34">
      <w:pPr>
        <w:rPr>
          <w:rFonts w:cstheme="minorHAnsi"/>
        </w:rPr>
      </w:pPr>
      <w:r>
        <w:rPr>
          <w:rFonts w:cstheme="minorHAnsi"/>
        </w:rPr>
        <w:t>These Guidelines set out how Government grants will be distributed from 201</w:t>
      </w:r>
      <w:r w:rsidR="0055391B">
        <w:rPr>
          <w:rFonts w:cstheme="minorHAnsi"/>
        </w:rPr>
        <w:t>7</w:t>
      </w:r>
      <w:r>
        <w:rPr>
          <w:rFonts w:cstheme="minorHAnsi"/>
        </w:rPr>
        <w:t>-18 to 2022</w:t>
      </w:r>
      <w:r w:rsidR="005B6A11">
        <w:rPr>
          <w:rFonts w:cstheme="minorHAnsi"/>
        </w:rPr>
        <w:noBreakHyphen/>
      </w:r>
      <w:r>
        <w:rPr>
          <w:rFonts w:cstheme="minorHAnsi"/>
        </w:rPr>
        <w:t xml:space="preserve">23, through a restricted, non-competitive grant process, </w:t>
      </w:r>
      <w:r w:rsidR="00FA6936">
        <w:rPr>
          <w:rFonts w:cstheme="minorHAnsi"/>
        </w:rPr>
        <w:t>via</w:t>
      </w:r>
      <w:r>
        <w:rPr>
          <w:rFonts w:cstheme="minorHAnsi"/>
        </w:rPr>
        <w:t xml:space="preserve"> the National Collaborative Research Infrastructure Strategy (NCRIS), to priority projects identified by the Government as a result of</w:t>
      </w:r>
      <w:r w:rsidR="002634F9">
        <w:rPr>
          <w:rFonts w:cstheme="minorHAnsi"/>
        </w:rPr>
        <w:t xml:space="preserve"> </w:t>
      </w:r>
      <w:r w:rsidRPr="0055391B">
        <w:rPr>
          <w:rFonts w:cstheme="minorHAnsi"/>
        </w:rPr>
        <w:t>the Research Infrastructure Investment Plan released in 2018 (Investment Plan)</w:t>
      </w:r>
      <w:r w:rsidR="004E3FB7">
        <w:rPr>
          <w:rFonts w:cstheme="minorHAnsi"/>
        </w:rPr>
        <w:t xml:space="preserve">, </w:t>
      </w:r>
      <w:r w:rsidR="003248AD">
        <w:rPr>
          <w:rFonts w:cstheme="minorHAnsi"/>
        </w:rPr>
        <w:t xml:space="preserve">framed by the focus areas </w:t>
      </w:r>
      <w:r w:rsidR="004E3FB7">
        <w:rPr>
          <w:rFonts w:cstheme="minorHAnsi"/>
        </w:rPr>
        <w:t>in the 2016 Roadmap</w:t>
      </w:r>
      <w:r w:rsidR="00196BE5">
        <w:rPr>
          <w:rFonts w:cstheme="minorHAnsi"/>
        </w:rPr>
        <w:t>, namely</w:t>
      </w:r>
      <w:r w:rsidR="002634F9">
        <w:rPr>
          <w:rFonts w:cstheme="minorHAnsi"/>
        </w:rPr>
        <w:t>:</w:t>
      </w:r>
    </w:p>
    <w:p w:rsidR="00196BE5" w:rsidRPr="00C95A3A" w:rsidRDefault="00196BE5" w:rsidP="00687C34">
      <w:pPr>
        <w:pStyle w:val="ListParagraph"/>
        <w:numPr>
          <w:ilvl w:val="0"/>
          <w:numId w:val="22"/>
        </w:numPr>
        <w:rPr>
          <w:rFonts w:cstheme="minorHAnsi"/>
        </w:rPr>
      </w:pPr>
      <w:r w:rsidRPr="00933784">
        <w:rPr>
          <w:rFonts w:asciiTheme="minorHAnsi" w:hAnsiTheme="minorHAnsi" w:cstheme="minorHAnsi"/>
        </w:rPr>
        <w:t>Digital Data and eResearch Platforms</w:t>
      </w:r>
    </w:p>
    <w:p w:rsidR="00196BE5" w:rsidRPr="00C95A3A" w:rsidRDefault="00196BE5" w:rsidP="00687C34">
      <w:pPr>
        <w:pStyle w:val="ListParagraph"/>
        <w:numPr>
          <w:ilvl w:val="0"/>
          <w:numId w:val="22"/>
        </w:numPr>
        <w:rPr>
          <w:rFonts w:cstheme="minorHAnsi"/>
        </w:rPr>
      </w:pPr>
      <w:r w:rsidRPr="00933784">
        <w:rPr>
          <w:rFonts w:asciiTheme="minorHAnsi" w:hAnsiTheme="minorHAnsi" w:cstheme="minorHAnsi"/>
        </w:rPr>
        <w:t>Platforms for Humanities, Arts and Social Sciences</w:t>
      </w:r>
    </w:p>
    <w:p w:rsidR="00196BE5" w:rsidRPr="00C95A3A" w:rsidRDefault="00196BE5" w:rsidP="00687C34">
      <w:pPr>
        <w:pStyle w:val="ListParagraph"/>
        <w:numPr>
          <w:ilvl w:val="0"/>
          <w:numId w:val="22"/>
        </w:numPr>
        <w:rPr>
          <w:rFonts w:cstheme="minorHAnsi"/>
        </w:rPr>
      </w:pPr>
      <w:r w:rsidRPr="00421295">
        <w:rPr>
          <w:rFonts w:asciiTheme="minorHAnsi" w:hAnsiTheme="minorHAnsi" w:cstheme="minorHAnsi"/>
        </w:rPr>
        <w:t>Characterisation</w:t>
      </w:r>
    </w:p>
    <w:p w:rsidR="00196BE5" w:rsidRPr="00C95A3A" w:rsidRDefault="00196BE5" w:rsidP="00687C34">
      <w:pPr>
        <w:pStyle w:val="ListParagraph"/>
        <w:numPr>
          <w:ilvl w:val="0"/>
          <w:numId w:val="22"/>
        </w:numPr>
        <w:rPr>
          <w:rFonts w:cstheme="minorHAnsi"/>
        </w:rPr>
      </w:pPr>
      <w:r w:rsidRPr="00421295">
        <w:rPr>
          <w:rFonts w:asciiTheme="minorHAnsi" w:hAnsiTheme="minorHAnsi" w:cstheme="minorHAnsi"/>
        </w:rPr>
        <w:t>Advanced Fabrication and Manufacturing</w:t>
      </w:r>
    </w:p>
    <w:p w:rsidR="00196BE5" w:rsidRPr="00C95A3A" w:rsidRDefault="00196BE5" w:rsidP="00687C34">
      <w:pPr>
        <w:pStyle w:val="ListParagraph"/>
        <w:numPr>
          <w:ilvl w:val="0"/>
          <w:numId w:val="22"/>
        </w:numPr>
        <w:rPr>
          <w:rFonts w:cstheme="minorHAnsi"/>
        </w:rPr>
      </w:pPr>
      <w:r w:rsidRPr="00421295">
        <w:rPr>
          <w:rFonts w:asciiTheme="minorHAnsi" w:hAnsiTheme="minorHAnsi" w:cstheme="minorHAnsi"/>
        </w:rPr>
        <w:t>Advanced Physics and Astronomy</w:t>
      </w:r>
    </w:p>
    <w:p w:rsidR="00196BE5" w:rsidRPr="00C95A3A" w:rsidRDefault="00196BE5" w:rsidP="00687C34">
      <w:pPr>
        <w:pStyle w:val="ListParagraph"/>
        <w:numPr>
          <w:ilvl w:val="0"/>
          <w:numId w:val="22"/>
        </w:numPr>
        <w:rPr>
          <w:rFonts w:cstheme="minorHAnsi"/>
        </w:rPr>
      </w:pPr>
      <w:r w:rsidRPr="00421295">
        <w:rPr>
          <w:rFonts w:asciiTheme="minorHAnsi" w:hAnsiTheme="minorHAnsi" w:cstheme="minorHAnsi"/>
        </w:rPr>
        <w:t>Earth and Environmental Systems</w:t>
      </w:r>
    </w:p>
    <w:p w:rsidR="00196BE5" w:rsidRPr="00C95A3A" w:rsidRDefault="00196BE5" w:rsidP="00687C34">
      <w:pPr>
        <w:pStyle w:val="ListParagraph"/>
        <w:numPr>
          <w:ilvl w:val="0"/>
          <w:numId w:val="22"/>
        </w:numPr>
        <w:rPr>
          <w:rFonts w:cstheme="minorHAnsi"/>
        </w:rPr>
      </w:pPr>
      <w:r w:rsidRPr="00421295">
        <w:rPr>
          <w:rFonts w:asciiTheme="minorHAnsi" w:hAnsiTheme="minorHAnsi" w:cstheme="minorHAnsi"/>
        </w:rPr>
        <w:t>Biosecurity</w:t>
      </w:r>
    </w:p>
    <w:p w:rsidR="00196BE5" w:rsidRPr="00C95A3A" w:rsidRDefault="00196BE5" w:rsidP="00687C34">
      <w:pPr>
        <w:pStyle w:val="ListParagraph"/>
        <w:numPr>
          <w:ilvl w:val="0"/>
          <w:numId w:val="22"/>
        </w:numPr>
        <w:rPr>
          <w:rFonts w:cstheme="minorHAnsi"/>
        </w:rPr>
      </w:pPr>
      <w:r w:rsidRPr="00421295">
        <w:rPr>
          <w:rFonts w:asciiTheme="minorHAnsi" w:hAnsiTheme="minorHAnsi" w:cstheme="minorHAnsi"/>
        </w:rPr>
        <w:t>Complex Biology</w:t>
      </w:r>
    </w:p>
    <w:p w:rsidR="00196BE5" w:rsidRPr="00196BE5" w:rsidRDefault="00196BE5" w:rsidP="00687C34">
      <w:pPr>
        <w:pStyle w:val="ListParagraph"/>
        <w:numPr>
          <w:ilvl w:val="0"/>
          <w:numId w:val="22"/>
        </w:numPr>
        <w:rPr>
          <w:rFonts w:asciiTheme="minorHAnsi" w:hAnsiTheme="minorHAnsi" w:cstheme="minorHAnsi"/>
        </w:rPr>
      </w:pPr>
      <w:r w:rsidRPr="00421295">
        <w:rPr>
          <w:rFonts w:asciiTheme="minorHAnsi" w:hAnsiTheme="minorHAnsi" w:cstheme="minorHAnsi"/>
        </w:rPr>
        <w:t>Therapeutic Development</w:t>
      </w:r>
      <w:r w:rsidR="002634F9">
        <w:rPr>
          <w:rFonts w:asciiTheme="minorHAnsi" w:hAnsiTheme="minorHAnsi" w:cstheme="minorHAnsi"/>
        </w:rPr>
        <w:t>.</w:t>
      </w:r>
    </w:p>
    <w:p w:rsidR="00064E7B" w:rsidRPr="0055391B" w:rsidRDefault="00421295" w:rsidP="00421295">
      <w:pPr>
        <w:rPr>
          <w:rFonts w:cstheme="minorHAnsi"/>
        </w:rPr>
      </w:pPr>
      <w:r>
        <w:rPr>
          <w:rFonts w:cstheme="minorHAnsi"/>
        </w:rPr>
        <w:t xml:space="preserve">The Guidelines also </w:t>
      </w:r>
      <w:r w:rsidR="00C47C12">
        <w:rPr>
          <w:rFonts w:cstheme="minorHAnsi"/>
        </w:rPr>
        <w:t>allow for</w:t>
      </w:r>
      <w:r>
        <w:rPr>
          <w:rFonts w:cstheme="minorHAnsi"/>
        </w:rPr>
        <w:t xml:space="preserve"> </w:t>
      </w:r>
      <w:r w:rsidR="00422E12">
        <w:rPr>
          <w:rFonts w:cstheme="minorHAnsi"/>
        </w:rPr>
        <w:t>Government consideration of future Roadmaps and Investment Plans</w:t>
      </w:r>
      <w:r w:rsidR="001E026F">
        <w:rPr>
          <w:rFonts w:cstheme="minorHAnsi"/>
        </w:rPr>
        <w:t>, on five year and two year cycles respectively</w:t>
      </w:r>
      <w:r w:rsidR="00064E7B" w:rsidRPr="0055391B">
        <w:rPr>
          <w:rFonts w:cstheme="minorHAnsi"/>
        </w:rPr>
        <w:t>.</w:t>
      </w:r>
    </w:p>
    <w:p w:rsidR="00FE5600" w:rsidRPr="00FE5600" w:rsidRDefault="00FE5600" w:rsidP="00FE5600">
      <w:pPr>
        <w:rPr>
          <w:rFonts w:cstheme="minorHAnsi"/>
        </w:rPr>
      </w:pPr>
      <w:r w:rsidRPr="00FE5600">
        <w:t>Through NCRIS, the Government works with the research sector</w:t>
      </w:r>
      <w:r w:rsidR="00230480">
        <w:t xml:space="preserve">, including </w:t>
      </w:r>
      <w:r w:rsidR="00A80EAC">
        <w:t xml:space="preserve">universities, Publicly Funded Research Organisations, </w:t>
      </w:r>
      <w:r w:rsidR="00230480">
        <w:t xml:space="preserve">private companies, </w:t>
      </w:r>
      <w:r w:rsidRPr="00FE5600">
        <w:t>to drive research excellence and its application by:</w:t>
      </w:r>
    </w:p>
    <w:p w:rsidR="00FE5600" w:rsidRPr="000926FB" w:rsidRDefault="00FE5600" w:rsidP="00460F0C">
      <w:pPr>
        <w:pStyle w:val="ListParagraph"/>
        <w:numPr>
          <w:ilvl w:val="0"/>
          <w:numId w:val="22"/>
        </w:numPr>
        <w:rPr>
          <w:rFonts w:asciiTheme="minorHAnsi" w:hAnsiTheme="minorHAnsi" w:cstheme="minorHAnsi"/>
        </w:rPr>
      </w:pPr>
      <w:r w:rsidRPr="000926FB">
        <w:rPr>
          <w:rFonts w:asciiTheme="minorHAnsi" w:hAnsiTheme="minorHAnsi" w:cstheme="minorHAnsi"/>
        </w:rPr>
        <w:t>collaboratively identifying priorities for research infrastructure investment over the coming decade</w:t>
      </w:r>
    </w:p>
    <w:p w:rsidR="00FE5600" w:rsidRPr="000926FB" w:rsidRDefault="00FE5600" w:rsidP="00460F0C">
      <w:pPr>
        <w:pStyle w:val="ListParagraph"/>
        <w:numPr>
          <w:ilvl w:val="0"/>
          <w:numId w:val="22"/>
        </w:numPr>
        <w:rPr>
          <w:rFonts w:asciiTheme="minorHAnsi" w:hAnsiTheme="minorHAnsi" w:cstheme="minorHAnsi"/>
        </w:rPr>
      </w:pPr>
      <w:r w:rsidRPr="000926FB">
        <w:rPr>
          <w:rFonts w:asciiTheme="minorHAnsi" w:hAnsiTheme="minorHAnsi" w:cstheme="minorHAnsi"/>
        </w:rPr>
        <w:t>catalysing research infrastructure projects</w:t>
      </w:r>
      <w:r w:rsidR="000926FB">
        <w:rPr>
          <w:rFonts w:asciiTheme="minorHAnsi" w:hAnsiTheme="minorHAnsi" w:cstheme="minorHAnsi"/>
        </w:rPr>
        <w:t xml:space="preserve"> </w:t>
      </w:r>
      <w:r w:rsidRPr="000926FB">
        <w:rPr>
          <w:rFonts w:asciiTheme="minorHAnsi" w:hAnsiTheme="minorHAnsi" w:cstheme="minorHAnsi"/>
        </w:rPr>
        <w:t>that improve research projects by expertly addressing the scope of researcher needs</w:t>
      </w:r>
    </w:p>
    <w:p w:rsidR="000926FB" w:rsidRDefault="00FE5600" w:rsidP="00460F0C">
      <w:pPr>
        <w:pStyle w:val="ListParagraph"/>
        <w:numPr>
          <w:ilvl w:val="0"/>
          <w:numId w:val="22"/>
        </w:numPr>
        <w:rPr>
          <w:rFonts w:asciiTheme="minorHAnsi" w:hAnsiTheme="minorHAnsi" w:cstheme="minorHAnsi"/>
        </w:rPr>
      </w:pPr>
      <w:r w:rsidRPr="000926FB">
        <w:rPr>
          <w:rFonts w:asciiTheme="minorHAnsi" w:hAnsiTheme="minorHAnsi" w:cstheme="minorHAnsi"/>
        </w:rPr>
        <w:t>addressing related end-user needs, including industry, Government and other end users</w:t>
      </w:r>
    </w:p>
    <w:p w:rsidR="00FE5600" w:rsidRPr="000926FB" w:rsidRDefault="000926FB" w:rsidP="00460F0C">
      <w:pPr>
        <w:pStyle w:val="ListParagraph"/>
        <w:numPr>
          <w:ilvl w:val="0"/>
          <w:numId w:val="22"/>
        </w:numPr>
        <w:rPr>
          <w:rFonts w:asciiTheme="minorHAnsi" w:hAnsiTheme="minorHAnsi" w:cstheme="minorHAnsi"/>
        </w:rPr>
      </w:pPr>
      <w:r>
        <w:rPr>
          <w:rFonts w:asciiTheme="minorHAnsi" w:hAnsiTheme="minorHAnsi" w:cstheme="minorHAnsi"/>
        </w:rPr>
        <w:t xml:space="preserve">supporting </w:t>
      </w:r>
      <w:r w:rsidR="00A57760">
        <w:rPr>
          <w:rFonts w:asciiTheme="minorHAnsi" w:hAnsiTheme="minorHAnsi" w:cstheme="minorHAnsi"/>
        </w:rPr>
        <w:t xml:space="preserve">identified </w:t>
      </w:r>
      <w:r>
        <w:rPr>
          <w:rFonts w:asciiTheme="minorHAnsi" w:hAnsiTheme="minorHAnsi" w:cstheme="minorHAnsi"/>
        </w:rPr>
        <w:t>priority national research infrastructure projects through the provision of grants for operating and capital expenses, supplemented by contributions from other parties</w:t>
      </w:r>
      <w:r w:rsidR="00104208">
        <w:rPr>
          <w:rStyle w:val="FootnoteReference"/>
          <w:rFonts w:asciiTheme="minorHAnsi" w:hAnsiTheme="minorHAnsi" w:cstheme="minorHAnsi"/>
        </w:rPr>
        <w:footnoteReference w:id="1"/>
      </w:r>
      <w:r>
        <w:rPr>
          <w:rFonts w:asciiTheme="minorHAnsi" w:hAnsiTheme="minorHAnsi" w:cstheme="minorHAnsi"/>
        </w:rPr>
        <w:t>.</w:t>
      </w:r>
    </w:p>
    <w:p w:rsidR="00527152" w:rsidRPr="00527152" w:rsidRDefault="00527152" w:rsidP="00527152">
      <w:r w:rsidRPr="00527152">
        <w:t xml:space="preserve">NCRIS commenced in 2004-05. </w:t>
      </w:r>
      <w:r w:rsidR="00ED3365">
        <w:t xml:space="preserve">NCRIS projects are managed in accordance with the NCRIS Principles at </w:t>
      </w:r>
      <w:r w:rsidR="00ED3365" w:rsidRPr="005B6A11">
        <w:rPr>
          <w:u w:val="single"/>
        </w:rPr>
        <w:t>Appendix A</w:t>
      </w:r>
      <w:r w:rsidR="00ED3365">
        <w:t xml:space="preserve">. </w:t>
      </w:r>
    </w:p>
    <w:p w:rsidR="00B21077" w:rsidRDefault="00045933" w:rsidP="00045933">
      <w:r w:rsidRPr="00045933">
        <w:t>The</w:t>
      </w:r>
      <w:r w:rsidR="00B21077">
        <w:t xml:space="preserve">se Guidelines </w:t>
      </w:r>
      <w:r w:rsidR="003E2CDF">
        <w:t xml:space="preserve">provide for </w:t>
      </w:r>
      <w:r w:rsidR="00B21077">
        <w:t xml:space="preserve">funding </w:t>
      </w:r>
      <w:r w:rsidR="000B078D">
        <w:t xml:space="preserve">announced for the </w:t>
      </w:r>
      <w:r w:rsidRPr="00045933">
        <w:t>program</w:t>
      </w:r>
      <w:r w:rsidR="00735720">
        <w:rPr>
          <w:rStyle w:val="FootnoteReference"/>
        </w:rPr>
        <w:footnoteReference w:id="2"/>
      </w:r>
      <w:r w:rsidR="003A1BBC">
        <w:t xml:space="preserve"> to flow through to priority projects. The funding may be</w:t>
      </w:r>
      <w:r w:rsidR="00B21077">
        <w:t>:</w:t>
      </w:r>
    </w:p>
    <w:p w:rsidR="00B21077" w:rsidRPr="000B078D" w:rsidRDefault="00EC1E9C" w:rsidP="00B21077">
      <w:pPr>
        <w:pStyle w:val="ListParagraph"/>
        <w:numPr>
          <w:ilvl w:val="0"/>
          <w:numId w:val="17"/>
        </w:numPr>
        <w:rPr>
          <w:rFonts w:asciiTheme="minorHAnsi" w:hAnsiTheme="minorHAnsi" w:cstheme="minorHAnsi"/>
          <w:b/>
        </w:rPr>
      </w:pPr>
      <w:r>
        <w:rPr>
          <w:rFonts w:asciiTheme="minorHAnsi" w:hAnsiTheme="minorHAnsi" w:cstheme="minorHAnsi"/>
        </w:rPr>
        <w:t xml:space="preserve">as part of the </w:t>
      </w:r>
      <w:r w:rsidR="00735720">
        <w:rPr>
          <w:rFonts w:asciiTheme="minorHAnsi" w:hAnsiTheme="minorHAnsi" w:cstheme="minorHAnsi"/>
        </w:rPr>
        <w:t>N</w:t>
      </w:r>
      <w:r w:rsidR="00B21077" w:rsidRPr="000B078D">
        <w:rPr>
          <w:rFonts w:asciiTheme="minorHAnsi" w:hAnsiTheme="minorHAnsi" w:cstheme="minorHAnsi"/>
        </w:rPr>
        <w:t xml:space="preserve">ational Innovation and Science Agenda </w:t>
      </w:r>
      <w:r w:rsidR="00735720">
        <w:rPr>
          <w:rFonts w:asciiTheme="minorHAnsi" w:hAnsiTheme="minorHAnsi" w:cstheme="minorHAnsi"/>
        </w:rPr>
        <w:t>(NISA) (</w:t>
      </w:r>
      <w:r w:rsidR="00B21077" w:rsidRPr="000B078D">
        <w:rPr>
          <w:rFonts w:asciiTheme="minorHAnsi" w:hAnsiTheme="minorHAnsi" w:cstheme="minorHAnsi"/>
        </w:rPr>
        <w:t>announced in December 2015</w:t>
      </w:r>
      <w:r w:rsidR="00735720">
        <w:rPr>
          <w:rFonts w:asciiTheme="minorHAnsi" w:hAnsiTheme="minorHAnsi" w:cstheme="minorHAnsi"/>
        </w:rPr>
        <w:t>)</w:t>
      </w:r>
      <w:r>
        <w:rPr>
          <w:rFonts w:asciiTheme="minorHAnsi" w:hAnsiTheme="minorHAnsi" w:cstheme="minorHAnsi"/>
        </w:rPr>
        <w:t xml:space="preserve">, under these Guidelines from </w:t>
      </w:r>
      <w:r w:rsidR="00735720">
        <w:rPr>
          <w:rFonts w:asciiTheme="minorHAnsi" w:hAnsiTheme="minorHAnsi" w:cstheme="minorHAnsi"/>
        </w:rPr>
        <w:t>1 July 2019</w:t>
      </w:r>
    </w:p>
    <w:p w:rsidR="00AA2F02" w:rsidRPr="00AA2F02" w:rsidRDefault="00AA2F02" w:rsidP="00B21077">
      <w:pPr>
        <w:pStyle w:val="ListParagraph"/>
        <w:numPr>
          <w:ilvl w:val="0"/>
          <w:numId w:val="17"/>
        </w:numPr>
        <w:rPr>
          <w:rFonts w:asciiTheme="minorHAnsi" w:hAnsiTheme="minorHAnsi" w:cstheme="minorHAnsi"/>
          <w:b/>
        </w:rPr>
      </w:pPr>
      <w:r>
        <w:rPr>
          <w:rFonts w:asciiTheme="minorHAnsi" w:hAnsiTheme="minorHAnsi" w:cstheme="minorHAnsi"/>
        </w:rPr>
        <w:t>to replace the supercomputer at the National Computational Infrastructure, announced in December 2017</w:t>
      </w:r>
    </w:p>
    <w:p w:rsidR="00045933" w:rsidRPr="000B078D" w:rsidRDefault="003A1BBC" w:rsidP="00B21077">
      <w:pPr>
        <w:pStyle w:val="ListParagraph"/>
        <w:numPr>
          <w:ilvl w:val="0"/>
          <w:numId w:val="17"/>
        </w:numPr>
        <w:rPr>
          <w:rFonts w:asciiTheme="minorHAnsi" w:hAnsiTheme="minorHAnsi" w:cstheme="minorHAnsi"/>
          <w:b/>
        </w:rPr>
      </w:pPr>
      <w:r>
        <w:rPr>
          <w:rFonts w:asciiTheme="minorHAnsi" w:hAnsiTheme="minorHAnsi" w:cstheme="minorHAnsi"/>
        </w:rPr>
        <w:t xml:space="preserve">as part of </w:t>
      </w:r>
      <w:r w:rsidR="00AA2F02">
        <w:rPr>
          <w:rFonts w:asciiTheme="minorHAnsi" w:hAnsiTheme="minorHAnsi" w:cstheme="minorHAnsi"/>
        </w:rPr>
        <w:t xml:space="preserve">the Government’s </w:t>
      </w:r>
      <w:r w:rsidR="005B6A11">
        <w:rPr>
          <w:rFonts w:asciiTheme="minorHAnsi" w:hAnsiTheme="minorHAnsi" w:cstheme="minorHAnsi"/>
        </w:rPr>
        <w:t>I</w:t>
      </w:r>
      <w:r w:rsidR="00EF153C">
        <w:rPr>
          <w:rFonts w:asciiTheme="minorHAnsi" w:hAnsiTheme="minorHAnsi" w:cstheme="minorHAnsi"/>
        </w:rPr>
        <w:t>nvestment Plan</w:t>
      </w:r>
      <w:r w:rsidR="00045933" w:rsidRPr="000B078D">
        <w:rPr>
          <w:rFonts w:asciiTheme="minorHAnsi" w:hAnsiTheme="minorHAnsi" w:cstheme="minorHAnsi"/>
          <w:b/>
        </w:rPr>
        <w:t>.</w:t>
      </w:r>
    </w:p>
    <w:p w:rsidR="00ED485E" w:rsidRDefault="00732750" w:rsidP="00AA2F02">
      <w:pPr>
        <w:spacing w:after="120"/>
      </w:pPr>
      <w:r>
        <w:t>Where projects received</w:t>
      </w:r>
      <w:r w:rsidR="00ED485E">
        <w:t xml:space="preserve"> funding </w:t>
      </w:r>
      <w:r w:rsidR="00876AD6">
        <w:t>under earlier NCRIS Guidelines</w:t>
      </w:r>
      <w:r>
        <w:t xml:space="preserve">, their funding </w:t>
      </w:r>
      <w:r w:rsidR="00876AD6">
        <w:t>under the</w:t>
      </w:r>
      <w:r>
        <w:t xml:space="preserve"> NCRIS 2</w:t>
      </w:r>
      <w:r w:rsidR="005B6A11">
        <w:t>0</w:t>
      </w:r>
      <w:r>
        <w:t xml:space="preserve">18 </w:t>
      </w:r>
      <w:r w:rsidR="00876AD6">
        <w:t xml:space="preserve">Guidelines </w:t>
      </w:r>
      <w:r>
        <w:t>will complement that funding</w:t>
      </w:r>
      <w:r w:rsidR="00876AD6">
        <w:rPr>
          <w:rStyle w:val="FootnoteReference"/>
        </w:rPr>
        <w:footnoteReference w:id="3"/>
      </w:r>
      <w:r w:rsidR="00876AD6">
        <w:t xml:space="preserve">. </w:t>
      </w:r>
    </w:p>
    <w:p w:rsidR="00735720" w:rsidRDefault="00045933" w:rsidP="00AA2F02">
      <w:pPr>
        <w:spacing w:after="120"/>
      </w:pPr>
      <w:r w:rsidRPr="00045933">
        <w:t>The objective</w:t>
      </w:r>
      <w:r w:rsidR="00735720">
        <w:t>s</w:t>
      </w:r>
      <w:r w:rsidRPr="00045933">
        <w:t xml:space="preserve"> of the Program</w:t>
      </w:r>
      <w:r w:rsidR="00ED485E">
        <w:t xml:space="preserve"> </w:t>
      </w:r>
      <w:r w:rsidR="00735720">
        <w:t>are to:</w:t>
      </w:r>
    </w:p>
    <w:p w:rsidR="00735720" w:rsidRPr="00944A44" w:rsidRDefault="00AA2F02" w:rsidP="00944A44">
      <w:pPr>
        <w:pStyle w:val="ListParagraph"/>
        <w:numPr>
          <w:ilvl w:val="0"/>
          <w:numId w:val="39"/>
        </w:numPr>
        <w:spacing w:after="120"/>
        <w:rPr>
          <w:rFonts w:cstheme="minorHAnsi"/>
          <w:b/>
        </w:rPr>
      </w:pPr>
      <w:r w:rsidRPr="00944A44">
        <w:rPr>
          <w:rFonts w:asciiTheme="minorHAnsi" w:hAnsiTheme="minorHAnsi" w:cstheme="minorHAnsi"/>
        </w:rPr>
        <w:t>catalys</w:t>
      </w:r>
      <w:r w:rsidR="00735720">
        <w:rPr>
          <w:rFonts w:asciiTheme="minorHAnsi" w:hAnsiTheme="minorHAnsi" w:cstheme="minorHAnsi"/>
        </w:rPr>
        <w:t>e</w:t>
      </w:r>
      <w:r w:rsidRPr="00944A44">
        <w:rPr>
          <w:rFonts w:asciiTheme="minorHAnsi" w:hAnsiTheme="minorHAnsi" w:cstheme="minorHAnsi"/>
        </w:rPr>
        <w:t xml:space="preserve"> and support a national network of research infrastructure projects</w:t>
      </w:r>
    </w:p>
    <w:p w:rsidR="00735720" w:rsidRPr="00944A44" w:rsidRDefault="00735720" w:rsidP="00944A44">
      <w:pPr>
        <w:pStyle w:val="ListParagraph"/>
        <w:numPr>
          <w:ilvl w:val="0"/>
          <w:numId w:val="39"/>
        </w:numPr>
        <w:spacing w:after="120"/>
        <w:rPr>
          <w:rFonts w:cstheme="minorHAnsi"/>
          <w:b/>
        </w:rPr>
      </w:pPr>
      <w:r>
        <w:rPr>
          <w:rFonts w:asciiTheme="minorHAnsi" w:hAnsiTheme="minorHAnsi" w:cstheme="minorHAnsi"/>
        </w:rPr>
        <w:t xml:space="preserve">through the network, </w:t>
      </w:r>
      <w:r w:rsidR="00AA2F02" w:rsidRPr="00944A44">
        <w:rPr>
          <w:rFonts w:asciiTheme="minorHAnsi" w:hAnsiTheme="minorHAnsi" w:cstheme="minorHAnsi"/>
        </w:rPr>
        <w:t>support high quality research that will drive greater innovation in the Australian research sector and the economy more broadly</w:t>
      </w:r>
    </w:p>
    <w:p w:rsidR="00485902" w:rsidRPr="002165C7" w:rsidRDefault="00735720" w:rsidP="00944A44">
      <w:pPr>
        <w:pStyle w:val="ListParagraph"/>
        <w:numPr>
          <w:ilvl w:val="0"/>
          <w:numId w:val="39"/>
        </w:numPr>
        <w:spacing w:after="120"/>
        <w:rPr>
          <w:rFonts w:cstheme="minorHAnsi"/>
          <w:b/>
        </w:rPr>
      </w:pPr>
      <w:r>
        <w:rPr>
          <w:rFonts w:asciiTheme="minorHAnsi" w:hAnsiTheme="minorHAnsi" w:cstheme="minorHAnsi"/>
        </w:rPr>
        <w:t>empower</w:t>
      </w:r>
      <w:r w:rsidR="00AA2F02" w:rsidRPr="00944A44">
        <w:rPr>
          <w:rFonts w:asciiTheme="minorHAnsi" w:hAnsiTheme="minorHAnsi" w:cstheme="minorHAnsi"/>
        </w:rPr>
        <w:t xml:space="preserve"> Australian researchers to address key national and global challenges and support collaboration between researchers and other end users, such as industry both nationally and internationally.</w:t>
      </w:r>
    </w:p>
    <w:p w:rsidR="00E2254B" w:rsidRDefault="00045933" w:rsidP="00045933">
      <w:pPr>
        <w:spacing w:after="120"/>
      </w:pPr>
      <w:r w:rsidRPr="00045933">
        <w:t xml:space="preserve">The expected outcome of the Program </w:t>
      </w:r>
      <w:r w:rsidR="00876AD6">
        <w:t>is</w:t>
      </w:r>
      <w:r w:rsidR="00E2254B">
        <w:t>:</w:t>
      </w:r>
    </w:p>
    <w:p w:rsidR="00461299" w:rsidRPr="00944A44" w:rsidRDefault="00461299" w:rsidP="00944A44">
      <w:pPr>
        <w:pStyle w:val="ListParagraph"/>
        <w:numPr>
          <w:ilvl w:val="0"/>
          <w:numId w:val="23"/>
        </w:numPr>
        <w:spacing w:after="120"/>
        <w:rPr>
          <w:rFonts w:asciiTheme="minorHAnsi" w:hAnsiTheme="minorHAnsi" w:cstheme="minorHAnsi"/>
        </w:rPr>
      </w:pPr>
      <w:r w:rsidRPr="0039438E">
        <w:rPr>
          <w:rFonts w:asciiTheme="minorHAnsi" w:hAnsiTheme="minorHAnsi" w:cstheme="minorHAnsi"/>
        </w:rPr>
        <w:t>a networked se</w:t>
      </w:r>
      <w:r w:rsidR="00876AD6">
        <w:rPr>
          <w:rFonts w:asciiTheme="minorHAnsi" w:hAnsiTheme="minorHAnsi" w:cstheme="minorHAnsi"/>
        </w:rPr>
        <w:t>t</w:t>
      </w:r>
      <w:r w:rsidRPr="0039438E">
        <w:rPr>
          <w:rFonts w:asciiTheme="minorHAnsi" w:hAnsiTheme="minorHAnsi" w:cstheme="minorHAnsi"/>
        </w:rPr>
        <w:t xml:space="preserve"> of national research infrastructure projects that</w:t>
      </w:r>
      <w:r w:rsidR="00876AD6" w:rsidRPr="00876AD6">
        <w:rPr>
          <w:rFonts w:asciiTheme="minorHAnsi" w:hAnsiTheme="minorHAnsi" w:cstheme="minorHAnsi"/>
        </w:rPr>
        <w:t xml:space="preserve"> </w:t>
      </w:r>
      <w:r w:rsidR="00735720">
        <w:rPr>
          <w:rFonts w:asciiTheme="minorHAnsi" w:hAnsiTheme="minorHAnsi" w:cstheme="minorHAnsi"/>
        </w:rPr>
        <w:t xml:space="preserve">collaboratively, </w:t>
      </w:r>
      <w:r w:rsidR="00876AD6" w:rsidRPr="00876AD6">
        <w:rPr>
          <w:rFonts w:asciiTheme="minorHAnsi" w:hAnsiTheme="minorHAnsi" w:cstheme="minorHAnsi"/>
        </w:rPr>
        <w:t xml:space="preserve">efficiently and effectively </w:t>
      </w:r>
      <w:r w:rsidRPr="00876AD6">
        <w:rPr>
          <w:rFonts w:asciiTheme="minorHAnsi" w:hAnsiTheme="minorHAnsi" w:cstheme="minorHAnsi"/>
        </w:rPr>
        <w:t xml:space="preserve">address the Government’s </w:t>
      </w:r>
      <w:r w:rsidR="00735720">
        <w:rPr>
          <w:rFonts w:asciiTheme="minorHAnsi" w:hAnsiTheme="minorHAnsi" w:cstheme="minorHAnsi"/>
        </w:rPr>
        <w:t xml:space="preserve">research infrastructure investment </w:t>
      </w:r>
      <w:r w:rsidRPr="00876AD6">
        <w:rPr>
          <w:rFonts w:asciiTheme="minorHAnsi" w:hAnsiTheme="minorHAnsi" w:cstheme="minorHAnsi"/>
        </w:rPr>
        <w:t>priorities</w:t>
      </w:r>
      <w:r w:rsidR="00876AD6">
        <w:rPr>
          <w:rFonts w:asciiTheme="minorHAnsi" w:hAnsiTheme="minorHAnsi" w:cstheme="minorHAnsi"/>
        </w:rPr>
        <w:t>.</w:t>
      </w:r>
    </w:p>
    <w:p w:rsidR="00876AD6" w:rsidRPr="00340DDB" w:rsidRDefault="00876AD6" w:rsidP="00944A44">
      <w:pPr>
        <w:spacing w:after="120"/>
        <w:rPr>
          <w:rFonts w:cstheme="minorHAnsi"/>
        </w:rPr>
      </w:pPr>
      <w:r w:rsidRPr="0039438E">
        <w:rPr>
          <w:rFonts w:cstheme="minorHAnsi"/>
        </w:rPr>
        <w:t>E</w:t>
      </w:r>
      <w:r w:rsidRPr="00340DDB">
        <w:rPr>
          <w:rFonts w:cstheme="minorHAnsi"/>
        </w:rPr>
        <w:t>fficiently and effectively addressing the Government’s priorities includes:</w:t>
      </w:r>
    </w:p>
    <w:p w:rsidR="005B1CBE" w:rsidRPr="00944A44" w:rsidRDefault="00876AD6" w:rsidP="00944A44">
      <w:pPr>
        <w:pStyle w:val="ListParagraph"/>
        <w:numPr>
          <w:ilvl w:val="1"/>
          <w:numId w:val="23"/>
        </w:numPr>
        <w:spacing w:after="120"/>
      </w:pPr>
      <w:r w:rsidRPr="00AC0C45">
        <w:rPr>
          <w:rFonts w:asciiTheme="minorHAnsi" w:hAnsiTheme="minorHAnsi" w:cstheme="minorHAnsi"/>
        </w:rPr>
        <w:t>offer</w:t>
      </w:r>
      <w:r>
        <w:rPr>
          <w:rFonts w:asciiTheme="minorHAnsi" w:hAnsiTheme="minorHAnsi" w:cstheme="minorHAnsi"/>
        </w:rPr>
        <w:t>ing</w:t>
      </w:r>
      <w:r w:rsidRPr="00AC0C45">
        <w:rPr>
          <w:rFonts w:asciiTheme="minorHAnsi" w:hAnsiTheme="minorHAnsi" w:cstheme="minorHAnsi"/>
        </w:rPr>
        <w:t xml:space="preserve"> world-class </w:t>
      </w:r>
      <w:r>
        <w:rPr>
          <w:rFonts w:asciiTheme="minorHAnsi" w:hAnsiTheme="minorHAnsi" w:cstheme="minorHAnsi"/>
        </w:rPr>
        <w:t xml:space="preserve">research </w:t>
      </w:r>
      <w:r w:rsidRPr="00AC0C45">
        <w:rPr>
          <w:rFonts w:asciiTheme="minorHAnsi" w:hAnsiTheme="minorHAnsi" w:cstheme="minorHAnsi"/>
        </w:rPr>
        <w:t xml:space="preserve">infrastructure, </w:t>
      </w:r>
      <w:r w:rsidR="005B1CBE">
        <w:rPr>
          <w:rFonts w:asciiTheme="minorHAnsi" w:hAnsiTheme="minorHAnsi" w:cstheme="minorHAnsi"/>
        </w:rPr>
        <w:t>in line with</w:t>
      </w:r>
    </w:p>
    <w:p w:rsidR="005B1CBE" w:rsidRPr="00944A44" w:rsidRDefault="005B1CBE" w:rsidP="00944A44">
      <w:pPr>
        <w:pStyle w:val="ListParagraph"/>
        <w:numPr>
          <w:ilvl w:val="2"/>
          <w:numId w:val="23"/>
        </w:numPr>
        <w:spacing w:after="120"/>
      </w:pPr>
      <w:r>
        <w:rPr>
          <w:rFonts w:asciiTheme="minorHAnsi" w:hAnsiTheme="minorHAnsi" w:cstheme="minorHAnsi"/>
        </w:rPr>
        <w:t>the 2016 Roadmap</w:t>
      </w:r>
    </w:p>
    <w:p w:rsidR="00735720" w:rsidRPr="00944A44" w:rsidRDefault="00735720" w:rsidP="00944A44">
      <w:pPr>
        <w:pStyle w:val="ListParagraph"/>
        <w:numPr>
          <w:ilvl w:val="2"/>
          <w:numId w:val="23"/>
        </w:numPr>
        <w:spacing w:after="120"/>
      </w:pPr>
      <w:r>
        <w:rPr>
          <w:rFonts w:asciiTheme="minorHAnsi" w:hAnsiTheme="minorHAnsi" w:cstheme="minorHAnsi"/>
        </w:rPr>
        <w:t xml:space="preserve">the </w:t>
      </w:r>
      <w:r w:rsidR="005B6A11">
        <w:rPr>
          <w:rFonts w:asciiTheme="minorHAnsi" w:hAnsiTheme="minorHAnsi" w:cstheme="minorHAnsi"/>
        </w:rPr>
        <w:t>I</w:t>
      </w:r>
      <w:r w:rsidR="00EF153C">
        <w:rPr>
          <w:rFonts w:asciiTheme="minorHAnsi" w:hAnsiTheme="minorHAnsi" w:cstheme="minorHAnsi"/>
        </w:rPr>
        <w:t>nvestment Plan</w:t>
      </w:r>
    </w:p>
    <w:p w:rsidR="005B1CBE" w:rsidRDefault="005B1CBE" w:rsidP="00944A44">
      <w:pPr>
        <w:pStyle w:val="ListParagraph"/>
        <w:numPr>
          <w:ilvl w:val="2"/>
          <w:numId w:val="23"/>
        </w:numPr>
        <w:spacing w:after="120"/>
        <w:rPr>
          <w:rFonts w:asciiTheme="minorHAnsi" w:hAnsiTheme="minorHAnsi" w:cstheme="minorHAnsi"/>
        </w:rPr>
      </w:pPr>
      <w:r w:rsidRPr="00944A44">
        <w:rPr>
          <w:rFonts w:asciiTheme="minorHAnsi" w:hAnsiTheme="minorHAnsi" w:cstheme="minorHAnsi"/>
        </w:rPr>
        <w:t>relevant changes in the needs of researchers</w:t>
      </w:r>
      <w:r w:rsidR="001E026F">
        <w:rPr>
          <w:rFonts w:asciiTheme="minorHAnsi" w:hAnsiTheme="minorHAnsi" w:cstheme="minorHAnsi"/>
        </w:rPr>
        <w:t xml:space="preserve"> over time</w:t>
      </w:r>
    </w:p>
    <w:p w:rsidR="003328C0" w:rsidRPr="0039438E" w:rsidRDefault="003328C0" w:rsidP="003328C0">
      <w:pPr>
        <w:pStyle w:val="ListParagraph"/>
        <w:numPr>
          <w:ilvl w:val="2"/>
          <w:numId w:val="23"/>
        </w:numPr>
        <w:spacing w:after="120"/>
        <w:rPr>
          <w:rFonts w:asciiTheme="minorHAnsi" w:hAnsiTheme="minorHAnsi" w:cstheme="minorHAnsi"/>
        </w:rPr>
      </w:pPr>
      <w:r w:rsidRPr="003328C0">
        <w:rPr>
          <w:rFonts w:asciiTheme="minorHAnsi" w:hAnsiTheme="minorHAnsi" w:cstheme="minorHAnsi"/>
        </w:rPr>
        <w:t xml:space="preserve">future investments </w:t>
      </w:r>
      <w:r w:rsidR="001E026F">
        <w:rPr>
          <w:rFonts w:asciiTheme="minorHAnsi" w:hAnsiTheme="minorHAnsi" w:cstheme="minorHAnsi"/>
        </w:rPr>
        <w:t xml:space="preserve">to </w:t>
      </w:r>
      <w:r w:rsidRPr="003328C0">
        <w:rPr>
          <w:rFonts w:asciiTheme="minorHAnsi" w:hAnsiTheme="minorHAnsi" w:cstheme="minorHAnsi"/>
        </w:rPr>
        <w:t xml:space="preserve">deliver the maximum benefit to researchers and to the community, the </w:t>
      </w:r>
      <w:r w:rsidR="003816BE">
        <w:rPr>
          <w:rFonts w:asciiTheme="minorHAnsi" w:hAnsiTheme="minorHAnsi" w:cstheme="minorHAnsi"/>
        </w:rPr>
        <w:t xml:space="preserve">Investment </w:t>
      </w:r>
      <w:r w:rsidRPr="003328C0">
        <w:rPr>
          <w:rFonts w:asciiTheme="minorHAnsi" w:hAnsiTheme="minorHAnsi" w:cstheme="minorHAnsi"/>
        </w:rPr>
        <w:t xml:space="preserve">Plan will be reviewed </w:t>
      </w:r>
      <w:r w:rsidR="001E026F">
        <w:rPr>
          <w:rFonts w:asciiTheme="minorHAnsi" w:hAnsiTheme="minorHAnsi" w:cstheme="minorHAnsi"/>
        </w:rPr>
        <w:t xml:space="preserve">and reaffirmed </w:t>
      </w:r>
      <w:r w:rsidRPr="003328C0">
        <w:rPr>
          <w:rFonts w:asciiTheme="minorHAnsi" w:hAnsiTheme="minorHAnsi" w:cstheme="minorHAnsi"/>
        </w:rPr>
        <w:t>every two years to keep investments relevant and in line with research priorities</w:t>
      </w:r>
    </w:p>
    <w:p w:rsidR="00876AD6" w:rsidRPr="00944A44" w:rsidRDefault="005B1CBE" w:rsidP="00944A44">
      <w:pPr>
        <w:pStyle w:val="ListParagraph"/>
        <w:numPr>
          <w:ilvl w:val="1"/>
          <w:numId w:val="23"/>
        </w:numPr>
        <w:spacing w:after="120"/>
      </w:pPr>
      <w:r>
        <w:rPr>
          <w:rFonts w:asciiTheme="minorHAnsi" w:hAnsiTheme="minorHAnsi" w:cstheme="minorHAnsi"/>
        </w:rPr>
        <w:t xml:space="preserve">offering world-class research infrastructure </w:t>
      </w:r>
      <w:r w:rsidR="00876AD6" w:rsidRPr="00AC0C45">
        <w:rPr>
          <w:rFonts w:asciiTheme="minorHAnsi" w:hAnsiTheme="minorHAnsi" w:cstheme="minorHAnsi"/>
        </w:rPr>
        <w:t>on an open merit-based access basis where appropriate</w:t>
      </w:r>
    </w:p>
    <w:p w:rsidR="00876AD6" w:rsidRPr="0039438E" w:rsidRDefault="00876AD6" w:rsidP="00944A44">
      <w:pPr>
        <w:pStyle w:val="ListParagraph"/>
        <w:numPr>
          <w:ilvl w:val="1"/>
          <w:numId w:val="23"/>
        </w:numPr>
        <w:spacing w:after="120"/>
        <w:rPr>
          <w:rFonts w:asciiTheme="minorHAnsi" w:hAnsiTheme="minorHAnsi" w:cstheme="minorHAnsi"/>
        </w:rPr>
      </w:pPr>
      <w:r w:rsidRPr="00944A44">
        <w:rPr>
          <w:rFonts w:asciiTheme="minorHAnsi" w:hAnsiTheme="minorHAnsi" w:cstheme="minorHAnsi"/>
        </w:rPr>
        <w:t>undertaking best practice management and governance activities</w:t>
      </w:r>
    </w:p>
    <w:p w:rsidR="00045933" w:rsidRPr="00944A44" w:rsidRDefault="005B1CBE" w:rsidP="00944A44">
      <w:pPr>
        <w:pStyle w:val="ListParagraph"/>
        <w:numPr>
          <w:ilvl w:val="1"/>
          <w:numId w:val="23"/>
        </w:numPr>
        <w:spacing w:after="120"/>
        <w:rPr>
          <w:rFonts w:asciiTheme="minorHAnsi" w:hAnsiTheme="minorHAnsi" w:cstheme="minorHAnsi"/>
        </w:rPr>
      </w:pPr>
      <w:r>
        <w:rPr>
          <w:rFonts w:asciiTheme="minorHAnsi" w:hAnsiTheme="minorHAnsi" w:cstheme="minorHAnsi"/>
        </w:rPr>
        <w:t xml:space="preserve">strategically engaging with other research infrastructure providers to ensure the maximum, efficient delivery of complementary or intersecting </w:t>
      </w:r>
      <w:r w:rsidR="00735720">
        <w:rPr>
          <w:rFonts w:asciiTheme="minorHAnsi" w:hAnsiTheme="minorHAnsi" w:cstheme="minorHAnsi"/>
        </w:rPr>
        <w:t xml:space="preserve">priority </w:t>
      </w:r>
      <w:r>
        <w:rPr>
          <w:rFonts w:asciiTheme="minorHAnsi" w:hAnsiTheme="minorHAnsi" w:cstheme="minorHAnsi"/>
        </w:rPr>
        <w:t>research infrastructure needs.</w:t>
      </w:r>
    </w:p>
    <w:p w:rsidR="00045933" w:rsidRPr="000F576B" w:rsidRDefault="00876AD6" w:rsidP="00220C4F">
      <w:pPr>
        <w:pStyle w:val="NormalWeb"/>
      </w:pPr>
      <w:r w:rsidRPr="00220C4F">
        <w:rPr>
          <w:rFonts w:asciiTheme="minorHAnsi" w:hAnsiTheme="minorHAnsi" w:cstheme="minorHAnsi"/>
          <w:sz w:val="22"/>
          <w:szCs w:val="22"/>
          <w:lang w:eastAsia="en-US"/>
        </w:rPr>
        <w:t>NCRIS</w:t>
      </w:r>
      <w:r w:rsidR="00045933" w:rsidRPr="00220C4F">
        <w:rPr>
          <w:rFonts w:asciiTheme="minorHAnsi" w:hAnsiTheme="minorHAnsi" w:cstheme="minorHAnsi"/>
          <w:sz w:val="22"/>
          <w:szCs w:val="22"/>
          <w:lang w:eastAsia="en-US"/>
        </w:rPr>
        <w:t xml:space="preserve"> will be undertaken according to the Commonwealth Grants Rules and Guidelines (CGRGs)</w:t>
      </w:r>
      <w:r w:rsidR="00045933" w:rsidRPr="00045933">
        <w:rPr>
          <w:i/>
        </w:rPr>
        <w:t xml:space="preserve"> </w:t>
      </w:r>
      <w:hyperlink r:id="rId13" w:history="1">
        <w:r w:rsidR="00EC1E9C">
          <w:rPr>
            <w:rStyle w:val="Hyperlink"/>
          </w:rPr>
          <w:t>https://www.legislation.gov.au/Details/F2017L01097</w:t>
        </w:r>
      </w:hyperlink>
      <w:r w:rsidR="00176D52">
        <w:rPr>
          <w:color w:val="0070C0"/>
        </w:rPr>
        <w:t xml:space="preserve"> </w:t>
      </w:r>
    </w:p>
    <w:p w:rsidR="0055391B" w:rsidRDefault="0055391B" w:rsidP="0055391B">
      <w:bookmarkStart w:id="6" w:name="_Ref421783365"/>
      <w:r>
        <w:t>The objective of each NCRIS grant is</w:t>
      </w:r>
      <w:r w:rsidR="00C3587F">
        <w:t xml:space="preserve"> to support a project that</w:t>
      </w:r>
      <w:r>
        <w:t xml:space="preserve">, through participation in a national network of </w:t>
      </w:r>
      <w:r w:rsidR="00C3587F">
        <w:t xml:space="preserve">national research infrastructure </w:t>
      </w:r>
      <w:r>
        <w:t xml:space="preserve">projects, </w:t>
      </w:r>
      <w:r w:rsidR="00EC1E9C">
        <w:t xml:space="preserve">provides world-class research infrastructure to </w:t>
      </w:r>
      <w:r>
        <w:t>support</w:t>
      </w:r>
      <w:r w:rsidR="00ED3365">
        <w:t xml:space="preserve"> high-</w:t>
      </w:r>
      <w:r>
        <w:t>quality research that will drive greater innovation in the Australian research sector and the economy more broadly. Australian researchers will be empowered to address key national and global challenges and support collaboration between researchers and other end users, particularly industry.</w:t>
      </w:r>
    </w:p>
    <w:p w:rsidR="00E950A8" w:rsidRDefault="00E950A8" w:rsidP="00E950A8">
      <w:r>
        <w:t>Further grants to establish new NCRIS projects may be approved by the Minister for Education and Training</w:t>
      </w:r>
      <w:r w:rsidR="00EC1E9C">
        <w:t xml:space="preserve"> following scoping studies</w:t>
      </w:r>
      <w:r w:rsidR="003A1BBC">
        <w:t xml:space="preserve"> </w:t>
      </w:r>
      <w:r w:rsidR="001E026F">
        <w:t xml:space="preserve">and </w:t>
      </w:r>
      <w:r w:rsidR="003A1BBC">
        <w:t>in accordance with future Government Research Infrastructure Investment Plans</w:t>
      </w:r>
      <w:r>
        <w:t>.</w:t>
      </w:r>
      <w:r w:rsidR="0056435F">
        <w:t xml:space="preserve"> The scoping studies will be prepared by independent expert panels, including consultation with all key stakeholders. The Department of Education and Training will ensure the studies adhere to their Terms of Reference. </w:t>
      </w:r>
    </w:p>
    <w:p w:rsidR="00E950A8" w:rsidRDefault="00E950A8" w:rsidP="00E950A8">
      <w:r>
        <w:t>Further funding for existing projects to address unforeseen and unavoidable costs will be considered and may be approved by the Department of Education and Training in line with internal delegations</w:t>
      </w:r>
      <w:r w:rsidR="00EC1E9C">
        <w:t xml:space="preserve"> and funding availability</w:t>
      </w:r>
      <w:r>
        <w:t>.</w:t>
      </w:r>
      <w:r w:rsidR="00FB15DD">
        <w:t xml:space="preserve"> Factors that will be taken into account include, but are not limited to, cost, co-investment, number of researchers supported and criticality of the item to the operation of a project and significant component of the project.</w:t>
      </w:r>
    </w:p>
    <w:p w:rsidR="00045933" w:rsidRPr="00045933" w:rsidRDefault="00045933" w:rsidP="00045933">
      <w:pPr>
        <w:rPr>
          <w:b/>
        </w:rPr>
      </w:pPr>
      <w:bookmarkStart w:id="7" w:name="_Toc461105052"/>
      <w:bookmarkEnd w:id="6"/>
      <w:bookmarkEnd w:id="7"/>
    </w:p>
    <w:p w:rsidR="00045933" w:rsidRPr="00B72EE8" w:rsidRDefault="00045933" w:rsidP="00A668C8">
      <w:pPr>
        <w:pStyle w:val="Heading1Numbered"/>
      </w:pPr>
      <w:bookmarkStart w:id="8" w:name="_Toc467773954"/>
      <w:bookmarkStart w:id="9" w:name="_Toc514836282"/>
      <w:r>
        <w:t>Grant amount</w:t>
      </w:r>
      <w:bookmarkEnd w:id="8"/>
      <w:bookmarkEnd w:id="9"/>
    </w:p>
    <w:p w:rsidR="00ED3365" w:rsidRDefault="00ED3365" w:rsidP="00045933">
      <w:pPr>
        <w:rPr>
          <w:rFonts w:cstheme="minorHAnsi"/>
        </w:rPr>
      </w:pPr>
      <w:r>
        <w:rPr>
          <w:rFonts w:cstheme="minorHAnsi"/>
        </w:rPr>
        <w:t>These Guidelines cover Australian Government funding of $</w:t>
      </w:r>
      <w:r w:rsidR="00FD2FE7">
        <w:rPr>
          <w:rFonts w:cstheme="minorHAnsi"/>
        </w:rPr>
        <w:t>1,28</w:t>
      </w:r>
      <w:r w:rsidR="00C47C12">
        <w:rPr>
          <w:rFonts w:cstheme="minorHAnsi"/>
        </w:rPr>
        <w:t>3.734</w:t>
      </w:r>
      <w:r w:rsidR="00EC1E9C">
        <w:rPr>
          <w:rFonts w:cstheme="minorHAnsi"/>
        </w:rPr>
        <w:t xml:space="preserve"> million</w:t>
      </w:r>
      <w:r>
        <w:rPr>
          <w:rFonts w:cstheme="minorHAnsi"/>
        </w:rPr>
        <w:t xml:space="preserve"> over </w:t>
      </w:r>
      <w:r w:rsidR="00EC1E9C">
        <w:rPr>
          <w:rFonts w:cstheme="minorHAnsi"/>
        </w:rPr>
        <w:t>6</w:t>
      </w:r>
      <w:r w:rsidR="00C47C12">
        <w:rPr>
          <w:rFonts w:cstheme="minorHAnsi"/>
        </w:rPr>
        <w:t> </w:t>
      </w:r>
      <w:r>
        <w:rPr>
          <w:rFonts w:cstheme="minorHAnsi"/>
        </w:rPr>
        <w:t xml:space="preserve">years </w:t>
      </w:r>
      <w:r w:rsidR="00EC1E9C">
        <w:rPr>
          <w:rFonts w:cstheme="minorHAnsi"/>
        </w:rPr>
        <w:t xml:space="preserve">(i.e. 2017-18 to 2022-23) </w:t>
      </w:r>
      <w:r>
        <w:rPr>
          <w:rFonts w:cstheme="minorHAnsi"/>
        </w:rPr>
        <w:t>for NCRIS. Grants under these Guideline</w:t>
      </w:r>
      <w:r w:rsidR="00AC6DFE">
        <w:rPr>
          <w:rFonts w:cstheme="minorHAnsi"/>
        </w:rPr>
        <w:t>s</w:t>
      </w:r>
      <w:r>
        <w:rPr>
          <w:rFonts w:cstheme="minorHAnsi"/>
        </w:rPr>
        <w:t xml:space="preserve"> are in addition to grants </w:t>
      </w:r>
      <w:r w:rsidR="006F3C70">
        <w:rPr>
          <w:rFonts w:cstheme="minorHAnsi"/>
        </w:rPr>
        <w:t xml:space="preserve">awarded </w:t>
      </w:r>
      <w:r>
        <w:rPr>
          <w:rFonts w:cstheme="minorHAnsi"/>
        </w:rPr>
        <w:t xml:space="preserve">under </w:t>
      </w:r>
      <w:r w:rsidR="00EC1E9C">
        <w:rPr>
          <w:rFonts w:cstheme="minorHAnsi"/>
        </w:rPr>
        <w:t>earlier</w:t>
      </w:r>
      <w:r>
        <w:rPr>
          <w:rFonts w:cstheme="minorHAnsi"/>
        </w:rPr>
        <w:t xml:space="preserve"> NCRIS Guidelines.  </w:t>
      </w:r>
    </w:p>
    <w:p w:rsidR="0047231F" w:rsidRDefault="0047231F" w:rsidP="00045933">
      <w:pPr>
        <w:rPr>
          <w:rFonts w:cstheme="minorHAnsi"/>
        </w:rPr>
      </w:pPr>
      <w:r>
        <w:rPr>
          <w:rFonts w:cstheme="minorHAnsi"/>
        </w:rPr>
        <w:t xml:space="preserve">Grants </w:t>
      </w:r>
      <w:r w:rsidR="00EC1E9C">
        <w:rPr>
          <w:rFonts w:cstheme="minorHAnsi"/>
        </w:rPr>
        <w:t>are</w:t>
      </w:r>
      <w:r>
        <w:rPr>
          <w:rFonts w:cstheme="minorHAnsi"/>
        </w:rPr>
        <w:t xml:space="preserve"> for identified priority national research infrastructure projects and </w:t>
      </w:r>
      <w:r w:rsidR="00EC1E9C">
        <w:rPr>
          <w:rFonts w:cstheme="minorHAnsi"/>
        </w:rPr>
        <w:t xml:space="preserve">will be </w:t>
      </w:r>
      <w:r w:rsidR="00ED3365">
        <w:rPr>
          <w:rFonts w:cstheme="minorHAnsi"/>
        </w:rPr>
        <w:t xml:space="preserve">provided to </w:t>
      </w:r>
      <w:r>
        <w:rPr>
          <w:rFonts w:cstheme="minorHAnsi"/>
        </w:rPr>
        <w:t>their established lead agents. Grant amounts may comprise funding</w:t>
      </w:r>
      <w:r w:rsidR="003248AD">
        <w:rPr>
          <w:rFonts w:cstheme="minorHAnsi"/>
        </w:rPr>
        <w:t xml:space="preserve"> (refer Appendix B for a year-by-year breakdown)</w:t>
      </w:r>
      <w:r>
        <w:rPr>
          <w:rFonts w:cstheme="minorHAnsi"/>
        </w:rPr>
        <w:t>:</w:t>
      </w:r>
    </w:p>
    <w:p w:rsidR="0047231F" w:rsidRDefault="006F3C70" w:rsidP="0047231F">
      <w:pPr>
        <w:pStyle w:val="ListParagraph"/>
        <w:numPr>
          <w:ilvl w:val="0"/>
          <w:numId w:val="23"/>
        </w:numPr>
        <w:rPr>
          <w:rFonts w:asciiTheme="minorHAnsi" w:hAnsiTheme="minorHAnsi" w:cstheme="minorHAnsi"/>
        </w:rPr>
      </w:pPr>
      <w:r>
        <w:rPr>
          <w:rFonts w:asciiTheme="minorHAnsi" w:hAnsiTheme="minorHAnsi" w:cstheme="minorHAnsi"/>
        </w:rPr>
        <w:t xml:space="preserve">from </w:t>
      </w:r>
      <w:r w:rsidR="0047231F" w:rsidRPr="0047231F">
        <w:rPr>
          <w:rFonts w:asciiTheme="minorHAnsi" w:hAnsiTheme="minorHAnsi" w:cstheme="minorHAnsi"/>
        </w:rPr>
        <w:t>the Investment Plan</w:t>
      </w:r>
      <w:r w:rsidR="00727628">
        <w:rPr>
          <w:rFonts w:asciiTheme="minorHAnsi" w:hAnsiTheme="minorHAnsi" w:cstheme="minorHAnsi"/>
        </w:rPr>
        <w:t xml:space="preserve"> ($393.462 million)</w:t>
      </w:r>
    </w:p>
    <w:p w:rsidR="005A4EA0" w:rsidRDefault="006F3C70" w:rsidP="0047231F">
      <w:pPr>
        <w:pStyle w:val="ListParagraph"/>
        <w:numPr>
          <w:ilvl w:val="0"/>
          <w:numId w:val="23"/>
        </w:numPr>
        <w:rPr>
          <w:rFonts w:asciiTheme="minorHAnsi" w:hAnsiTheme="minorHAnsi" w:cstheme="minorHAnsi"/>
        </w:rPr>
      </w:pPr>
      <w:r>
        <w:rPr>
          <w:rFonts w:asciiTheme="minorHAnsi" w:hAnsiTheme="minorHAnsi" w:cstheme="minorHAnsi"/>
        </w:rPr>
        <w:t xml:space="preserve">from </w:t>
      </w:r>
      <w:r w:rsidR="0047231F">
        <w:rPr>
          <w:rFonts w:asciiTheme="minorHAnsi" w:hAnsiTheme="minorHAnsi" w:cstheme="minorHAnsi"/>
        </w:rPr>
        <w:t xml:space="preserve">operating funding for NCRIS projects provided </w:t>
      </w:r>
      <w:r w:rsidR="005A4EA0">
        <w:rPr>
          <w:rFonts w:asciiTheme="minorHAnsi" w:hAnsiTheme="minorHAnsi" w:cstheme="minorHAnsi"/>
        </w:rPr>
        <w:t>through</w:t>
      </w:r>
      <w:r w:rsidR="0047231F">
        <w:rPr>
          <w:rFonts w:asciiTheme="minorHAnsi" w:hAnsiTheme="minorHAnsi" w:cstheme="minorHAnsi"/>
        </w:rPr>
        <w:t xml:space="preserve"> the National Innovation and S</w:t>
      </w:r>
      <w:r w:rsidR="005A4EA0">
        <w:rPr>
          <w:rFonts w:asciiTheme="minorHAnsi" w:hAnsiTheme="minorHAnsi" w:cstheme="minorHAnsi"/>
        </w:rPr>
        <w:t>cienc</w:t>
      </w:r>
      <w:r w:rsidR="0047231F">
        <w:rPr>
          <w:rFonts w:asciiTheme="minorHAnsi" w:hAnsiTheme="minorHAnsi" w:cstheme="minorHAnsi"/>
        </w:rPr>
        <w:t>e Agenda</w:t>
      </w:r>
      <w:r w:rsidR="00796249">
        <w:rPr>
          <w:rFonts w:asciiTheme="minorHAnsi" w:hAnsiTheme="minorHAnsi" w:cstheme="minorHAnsi"/>
        </w:rPr>
        <w:t xml:space="preserve"> </w:t>
      </w:r>
      <w:r w:rsidR="00727628">
        <w:rPr>
          <w:rFonts w:asciiTheme="minorHAnsi" w:hAnsiTheme="minorHAnsi" w:cstheme="minorHAnsi"/>
        </w:rPr>
        <w:t>($820.273 million)</w:t>
      </w:r>
    </w:p>
    <w:p w:rsidR="0047231F" w:rsidRPr="0047231F" w:rsidRDefault="005A4EA0" w:rsidP="0047231F">
      <w:pPr>
        <w:pStyle w:val="ListParagraph"/>
        <w:numPr>
          <w:ilvl w:val="0"/>
          <w:numId w:val="23"/>
        </w:numPr>
        <w:rPr>
          <w:rFonts w:asciiTheme="minorHAnsi" w:hAnsiTheme="minorHAnsi" w:cstheme="minorHAnsi"/>
        </w:rPr>
      </w:pPr>
      <w:r>
        <w:rPr>
          <w:rFonts w:asciiTheme="minorHAnsi" w:hAnsiTheme="minorHAnsi" w:cstheme="minorHAnsi"/>
        </w:rPr>
        <w:t>to replace the National Computational Infrastructure’s supercomputer</w:t>
      </w:r>
      <w:r w:rsidR="00727628">
        <w:rPr>
          <w:rFonts w:asciiTheme="minorHAnsi" w:hAnsiTheme="minorHAnsi" w:cstheme="minorHAnsi"/>
        </w:rPr>
        <w:t xml:space="preserve"> ($70 million)</w:t>
      </w:r>
      <w:r>
        <w:rPr>
          <w:rFonts w:asciiTheme="minorHAnsi" w:hAnsiTheme="minorHAnsi" w:cstheme="minorHAnsi"/>
        </w:rPr>
        <w:t>.</w:t>
      </w:r>
      <w:r w:rsidR="0047231F" w:rsidRPr="0047231F">
        <w:rPr>
          <w:rFonts w:asciiTheme="minorHAnsi" w:hAnsiTheme="minorHAnsi" w:cstheme="minorHAnsi"/>
        </w:rPr>
        <w:t xml:space="preserve"> </w:t>
      </w:r>
    </w:p>
    <w:p w:rsidR="005A4EA0" w:rsidRPr="000F016C" w:rsidRDefault="005A4EA0" w:rsidP="00045933">
      <w:pPr>
        <w:rPr>
          <w:rFonts w:cstheme="minorHAnsi"/>
        </w:rPr>
      </w:pPr>
      <w:r>
        <w:rPr>
          <w:rFonts w:cstheme="minorHAnsi"/>
        </w:rPr>
        <w:t>Details of th</w:t>
      </w:r>
      <w:r w:rsidR="00ED3365">
        <w:rPr>
          <w:rFonts w:cstheme="minorHAnsi"/>
        </w:rPr>
        <w:t xml:space="preserve">ese initiatives </w:t>
      </w:r>
      <w:r>
        <w:rPr>
          <w:rFonts w:cstheme="minorHAnsi"/>
        </w:rPr>
        <w:t xml:space="preserve">are set out in </w:t>
      </w:r>
      <w:r w:rsidRPr="00220C4F">
        <w:rPr>
          <w:rFonts w:cstheme="minorHAnsi"/>
          <w:u w:val="single"/>
        </w:rPr>
        <w:t xml:space="preserve">Appendix </w:t>
      </w:r>
      <w:r w:rsidR="00CB5EFF" w:rsidRPr="00220C4F">
        <w:rPr>
          <w:rFonts w:cstheme="minorHAnsi"/>
          <w:u w:val="single"/>
        </w:rPr>
        <w:t>B</w:t>
      </w:r>
      <w:r w:rsidR="00EC1E9C">
        <w:rPr>
          <w:rFonts w:cstheme="minorHAnsi"/>
        </w:rPr>
        <w:t>.</w:t>
      </w:r>
    </w:p>
    <w:p w:rsidR="006267EC" w:rsidRDefault="00AE2D78" w:rsidP="00290D3D">
      <w:pPr>
        <w:rPr>
          <w:rFonts w:cstheme="minorHAnsi"/>
        </w:rPr>
      </w:pPr>
      <w:r>
        <w:rPr>
          <w:rFonts w:cstheme="minorHAnsi"/>
        </w:rPr>
        <w:t xml:space="preserve">Project-by-project </w:t>
      </w:r>
      <w:r w:rsidR="00290D3D" w:rsidRPr="00BF7AD8">
        <w:rPr>
          <w:rFonts w:cstheme="minorHAnsi"/>
        </w:rPr>
        <w:t xml:space="preserve">capital and operating grants for projects as a direct result of the Government’s response to the 2016 Roadmap and consideration of the </w:t>
      </w:r>
      <w:r w:rsidR="00AC6DFE">
        <w:rPr>
          <w:rFonts w:cstheme="minorHAnsi"/>
        </w:rPr>
        <w:t>I</w:t>
      </w:r>
      <w:r w:rsidR="00EF153C">
        <w:rPr>
          <w:rFonts w:cstheme="minorHAnsi"/>
        </w:rPr>
        <w:t>nvestment Plan</w:t>
      </w:r>
      <w:r w:rsidR="00290D3D" w:rsidRPr="00BF7AD8">
        <w:rPr>
          <w:rFonts w:cstheme="minorHAnsi"/>
        </w:rPr>
        <w:t xml:space="preserve"> are set</w:t>
      </w:r>
      <w:r w:rsidR="00290D3D" w:rsidRPr="0039438E">
        <w:rPr>
          <w:rFonts w:cstheme="minorHAnsi"/>
        </w:rPr>
        <w:t xml:space="preserve"> out in </w:t>
      </w:r>
      <w:r w:rsidR="00CC07F5" w:rsidRPr="00AC6DFE">
        <w:rPr>
          <w:rFonts w:cstheme="minorHAnsi"/>
          <w:u w:val="single"/>
        </w:rPr>
        <w:t xml:space="preserve">Appendix </w:t>
      </w:r>
      <w:r w:rsidR="00CB5EFF" w:rsidRPr="00AC6DFE">
        <w:rPr>
          <w:rFonts w:cstheme="minorHAnsi"/>
          <w:u w:val="single"/>
        </w:rPr>
        <w:t>C</w:t>
      </w:r>
      <w:r w:rsidR="00290D3D" w:rsidRPr="0039438E">
        <w:rPr>
          <w:rFonts w:cstheme="minorHAnsi"/>
        </w:rPr>
        <w:t>.</w:t>
      </w:r>
      <w:r w:rsidR="00290D3D" w:rsidRPr="00340DDB">
        <w:rPr>
          <w:rFonts w:cstheme="minorHAnsi"/>
        </w:rPr>
        <w:t xml:space="preserve"> </w:t>
      </w:r>
    </w:p>
    <w:p w:rsidR="00290D3D" w:rsidRDefault="00290D3D" w:rsidP="00290D3D">
      <w:pPr>
        <w:rPr>
          <w:rFonts w:cstheme="minorHAnsi"/>
        </w:rPr>
      </w:pPr>
      <w:r w:rsidRPr="00C81D2C">
        <w:rPr>
          <w:rFonts w:cstheme="minorHAnsi"/>
        </w:rPr>
        <w:t>The</w:t>
      </w:r>
      <w:r w:rsidR="007B2883">
        <w:rPr>
          <w:rFonts w:cstheme="minorHAnsi"/>
        </w:rPr>
        <w:t xml:space="preserve"> grants for </w:t>
      </w:r>
      <w:r w:rsidR="00CB5EFF">
        <w:rPr>
          <w:rFonts w:cstheme="minorHAnsi"/>
        </w:rPr>
        <w:t>P</w:t>
      </w:r>
      <w:r w:rsidR="007B2883">
        <w:rPr>
          <w:rFonts w:cstheme="minorHAnsi"/>
        </w:rPr>
        <w:t xml:space="preserve">rojects </w:t>
      </w:r>
      <w:r w:rsidR="003F7D78">
        <w:rPr>
          <w:rFonts w:cstheme="minorHAnsi"/>
        </w:rPr>
        <w:t>comprise the following amounts</w:t>
      </w:r>
      <w:r w:rsidR="007B2883">
        <w:rPr>
          <w:rFonts w:cstheme="minorHAnsi"/>
        </w:rPr>
        <w:t>:</w:t>
      </w:r>
      <w:r w:rsidR="00C47C12" w:rsidDel="00C47C12">
        <w:rPr>
          <w:rFonts w:cstheme="minorHAnsi"/>
        </w:rPr>
        <w:t xml:space="preserve"> </w:t>
      </w:r>
    </w:p>
    <w:p w:rsidR="00290D3D" w:rsidRPr="000D60FC" w:rsidRDefault="00EC1E9C" w:rsidP="00220C4F">
      <w:pPr>
        <w:pStyle w:val="ListParagraph"/>
        <w:numPr>
          <w:ilvl w:val="0"/>
          <w:numId w:val="25"/>
        </w:numPr>
        <w:rPr>
          <w:rFonts w:cstheme="minorHAnsi"/>
        </w:rPr>
      </w:pPr>
      <w:r>
        <w:rPr>
          <w:rFonts w:asciiTheme="minorHAnsi" w:hAnsiTheme="minorHAnsi" w:cstheme="minorHAnsi"/>
        </w:rPr>
        <w:t>if the project is to receive ongoing operational support</w:t>
      </w:r>
      <w:r w:rsidR="003248AD">
        <w:rPr>
          <w:rFonts w:asciiTheme="minorHAnsi" w:hAnsiTheme="minorHAnsi" w:cstheme="minorHAnsi"/>
        </w:rPr>
        <w:t xml:space="preserve"> using NISA funding</w:t>
      </w:r>
      <w:r w:rsidR="00743A86">
        <w:rPr>
          <w:rFonts w:asciiTheme="minorHAnsi" w:hAnsiTheme="minorHAnsi" w:cstheme="minorHAnsi"/>
        </w:rPr>
        <w:t xml:space="preserve">, annual amounts available are indexed each financial year. </w:t>
      </w:r>
    </w:p>
    <w:p w:rsidR="00AE3EC9" w:rsidRPr="00CD1F3B" w:rsidRDefault="003F7D78" w:rsidP="00220C4F">
      <w:pPr>
        <w:pStyle w:val="ListParagraph"/>
        <w:numPr>
          <w:ilvl w:val="0"/>
          <w:numId w:val="25"/>
        </w:numPr>
        <w:contextualSpacing/>
        <w:rPr>
          <w:rFonts w:asciiTheme="minorHAnsi" w:hAnsiTheme="minorHAnsi" w:cstheme="minorHAnsi"/>
        </w:rPr>
      </w:pPr>
      <w:r>
        <w:rPr>
          <w:rFonts w:asciiTheme="minorHAnsi" w:hAnsiTheme="minorHAnsi" w:cstheme="minorHAnsi"/>
        </w:rPr>
        <w:t xml:space="preserve">specific amounts for </w:t>
      </w:r>
      <w:r w:rsidR="00AE3EC9" w:rsidRPr="00CD1F3B">
        <w:rPr>
          <w:rFonts w:asciiTheme="minorHAnsi" w:hAnsiTheme="minorHAnsi" w:cstheme="minorHAnsi"/>
        </w:rPr>
        <w:t>capital for research infrastructure renewal</w:t>
      </w:r>
      <w:r w:rsidR="00AE3EC9">
        <w:rPr>
          <w:rFonts w:asciiTheme="minorHAnsi" w:hAnsiTheme="minorHAnsi" w:cstheme="minorHAnsi"/>
        </w:rPr>
        <w:t xml:space="preserve"> </w:t>
      </w:r>
      <w:r>
        <w:rPr>
          <w:rFonts w:asciiTheme="minorHAnsi" w:hAnsiTheme="minorHAnsi" w:cstheme="minorHAnsi"/>
        </w:rPr>
        <w:t xml:space="preserve">identified in </w:t>
      </w:r>
      <w:r w:rsidR="00AE3EC9">
        <w:rPr>
          <w:rFonts w:asciiTheme="minorHAnsi" w:hAnsiTheme="minorHAnsi" w:cstheme="minorHAnsi"/>
        </w:rPr>
        <w:t xml:space="preserve">the </w:t>
      </w:r>
      <w:r w:rsidR="00AC6DFE">
        <w:rPr>
          <w:rFonts w:asciiTheme="minorHAnsi" w:hAnsiTheme="minorHAnsi" w:cstheme="minorHAnsi"/>
        </w:rPr>
        <w:t>I</w:t>
      </w:r>
      <w:r w:rsidR="00EF153C">
        <w:rPr>
          <w:rFonts w:asciiTheme="minorHAnsi" w:hAnsiTheme="minorHAnsi" w:cstheme="minorHAnsi"/>
        </w:rPr>
        <w:t>nvestment Plan</w:t>
      </w:r>
    </w:p>
    <w:p w:rsidR="00AE3EC9" w:rsidRDefault="003F7D78" w:rsidP="00220C4F">
      <w:pPr>
        <w:pStyle w:val="ListParagraph"/>
        <w:numPr>
          <w:ilvl w:val="0"/>
          <w:numId w:val="25"/>
        </w:numPr>
        <w:contextualSpacing/>
        <w:rPr>
          <w:rFonts w:asciiTheme="minorHAnsi" w:hAnsiTheme="minorHAnsi" w:cstheme="minorHAnsi"/>
        </w:rPr>
      </w:pPr>
      <w:r>
        <w:rPr>
          <w:rFonts w:asciiTheme="minorHAnsi" w:hAnsiTheme="minorHAnsi" w:cstheme="minorHAnsi"/>
        </w:rPr>
        <w:t xml:space="preserve">specific </w:t>
      </w:r>
      <w:r w:rsidR="00AE3EC9" w:rsidRPr="00CD1F3B">
        <w:rPr>
          <w:rFonts w:asciiTheme="minorHAnsi" w:hAnsiTheme="minorHAnsi" w:cstheme="minorHAnsi"/>
        </w:rPr>
        <w:t>additional, one-off operational funding</w:t>
      </w:r>
      <w:r w:rsidR="00AE3EC9">
        <w:rPr>
          <w:rFonts w:asciiTheme="minorHAnsi" w:hAnsiTheme="minorHAnsi" w:cstheme="minorHAnsi"/>
        </w:rPr>
        <w:t xml:space="preserve"> </w:t>
      </w:r>
      <w:r>
        <w:rPr>
          <w:rFonts w:asciiTheme="minorHAnsi" w:hAnsiTheme="minorHAnsi" w:cstheme="minorHAnsi"/>
        </w:rPr>
        <w:t xml:space="preserve">identified </w:t>
      </w:r>
      <w:r w:rsidR="00AE3EC9">
        <w:rPr>
          <w:rFonts w:asciiTheme="minorHAnsi" w:hAnsiTheme="minorHAnsi" w:cstheme="minorHAnsi"/>
        </w:rPr>
        <w:t xml:space="preserve">in the </w:t>
      </w:r>
      <w:r w:rsidR="00AC6DFE">
        <w:rPr>
          <w:rFonts w:asciiTheme="minorHAnsi" w:hAnsiTheme="minorHAnsi" w:cstheme="minorHAnsi"/>
        </w:rPr>
        <w:t>I</w:t>
      </w:r>
      <w:r w:rsidR="00EF153C">
        <w:rPr>
          <w:rFonts w:asciiTheme="minorHAnsi" w:hAnsiTheme="minorHAnsi" w:cstheme="minorHAnsi"/>
        </w:rPr>
        <w:t>nvestment Plan</w:t>
      </w:r>
      <w:r>
        <w:rPr>
          <w:rFonts w:asciiTheme="minorHAnsi" w:hAnsiTheme="minorHAnsi" w:cstheme="minorHAnsi"/>
        </w:rPr>
        <w:t>.</w:t>
      </w:r>
    </w:p>
    <w:p w:rsidR="00045933" w:rsidRPr="00340616" w:rsidRDefault="009968DB" w:rsidP="00045933">
      <w:pPr>
        <w:rPr>
          <w:b/>
        </w:rPr>
      </w:pPr>
      <w:r>
        <w:t xml:space="preserve">There are no </w:t>
      </w:r>
      <w:r w:rsidR="00045933" w:rsidRPr="00340616">
        <w:t xml:space="preserve">minimum or maximum </w:t>
      </w:r>
      <w:r>
        <w:t xml:space="preserve">grant amounts. </w:t>
      </w:r>
    </w:p>
    <w:p w:rsidR="00045933" w:rsidRPr="00340616" w:rsidRDefault="00AE3EC9" w:rsidP="00045933">
      <w:pPr>
        <w:rPr>
          <w:b/>
        </w:rPr>
      </w:pPr>
      <w:r w:rsidRPr="00944A44">
        <w:t>Grantees</w:t>
      </w:r>
      <w:r w:rsidR="00045933" w:rsidRPr="0039438E">
        <w:t xml:space="preserve"> </w:t>
      </w:r>
      <w:r w:rsidR="00045933" w:rsidRPr="00340616">
        <w:t>are required to provide a contribution towards the grant activities/project</w:t>
      </w:r>
      <w:r w:rsidR="009968DB">
        <w:t xml:space="preserve"> and seek other contributions</w:t>
      </w:r>
      <w:r w:rsidR="00045933" w:rsidRPr="00340616">
        <w:t xml:space="preserve">. </w:t>
      </w:r>
      <w:r w:rsidR="00F9771A">
        <w:t xml:space="preserve">While there is no specific minimum level of other contributions to be achieved, it is expected other contributions will </w:t>
      </w:r>
      <w:r w:rsidR="00C006F3">
        <w:t xml:space="preserve">approach 50 per cent of the grant for each project and </w:t>
      </w:r>
      <w:r w:rsidR="00F9771A">
        <w:t>be above 25 per cent of the grant for each project.</w:t>
      </w:r>
    </w:p>
    <w:p w:rsidR="00045933" w:rsidRPr="00340616" w:rsidRDefault="00045933" w:rsidP="00045933">
      <w:r w:rsidRPr="00340616">
        <w:t xml:space="preserve">Your project cannot extend past </w:t>
      </w:r>
      <w:r w:rsidR="009968DB">
        <w:t>30 June 2023</w:t>
      </w:r>
      <w:r w:rsidR="00CE7E05">
        <w:t xml:space="preserve"> (see Section 1.1)</w:t>
      </w:r>
      <w:r w:rsidR="009968DB">
        <w:t>.</w:t>
      </w:r>
    </w:p>
    <w:p w:rsidR="001216D6" w:rsidRPr="00884AF1" w:rsidRDefault="008E791C" w:rsidP="00AC6DFE">
      <w:r w:rsidRPr="00884AF1">
        <w:t xml:space="preserve">Grants </w:t>
      </w:r>
      <w:r w:rsidR="001216D6" w:rsidRPr="00884AF1">
        <w:t>will be paid to each project’s lead agent</w:t>
      </w:r>
      <w:r w:rsidRPr="00884AF1">
        <w:t xml:space="preserve"> (see </w:t>
      </w:r>
      <w:r w:rsidR="00CC07F5" w:rsidRPr="00220C4F">
        <w:rPr>
          <w:u w:val="single"/>
        </w:rPr>
        <w:t xml:space="preserve">Appendix </w:t>
      </w:r>
      <w:r w:rsidR="003F7D78" w:rsidRPr="00220C4F">
        <w:rPr>
          <w:u w:val="single"/>
        </w:rPr>
        <w:t>C</w:t>
      </w:r>
      <w:r w:rsidRPr="00884AF1">
        <w:t>)</w:t>
      </w:r>
      <w:r w:rsidR="001216D6" w:rsidRPr="00884AF1">
        <w:t>.</w:t>
      </w:r>
    </w:p>
    <w:p w:rsidR="00340616" w:rsidRPr="00694DF9" w:rsidRDefault="00340616" w:rsidP="00340616">
      <w:pPr>
        <w:pStyle w:val="NoSpacing"/>
        <w:rPr>
          <w:rFonts w:asciiTheme="minorHAnsi" w:hAnsiTheme="minorHAnsi" w:cstheme="minorHAnsi"/>
        </w:rPr>
      </w:pPr>
    </w:p>
    <w:p w:rsidR="00340616" w:rsidRPr="00A668C8" w:rsidRDefault="00340616" w:rsidP="00A668C8">
      <w:pPr>
        <w:pStyle w:val="Heading1Numbered"/>
      </w:pPr>
      <w:bookmarkStart w:id="10" w:name="_Toc467773959"/>
      <w:bookmarkStart w:id="11" w:name="_Toc514836283"/>
      <w:r w:rsidRPr="00A668C8">
        <w:t>Eligible grant activities</w:t>
      </w:r>
      <w:bookmarkEnd w:id="10"/>
      <w:bookmarkEnd w:id="11"/>
    </w:p>
    <w:p w:rsidR="00340616" w:rsidRPr="00F56535" w:rsidRDefault="00340616" w:rsidP="00A668C8">
      <w:pPr>
        <w:pStyle w:val="Heading2Numbered"/>
      </w:pPr>
      <w:bookmarkStart w:id="12" w:name="_Toc467773960"/>
      <w:bookmarkStart w:id="13" w:name="_Toc514836284"/>
      <w:r w:rsidRPr="00F56535">
        <w:t>What can the grant money be used for?</w:t>
      </w:r>
      <w:bookmarkEnd w:id="12"/>
      <w:bookmarkEnd w:id="13"/>
    </w:p>
    <w:p w:rsidR="00527152" w:rsidRDefault="000A4DB9" w:rsidP="00527152">
      <w:r>
        <w:t>Costs need to relate to the provision of r</w:t>
      </w:r>
      <w:r w:rsidR="00527152">
        <w:t>esearch infrastructure</w:t>
      </w:r>
      <w:r>
        <w:t>, which</w:t>
      </w:r>
      <w:r w:rsidR="00527152">
        <w:t xml:space="preserve"> is defined in the 2016 Roadmap</w:t>
      </w:r>
      <w:r w:rsidR="00527152">
        <w:rPr>
          <w:rStyle w:val="FootnoteReference"/>
        </w:rPr>
        <w:footnoteReference w:id="4"/>
      </w:r>
      <w:r w:rsidR="00527152">
        <w:t xml:space="preserve"> as:</w:t>
      </w:r>
    </w:p>
    <w:p w:rsidR="00527152" w:rsidRDefault="00527152" w:rsidP="00527152">
      <w:pPr>
        <w:ind w:left="720"/>
      </w:pPr>
      <w:r>
        <w:t xml:space="preserve">…[comprising] the nationally significant assets, facilities and services to support leading-edge research and innovation. It is accessible to publicly and privately funded users across Australia </w:t>
      </w:r>
      <w:r w:rsidR="00FA6936">
        <w:t>a</w:t>
      </w:r>
      <w:r>
        <w:t>nd internationally.</w:t>
      </w:r>
    </w:p>
    <w:p w:rsidR="003F7D78" w:rsidRDefault="003F7D78" w:rsidP="00FA6936">
      <w:pPr>
        <w:rPr>
          <w:rFonts w:cstheme="minorHAnsi"/>
        </w:rPr>
      </w:pPr>
      <w:r>
        <w:rPr>
          <w:rFonts w:cstheme="minorHAnsi"/>
        </w:rPr>
        <w:t>You will propose, and we will agree or amend, how the funds will be used on an annual basis through planning and reporting processes.</w:t>
      </w:r>
    </w:p>
    <w:p w:rsidR="003F7D78" w:rsidRDefault="00FA6936" w:rsidP="00FA6936">
      <w:r w:rsidRPr="00AC0C45">
        <w:rPr>
          <w:rFonts w:cstheme="minorHAnsi"/>
        </w:rPr>
        <w:t>Fun</w:t>
      </w:r>
      <w:r>
        <w:t>ding under these NCRIS 2018 Guidelines will be provided from 2017-18 to 2022-23 to</w:t>
      </w:r>
      <w:r w:rsidR="003F7D78">
        <w:t>:</w:t>
      </w:r>
    </w:p>
    <w:p w:rsidR="00FA6936" w:rsidRPr="00220C4F" w:rsidRDefault="007760FD" w:rsidP="007760FD">
      <w:pPr>
        <w:pStyle w:val="ListParagraph"/>
        <w:numPr>
          <w:ilvl w:val="0"/>
          <w:numId w:val="26"/>
        </w:numPr>
        <w:rPr>
          <w:rFonts w:asciiTheme="minorHAnsi" w:hAnsiTheme="minorHAnsi" w:cstheme="minorHAnsi"/>
        </w:rPr>
      </w:pPr>
      <w:r>
        <w:rPr>
          <w:rFonts w:asciiTheme="minorHAnsi" w:hAnsiTheme="minorHAnsi" w:cstheme="minorHAnsi"/>
        </w:rPr>
        <w:t xml:space="preserve">provide funding certainty to proponents to fund </w:t>
      </w:r>
      <w:r w:rsidRPr="007760FD">
        <w:rPr>
          <w:rFonts w:asciiTheme="minorHAnsi" w:hAnsiTheme="minorHAnsi" w:cstheme="minorHAnsi"/>
        </w:rPr>
        <w:t>specific national research infrastructure projects</w:t>
      </w:r>
      <w:r>
        <w:rPr>
          <w:rFonts w:asciiTheme="minorHAnsi" w:hAnsiTheme="minorHAnsi" w:cstheme="minorHAnsi"/>
        </w:rPr>
        <w:t xml:space="preserve">  a</w:t>
      </w:r>
      <w:r w:rsidR="00994193">
        <w:rPr>
          <w:rFonts w:asciiTheme="minorHAnsi" w:hAnsiTheme="minorHAnsi" w:cstheme="minorHAnsi"/>
        </w:rPr>
        <w:t>nd secure co</w:t>
      </w:r>
      <w:r w:rsidR="00994193">
        <w:rPr>
          <w:rFonts w:asciiTheme="minorHAnsi" w:hAnsiTheme="minorHAnsi" w:cstheme="minorHAnsi"/>
        </w:rPr>
        <w:noBreakHyphen/>
        <w:t>investment,</w:t>
      </w:r>
      <w:r w:rsidR="00FA6936" w:rsidRPr="00220C4F">
        <w:rPr>
          <w:rFonts w:asciiTheme="minorHAnsi" w:hAnsiTheme="minorHAnsi" w:cstheme="minorHAnsi"/>
        </w:rPr>
        <w:t xml:space="preserve"> and subsequently</w:t>
      </w:r>
      <w:r w:rsidR="003F7D78">
        <w:rPr>
          <w:rFonts w:asciiTheme="minorHAnsi" w:hAnsiTheme="minorHAnsi" w:cstheme="minorHAnsi"/>
        </w:rPr>
        <w:t xml:space="preserve">, either </w:t>
      </w:r>
    </w:p>
    <w:p w:rsidR="00FA6936" w:rsidRPr="000D60FC" w:rsidRDefault="00FA6936" w:rsidP="00D02419">
      <w:pPr>
        <w:pStyle w:val="ListParagraph"/>
        <w:numPr>
          <w:ilvl w:val="1"/>
          <w:numId w:val="26"/>
        </w:numPr>
        <w:rPr>
          <w:rFonts w:cstheme="minorHAnsi"/>
        </w:rPr>
      </w:pPr>
      <w:r>
        <w:rPr>
          <w:rFonts w:asciiTheme="minorHAnsi" w:hAnsiTheme="minorHAnsi" w:cstheme="minorHAnsi"/>
        </w:rPr>
        <w:t xml:space="preserve">continuation of one year in anticipation of </w:t>
      </w:r>
      <w:r w:rsidR="003F7D78">
        <w:rPr>
          <w:rFonts w:asciiTheme="minorHAnsi" w:hAnsiTheme="minorHAnsi" w:cstheme="minorHAnsi"/>
        </w:rPr>
        <w:t>further funding</w:t>
      </w:r>
      <w:r>
        <w:rPr>
          <w:rFonts w:asciiTheme="minorHAnsi" w:hAnsiTheme="minorHAnsi" w:cstheme="minorHAnsi"/>
        </w:rPr>
        <w:t>, or</w:t>
      </w:r>
    </w:p>
    <w:p w:rsidR="00FA6936" w:rsidRPr="000D60FC" w:rsidRDefault="00FA6936" w:rsidP="00D02419">
      <w:pPr>
        <w:pStyle w:val="ListParagraph"/>
        <w:numPr>
          <w:ilvl w:val="1"/>
          <w:numId w:val="26"/>
        </w:numPr>
        <w:rPr>
          <w:rFonts w:cstheme="minorHAnsi"/>
        </w:rPr>
      </w:pPr>
      <w:r w:rsidRPr="00944A44">
        <w:rPr>
          <w:rFonts w:asciiTheme="minorHAnsi" w:hAnsiTheme="minorHAnsi" w:cstheme="minorHAnsi"/>
        </w:rPr>
        <w:t>wind-down period of one year to ensure there is no detrimental effect on researchers</w:t>
      </w:r>
      <w:r>
        <w:rPr>
          <w:rStyle w:val="FootnoteReference"/>
          <w:rFonts w:asciiTheme="minorHAnsi" w:hAnsiTheme="minorHAnsi" w:cstheme="minorHAnsi"/>
        </w:rPr>
        <w:footnoteReference w:id="5"/>
      </w:r>
      <w:r w:rsidRPr="00944A44">
        <w:rPr>
          <w:rFonts w:asciiTheme="minorHAnsi" w:hAnsiTheme="minorHAnsi" w:cstheme="minorHAnsi"/>
        </w:rPr>
        <w:t xml:space="preserve">. </w:t>
      </w:r>
    </w:p>
    <w:p w:rsidR="00340616" w:rsidRPr="000A271A" w:rsidRDefault="00340616" w:rsidP="00340616">
      <w:pPr>
        <w:rPr>
          <w:rFonts w:cstheme="minorHAnsi"/>
        </w:rPr>
      </w:pPr>
      <w:r w:rsidRPr="000A271A">
        <w:rPr>
          <w:rFonts w:cstheme="minorHAnsi"/>
        </w:rPr>
        <w:t xml:space="preserve">You must use the </w:t>
      </w:r>
      <w:r w:rsidR="00732750">
        <w:rPr>
          <w:rFonts w:cstheme="minorHAnsi"/>
        </w:rPr>
        <w:t xml:space="preserve">NCRIS </w:t>
      </w:r>
      <w:r w:rsidRPr="000A271A">
        <w:rPr>
          <w:rFonts w:cstheme="minorHAnsi"/>
        </w:rPr>
        <w:t xml:space="preserve">grant </w:t>
      </w:r>
      <w:r w:rsidR="00732750">
        <w:rPr>
          <w:rFonts w:cstheme="minorHAnsi"/>
        </w:rPr>
        <w:t xml:space="preserve">(including interest earned on the grant and user income) </w:t>
      </w:r>
      <w:r w:rsidRPr="000A271A">
        <w:rPr>
          <w:rFonts w:cstheme="minorHAnsi"/>
        </w:rPr>
        <w:t xml:space="preserve">for the following activities: </w:t>
      </w:r>
    </w:p>
    <w:p w:rsidR="00DD234A" w:rsidRDefault="00DD234A" w:rsidP="00DD234A">
      <w:pPr>
        <w:pStyle w:val="Bullet1"/>
      </w:pPr>
      <w:r>
        <w:t>operational activities for eligible research infrastructure, including technical personnel to operate the infrastructure</w:t>
      </w:r>
    </w:p>
    <w:p w:rsidR="00DD234A" w:rsidRDefault="00DD234A" w:rsidP="00DD234A">
      <w:pPr>
        <w:pStyle w:val="Bullet1"/>
      </w:pPr>
      <w:r>
        <w:t>maintenance of eligible research infrastructure, which may include routine replacement of equipment and plant at the end of its useful life</w:t>
      </w:r>
    </w:p>
    <w:p w:rsidR="00DD234A" w:rsidRDefault="00DD234A" w:rsidP="00DD234A">
      <w:pPr>
        <w:pStyle w:val="Bullet1"/>
      </w:pPr>
      <w:r>
        <w:t xml:space="preserve">capital funding for national research infrastructure facilities </w:t>
      </w:r>
    </w:p>
    <w:p w:rsidR="00DD234A" w:rsidRDefault="00DD234A" w:rsidP="00DD234A">
      <w:pPr>
        <w:pStyle w:val="Bullet1"/>
      </w:pPr>
      <w:r>
        <w:t>management, governance and administration activities required to ensure NCRIS 2018 projects are undertaken in an efficient, effective and accessible manner</w:t>
      </w:r>
    </w:p>
    <w:p w:rsidR="00DD234A" w:rsidRDefault="00DD234A" w:rsidP="00DD234A">
      <w:pPr>
        <w:pStyle w:val="Bullet1"/>
      </w:pPr>
      <w:r>
        <w:t xml:space="preserve">increased engagement with and between </w:t>
      </w:r>
      <w:r w:rsidR="00A22096">
        <w:t xml:space="preserve">research </w:t>
      </w:r>
      <w:r w:rsidR="00B5479D">
        <w:t>infrastructure</w:t>
      </w:r>
      <w:r w:rsidR="00A22096">
        <w:t xml:space="preserve"> provide</w:t>
      </w:r>
      <w:r w:rsidR="00B5479D">
        <w:t>r</w:t>
      </w:r>
      <w:r w:rsidR="00A22096">
        <w:t xml:space="preserve">s, </w:t>
      </w:r>
      <w:r>
        <w:t>researchers, industry, government and other end users of research both domestically and internationally with a particular emphasis on increasing use of NCRIS-funded research infrastructure</w:t>
      </w:r>
    </w:p>
    <w:p w:rsidR="00DD234A" w:rsidRDefault="00DD234A" w:rsidP="00DD234A">
      <w:pPr>
        <w:pStyle w:val="Bullet1"/>
      </w:pPr>
      <w:r>
        <w:t>scoping activities required to effectively investigate potential new NCRIS projects</w:t>
      </w:r>
      <w:r w:rsidR="00DB4FCD">
        <w:t>, either those identified in Investment Plans or as otherwise determined by the Minister for Education and Training</w:t>
      </w:r>
    </w:p>
    <w:p w:rsidR="00DD234A" w:rsidRDefault="00DD234A" w:rsidP="00DD234A">
      <w:pPr>
        <w:pStyle w:val="Bullet1"/>
      </w:pPr>
      <w:r>
        <w:t>project wind-up for any project identified for defunding</w:t>
      </w:r>
    </w:p>
    <w:p w:rsidR="00DD234A" w:rsidRDefault="00DD234A" w:rsidP="00DD234A">
      <w:pPr>
        <w:pStyle w:val="Bullet1"/>
      </w:pPr>
      <w:r>
        <w:t>other, single cost activities that enhance the research infrastructure openly accessible by Australian researchers. Examples might include international access or membership fees.</w:t>
      </w:r>
    </w:p>
    <w:p w:rsidR="00340616" w:rsidRPr="000A271A" w:rsidRDefault="00340616" w:rsidP="00340616">
      <w:pPr>
        <w:rPr>
          <w:rFonts w:cstheme="minorHAnsi"/>
        </w:rPr>
      </w:pPr>
      <w:r w:rsidRPr="000A271A">
        <w:rPr>
          <w:rFonts w:cstheme="minorHAnsi"/>
        </w:rPr>
        <w:t xml:space="preserve">You can use the grant to pay for: </w:t>
      </w:r>
    </w:p>
    <w:p w:rsidR="005C025E" w:rsidRDefault="005C025E" w:rsidP="005C025E">
      <w:pPr>
        <w:pStyle w:val="Bullet1"/>
      </w:pPr>
      <w:r w:rsidRPr="00D43ABC">
        <w:t>operation, management and governance costs</w:t>
      </w:r>
    </w:p>
    <w:p w:rsidR="005C025E" w:rsidRDefault="005C025E" w:rsidP="005C025E">
      <w:pPr>
        <w:pStyle w:val="Bullet1"/>
      </w:pPr>
      <w:r w:rsidRPr="00D43ABC">
        <w:t>salaries and on-costs for technical staff</w:t>
      </w:r>
    </w:p>
    <w:p w:rsidR="005C025E" w:rsidRDefault="005C025E" w:rsidP="005C025E">
      <w:pPr>
        <w:pStyle w:val="Bullet1"/>
      </w:pPr>
      <w:r w:rsidRPr="00D43ABC">
        <w:t>infrastructure maintenance</w:t>
      </w:r>
    </w:p>
    <w:p w:rsidR="005C025E" w:rsidRDefault="005C025E" w:rsidP="005C025E">
      <w:pPr>
        <w:pStyle w:val="Bullet1"/>
      </w:pPr>
      <w:r>
        <w:t>infrastructure upgrades</w:t>
      </w:r>
    </w:p>
    <w:p w:rsidR="005C025E" w:rsidRDefault="005C025E" w:rsidP="005C025E">
      <w:pPr>
        <w:pStyle w:val="Bullet1"/>
      </w:pPr>
      <w:r w:rsidRPr="00D43ABC">
        <w:t>utilities</w:t>
      </w:r>
    </w:p>
    <w:p w:rsidR="005C025E" w:rsidRDefault="005C025E" w:rsidP="005C025E">
      <w:pPr>
        <w:pStyle w:val="Bullet1"/>
      </w:pPr>
      <w:r w:rsidRPr="00D43ABC">
        <w:t>rent</w:t>
      </w:r>
    </w:p>
    <w:p w:rsidR="005C025E" w:rsidRPr="00716446" w:rsidRDefault="005C025E" w:rsidP="005C025E">
      <w:pPr>
        <w:pStyle w:val="Bullet1"/>
      </w:pPr>
      <w:r w:rsidRPr="00D43ABC">
        <w:t>consumables</w:t>
      </w:r>
    </w:p>
    <w:p w:rsidR="005C025E" w:rsidRDefault="005C025E" w:rsidP="005C025E">
      <w:pPr>
        <w:pStyle w:val="Bullet1"/>
      </w:pPr>
      <w:r w:rsidRPr="00D43ABC">
        <w:t>international</w:t>
      </w:r>
      <w:r>
        <w:t xml:space="preserve"> travel and engagement</w:t>
      </w:r>
    </w:p>
    <w:p w:rsidR="005C025E" w:rsidRPr="00716446" w:rsidRDefault="005C025E" w:rsidP="005C025E">
      <w:pPr>
        <w:pStyle w:val="Bullet1"/>
      </w:pPr>
      <w:r>
        <w:t>industry and end user</w:t>
      </w:r>
      <w:r w:rsidRPr="00D43ABC">
        <w:t xml:space="preserve"> engagement</w:t>
      </w:r>
      <w:r>
        <w:t xml:space="preserve">, outreach </w:t>
      </w:r>
      <w:r w:rsidR="0039438E">
        <w:t>activities</w:t>
      </w:r>
    </w:p>
    <w:p w:rsidR="005C025E" w:rsidRPr="00D43ABC" w:rsidRDefault="005C025E" w:rsidP="005C025E">
      <w:pPr>
        <w:pStyle w:val="Bullet1"/>
      </w:pPr>
      <w:r w:rsidRPr="00D43ABC">
        <w:t>other</w:t>
      </w:r>
      <w:r>
        <w:t xml:space="preserve"> agreed expenses necessary for the proper functioning of the national research infrastructure project (excluding activities in Section 4.2).</w:t>
      </w:r>
    </w:p>
    <w:p w:rsidR="00340616" w:rsidRPr="00A22096" w:rsidRDefault="00340616" w:rsidP="00A22096">
      <w:pPr>
        <w:rPr>
          <w:rFonts w:cstheme="minorHAnsi"/>
        </w:rPr>
      </w:pPr>
      <w:r w:rsidRPr="000A271A">
        <w:rPr>
          <w:rFonts w:cstheme="minorHAnsi"/>
        </w:rPr>
        <w:t xml:space="preserve">You can only spend grant funds on eligible grant activities as defined in the grant details in your grant agreement. </w:t>
      </w:r>
    </w:p>
    <w:p w:rsidR="00340616" w:rsidRDefault="00340616" w:rsidP="00340616">
      <w:pPr>
        <w:rPr>
          <w:rFonts w:cstheme="minorHAnsi"/>
        </w:rPr>
      </w:pPr>
      <w:r w:rsidRPr="000A271A">
        <w:rPr>
          <w:rFonts w:cstheme="minorHAnsi"/>
        </w:rPr>
        <w:t xml:space="preserve">We may update the guidelines on eligible expenditure from time to time. </w:t>
      </w:r>
      <w:r w:rsidR="0039438E">
        <w:rPr>
          <w:rFonts w:cstheme="minorHAnsi"/>
        </w:rPr>
        <w:t>These updates will not be applied retrospectively.</w:t>
      </w:r>
      <w:r w:rsidR="00A056DB">
        <w:rPr>
          <w:rFonts w:cstheme="minorHAnsi"/>
        </w:rPr>
        <w:t xml:space="preserve"> Revised Guidelines will be made available on GrantConnect.</w:t>
      </w:r>
    </w:p>
    <w:p w:rsidR="00715EF7" w:rsidRDefault="00715EF7" w:rsidP="00340616">
      <w:pPr>
        <w:rPr>
          <w:rFonts w:cstheme="minorHAnsi"/>
        </w:rPr>
      </w:pPr>
    </w:p>
    <w:p w:rsidR="00715EF7" w:rsidRDefault="00715EF7" w:rsidP="00340616">
      <w:pPr>
        <w:rPr>
          <w:rFonts w:cstheme="minorHAnsi"/>
        </w:rPr>
      </w:pPr>
    </w:p>
    <w:p w:rsidR="00340616" w:rsidRPr="00B72EE8" w:rsidRDefault="00340616" w:rsidP="000A271A">
      <w:pPr>
        <w:pStyle w:val="Heading2Numbered"/>
      </w:pPr>
      <w:bookmarkStart w:id="14" w:name="_Toc467773961"/>
      <w:bookmarkStart w:id="15" w:name="_Toc514836285"/>
      <w:r w:rsidRPr="00B72EE8">
        <w:t xml:space="preserve">What </w:t>
      </w:r>
      <w:r>
        <w:t>the grant money cannot be used for?</w:t>
      </w:r>
      <w:bookmarkEnd w:id="14"/>
      <w:bookmarkEnd w:id="15"/>
    </w:p>
    <w:p w:rsidR="00595DE2" w:rsidRDefault="009E1962" w:rsidP="009E1962">
      <w:r>
        <w:t xml:space="preserve">NCRIS </w:t>
      </w:r>
      <w:r w:rsidR="00732750">
        <w:t xml:space="preserve">grants (including interest and user income) </w:t>
      </w:r>
      <w:r>
        <w:t xml:space="preserve">from any NCRIS funding program (i.e. 2013, 2015, 2016, 2017 and 2018) </w:t>
      </w:r>
      <w:r w:rsidRPr="00944A44">
        <w:rPr>
          <w:b/>
          <w:u w:val="single"/>
        </w:rPr>
        <w:t>must not</w:t>
      </w:r>
      <w:r>
        <w:t xml:space="preserve"> be used </w:t>
      </w:r>
      <w:r w:rsidR="00595DE2">
        <w:t>to:</w:t>
      </w:r>
    </w:p>
    <w:p w:rsidR="009E1962" w:rsidRPr="0009505E" w:rsidRDefault="009E1962" w:rsidP="00687C34">
      <w:pPr>
        <w:pStyle w:val="ListParagraph"/>
        <w:numPr>
          <w:ilvl w:val="0"/>
          <w:numId w:val="26"/>
        </w:numPr>
        <w:rPr>
          <w:rFonts w:asciiTheme="minorHAnsi" w:hAnsiTheme="minorHAnsi" w:cstheme="minorHAnsi"/>
        </w:rPr>
      </w:pPr>
      <w:r w:rsidRPr="0009505E">
        <w:rPr>
          <w:rFonts w:asciiTheme="minorHAnsi" w:hAnsiTheme="minorHAnsi" w:cstheme="minorHAnsi"/>
        </w:rPr>
        <w:t>in any way to support approval, compliance or other activities associated with Commonwealth Property Management Framework and/or Two-Stage-Capital Works processes</w:t>
      </w:r>
    </w:p>
    <w:p w:rsidR="00DD234A" w:rsidRPr="0009505E" w:rsidRDefault="00595DE2" w:rsidP="00687C34">
      <w:pPr>
        <w:pStyle w:val="ListParagraph"/>
        <w:numPr>
          <w:ilvl w:val="0"/>
          <w:numId w:val="26"/>
        </w:numPr>
        <w:rPr>
          <w:rFonts w:asciiTheme="minorHAnsi" w:hAnsiTheme="minorHAnsi" w:cstheme="minorHAnsi"/>
        </w:rPr>
      </w:pPr>
      <w:r w:rsidRPr="0009505E">
        <w:rPr>
          <w:rFonts w:asciiTheme="minorHAnsi" w:hAnsiTheme="minorHAnsi" w:cstheme="minorHAnsi"/>
        </w:rPr>
        <w:t xml:space="preserve">support </w:t>
      </w:r>
      <w:r w:rsidR="00DD234A" w:rsidRPr="0009505E">
        <w:rPr>
          <w:rFonts w:asciiTheme="minorHAnsi" w:hAnsiTheme="minorHAnsi" w:cstheme="minorHAnsi"/>
        </w:rPr>
        <w:t>NCRIS project Lead Agent administrative activities that are not directly applicable to, and additionally incurred for the operation of the project, unless the Lead Agent’s primary role is the management of an NCRIS project. Specifically, this includes costs such as enterprise information technology, human resources, accounting, legal overheads, depreciation or other routine expenses for universities or publicly funded research agencies.</w:t>
      </w:r>
      <w:r w:rsidRPr="0009505E">
        <w:rPr>
          <w:rFonts w:asciiTheme="minorHAnsi" w:hAnsiTheme="minorHAnsi" w:cstheme="minorHAnsi"/>
        </w:rPr>
        <w:br/>
      </w:r>
      <w:r w:rsidR="00DD234A" w:rsidRPr="0009505E">
        <w:rPr>
          <w:rFonts w:asciiTheme="minorHAnsi" w:hAnsiTheme="minorHAnsi" w:cstheme="minorHAnsi"/>
        </w:rPr>
        <w:t xml:space="preserve">For the purpose of clarity, any general ‘administrative charge’ (however calculated) </w:t>
      </w:r>
      <w:r w:rsidR="0040352C" w:rsidRPr="0009505E">
        <w:rPr>
          <w:rFonts w:asciiTheme="minorHAnsi" w:hAnsiTheme="minorHAnsi" w:cstheme="minorHAnsi"/>
        </w:rPr>
        <w:t xml:space="preserve">not supported by evidence of services being provided, </w:t>
      </w:r>
      <w:r w:rsidR="00DD234A" w:rsidRPr="0009505E">
        <w:rPr>
          <w:rFonts w:asciiTheme="minorHAnsi" w:hAnsiTheme="minorHAnsi" w:cstheme="minorHAnsi"/>
        </w:rPr>
        <w:t xml:space="preserve">or the like </w:t>
      </w:r>
      <w:r w:rsidR="0040352C" w:rsidRPr="0009505E">
        <w:rPr>
          <w:rFonts w:asciiTheme="minorHAnsi" w:hAnsiTheme="minorHAnsi" w:cstheme="minorHAnsi"/>
        </w:rPr>
        <w:t>i</w:t>
      </w:r>
      <w:r w:rsidR="00DD234A" w:rsidRPr="0009505E">
        <w:rPr>
          <w:rFonts w:asciiTheme="minorHAnsi" w:hAnsiTheme="minorHAnsi" w:cstheme="minorHAnsi"/>
        </w:rPr>
        <w:t>s excluded.</w:t>
      </w:r>
    </w:p>
    <w:p w:rsidR="00DD234A" w:rsidRPr="0009505E" w:rsidRDefault="00595DE2" w:rsidP="00687C34">
      <w:pPr>
        <w:pStyle w:val="ListParagraph"/>
        <w:numPr>
          <w:ilvl w:val="0"/>
          <w:numId w:val="26"/>
        </w:numPr>
        <w:rPr>
          <w:rFonts w:asciiTheme="minorHAnsi" w:hAnsiTheme="minorHAnsi" w:cstheme="minorHAnsi"/>
        </w:rPr>
      </w:pPr>
      <w:r w:rsidRPr="0009505E">
        <w:rPr>
          <w:rFonts w:asciiTheme="minorHAnsi" w:hAnsiTheme="minorHAnsi" w:cstheme="minorHAnsi"/>
        </w:rPr>
        <w:t>i</w:t>
      </w:r>
      <w:r w:rsidR="00DD234A" w:rsidRPr="0009505E">
        <w:rPr>
          <w:rFonts w:asciiTheme="minorHAnsi" w:hAnsiTheme="minorHAnsi" w:cstheme="minorHAnsi"/>
        </w:rPr>
        <w:t>ndirect costs of researchers using NCRIS infrastructure, namely researcher travel and accommodation expenses</w:t>
      </w:r>
    </w:p>
    <w:p w:rsidR="00340616" w:rsidRPr="0009505E" w:rsidRDefault="0039438E" w:rsidP="00687C34">
      <w:pPr>
        <w:pStyle w:val="ListParagraph"/>
        <w:numPr>
          <w:ilvl w:val="0"/>
          <w:numId w:val="26"/>
        </w:numPr>
        <w:rPr>
          <w:rFonts w:asciiTheme="minorHAnsi" w:hAnsiTheme="minorHAnsi" w:cstheme="minorHAnsi"/>
        </w:rPr>
      </w:pPr>
      <w:r w:rsidRPr="0009505E">
        <w:rPr>
          <w:rFonts w:asciiTheme="minorHAnsi" w:hAnsiTheme="minorHAnsi" w:cstheme="minorHAnsi"/>
        </w:rPr>
        <w:t>specific</w:t>
      </w:r>
      <w:r w:rsidR="00595DE2" w:rsidRPr="0009505E">
        <w:rPr>
          <w:rFonts w:asciiTheme="minorHAnsi" w:hAnsiTheme="minorHAnsi" w:cstheme="minorHAnsi"/>
        </w:rPr>
        <w:t>,</w:t>
      </w:r>
      <w:r w:rsidRPr="0009505E">
        <w:rPr>
          <w:rFonts w:asciiTheme="minorHAnsi" w:hAnsiTheme="minorHAnsi" w:cstheme="minorHAnsi"/>
        </w:rPr>
        <w:t xml:space="preserve"> </w:t>
      </w:r>
      <w:r w:rsidR="002165C7" w:rsidRPr="0009505E">
        <w:rPr>
          <w:rFonts w:asciiTheme="minorHAnsi" w:hAnsiTheme="minorHAnsi" w:cstheme="minorHAnsi"/>
        </w:rPr>
        <w:t xml:space="preserve">identifiable </w:t>
      </w:r>
      <w:r w:rsidRPr="0009505E">
        <w:rPr>
          <w:rFonts w:asciiTheme="minorHAnsi" w:hAnsiTheme="minorHAnsi" w:cstheme="minorHAnsi"/>
        </w:rPr>
        <w:t>costs alre</w:t>
      </w:r>
      <w:r w:rsidR="00176D52" w:rsidRPr="0009505E">
        <w:rPr>
          <w:rFonts w:asciiTheme="minorHAnsi" w:hAnsiTheme="minorHAnsi" w:cstheme="minorHAnsi"/>
        </w:rPr>
        <w:t>ady supported by the Government.</w:t>
      </w:r>
      <w:r w:rsidRPr="0009505E">
        <w:rPr>
          <w:rFonts w:asciiTheme="minorHAnsi" w:hAnsiTheme="minorHAnsi" w:cstheme="minorHAnsi"/>
        </w:rPr>
        <w:t xml:space="preserve"> </w:t>
      </w:r>
      <w:r w:rsidR="00176D52" w:rsidRPr="0009505E">
        <w:rPr>
          <w:rFonts w:asciiTheme="minorHAnsi" w:hAnsiTheme="minorHAnsi" w:cstheme="minorHAnsi"/>
        </w:rPr>
        <w:t>I</w:t>
      </w:r>
      <w:r w:rsidR="00061D55" w:rsidRPr="0009505E">
        <w:rPr>
          <w:rFonts w:asciiTheme="minorHAnsi" w:hAnsiTheme="minorHAnsi" w:cstheme="minorHAnsi"/>
        </w:rPr>
        <w:t>n any relevant rep</w:t>
      </w:r>
      <w:r w:rsidRPr="0009505E">
        <w:rPr>
          <w:rFonts w:asciiTheme="minorHAnsi" w:hAnsiTheme="minorHAnsi" w:cstheme="minorHAnsi"/>
        </w:rPr>
        <w:t>orts provided to the Department</w:t>
      </w:r>
      <w:r w:rsidR="00061D55" w:rsidRPr="0009505E">
        <w:rPr>
          <w:rFonts w:asciiTheme="minorHAnsi" w:hAnsiTheme="minorHAnsi" w:cstheme="minorHAnsi"/>
        </w:rPr>
        <w:t xml:space="preserve"> </w:t>
      </w:r>
      <w:r w:rsidR="00A22096" w:rsidRPr="0009505E">
        <w:rPr>
          <w:rFonts w:asciiTheme="minorHAnsi" w:hAnsiTheme="minorHAnsi" w:cstheme="minorHAnsi"/>
        </w:rPr>
        <w:t xml:space="preserve">of Education and Training, </w:t>
      </w:r>
      <w:r w:rsidR="00061D55" w:rsidRPr="0009505E">
        <w:rPr>
          <w:rFonts w:asciiTheme="minorHAnsi" w:hAnsiTheme="minorHAnsi" w:cstheme="minorHAnsi"/>
        </w:rPr>
        <w:t xml:space="preserve">you should </w:t>
      </w:r>
      <w:r w:rsidRPr="0009505E">
        <w:rPr>
          <w:rFonts w:asciiTheme="minorHAnsi" w:hAnsiTheme="minorHAnsi" w:cstheme="minorHAnsi"/>
        </w:rPr>
        <w:t>detail</w:t>
      </w:r>
      <w:r w:rsidR="00061D55" w:rsidRPr="0009505E">
        <w:rPr>
          <w:rFonts w:asciiTheme="minorHAnsi" w:hAnsiTheme="minorHAnsi" w:cstheme="minorHAnsi"/>
        </w:rPr>
        <w:t xml:space="preserve"> any other Australian Government funding provided or committed</w:t>
      </w:r>
      <w:r w:rsidR="007D1AA6" w:rsidRPr="0009505E">
        <w:rPr>
          <w:rFonts w:asciiTheme="minorHAnsi" w:hAnsiTheme="minorHAnsi" w:cstheme="minorHAnsi"/>
        </w:rPr>
        <w:t xml:space="preserve">, or research infrastructure </w:t>
      </w:r>
      <w:r w:rsidRPr="0009505E">
        <w:rPr>
          <w:rFonts w:asciiTheme="minorHAnsi" w:hAnsiTheme="minorHAnsi" w:cstheme="minorHAnsi"/>
        </w:rPr>
        <w:t xml:space="preserve">so funded included in your project. For example, </w:t>
      </w:r>
      <w:r w:rsidR="003F7D78" w:rsidRPr="0009505E">
        <w:rPr>
          <w:rFonts w:asciiTheme="minorHAnsi" w:hAnsiTheme="minorHAnsi" w:cstheme="minorHAnsi"/>
        </w:rPr>
        <w:t xml:space="preserve">NCRIS should only meet residual unmet costs associated with </w:t>
      </w:r>
      <w:r w:rsidRPr="0009505E">
        <w:rPr>
          <w:rFonts w:asciiTheme="minorHAnsi" w:hAnsiTheme="minorHAnsi" w:cstheme="minorHAnsi"/>
        </w:rPr>
        <w:t xml:space="preserve">research infrastructure funded </w:t>
      </w:r>
      <w:r w:rsidR="00176D52" w:rsidRPr="0009505E">
        <w:rPr>
          <w:rFonts w:asciiTheme="minorHAnsi" w:hAnsiTheme="minorHAnsi" w:cstheme="minorHAnsi"/>
        </w:rPr>
        <w:t xml:space="preserve">in whole or in part </w:t>
      </w:r>
      <w:r w:rsidRPr="0009505E">
        <w:rPr>
          <w:rFonts w:asciiTheme="minorHAnsi" w:hAnsiTheme="minorHAnsi" w:cstheme="minorHAnsi"/>
        </w:rPr>
        <w:t xml:space="preserve">by </w:t>
      </w:r>
      <w:r w:rsidR="007D1AA6" w:rsidRPr="0009505E">
        <w:rPr>
          <w:rFonts w:asciiTheme="minorHAnsi" w:hAnsiTheme="minorHAnsi" w:cstheme="minorHAnsi"/>
        </w:rPr>
        <w:t>the Australian Research Council’s Linkage Infrastructure</w:t>
      </w:r>
      <w:r w:rsidR="000C2AB9" w:rsidRPr="0009505E">
        <w:rPr>
          <w:rFonts w:asciiTheme="minorHAnsi" w:hAnsiTheme="minorHAnsi" w:cstheme="minorHAnsi"/>
        </w:rPr>
        <w:t xml:space="preserve">, </w:t>
      </w:r>
      <w:r w:rsidR="007D1AA6" w:rsidRPr="0009505E">
        <w:rPr>
          <w:rFonts w:asciiTheme="minorHAnsi" w:hAnsiTheme="minorHAnsi" w:cstheme="minorHAnsi"/>
        </w:rPr>
        <w:t xml:space="preserve">Equipment </w:t>
      </w:r>
      <w:r w:rsidR="000C2AB9" w:rsidRPr="0009505E">
        <w:rPr>
          <w:rFonts w:asciiTheme="minorHAnsi" w:hAnsiTheme="minorHAnsi" w:cstheme="minorHAnsi"/>
        </w:rPr>
        <w:t>and Facilities program</w:t>
      </w:r>
      <w:r w:rsidR="00061D55" w:rsidRPr="0009505E">
        <w:rPr>
          <w:rFonts w:asciiTheme="minorHAnsi" w:hAnsiTheme="minorHAnsi" w:cstheme="minorHAnsi"/>
        </w:rPr>
        <w:t xml:space="preserve">. </w:t>
      </w:r>
    </w:p>
    <w:p w:rsidR="00340616" w:rsidRPr="00A22096" w:rsidRDefault="00340616" w:rsidP="00340616"/>
    <w:p w:rsidR="00340616" w:rsidRPr="00B72EE8" w:rsidRDefault="00340616" w:rsidP="00A632E3">
      <w:pPr>
        <w:pStyle w:val="Heading1Numbered"/>
      </w:pPr>
      <w:bookmarkStart w:id="16" w:name="_Toc414983554"/>
      <w:bookmarkStart w:id="17" w:name="_Toc414983971"/>
      <w:bookmarkStart w:id="18" w:name="_Toc414984731"/>
      <w:bookmarkStart w:id="19" w:name="_Toc414984825"/>
      <w:bookmarkStart w:id="20" w:name="_Toc414984929"/>
      <w:bookmarkStart w:id="21" w:name="_Toc414985033"/>
      <w:bookmarkStart w:id="22" w:name="_Toc414985136"/>
      <w:bookmarkStart w:id="23" w:name="_Toc414985238"/>
      <w:bookmarkStart w:id="24" w:name="_Toc467773963"/>
      <w:bookmarkStart w:id="25" w:name="_Toc514836286"/>
      <w:bookmarkStart w:id="26" w:name="_Ref416444108"/>
      <w:bookmarkStart w:id="27" w:name="_Toc421777599"/>
      <w:bookmarkEnd w:id="16"/>
      <w:bookmarkEnd w:id="17"/>
      <w:bookmarkEnd w:id="18"/>
      <w:bookmarkEnd w:id="19"/>
      <w:bookmarkEnd w:id="20"/>
      <w:bookmarkEnd w:id="21"/>
      <w:bookmarkEnd w:id="22"/>
      <w:bookmarkEnd w:id="23"/>
      <w:r>
        <w:t>The grant s</w:t>
      </w:r>
      <w:r w:rsidRPr="00B72EE8">
        <w:t xml:space="preserve">election </w:t>
      </w:r>
      <w:r>
        <w:t>p</w:t>
      </w:r>
      <w:r w:rsidRPr="00B72EE8">
        <w:t>rocess</w:t>
      </w:r>
      <w:bookmarkEnd w:id="24"/>
      <w:bookmarkEnd w:id="25"/>
    </w:p>
    <w:p w:rsidR="00992487" w:rsidRDefault="00992487" w:rsidP="00992487">
      <w:pPr>
        <w:pStyle w:val="Bullet1"/>
        <w:numPr>
          <w:ilvl w:val="0"/>
          <w:numId w:val="0"/>
        </w:numPr>
      </w:pPr>
      <w:r>
        <w:t xml:space="preserve">Grants </w:t>
      </w:r>
      <w:r w:rsidR="007A0608">
        <w:t>were selected</w:t>
      </w:r>
      <w:r>
        <w:t xml:space="preserve"> by the Government </w:t>
      </w:r>
      <w:r w:rsidR="006A0E94">
        <w:t xml:space="preserve">through a two year process which culminated in </w:t>
      </w:r>
      <w:r w:rsidR="00184D9B">
        <w:t xml:space="preserve">its consideration of </w:t>
      </w:r>
      <w:r>
        <w:t xml:space="preserve">its response to the 2016 Roadmap and </w:t>
      </w:r>
      <w:r w:rsidR="00110256">
        <w:t>Investment Plan</w:t>
      </w:r>
      <w:r>
        <w:t>.</w:t>
      </w:r>
    </w:p>
    <w:p w:rsidR="00176D52" w:rsidRDefault="00110256" w:rsidP="00992487">
      <w:pPr>
        <w:pStyle w:val="Bullet1"/>
        <w:numPr>
          <w:ilvl w:val="0"/>
          <w:numId w:val="0"/>
        </w:numPr>
      </w:pPr>
      <w:r>
        <w:t xml:space="preserve">This process has comprised </w:t>
      </w:r>
      <w:r w:rsidR="000728E5">
        <w:t>two</w:t>
      </w:r>
      <w:r>
        <w:t xml:space="preserve"> key steps</w:t>
      </w:r>
      <w:r w:rsidR="004766E3">
        <w:t>:</w:t>
      </w:r>
    </w:p>
    <w:p w:rsidR="004766E3" w:rsidRDefault="008D32E8" w:rsidP="004766E3">
      <w:pPr>
        <w:pStyle w:val="Bullet1"/>
        <w:numPr>
          <w:ilvl w:val="0"/>
          <w:numId w:val="41"/>
        </w:numPr>
      </w:pPr>
      <w:r>
        <w:t xml:space="preserve">development </w:t>
      </w:r>
      <w:r w:rsidR="004766E3">
        <w:t xml:space="preserve">of the 2016 Roadmap to determine </w:t>
      </w:r>
      <w:r w:rsidR="003A6330">
        <w:t xml:space="preserve">ongoing </w:t>
      </w:r>
      <w:r w:rsidR="004766E3">
        <w:t>priorities across the research sector</w:t>
      </w:r>
    </w:p>
    <w:p w:rsidR="000A4DB9" w:rsidRDefault="000A4DB9" w:rsidP="00A22096">
      <w:pPr>
        <w:pStyle w:val="Bullet1"/>
        <w:numPr>
          <w:ilvl w:val="1"/>
          <w:numId w:val="41"/>
        </w:numPr>
      </w:pPr>
      <w:r>
        <w:t xml:space="preserve">funding to replace the NCI supercomputer was identified as an urgent action in </w:t>
      </w:r>
      <w:r w:rsidR="00A22096">
        <w:t xml:space="preserve">the </w:t>
      </w:r>
      <w:r>
        <w:t>2016 Roadmap</w:t>
      </w:r>
    </w:p>
    <w:p w:rsidR="004766E3" w:rsidRDefault="008D32E8" w:rsidP="000728E5">
      <w:pPr>
        <w:pStyle w:val="Bullet1"/>
        <w:numPr>
          <w:ilvl w:val="0"/>
          <w:numId w:val="41"/>
        </w:numPr>
      </w:pPr>
      <w:r>
        <w:t xml:space="preserve">development </w:t>
      </w:r>
      <w:r w:rsidR="000728E5">
        <w:t xml:space="preserve">of the Investment Plan, </w:t>
      </w:r>
      <w:r w:rsidR="003A1BBC">
        <w:t xml:space="preserve">encompassing </w:t>
      </w:r>
      <w:r w:rsidR="004766E3">
        <w:t xml:space="preserve">Government </w:t>
      </w:r>
      <w:r w:rsidR="006A0E94">
        <w:t>consideration</w:t>
      </w:r>
      <w:r w:rsidR="000728E5">
        <w:t xml:space="preserve"> and</w:t>
      </w:r>
      <w:r w:rsidR="006A0E94">
        <w:t xml:space="preserve"> </w:t>
      </w:r>
      <w:r w:rsidR="004766E3">
        <w:t xml:space="preserve">determination of </w:t>
      </w:r>
      <w:r w:rsidR="003A6330">
        <w:t xml:space="preserve">additional </w:t>
      </w:r>
      <w:r w:rsidR="004766E3">
        <w:t>grants.</w:t>
      </w:r>
      <w:r w:rsidR="0009505E">
        <w:br/>
      </w:r>
    </w:p>
    <w:p w:rsidR="0009505E" w:rsidRDefault="0009505E" w:rsidP="0009505E">
      <w:pPr>
        <w:pStyle w:val="Bullet1"/>
        <w:numPr>
          <w:ilvl w:val="0"/>
          <w:numId w:val="0"/>
        </w:numPr>
        <w:ind w:left="284" w:hanging="284"/>
      </w:pPr>
    </w:p>
    <w:p w:rsidR="0009505E" w:rsidRDefault="0009505E" w:rsidP="0009505E">
      <w:pPr>
        <w:pStyle w:val="Bullet1"/>
        <w:numPr>
          <w:ilvl w:val="0"/>
          <w:numId w:val="0"/>
        </w:numPr>
        <w:ind w:left="284" w:hanging="284"/>
      </w:pPr>
    </w:p>
    <w:p w:rsidR="0009505E" w:rsidRDefault="0009505E" w:rsidP="0009505E">
      <w:pPr>
        <w:pStyle w:val="Bullet1"/>
        <w:numPr>
          <w:ilvl w:val="0"/>
          <w:numId w:val="0"/>
        </w:numPr>
        <w:ind w:left="284" w:hanging="284"/>
      </w:pPr>
    </w:p>
    <w:p w:rsidR="004766E3" w:rsidRPr="00687C34" w:rsidRDefault="008D32E8" w:rsidP="004766E3">
      <w:pPr>
        <w:pStyle w:val="Bullet1"/>
        <w:numPr>
          <w:ilvl w:val="0"/>
          <w:numId w:val="0"/>
        </w:numPr>
        <w:ind w:left="284" w:hanging="284"/>
        <w:rPr>
          <w:b/>
          <w:i/>
          <w:sz w:val="28"/>
          <w:szCs w:val="28"/>
        </w:rPr>
      </w:pPr>
      <w:r>
        <w:rPr>
          <w:b/>
          <w:i/>
          <w:sz w:val="28"/>
          <w:szCs w:val="28"/>
        </w:rPr>
        <w:t xml:space="preserve">Priorities </w:t>
      </w:r>
      <w:r w:rsidR="003A6330">
        <w:rPr>
          <w:b/>
          <w:i/>
          <w:sz w:val="28"/>
          <w:szCs w:val="28"/>
        </w:rPr>
        <w:t xml:space="preserve">and grants </w:t>
      </w:r>
      <w:r>
        <w:rPr>
          <w:b/>
          <w:i/>
          <w:sz w:val="28"/>
          <w:szCs w:val="28"/>
        </w:rPr>
        <w:t xml:space="preserve">identified in the </w:t>
      </w:r>
      <w:r w:rsidR="004766E3" w:rsidRPr="00687C34">
        <w:rPr>
          <w:b/>
          <w:i/>
          <w:sz w:val="28"/>
          <w:szCs w:val="28"/>
        </w:rPr>
        <w:t>2016 Roadmap</w:t>
      </w:r>
    </w:p>
    <w:p w:rsidR="004766E3" w:rsidRDefault="006A0E94" w:rsidP="006A0E94">
      <w:pPr>
        <w:pStyle w:val="Bullet1"/>
        <w:numPr>
          <w:ilvl w:val="0"/>
          <w:numId w:val="0"/>
        </w:numPr>
      </w:pPr>
      <w:r>
        <w:t>The 2016 Roadmap identifies priority research infrastructure for the coming decade in nine areas</w:t>
      </w:r>
      <w:r w:rsidR="0040352C">
        <w:rPr>
          <w:rStyle w:val="FootnoteReference"/>
        </w:rPr>
        <w:footnoteReference w:id="6"/>
      </w:r>
      <w:r>
        <w:t xml:space="preserve"> that will underpin research in which Australia can and needs to excel, to deliver long term national benefit and foster strategic international partnerships.</w:t>
      </w:r>
    </w:p>
    <w:p w:rsidR="00A05D35" w:rsidRDefault="00A05D35" w:rsidP="006A0E94">
      <w:pPr>
        <w:pStyle w:val="Bullet1"/>
        <w:numPr>
          <w:ilvl w:val="0"/>
          <w:numId w:val="0"/>
        </w:numPr>
      </w:pPr>
      <w:r>
        <w:t xml:space="preserve">The </w:t>
      </w:r>
      <w:r w:rsidR="00BF4EDF">
        <w:t>methodology</w:t>
      </w:r>
      <w:r>
        <w:t xml:space="preserve"> established </w:t>
      </w:r>
      <w:r w:rsidR="00BF4EDF">
        <w:t>by</w:t>
      </w:r>
      <w:r>
        <w:t xml:space="preserve"> the NCRIS 2017 Guidelines to provide </w:t>
      </w:r>
      <w:r w:rsidR="00C9311C">
        <w:t xml:space="preserve">base </w:t>
      </w:r>
      <w:r>
        <w:t xml:space="preserve">operational funding </w:t>
      </w:r>
      <w:r w:rsidR="00C9311C">
        <w:t xml:space="preserve">(from NISA) </w:t>
      </w:r>
      <w:r>
        <w:t>for priority projects will continue</w:t>
      </w:r>
      <w:r w:rsidR="00BF4EDF">
        <w:t xml:space="preserve">. Consequently, </w:t>
      </w:r>
      <w:r>
        <w:t xml:space="preserve">the 24 </w:t>
      </w:r>
      <w:r w:rsidR="001116FF">
        <w:t xml:space="preserve">Roadmap </w:t>
      </w:r>
      <w:r>
        <w:t>priority projects</w:t>
      </w:r>
      <w:r w:rsidR="00BF4EDF">
        <w:t xml:space="preserve"> will continue to receive base operational funding.</w:t>
      </w:r>
      <w:r>
        <w:t xml:space="preserve"> </w:t>
      </w:r>
      <w:r w:rsidRPr="004077FB">
        <w:rPr>
          <w:u w:val="single"/>
        </w:rPr>
        <w:t>Appendix C</w:t>
      </w:r>
      <w:r>
        <w:t xml:space="preserve"> sets out specific funding amounts</w:t>
      </w:r>
      <w:r w:rsidR="00196B91">
        <w:t xml:space="preserve"> for these projects</w:t>
      </w:r>
      <w:r>
        <w:t xml:space="preserve">. </w:t>
      </w:r>
    </w:p>
    <w:p w:rsidR="004422AC" w:rsidRDefault="004422AC" w:rsidP="004422AC">
      <w:pPr>
        <w:pStyle w:val="Bullet1"/>
        <w:numPr>
          <w:ilvl w:val="0"/>
          <w:numId w:val="0"/>
        </w:numPr>
      </w:pPr>
      <w:r>
        <w:t xml:space="preserve">Australia’s associate membership of the European Molecular Biology Laboratory was also identified as a priority and the </w:t>
      </w:r>
      <w:r w:rsidR="003A6330">
        <w:t xml:space="preserve">annual </w:t>
      </w:r>
      <w:r>
        <w:t xml:space="preserve">associate membership fee will continue to be met </w:t>
      </w:r>
      <w:r w:rsidR="003A6330">
        <w:t xml:space="preserve">for the period of </w:t>
      </w:r>
      <w:r>
        <w:t>these Guidelines.</w:t>
      </w:r>
    </w:p>
    <w:p w:rsidR="00D41F15" w:rsidRDefault="00D41F15" w:rsidP="004422AC">
      <w:pPr>
        <w:pStyle w:val="Bullet1"/>
        <w:numPr>
          <w:ilvl w:val="0"/>
          <w:numId w:val="0"/>
        </w:numPr>
      </w:pPr>
      <w:r>
        <w:t>The Government separately announced capital funding of $70.0 million to replace the National Computational Infrastructure’s supercomputer to be provided through NCRIS.</w:t>
      </w:r>
    </w:p>
    <w:p w:rsidR="0000606D" w:rsidRPr="00687C34" w:rsidRDefault="004077FB" w:rsidP="00687C34">
      <w:pPr>
        <w:pStyle w:val="Bullet1"/>
        <w:numPr>
          <w:ilvl w:val="0"/>
          <w:numId w:val="0"/>
        </w:numPr>
        <w:ind w:left="284" w:hanging="284"/>
        <w:rPr>
          <w:b/>
          <w:i/>
          <w:sz w:val="28"/>
          <w:szCs w:val="28"/>
        </w:rPr>
      </w:pPr>
      <w:r>
        <w:rPr>
          <w:b/>
          <w:i/>
          <w:sz w:val="28"/>
          <w:szCs w:val="28"/>
        </w:rPr>
        <w:t xml:space="preserve">Priorities </w:t>
      </w:r>
      <w:r w:rsidR="003A6330">
        <w:rPr>
          <w:b/>
          <w:i/>
          <w:sz w:val="28"/>
          <w:szCs w:val="28"/>
        </w:rPr>
        <w:t xml:space="preserve">and grants </w:t>
      </w:r>
      <w:r>
        <w:rPr>
          <w:b/>
          <w:i/>
          <w:sz w:val="28"/>
          <w:szCs w:val="28"/>
        </w:rPr>
        <w:t xml:space="preserve">identified in the </w:t>
      </w:r>
      <w:r w:rsidR="0000606D" w:rsidRPr="00687C34">
        <w:rPr>
          <w:b/>
          <w:i/>
          <w:sz w:val="28"/>
          <w:szCs w:val="28"/>
        </w:rPr>
        <w:t>Research Infrastructure Investment Plan</w:t>
      </w:r>
    </w:p>
    <w:p w:rsidR="0000606D" w:rsidRDefault="0000606D" w:rsidP="006A0E94">
      <w:pPr>
        <w:pStyle w:val="Bullet1"/>
        <w:numPr>
          <w:ilvl w:val="0"/>
          <w:numId w:val="0"/>
        </w:numPr>
      </w:pPr>
      <w:r>
        <w:t>The Investment Plan was announced in the 201</w:t>
      </w:r>
      <w:r w:rsidR="00D03DFD">
        <w:t>8</w:t>
      </w:r>
      <w:r>
        <w:t>-1</w:t>
      </w:r>
      <w:r w:rsidR="00D03DFD">
        <w:t>9</w:t>
      </w:r>
      <w:r>
        <w:t xml:space="preserve"> Budget. It has been developed by </w:t>
      </w:r>
      <w:r w:rsidR="000728E5">
        <w:t xml:space="preserve">the department and the Department of Industry, Innovation and Science, </w:t>
      </w:r>
      <w:r w:rsidR="000A4DB9" w:rsidRPr="00A22096">
        <w:t xml:space="preserve">in collaboration with Innovation and Science Australia, </w:t>
      </w:r>
      <w:r w:rsidR="00E950A8">
        <w:t xml:space="preserve">and </w:t>
      </w:r>
      <w:r w:rsidR="000A4DB9" w:rsidRPr="00A22096">
        <w:t>the Commonwealth Science Council.</w:t>
      </w:r>
    </w:p>
    <w:p w:rsidR="0000606D" w:rsidRPr="00A632E3" w:rsidRDefault="00E950A8" w:rsidP="006A0E94">
      <w:pPr>
        <w:pStyle w:val="Bullet1"/>
        <w:numPr>
          <w:ilvl w:val="0"/>
          <w:numId w:val="0"/>
        </w:numPr>
      </w:pPr>
      <w:r>
        <w:t xml:space="preserve">Development of the </w:t>
      </w:r>
      <w:r w:rsidR="00A22096">
        <w:t>Investment Plan</w:t>
      </w:r>
      <w:r>
        <w:t xml:space="preserve"> also took into account the substantial information provided for the 2016 Roadmap, as well as separately sought costing information. </w:t>
      </w:r>
    </w:p>
    <w:p w:rsidR="00E950A8" w:rsidRDefault="00E950A8" w:rsidP="00340616">
      <w:bookmarkStart w:id="28" w:name="_Ref421697890"/>
      <w:bookmarkStart w:id="29" w:name="_Ref421697892"/>
      <w:bookmarkStart w:id="30" w:name="_Toc421777600"/>
      <w:bookmarkStart w:id="31" w:name="_Toc467773964"/>
      <w:bookmarkEnd w:id="26"/>
      <w:bookmarkEnd w:id="27"/>
      <w:r>
        <w:t>Factors taken into account in deciding grant amounts included:</w:t>
      </w:r>
    </w:p>
    <w:p w:rsidR="00E950A8" w:rsidRPr="00FB415F" w:rsidRDefault="00E950A8" w:rsidP="00FB415F">
      <w:pPr>
        <w:pStyle w:val="Bullet1"/>
        <w:numPr>
          <w:ilvl w:val="0"/>
          <w:numId w:val="54"/>
        </w:numPr>
      </w:pPr>
      <w:r w:rsidRPr="00FB415F">
        <w:t>alignment with the 2016 Roadmap</w:t>
      </w:r>
    </w:p>
    <w:p w:rsidR="00E950A8" w:rsidRPr="00FB415F" w:rsidRDefault="00E950A8" w:rsidP="00FB415F">
      <w:pPr>
        <w:pStyle w:val="Bullet1"/>
        <w:numPr>
          <w:ilvl w:val="0"/>
          <w:numId w:val="54"/>
        </w:numPr>
      </w:pPr>
      <w:r w:rsidRPr="00FB415F">
        <w:t>alignment with Government policy priorities</w:t>
      </w:r>
    </w:p>
    <w:p w:rsidR="00E950A8" w:rsidRPr="00FB415F" w:rsidRDefault="00E950A8" w:rsidP="00FB415F">
      <w:pPr>
        <w:pStyle w:val="Bullet1"/>
        <w:numPr>
          <w:ilvl w:val="0"/>
          <w:numId w:val="54"/>
        </w:numPr>
      </w:pPr>
      <w:r w:rsidRPr="00FB415F">
        <w:t>urgency</w:t>
      </w:r>
      <w:r w:rsidR="00142370" w:rsidRPr="00FB415F">
        <w:t xml:space="preserve"> of capital refresh needs.</w:t>
      </w:r>
    </w:p>
    <w:p w:rsidR="00340616" w:rsidRDefault="004077FB" w:rsidP="00340616">
      <w:bookmarkStart w:id="32" w:name="_Toc421777611"/>
      <w:bookmarkStart w:id="33" w:name="_Toc421777601"/>
      <w:bookmarkEnd w:id="28"/>
      <w:bookmarkEnd w:id="29"/>
      <w:bookmarkEnd w:id="30"/>
      <w:bookmarkEnd w:id="31"/>
      <w:r>
        <w:t xml:space="preserve">The Investment Plan provided the following </w:t>
      </w:r>
      <w:r w:rsidR="0040352C">
        <w:t>Roadmap</w:t>
      </w:r>
      <w:r>
        <w:t xml:space="preserve"> priority projects with set capital funding and set additional operating funding</w:t>
      </w:r>
      <w:r w:rsidR="0040352C">
        <w:t>:</w:t>
      </w:r>
    </w:p>
    <w:p w:rsidR="00D41F15" w:rsidRDefault="00D41F15" w:rsidP="00D41F15">
      <w:pPr>
        <w:pStyle w:val="Bullet1"/>
        <w:numPr>
          <w:ilvl w:val="0"/>
          <w:numId w:val="54"/>
        </w:numPr>
      </w:pPr>
      <w:r>
        <w:t>Astronomy (</w:t>
      </w:r>
      <w:r w:rsidR="0040352C">
        <w:t xml:space="preserve">i.e. </w:t>
      </w:r>
      <w:r>
        <w:t>Australian Telescope National Facility)</w:t>
      </w:r>
    </w:p>
    <w:p w:rsidR="00D41F15" w:rsidRDefault="00D41F15" w:rsidP="00D41F15">
      <w:pPr>
        <w:pStyle w:val="Bullet1"/>
        <w:numPr>
          <w:ilvl w:val="0"/>
          <w:numId w:val="54"/>
        </w:numPr>
      </w:pPr>
      <w:r>
        <w:t>Atlas of Living Australia</w:t>
      </w:r>
    </w:p>
    <w:p w:rsidR="00D41F15" w:rsidRDefault="00D41F15" w:rsidP="00D41F15">
      <w:pPr>
        <w:pStyle w:val="Bullet1"/>
        <w:numPr>
          <w:ilvl w:val="0"/>
          <w:numId w:val="54"/>
        </w:numPr>
      </w:pPr>
      <w:r>
        <w:t>AuScope</w:t>
      </w:r>
    </w:p>
    <w:p w:rsidR="00D41F15" w:rsidRDefault="002C21B4" w:rsidP="00D41F15">
      <w:pPr>
        <w:pStyle w:val="Bullet1"/>
        <w:numPr>
          <w:ilvl w:val="0"/>
          <w:numId w:val="54"/>
        </w:numPr>
      </w:pPr>
      <w:r>
        <w:t>AURIN</w:t>
      </w:r>
    </w:p>
    <w:p w:rsidR="00D41F15" w:rsidRDefault="00D41F15" w:rsidP="00D41F15">
      <w:pPr>
        <w:pStyle w:val="Bullet1"/>
        <w:numPr>
          <w:ilvl w:val="0"/>
          <w:numId w:val="54"/>
        </w:numPr>
      </w:pPr>
      <w:r>
        <w:t>Australian Microscopy and Microanalysis Research Facility</w:t>
      </w:r>
    </w:p>
    <w:p w:rsidR="00D41F15" w:rsidRDefault="00D41F15" w:rsidP="00D41F15">
      <w:pPr>
        <w:pStyle w:val="Bullet1"/>
        <w:numPr>
          <w:ilvl w:val="0"/>
          <w:numId w:val="54"/>
        </w:numPr>
      </w:pPr>
      <w:r>
        <w:t>Australian National Data Service (as the eResearch Project)</w:t>
      </w:r>
    </w:p>
    <w:p w:rsidR="00D41F15" w:rsidRDefault="00D41F15" w:rsidP="00D41F15">
      <w:pPr>
        <w:pStyle w:val="Bullet1"/>
        <w:numPr>
          <w:ilvl w:val="0"/>
          <w:numId w:val="54"/>
        </w:numPr>
      </w:pPr>
      <w:r>
        <w:t>Australian National Fabrication Facility</w:t>
      </w:r>
    </w:p>
    <w:p w:rsidR="00D41F15" w:rsidRDefault="00D41F15" w:rsidP="00D41F15">
      <w:pPr>
        <w:pStyle w:val="Bullet1"/>
        <w:numPr>
          <w:ilvl w:val="0"/>
          <w:numId w:val="54"/>
        </w:numPr>
      </w:pPr>
      <w:r>
        <w:t>Australian Phenomics Network</w:t>
      </w:r>
    </w:p>
    <w:p w:rsidR="00D41F15" w:rsidRDefault="00D41F15" w:rsidP="00D41F15">
      <w:pPr>
        <w:pStyle w:val="Bullet1"/>
        <w:numPr>
          <w:ilvl w:val="0"/>
          <w:numId w:val="54"/>
        </w:numPr>
      </w:pPr>
      <w:r>
        <w:t>Australian Plant Phenomics Facility</w:t>
      </w:r>
    </w:p>
    <w:p w:rsidR="00D41F15" w:rsidRDefault="00D41F15" w:rsidP="00D41F15">
      <w:pPr>
        <w:pStyle w:val="Bullet1"/>
        <w:numPr>
          <w:ilvl w:val="0"/>
          <w:numId w:val="54"/>
        </w:numPr>
      </w:pPr>
      <w:r>
        <w:t>Bioplatforms Australia</w:t>
      </w:r>
    </w:p>
    <w:p w:rsidR="00D41F15" w:rsidRDefault="00D41F15" w:rsidP="00D41F15">
      <w:pPr>
        <w:pStyle w:val="Bullet1"/>
        <w:numPr>
          <w:ilvl w:val="0"/>
          <w:numId w:val="54"/>
        </w:numPr>
      </w:pPr>
      <w:r>
        <w:t>Integrated Marine Observing System</w:t>
      </w:r>
    </w:p>
    <w:p w:rsidR="00D41F15" w:rsidRDefault="00D41F15" w:rsidP="00D41F15">
      <w:pPr>
        <w:pStyle w:val="Bullet1"/>
        <w:numPr>
          <w:ilvl w:val="0"/>
          <w:numId w:val="54"/>
        </w:numPr>
      </w:pPr>
      <w:r>
        <w:t>National Deuteration Facility</w:t>
      </w:r>
    </w:p>
    <w:p w:rsidR="00D41F15" w:rsidRDefault="00D41F15" w:rsidP="00D41F15">
      <w:pPr>
        <w:pStyle w:val="Bullet1"/>
        <w:numPr>
          <w:ilvl w:val="0"/>
          <w:numId w:val="54"/>
        </w:numPr>
      </w:pPr>
      <w:r>
        <w:t>National eResearch Collaboration Tools and Resources (as the eResearch Project)</w:t>
      </w:r>
    </w:p>
    <w:p w:rsidR="00D41F15" w:rsidRDefault="00D41F15" w:rsidP="00D41F15">
      <w:pPr>
        <w:pStyle w:val="Bullet1"/>
        <w:numPr>
          <w:ilvl w:val="0"/>
          <w:numId w:val="54"/>
        </w:numPr>
      </w:pPr>
      <w:r>
        <w:t>National Imaging Facility</w:t>
      </w:r>
    </w:p>
    <w:p w:rsidR="00D41F15" w:rsidRDefault="00D41F15" w:rsidP="00D41F15">
      <w:pPr>
        <w:pStyle w:val="Bullet1"/>
        <w:numPr>
          <w:ilvl w:val="0"/>
          <w:numId w:val="54"/>
        </w:numPr>
      </w:pPr>
      <w:r>
        <w:t>Nuclear Science Facility</w:t>
      </w:r>
    </w:p>
    <w:p w:rsidR="00D41F15" w:rsidRDefault="00D41F15" w:rsidP="00D41F15">
      <w:pPr>
        <w:pStyle w:val="Bullet1"/>
        <w:numPr>
          <w:ilvl w:val="0"/>
          <w:numId w:val="54"/>
        </w:numPr>
      </w:pPr>
      <w:r>
        <w:t>Population Health Research Network</w:t>
      </w:r>
    </w:p>
    <w:p w:rsidR="00D41F15" w:rsidRDefault="00D41F15" w:rsidP="00D41F15">
      <w:pPr>
        <w:pStyle w:val="Bullet1"/>
        <w:numPr>
          <w:ilvl w:val="0"/>
          <w:numId w:val="54"/>
        </w:numPr>
      </w:pPr>
      <w:r>
        <w:t>Research Data Services (as the eResearch Project)</w:t>
      </w:r>
    </w:p>
    <w:p w:rsidR="00D41F15" w:rsidRDefault="00D41F15" w:rsidP="00D41F15">
      <w:pPr>
        <w:pStyle w:val="Bullet1"/>
        <w:numPr>
          <w:ilvl w:val="0"/>
          <w:numId w:val="54"/>
        </w:numPr>
      </w:pPr>
      <w:r>
        <w:t>Terrestrial Ecosystem Research Network</w:t>
      </w:r>
    </w:p>
    <w:p w:rsidR="00D41F15" w:rsidRDefault="00D41F15" w:rsidP="00D41F15">
      <w:pPr>
        <w:pStyle w:val="Bullet1"/>
        <w:numPr>
          <w:ilvl w:val="0"/>
          <w:numId w:val="54"/>
        </w:numPr>
      </w:pPr>
      <w:r>
        <w:t>Translating health discoveries into clinical applications</w:t>
      </w:r>
    </w:p>
    <w:p w:rsidR="003A6330" w:rsidRDefault="003A6330" w:rsidP="00CF1E9E">
      <w:pPr>
        <w:pStyle w:val="Bullet1"/>
        <w:numPr>
          <w:ilvl w:val="0"/>
          <w:numId w:val="0"/>
        </w:numPr>
      </w:pPr>
      <w:r w:rsidRPr="00687C34">
        <w:t xml:space="preserve">Several further projects were identified </w:t>
      </w:r>
      <w:r>
        <w:t>for set grants:</w:t>
      </w:r>
    </w:p>
    <w:p w:rsidR="003A6330" w:rsidRDefault="003A6330" w:rsidP="00687C34">
      <w:pPr>
        <w:pStyle w:val="Bullet1"/>
        <w:numPr>
          <w:ilvl w:val="0"/>
          <w:numId w:val="55"/>
        </w:numPr>
      </w:pPr>
      <w:r>
        <w:t>CSIRO’s National Collections Building</w:t>
      </w:r>
    </w:p>
    <w:p w:rsidR="003A6330" w:rsidRPr="00687C34" w:rsidRDefault="003A6330" w:rsidP="00687C34">
      <w:pPr>
        <w:pStyle w:val="Bullet1"/>
        <w:numPr>
          <w:ilvl w:val="0"/>
          <w:numId w:val="55"/>
        </w:numPr>
      </w:pPr>
      <w:r>
        <w:t>the Marine National Facility</w:t>
      </w:r>
    </w:p>
    <w:p w:rsidR="00CF1E9E" w:rsidRPr="00687C34" w:rsidRDefault="00CF1E9E" w:rsidP="00CF1E9E">
      <w:pPr>
        <w:pStyle w:val="Bullet1"/>
        <w:numPr>
          <w:ilvl w:val="0"/>
          <w:numId w:val="0"/>
        </w:numPr>
      </w:pPr>
      <w:r w:rsidRPr="00687C34">
        <w:t>These projects will receive the set amount to 30 June 2022.</w:t>
      </w:r>
    </w:p>
    <w:p w:rsidR="00D41F15" w:rsidRDefault="00D41F15" w:rsidP="00CF1E9E">
      <w:pPr>
        <w:pStyle w:val="Bullet1"/>
        <w:numPr>
          <w:ilvl w:val="0"/>
          <w:numId w:val="0"/>
        </w:numPr>
      </w:pPr>
      <w:r w:rsidRPr="004077FB">
        <w:rPr>
          <w:u w:val="single"/>
        </w:rPr>
        <w:t>Appendix C</w:t>
      </w:r>
      <w:r>
        <w:t xml:space="preserve"> sets out specific funding amounts.</w:t>
      </w:r>
    </w:p>
    <w:p w:rsidR="004077FB" w:rsidRPr="00B72EE8" w:rsidRDefault="004077FB" w:rsidP="00340616"/>
    <w:p w:rsidR="00340616" w:rsidRPr="00B72EE8" w:rsidRDefault="00240287" w:rsidP="00A22096">
      <w:pPr>
        <w:pStyle w:val="Heading1Numbered"/>
      </w:pPr>
      <w:bookmarkStart w:id="34" w:name="_Toc467773967"/>
      <w:bookmarkStart w:id="35" w:name="_Toc514836287"/>
      <w:bookmarkStart w:id="36" w:name="_Toc421777613"/>
      <w:bookmarkStart w:id="37" w:name="_Ref421787098"/>
      <w:bookmarkStart w:id="38" w:name="_Ref422127559"/>
      <w:bookmarkStart w:id="39" w:name="_Ref422128505"/>
      <w:bookmarkEnd w:id="32"/>
      <w:r>
        <w:t>T</w:t>
      </w:r>
      <w:r w:rsidR="00340616" w:rsidRPr="00B72EE8">
        <w:t>iming</w:t>
      </w:r>
      <w:bookmarkEnd w:id="34"/>
      <w:bookmarkEnd w:id="35"/>
      <w:r w:rsidR="00340616" w:rsidRPr="00B72EE8">
        <w:t xml:space="preserve"> </w:t>
      </w:r>
      <w:bookmarkEnd w:id="36"/>
      <w:bookmarkEnd w:id="37"/>
      <w:bookmarkEnd w:id="38"/>
      <w:bookmarkEnd w:id="39"/>
    </w:p>
    <w:p w:rsidR="00340616" w:rsidRDefault="00B97E5D" w:rsidP="00340616">
      <w:pPr>
        <w:spacing w:before="200"/>
      </w:pPr>
      <w:r>
        <w:t>See Table 1 for expected timing.</w:t>
      </w:r>
    </w:p>
    <w:p w:rsidR="0054078D" w:rsidRDefault="0054078D" w:rsidP="0054078D">
      <w:pPr>
        <w:pStyle w:val="Caption"/>
        <w:keepNext/>
      </w:pPr>
      <w:bookmarkStart w:id="40" w:name="_Toc467773968"/>
      <w:r w:rsidRPr="0054078D">
        <w:rPr>
          <w:bCs/>
          <w:iCs w:val="0"/>
        </w:rPr>
        <w:t>Table 1: Expected timing for this grant opportunity</w:t>
      </w:r>
      <w:bookmarkEnd w:id="40"/>
      <w:r w:rsidRPr="0054078D">
        <w:t xml:space="preserve"> </w:t>
      </w:r>
    </w:p>
    <w:tbl>
      <w:tblPr>
        <w:tblStyle w:val="Finance1"/>
        <w:tblW w:w="8789" w:type="dxa"/>
        <w:tblLook w:val="0660" w:firstRow="1" w:lastRow="1" w:firstColumn="0" w:lastColumn="0" w:noHBand="1" w:noVBand="1"/>
      </w:tblPr>
      <w:tblGrid>
        <w:gridCol w:w="3402"/>
        <w:gridCol w:w="1985"/>
        <w:gridCol w:w="3402"/>
      </w:tblGrid>
      <w:tr w:rsidR="0054078D" w:rsidTr="0054078D">
        <w:trPr>
          <w:cnfStyle w:val="100000000000" w:firstRow="1" w:lastRow="0" w:firstColumn="0" w:lastColumn="0" w:oddVBand="0" w:evenVBand="0" w:oddHBand="0" w:evenHBand="0" w:firstRowFirstColumn="0" w:firstRowLastColumn="0" w:lastRowFirstColumn="0" w:lastRowLastColumn="0"/>
        </w:trPr>
        <w:tc>
          <w:tcPr>
            <w:tcW w:w="3402" w:type="dxa"/>
          </w:tcPr>
          <w:p w:rsidR="0054078D" w:rsidRDefault="0054078D" w:rsidP="00E44E21">
            <w:pPr>
              <w:pStyle w:val="TableText"/>
            </w:pPr>
            <w:r>
              <w:t>Activity</w:t>
            </w:r>
          </w:p>
        </w:tc>
        <w:tc>
          <w:tcPr>
            <w:tcW w:w="5387" w:type="dxa"/>
            <w:gridSpan w:val="2"/>
          </w:tcPr>
          <w:p w:rsidR="0054078D" w:rsidRDefault="0054078D" w:rsidP="0054078D">
            <w:pPr>
              <w:pStyle w:val="TableText"/>
              <w:jc w:val="center"/>
            </w:pPr>
            <w:r>
              <w:t>Timeframe</w:t>
            </w:r>
          </w:p>
        </w:tc>
      </w:tr>
      <w:tr w:rsidR="0054078D" w:rsidTr="0054078D">
        <w:tc>
          <w:tcPr>
            <w:tcW w:w="5387" w:type="dxa"/>
            <w:gridSpan w:val="2"/>
          </w:tcPr>
          <w:p w:rsidR="0054078D" w:rsidRPr="000D60B1" w:rsidRDefault="001C3A4E" w:rsidP="00340DDB">
            <w:pPr>
              <w:pStyle w:val="TableText"/>
            </w:pPr>
            <w:r>
              <w:t>Terms of Reference for 2016 Roadmap announced, subsequent consultations</w:t>
            </w:r>
          </w:p>
        </w:tc>
        <w:tc>
          <w:tcPr>
            <w:tcW w:w="3402" w:type="dxa"/>
          </w:tcPr>
          <w:p w:rsidR="0054078D" w:rsidRPr="0054078D" w:rsidRDefault="001C3A4E">
            <w:pPr>
              <w:pStyle w:val="TableText"/>
            </w:pPr>
            <w:r>
              <w:t xml:space="preserve">from </w:t>
            </w:r>
            <w:r w:rsidR="008E791C">
              <w:t>March 2016</w:t>
            </w:r>
          </w:p>
        </w:tc>
      </w:tr>
      <w:tr w:rsidR="001C3A4E" w:rsidTr="0054078D">
        <w:tc>
          <w:tcPr>
            <w:tcW w:w="5387" w:type="dxa"/>
            <w:gridSpan w:val="2"/>
          </w:tcPr>
          <w:p w:rsidR="001C3A4E" w:rsidRPr="00B72EE8" w:rsidRDefault="001C3A4E" w:rsidP="0054078D">
            <w:pPr>
              <w:pStyle w:val="TableText"/>
            </w:pPr>
            <w:r>
              <w:t>2016 Roadmap presented to Government</w:t>
            </w:r>
          </w:p>
        </w:tc>
        <w:tc>
          <w:tcPr>
            <w:tcW w:w="3402" w:type="dxa"/>
          </w:tcPr>
          <w:p w:rsidR="001C3A4E" w:rsidRPr="0054078D" w:rsidDel="006048E9" w:rsidRDefault="008E791C" w:rsidP="0054078D">
            <w:pPr>
              <w:pStyle w:val="TableText"/>
            </w:pPr>
            <w:r>
              <w:t>February 2017</w:t>
            </w:r>
          </w:p>
        </w:tc>
      </w:tr>
      <w:tr w:rsidR="001C3A4E" w:rsidTr="0054078D">
        <w:tc>
          <w:tcPr>
            <w:tcW w:w="5387" w:type="dxa"/>
            <w:gridSpan w:val="2"/>
          </w:tcPr>
          <w:p w:rsidR="001C3A4E" w:rsidRPr="00B72EE8" w:rsidRDefault="00A22096" w:rsidP="00340DDB">
            <w:pPr>
              <w:pStyle w:val="TableText"/>
            </w:pPr>
            <w:r>
              <w:t>Investment Plan</w:t>
            </w:r>
            <w:r w:rsidR="001C3A4E">
              <w:t xml:space="preserve"> announced, subsequent consultations</w:t>
            </w:r>
          </w:p>
        </w:tc>
        <w:tc>
          <w:tcPr>
            <w:tcW w:w="3402" w:type="dxa"/>
          </w:tcPr>
          <w:p w:rsidR="001C3A4E" w:rsidRPr="0054078D" w:rsidDel="006048E9" w:rsidRDefault="001C3A4E" w:rsidP="0054078D">
            <w:pPr>
              <w:pStyle w:val="TableText"/>
            </w:pPr>
            <w:r>
              <w:t>from 9 May 2017</w:t>
            </w:r>
          </w:p>
        </w:tc>
      </w:tr>
      <w:tr w:rsidR="001C3A4E" w:rsidTr="0054078D">
        <w:tc>
          <w:tcPr>
            <w:tcW w:w="5387" w:type="dxa"/>
            <w:gridSpan w:val="2"/>
          </w:tcPr>
          <w:p w:rsidR="001C3A4E" w:rsidRPr="00B72EE8" w:rsidRDefault="001C3A4E" w:rsidP="0054078D">
            <w:pPr>
              <w:pStyle w:val="TableText"/>
            </w:pPr>
            <w:r>
              <w:t>2016 Roadmap released</w:t>
            </w:r>
          </w:p>
        </w:tc>
        <w:tc>
          <w:tcPr>
            <w:tcW w:w="3402" w:type="dxa"/>
          </w:tcPr>
          <w:p w:rsidR="001C3A4E" w:rsidRPr="0054078D" w:rsidDel="006048E9" w:rsidRDefault="001C3A4E" w:rsidP="0054078D">
            <w:pPr>
              <w:pStyle w:val="TableText"/>
            </w:pPr>
            <w:r>
              <w:t>12 May 2017</w:t>
            </w:r>
          </w:p>
        </w:tc>
      </w:tr>
      <w:tr w:rsidR="0054078D" w:rsidTr="0054078D">
        <w:tc>
          <w:tcPr>
            <w:tcW w:w="5387" w:type="dxa"/>
            <w:gridSpan w:val="2"/>
          </w:tcPr>
          <w:p w:rsidR="0054078D" w:rsidRPr="00B72EE8" w:rsidRDefault="00310C34" w:rsidP="0054078D">
            <w:pPr>
              <w:pStyle w:val="TableText"/>
            </w:pPr>
            <w:r>
              <w:t>NCI funding announced</w:t>
            </w:r>
          </w:p>
        </w:tc>
        <w:tc>
          <w:tcPr>
            <w:tcW w:w="3402" w:type="dxa"/>
          </w:tcPr>
          <w:p w:rsidR="0054078D" w:rsidRPr="0054078D" w:rsidRDefault="00310C34" w:rsidP="0054078D">
            <w:pPr>
              <w:pStyle w:val="TableText"/>
            </w:pPr>
            <w:r>
              <w:t>18 December 2017</w:t>
            </w:r>
          </w:p>
        </w:tc>
      </w:tr>
      <w:tr w:rsidR="0054078D" w:rsidTr="0054078D">
        <w:tc>
          <w:tcPr>
            <w:tcW w:w="5387" w:type="dxa"/>
            <w:gridSpan w:val="2"/>
          </w:tcPr>
          <w:p w:rsidR="0054078D" w:rsidRPr="00B72EE8" w:rsidRDefault="003A1BBC" w:rsidP="00340DDB">
            <w:pPr>
              <w:pStyle w:val="TableText"/>
            </w:pPr>
            <w:r>
              <w:t>R</w:t>
            </w:r>
            <w:r w:rsidR="00310C34">
              <w:t xml:space="preserve">elease of </w:t>
            </w:r>
            <w:r w:rsidR="00A22096">
              <w:t>Investment Plan</w:t>
            </w:r>
          </w:p>
        </w:tc>
        <w:tc>
          <w:tcPr>
            <w:tcW w:w="3402" w:type="dxa"/>
          </w:tcPr>
          <w:p w:rsidR="0054078D" w:rsidRPr="0054078D" w:rsidRDefault="003A1BBC">
            <w:pPr>
              <w:pStyle w:val="TableText"/>
            </w:pPr>
            <w:r>
              <w:t>15</w:t>
            </w:r>
            <w:r w:rsidR="00091BDA">
              <w:t xml:space="preserve"> May 2018 </w:t>
            </w:r>
          </w:p>
        </w:tc>
      </w:tr>
      <w:tr w:rsidR="001C3A4E" w:rsidTr="0054078D">
        <w:tc>
          <w:tcPr>
            <w:tcW w:w="5387" w:type="dxa"/>
            <w:gridSpan w:val="2"/>
          </w:tcPr>
          <w:p w:rsidR="001C3A4E" w:rsidRPr="00B72EE8" w:rsidDel="001C3A4E" w:rsidRDefault="001C3A4E" w:rsidP="001C3A4E">
            <w:pPr>
              <w:pStyle w:val="TableText"/>
            </w:pPr>
            <w:r>
              <w:t>Release of NCRIS 2018 Guidelines</w:t>
            </w:r>
          </w:p>
        </w:tc>
        <w:tc>
          <w:tcPr>
            <w:tcW w:w="3402" w:type="dxa"/>
          </w:tcPr>
          <w:p w:rsidR="001C3A4E" w:rsidRDefault="002C21B4" w:rsidP="001C3A4E">
            <w:pPr>
              <w:pStyle w:val="TableText"/>
            </w:pPr>
            <w:r>
              <w:t xml:space="preserve">31 May 2018 </w:t>
            </w:r>
          </w:p>
        </w:tc>
      </w:tr>
      <w:tr w:rsidR="001C3A4E" w:rsidTr="0054078D">
        <w:tc>
          <w:tcPr>
            <w:tcW w:w="5387" w:type="dxa"/>
            <w:gridSpan w:val="2"/>
          </w:tcPr>
          <w:p w:rsidR="001C3A4E" w:rsidRDefault="001C3A4E" w:rsidP="001C3A4E">
            <w:pPr>
              <w:pStyle w:val="TableText"/>
            </w:pPr>
            <w:r>
              <w:t>Advice to grantees</w:t>
            </w:r>
          </w:p>
        </w:tc>
        <w:tc>
          <w:tcPr>
            <w:tcW w:w="3402" w:type="dxa"/>
          </w:tcPr>
          <w:p w:rsidR="001C3A4E" w:rsidRDefault="004939E9" w:rsidP="001C3A4E">
            <w:pPr>
              <w:pStyle w:val="TableText"/>
            </w:pPr>
            <w:r>
              <w:t>TBC</w:t>
            </w:r>
          </w:p>
        </w:tc>
      </w:tr>
      <w:tr w:rsidR="0054078D" w:rsidTr="0054078D">
        <w:tc>
          <w:tcPr>
            <w:tcW w:w="5387" w:type="dxa"/>
            <w:gridSpan w:val="2"/>
          </w:tcPr>
          <w:p w:rsidR="0054078D" w:rsidRPr="00B72EE8" w:rsidRDefault="0054078D" w:rsidP="0054078D">
            <w:pPr>
              <w:pStyle w:val="TableText"/>
            </w:pPr>
            <w:r>
              <w:t>N</w:t>
            </w:r>
            <w:r w:rsidRPr="00B72EE8">
              <w:t xml:space="preserve">egotiations </w:t>
            </w:r>
            <w:r>
              <w:t>and</w:t>
            </w:r>
            <w:r w:rsidRPr="00B72EE8">
              <w:t xml:space="preserve"> </w:t>
            </w:r>
            <w:r>
              <w:t>a</w:t>
            </w:r>
            <w:r w:rsidRPr="00B72EE8">
              <w:t xml:space="preserve">ward </w:t>
            </w:r>
            <w:r>
              <w:t>of</w:t>
            </w:r>
            <w:r w:rsidRPr="00B72EE8">
              <w:t xml:space="preserve"> grant agreements</w:t>
            </w:r>
            <w:r w:rsidR="001C3A4E">
              <w:t xml:space="preserve"> or variations</w:t>
            </w:r>
          </w:p>
        </w:tc>
        <w:tc>
          <w:tcPr>
            <w:tcW w:w="3402" w:type="dxa"/>
          </w:tcPr>
          <w:p w:rsidR="0054078D" w:rsidRPr="0054078D" w:rsidRDefault="00695039" w:rsidP="007C41EA">
            <w:pPr>
              <w:pStyle w:val="TableText"/>
            </w:pPr>
            <w:r>
              <w:t>B</w:t>
            </w:r>
            <w:r w:rsidR="001C3A4E">
              <w:t>y</w:t>
            </w:r>
            <w:r w:rsidR="00310C34">
              <w:t xml:space="preserve"> </w:t>
            </w:r>
            <w:r w:rsidR="007C41EA">
              <w:t>8 June</w:t>
            </w:r>
            <w:r w:rsidR="00310C34">
              <w:t xml:space="preserve"> 2018</w:t>
            </w:r>
            <w:r w:rsidR="001C3A4E">
              <w:t xml:space="preserve"> </w:t>
            </w:r>
          </w:p>
        </w:tc>
      </w:tr>
      <w:tr w:rsidR="00310C34" w:rsidTr="0054078D">
        <w:tc>
          <w:tcPr>
            <w:tcW w:w="5387" w:type="dxa"/>
            <w:gridSpan w:val="2"/>
          </w:tcPr>
          <w:p w:rsidR="00310C34" w:rsidRDefault="00310C34" w:rsidP="0054078D">
            <w:pPr>
              <w:pStyle w:val="TableText"/>
            </w:pPr>
            <w:r>
              <w:t>Activity</w:t>
            </w:r>
            <w:r w:rsidR="003A1BBC">
              <w:t xml:space="preserve"> associated with new funding</w:t>
            </w:r>
            <w:r>
              <w:t xml:space="preserve"> commences</w:t>
            </w:r>
          </w:p>
        </w:tc>
        <w:tc>
          <w:tcPr>
            <w:tcW w:w="3402" w:type="dxa"/>
          </w:tcPr>
          <w:p w:rsidR="00310C34" w:rsidRPr="0054078D" w:rsidDel="001C3A4E" w:rsidRDefault="00310C34" w:rsidP="00310C34">
            <w:pPr>
              <w:pStyle w:val="TableText"/>
            </w:pPr>
            <w:r>
              <w:t>On execution of grant agreement or variation</w:t>
            </w:r>
          </w:p>
        </w:tc>
      </w:tr>
      <w:tr w:rsidR="00310C34" w:rsidTr="0054078D">
        <w:tc>
          <w:tcPr>
            <w:tcW w:w="5387" w:type="dxa"/>
            <w:gridSpan w:val="2"/>
          </w:tcPr>
          <w:p w:rsidR="00310C34" w:rsidRPr="00B72EE8" w:rsidRDefault="004703B9" w:rsidP="0054078D">
            <w:pPr>
              <w:pStyle w:val="TableText"/>
            </w:pPr>
            <w:r>
              <w:t xml:space="preserve">Continuing priority </w:t>
            </w:r>
            <w:r w:rsidR="00310C34">
              <w:t>projects provide implementation plan</w:t>
            </w:r>
          </w:p>
        </w:tc>
        <w:tc>
          <w:tcPr>
            <w:tcW w:w="3402" w:type="dxa"/>
          </w:tcPr>
          <w:p w:rsidR="00310C34" w:rsidRPr="0054078D" w:rsidRDefault="00310C34" w:rsidP="007C41EA">
            <w:pPr>
              <w:pStyle w:val="TableText"/>
            </w:pPr>
            <w:r>
              <w:t xml:space="preserve">By </w:t>
            </w:r>
            <w:r w:rsidR="007C41EA">
              <w:t>13</w:t>
            </w:r>
            <w:r w:rsidR="004939E9">
              <w:t xml:space="preserve"> </w:t>
            </w:r>
            <w:r w:rsidR="007C41EA">
              <w:t>June</w:t>
            </w:r>
            <w:r>
              <w:t xml:space="preserve"> 2018</w:t>
            </w:r>
            <w:r w:rsidR="008E791C">
              <w:t xml:space="preserve"> (unless another date is mutually agreed for a project)</w:t>
            </w:r>
          </w:p>
        </w:tc>
      </w:tr>
      <w:tr w:rsidR="00310C34" w:rsidTr="0054078D">
        <w:tc>
          <w:tcPr>
            <w:tcW w:w="5387" w:type="dxa"/>
            <w:gridSpan w:val="2"/>
          </w:tcPr>
          <w:p w:rsidR="00310C34" w:rsidRDefault="00310C34" w:rsidP="0054078D">
            <w:pPr>
              <w:pStyle w:val="TableText"/>
            </w:pPr>
            <w:r>
              <w:t xml:space="preserve">New </w:t>
            </w:r>
            <w:r w:rsidR="004703B9">
              <w:t xml:space="preserve">priority </w:t>
            </w:r>
            <w:r>
              <w:t>projects provide Establishment Plan</w:t>
            </w:r>
          </w:p>
        </w:tc>
        <w:tc>
          <w:tcPr>
            <w:tcW w:w="3402" w:type="dxa"/>
          </w:tcPr>
          <w:p w:rsidR="00310C34" w:rsidRPr="0054078D" w:rsidRDefault="00310C34" w:rsidP="007C41EA">
            <w:pPr>
              <w:pStyle w:val="TableText"/>
            </w:pPr>
            <w:r>
              <w:t xml:space="preserve">By </w:t>
            </w:r>
            <w:r w:rsidR="007C41EA">
              <w:t>20 June</w:t>
            </w:r>
            <w:r>
              <w:t xml:space="preserve"> 2018</w:t>
            </w:r>
            <w:r w:rsidR="008E791C">
              <w:t xml:space="preserve"> (unless another date is mutually agreed for a project)</w:t>
            </w:r>
          </w:p>
        </w:tc>
      </w:tr>
      <w:tr w:rsidR="00043D41" w:rsidTr="0054078D">
        <w:tc>
          <w:tcPr>
            <w:tcW w:w="5387" w:type="dxa"/>
            <w:gridSpan w:val="2"/>
          </w:tcPr>
          <w:p w:rsidR="00043D41" w:rsidRDefault="00043D41" w:rsidP="0054078D">
            <w:pPr>
              <w:pStyle w:val="TableText"/>
            </w:pPr>
            <w:r>
              <w:t>Period of guaranteed full operations</w:t>
            </w:r>
            <w:r w:rsidR="004703B9">
              <w:t xml:space="preserve"> (where appropriate)</w:t>
            </w:r>
            <w:r>
              <w:t xml:space="preserve"> ceases</w:t>
            </w:r>
          </w:p>
        </w:tc>
        <w:tc>
          <w:tcPr>
            <w:tcW w:w="3402" w:type="dxa"/>
          </w:tcPr>
          <w:p w:rsidR="00043D41" w:rsidRDefault="00043D41" w:rsidP="006048E9">
            <w:pPr>
              <w:pStyle w:val="TableText"/>
            </w:pPr>
            <w:r>
              <w:t>30 June 2022</w:t>
            </w:r>
          </w:p>
        </w:tc>
      </w:tr>
      <w:tr w:rsidR="00043D41" w:rsidTr="0054078D">
        <w:tc>
          <w:tcPr>
            <w:tcW w:w="5387" w:type="dxa"/>
            <w:gridSpan w:val="2"/>
          </w:tcPr>
          <w:p w:rsidR="00043D41" w:rsidRDefault="00043D41" w:rsidP="0054078D">
            <w:pPr>
              <w:pStyle w:val="TableText"/>
            </w:pPr>
            <w:r>
              <w:t xml:space="preserve">Following new Roadmap and </w:t>
            </w:r>
            <w:r w:rsidR="00A22096">
              <w:t>Investment Plan</w:t>
            </w:r>
            <w:r>
              <w:t>, either:</w:t>
            </w:r>
          </w:p>
          <w:p w:rsidR="00043D41" w:rsidRDefault="00043D41" w:rsidP="00944A44">
            <w:pPr>
              <w:pStyle w:val="TableText"/>
              <w:numPr>
                <w:ilvl w:val="0"/>
                <w:numId w:val="35"/>
              </w:numPr>
            </w:pPr>
            <w:r>
              <w:t xml:space="preserve">Period to renegotiate </w:t>
            </w:r>
            <w:r w:rsidR="003F7D78">
              <w:t>arrangements</w:t>
            </w:r>
          </w:p>
          <w:p w:rsidR="00043D41" w:rsidRDefault="00043D41" w:rsidP="00944A44">
            <w:pPr>
              <w:pStyle w:val="TableText"/>
              <w:numPr>
                <w:ilvl w:val="0"/>
                <w:numId w:val="35"/>
              </w:numPr>
            </w:pPr>
            <w:r>
              <w:t>Transition period</w:t>
            </w:r>
          </w:p>
        </w:tc>
        <w:tc>
          <w:tcPr>
            <w:tcW w:w="3402" w:type="dxa"/>
          </w:tcPr>
          <w:p w:rsidR="00043D41" w:rsidRDefault="00043D41" w:rsidP="00340DDB">
            <w:pPr>
              <w:pStyle w:val="TableText"/>
            </w:pPr>
            <w:r>
              <w:t>1 July 2022 to 30 June 2023</w:t>
            </w:r>
          </w:p>
        </w:tc>
      </w:tr>
      <w:tr w:rsidR="00043D41" w:rsidTr="0054078D">
        <w:tc>
          <w:tcPr>
            <w:tcW w:w="5387" w:type="dxa"/>
            <w:gridSpan w:val="2"/>
          </w:tcPr>
          <w:p w:rsidR="00043D41" w:rsidRPr="00B72EE8" w:rsidRDefault="00043D41" w:rsidP="0054078D">
            <w:pPr>
              <w:pStyle w:val="TableText"/>
            </w:pPr>
            <w:r>
              <w:t>E</w:t>
            </w:r>
            <w:r w:rsidRPr="00B72EE8">
              <w:t>nd date</w:t>
            </w:r>
          </w:p>
        </w:tc>
        <w:tc>
          <w:tcPr>
            <w:tcW w:w="3402" w:type="dxa"/>
          </w:tcPr>
          <w:p w:rsidR="00043D41" w:rsidRPr="0054078D" w:rsidRDefault="00043D41" w:rsidP="00804128">
            <w:pPr>
              <w:pStyle w:val="TableText"/>
            </w:pPr>
            <w:r>
              <w:t>30</w:t>
            </w:r>
            <w:r w:rsidR="002165C7">
              <w:t xml:space="preserve"> June </w:t>
            </w:r>
            <w:r>
              <w:t>2023</w:t>
            </w:r>
          </w:p>
        </w:tc>
      </w:tr>
      <w:tr w:rsidR="00043D41" w:rsidTr="0054078D">
        <w:trPr>
          <w:cnfStyle w:val="010000000000" w:firstRow="0" w:lastRow="1" w:firstColumn="0" w:lastColumn="0" w:oddVBand="0" w:evenVBand="0" w:oddHBand="0" w:evenHBand="0" w:firstRowFirstColumn="0" w:firstRowLastColumn="0" w:lastRowFirstColumn="0" w:lastRowLastColumn="0"/>
          <w:trHeight w:val="146"/>
        </w:trPr>
        <w:tc>
          <w:tcPr>
            <w:tcW w:w="5387" w:type="dxa"/>
            <w:gridSpan w:val="2"/>
          </w:tcPr>
          <w:p w:rsidR="00043D41" w:rsidRPr="000D60B1" w:rsidRDefault="00043D41" w:rsidP="0054078D">
            <w:pPr>
              <w:pStyle w:val="TableText"/>
            </w:pPr>
          </w:p>
        </w:tc>
        <w:tc>
          <w:tcPr>
            <w:tcW w:w="3402" w:type="dxa"/>
          </w:tcPr>
          <w:p w:rsidR="00043D41" w:rsidRPr="000D60B1" w:rsidRDefault="00043D41" w:rsidP="0054078D">
            <w:pPr>
              <w:pStyle w:val="TableText"/>
            </w:pPr>
          </w:p>
        </w:tc>
      </w:tr>
    </w:tbl>
    <w:p w:rsidR="00340616" w:rsidRPr="00B72EE8" w:rsidRDefault="00340616" w:rsidP="00340616">
      <w:bookmarkStart w:id="41" w:name="_Toc421777609"/>
      <w:bookmarkEnd w:id="33"/>
      <w:r w:rsidDel="00FA6425">
        <w:t xml:space="preserve"> </w:t>
      </w:r>
    </w:p>
    <w:p w:rsidR="00340616" w:rsidRPr="00B72EE8" w:rsidRDefault="00340616" w:rsidP="0054078D">
      <w:pPr>
        <w:pStyle w:val="Heading2Numbered"/>
      </w:pPr>
      <w:bookmarkStart w:id="42" w:name="_Toc467773973"/>
      <w:bookmarkStart w:id="43" w:name="_Toc514836288"/>
      <w:bookmarkEnd w:id="41"/>
      <w:r>
        <w:t>Further grant opportunities</w:t>
      </w:r>
      <w:bookmarkEnd w:id="42"/>
      <w:bookmarkEnd w:id="43"/>
    </w:p>
    <w:p w:rsidR="00DF542E" w:rsidRDefault="00E950A8" w:rsidP="00DF542E">
      <w:pPr>
        <w:pStyle w:val="Bullet1"/>
        <w:numPr>
          <w:ilvl w:val="0"/>
          <w:numId w:val="0"/>
        </w:numPr>
      </w:pPr>
      <w:r>
        <w:t>Further grant opportunities may arise during future Research Infrastructure Investment Plan or National Research Infrastructure Roadmap activities</w:t>
      </w:r>
      <w:r w:rsidR="00CA4DA5">
        <w:t>. These opportunities are</w:t>
      </w:r>
      <w:r w:rsidR="000837D8">
        <w:t xml:space="preserve"> t</w:t>
      </w:r>
      <w:r w:rsidR="000837D8" w:rsidRPr="000837D8">
        <w:t>o ensure future investments deliver the maximum benefit to researchers and to the community</w:t>
      </w:r>
      <w:r w:rsidR="000837D8">
        <w:t xml:space="preserve"> and</w:t>
      </w:r>
      <w:r w:rsidR="000837D8" w:rsidRPr="000837D8">
        <w:t xml:space="preserve"> keep investments relevant and in line with research priorities</w:t>
      </w:r>
      <w:r>
        <w:t>.</w:t>
      </w:r>
    </w:p>
    <w:p w:rsidR="00E950A8" w:rsidRDefault="00E950A8" w:rsidP="00DF542E">
      <w:pPr>
        <w:pStyle w:val="Bullet1"/>
        <w:numPr>
          <w:ilvl w:val="0"/>
          <w:numId w:val="0"/>
        </w:numPr>
      </w:pPr>
      <w:r>
        <w:t>The next Research Infrastructure Investment Plan is expected to be developed during (calendar) 2019. The next National Research Infrastructure Roadmap is expected to be developed in (calendar) 2021.</w:t>
      </w:r>
    </w:p>
    <w:p w:rsidR="00E950A8" w:rsidRDefault="00E950A8" w:rsidP="00DF542E">
      <w:pPr>
        <w:pStyle w:val="Bullet1"/>
        <w:numPr>
          <w:ilvl w:val="0"/>
          <w:numId w:val="0"/>
        </w:numPr>
      </w:pPr>
      <w:r>
        <w:t>These processes will involve public consultation and all interested parties will be encouraged to participate</w:t>
      </w:r>
      <w:r w:rsidR="00236226">
        <w:t xml:space="preserve"> through activities such as direct approaches, media releases, use of social media (such as tweets from the Department of Education and Training), linking to established media and communications activities of stakeholders, and GrantConnect. </w:t>
      </w:r>
    </w:p>
    <w:p w:rsidR="003F7D78" w:rsidRPr="00A632E3" w:rsidRDefault="003F7D78" w:rsidP="00DF542E">
      <w:pPr>
        <w:pStyle w:val="Bullet1"/>
        <w:numPr>
          <w:ilvl w:val="0"/>
          <w:numId w:val="0"/>
        </w:numPr>
      </w:pPr>
    </w:p>
    <w:p w:rsidR="00340616" w:rsidRDefault="00340616" w:rsidP="00243176">
      <w:pPr>
        <w:pStyle w:val="Heading1Numbered"/>
      </w:pPr>
      <w:bookmarkStart w:id="44" w:name="_Toc467773976"/>
      <w:bookmarkStart w:id="45" w:name="_Toc514836289"/>
      <w:r>
        <w:t xml:space="preserve">Who will </w:t>
      </w:r>
      <w:r w:rsidRPr="00B72EE8">
        <w:t xml:space="preserve">approve </w:t>
      </w:r>
      <w:r>
        <w:t>grants</w:t>
      </w:r>
      <w:r w:rsidRPr="00B72EE8">
        <w:t>?</w:t>
      </w:r>
      <w:bookmarkEnd w:id="44"/>
      <w:bookmarkEnd w:id="45"/>
    </w:p>
    <w:p w:rsidR="0023740E" w:rsidRDefault="0023740E" w:rsidP="00340616">
      <w:r>
        <w:t>Key steps in the approval of grants are:</w:t>
      </w:r>
    </w:p>
    <w:p w:rsidR="0023740E" w:rsidRPr="00884AF1" w:rsidRDefault="0023740E" w:rsidP="00A22096">
      <w:pPr>
        <w:pStyle w:val="ListParagraph"/>
        <w:numPr>
          <w:ilvl w:val="0"/>
          <w:numId w:val="48"/>
        </w:numPr>
        <w:rPr>
          <w:rFonts w:cstheme="minorHAnsi"/>
        </w:rPr>
      </w:pPr>
      <w:r w:rsidRPr="00A22096">
        <w:rPr>
          <w:rFonts w:asciiTheme="minorHAnsi" w:hAnsiTheme="minorHAnsi" w:cstheme="minorHAnsi"/>
        </w:rPr>
        <w:t>inclusion in the 2016 Roadmap</w:t>
      </w:r>
      <w:r w:rsidR="004344F2">
        <w:rPr>
          <w:rFonts w:asciiTheme="minorHAnsi" w:hAnsiTheme="minorHAnsi" w:cstheme="minorHAnsi"/>
        </w:rPr>
        <w:t>, which</w:t>
      </w:r>
      <w:r w:rsidRPr="00A22096">
        <w:rPr>
          <w:rFonts w:asciiTheme="minorHAnsi" w:hAnsiTheme="minorHAnsi" w:cstheme="minorHAnsi"/>
        </w:rPr>
        <w:t xml:space="preserve"> was determined by the Expert Working Group led by Australia’s Chief Scientist</w:t>
      </w:r>
    </w:p>
    <w:p w:rsidR="0023740E" w:rsidRPr="00884AF1" w:rsidRDefault="0023740E" w:rsidP="00A22096">
      <w:pPr>
        <w:pStyle w:val="ListParagraph"/>
        <w:numPr>
          <w:ilvl w:val="0"/>
          <w:numId w:val="48"/>
        </w:numPr>
        <w:rPr>
          <w:rFonts w:cstheme="minorHAnsi"/>
        </w:rPr>
      </w:pPr>
      <w:r>
        <w:rPr>
          <w:rFonts w:asciiTheme="minorHAnsi" w:hAnsiTheme="minorHAnsi" w:cstheme="minorHAnsi"/>
        </w:rPr>
        <w:t>inclusion in the Investment Plan and response</w:t>
      </w:r>
      <w:r w:rsidR="004344F2">
        <w:rPr>
          <w:rFonts w:asciiTheme="minorHAnsi" w:hAnsiTheme="minorHAnsi" w:cstheme="minorHAnsi"/>
        </w:rPr>
        <w:t xml:space="preserve">, which </w:t>
      </w:r>
      <w:r>
        <w:rPr>
          <w:rFonts w:asciiTheme="minorHAnsi" w:hAnsiTheme="minorHAnsi" w:cstheme="minorHAnsi"/>
        </w:rPr>
        <w:t>was determined by the Government</w:t>
      </w:r>
      <w:r w:rsidR="000F016C">
        <w:rPr>
          <w:rFonts w:asciiTheme="minorHAnsi" w:hAnsiTheme="minorHAnsi" w:cstheme="minorHAnsi"/>
        </w:rPr>
        <w:t xml:space="preserve"> through the D</w:t>
      </w:r>
      <w:r>
        <w:rPr>
          <w:rFonts w:asciiTheme="minorHAnsi" w:hAnsiTheme="minorHAnsi" w:cstheme="minorHAnsi"/>
        </w:rPr>
        <w:t xml:space="preserve">epartment </w:t>
      </w:r>
      <w:r w:rsidR="000F016C">
        <w:rPr>
          <w:rFonts w:asciiTheme="minorHAnsi" w:hAnsiTheme="minorHAnsi" w:cstheme="minorHAnsi"/>
        </w:rPr>
        <w:t xml:space="preserve">of Education and Training </w:t>
      </w:r>
      <w:r>
        <w:rPr>
          <w:rFonts w:asciiTheme="minorHAnsi" w:hAnsiTheme="minorHAnsi" w:cstheme="minorHAnsi"/>
        </w:rPr>
        <w:t xml:space="preserve">and the </w:t>
      </w:r>
      <w:r w:rsidR="000F016C">
        <w:rPr>
          <w:rFonts w:asciiTheme="minorHAnsi" w:hAnsiTheme="minorHAnsi" w:cstheme="minorHAnsi"/>
        </w:rPr>
        <w:t>D</w:t>
      </w:r>
      <w:r>
        <w:rPr>
          <w:rFonts w:asciiTheme="minorHAnsi" w:hAnsiTheme="minorHAnsi" w:cstheme="minorHAnsi"/>
        </w:rPr>
        <w:t>epartment of Industry, Innovation and Science</w:t>
      </w:r>
    </w:p>
    <w:p w:rsidR="00F611D9" w:rsidRPr="004703B9" w:rsidRDefault="0023740E" w:rsidP="00A22096">
      <w:pPr>
        <w:pStyle w:val="ListParagraph"/>
        <w:numPr>
          <w:ilvl w:val="0"/>
          <w:numId w:val="48"/>
        </w:numPr>
        <w:rPr>
          <w:rFonts w:cstheme="minorHAnsi"/>
        </w:rPr>
      </w:pPr>
      <w:r w:rsidRPr="00A11A9C">
        <w:rPr>
          <w:rFonts w:asciiTheme="minorHAnsi" w:hAnsiTheme="minorHAnsi" w:cstheme="minorHAnsi"/>
          <w:i/>
        </w:rPr>
        <w:t>Public Governance, Performance and Accountability Act</w:t>
      </w:r>
      <w:r w:rsidRPr="00A11A9C">
        <w:rPr>
          <w:rFonts w:asciiTheme="minorHAnsi" w:hAnsiTheme="minorHAnsi" w:cstheme="minorHAnsi"/>
        </w:rPr>
        <w:t xml:space="preserve"> (PGPA)</w:t>
      </w:r>
      <w:r>
        <w:rPr>
          <w:rFonts w:asciiTheme="minorHAnsi" w:hAnsiTheme="minorHAnsi" w:cstheme="minorHAnsi"/>
        </w:rPr>
        <w:t xml:space="preserve"> </w:t>
      </w:r>
      <w:r w:rsidR="00F611D9" w:rsidRPr="00A22096">
        <w:rPr>
          <w:rFonts w:asciiTheme="minorHAnsi" w:hAnsiTheme="minorHAnsi" w:cstheme="minorHAnsi"/>
        </w:rPr>
        <w:t>Section 23(</w:t>
      </w:r>
      <w:r w:rsidR="00C74B7D" w:rsidRPr="00A22096">
        <w:rPr>
          <w:rFonts w:asciiTheme="minorHAnsi" w:hAnsiTheme="minorHAnsi" w:cstheme="minorHAnsi"/>
        </w:rPr>
        <w:t>3</w:t>
      </w:r>
      <w:r w:rsidR="00F611D9" w:rsidRPr="00A22096">
        <w:rPr>
          <w:rFonts w:asciiTheme="minorHAnsi" w:hAnsiTheme="minorHAnsi" w:cstheme="minorHAnsi"/>
        </w:rPr>
        <w:t xml:space="preserve">) </w:t>
      </w:r>
      <w:r>
        <w:rPr>
          <w:rFonts w:asciiTheme="minorHAnsi" w:hAnsiTheme="minorHAnsi" w:cstheme="minorHAnsi"/>
        </w:rPr>
        <w:t xml:space="preserve">approval of Grant amounts will be by </w:t>
      </w:r>
      <w:r w:rsidR="00F611D9" w:rsidRPr="00A22096">
        <w:rPr>
          <w:rFonts w:asciiTheme="minorHAnsi" w:hAnsiTheme="minorHAnsi" w:cstheme="minorHAnsi"/>
        </w:rPr>
        <w:t>the Group Manager, Research and Economic Group, Department of Education and Training</w:t>
      </w:r>
      <w:r w:rsidR="001E026F">
        <w:rPr>
          <w:rFonts w:asciiTheme="minorHAnsi" w:hAnsiTheme="minorHAnsi" w:cstheme="minorHAnsi"/>
        </w:rPr>
        <w:t xml:space="preserve"> (or equivalent)</w:t>
      </w:r>
      <w:r w:rsidR="00F611D9" w:rsidRPr="00A22096">
        <w:rPr>
          <w:rFonts w:asciiTheme="minorHAnsi" w:hAnsiTheme="minorHAnsi" w:cstheme="minorHAnsi"/>
        </w:rPr>
        <w:t>.</w:t>
      </w:r>
      <w:r w:rsidR="00F8487A" w:rsidRPr="00A22096">
        <w:rPr>
          <w:rFonts w:asciiTheme="minorHAnsi" w:hAnsiTheme="minorHAnsi" w:cstheme="minorHAnsi"/>
        </w:rPr>
        <w:t xml:space="preserve"> </w:t>
      </w:r>
      <w:r w:rsidR="004703B9">
        <w:rPr>
          <w:rFonts w:asciiTheme="minorHAnsi" w:hAnsiTheme="minorHAnsi" w:cstheme="minorHAnsi"/>
        </w:rPr>
        <w:t>This will encompass</w:t>
      </w:r>
      <w:r w:rsidR="00CA4DA5">
        <w:rPr>
          <w:rFonts w:asciiTheme="minorHAnsi" w:hAnsiTheme="minorHAnsi" w:cstheme="minorHAnsi"/>
        </w:rPr>
        <w:t>, as set out in Section 4</w:t>
      </w:r>
      <w:r w:rsidR="00C47C12">
        <w:rPr>
          <w:rFonts w:asciiTheme="minorHAnsi" w:hAnsiTheme="minorHAnsi" w:cstheme="minorHAnsi"/>
        </w:rPr>
        <w:t>:</w:t>
      </w:r>
    </w:p>
    <w:p w:rsidR="004703B9" w:rsidRDefault="004703B9" w:rsidP="004703B9">
      <w:pPr>
        <w:pStyle w:val="ListParagraph"/>
        <w:numPr>
          <w:ilvl w:val="1"/>
          <w:numId w:val="48"/>
        </w:numPr>
        <w:rPr>
          <w:rFonts w:asciiTheme="minorHAnsi" w:hAnsiTheme="minorHAnsi" w:cstheme="minorHAnsi"/>
        </w:rPr>
      </w:pPr>
      <w:r w:rsidRPr="0047231F">
        <w:rPr>
          <w:rFonts w:asciiTheme="minorHAnsi" w:hAnsiTheme="minorHAnsi" w:cstheme="minorHAnsi"/>
        </w:rPr>
        <w:t>the Investment Plan</w:t>
      </w:r>
      <w:r w:rsidR="00C47C12">
        <w:rPr>
          <w:rFonts w:asciiTheme="minorHAnsi" w:hAnsiTheme="minorHAnsi" w:cstheme="minorHAnsi"/>
        </w:rPr>
        <w:t xml:space="preserve"> funding</w:t>
      </w:r>
    </w:p>
    <w:p w:rsidR="004703B9" w:rsidRDefault="004703B9" w:rsidP="004703B9">
      <w:pPr>
        <w:pStyle w:val="ListParagraph"/>
        <w:numPr>
          <w:ilvl w:val="1"/>
          <w:numId w:val="48"/>
        </w:numPr>
        <w:rPr>
          <w:rFonts w:asciiTheme="minorHAnsi" w:hAnsiTheme="minorHAnsi" w:cstheme="minorHAnsi"/>
        </w:rPr>
      </w:pPr>
      <w:r>
        <w:rPr>
          <w:rFonts w:asciiTheme="minorHAnsi" w:hAnsiTheme="minorHAnsi" w:cstheme="minorHAnsi"/>
        </w:rPr>
        <w:t xml:space="preserve">operating funding for NCRIS projects provided through the </w:t>
      </w:r>
      <w:r w:rsidR="001E026F">
        <w:rPr>
          <w:rFonts w:asciiTheme="minorHAnsi" w:hAnsiTheme="minorHAnsi" w:cstheme="minorHAnsi"/>
        </w:rPr>
        <w:t xml:space="preserve">2015 </w:t>
      </w:r>
      <w:r>
        <w:rPr>
          <w:rFonts w:asciiTheme="minorHAnsi" w:hAnsiTheme="minorHAnsi" w:cstheme="minorHAnsi"/>
        </w:rPr>
        <w:t>National Innovation and Science Agenda</w:t>
      </w:r>
    </w:p>
    <w:p w:rsidR="004703B9" w:rsidRPr="0047231F" w:rsidRDefault="004703B9" w:rsidP="004703B9">
      <w:pPr>
        <w:pStyle w:val="ListParagraph"/>
        <w:numPr>
          <w:ilvl w:val="1"/>
          <w:numId w:val="48"/>
        </w:numPr>
        <w:rPr>
          <w:rFonts w:asciiTheme="minorHAnsi" w:hAnsiTheme="minorHAnsi" w:cstheme="minorHAnsi"/>
        </w:rPr>
      </w:pPr>
      <w:r>
        <w:rPr>
          <w:rFonts w:asciiTheme="minorHAnsi" w:hAnsiTheme="minorHAnsi" w:cstheme="minorHAnsi"/>
        </w:rPr>
        <w:t>funding to replace the National Computational Infrastructure’s supercomputer.</w:t>
      </w:r>
      <w:r w:rsidRPr="0047231F">
        <w:rPr>
          <w:rFonts w:asciiTheme="minorHAnsi" w:hAnsiTheme="minorHAnsi" w:cstheme="minorHAnsi"/>
        </w:rPr>
        <w:t xml:space="preserve"> </w:t>
      </w:r>
    </w:p>
    <w:p w:rsidR="0023740E" w:rsidRPr="00884AF1" w:rsidRDefault="0023740E">
      <w:pPr>
        <w:rPr>
          <w:rFonts w:cstheme="minorHAnsi"/>
        </w:rPr>
      </w:pPr>
    </w:p>
    <w:p w:rsidR="00340616" w:rsidRPr="00B72EE8" w:rsidRDefault="00340616" w:rsidP="0054078D">
      <w:pPr>
        <w:pStyle w:val="Heading1Numbered"/>
      </w:pPr>
      <w:bookmarkStart w:id="46" w:name="_Toc467773977"/>
      <w:bookmarkStart w:id="47" w:name="_Toc514836290"/>
      <w:r w:rsidRPr="00B72EE8">
        <w:t>Notification of outcomes</w:t>
      </w:r>
      <w:bookmarkEnd w:id="46"/>
      <w:bookmarkEnd w:id="47"/>
    </w:p>
    <w:p w:rsidR="00340616" w:rsidRDefault="00EF3708" w:rsidP="00340616">
      <w:r>
        <w:t>Grantees</w:t>
      </w:r>
      <w:r w:rsidRPr="00B72EE8">
        <w:t xml:space="preserve"> </w:t>
      </w:r>
      <w:r w:rsidR="00340616">
        <w:t xml:space="preserve">will be advised </w:t>
      </w:r>
      <w:r w:rsidR="00340616" w:rsidRPr="00B72EE8">
        <w:t xml:space="preserve">of </w:t>
      </w:r>
      <w:r w:rsidR="00FD0864">
        <w:t>their</w:t>
      </w:r>
      <w:r w:rsidR="00340616">
        <w:t xml:space="preserve"> </w:t>
      </w:r>
      <w:r w:rsidR="005771AD">
        <w:t xml:space="preserve">grant </w:t>
      </w:r>
      <w:r w:rsidR="004617DE">
        <w:t xml:space="preserve">by e-mail by an appropriate officer of the Department of Education and Training, such as the Branch Manager, Research and Higher Education Infrastructure Branch, Research and </w:t>
      </w:r>
      <w:r w:rsidR="006E7375">
        <w:t>E</w:t>
      </w:r>
      <w:r w:rsidR="004617DE">
        <w:t>conomic Group.</w:t>
      </w:r>
      <w:r w:rsidR="00340616" w:rsidRPr="00B72EE8">
        <w:t xml:space="preserve"> </w:t>
      </w:r>
    </w:p>
    <w:p w:rsidR="00340616" w:rsidRPr="00E86A67" w:rsidRDefault="00340616" w:rsidP="00340616"/>
    <w:p w:rsidR="00340616" w:rsidRDefault="005771AD" w:rsidP="0054078D">
      <w:pPr>
        <w:pStyle w:val="Heading1Numbered"/>
      </w:pPr>
      <w:bookmarkStart w:id="48" w:name="_Toc514836291"/>
      <w:bookmarkStart w:id="49" w:name="_Toc467773979"/>
      <w:bookmarkStart w:id="50" w:name="_Toc421777622"/>
      <w:bookmarkStart w:id="51" w:name="_Toc433641183"/>
      <w:r>
        <w:t>G</w:t>
      </w:r>
      <w:r w:rsidR="00340616">
        <w:t>rant</w:t>
      </w:r>
      <w:r>
        <w:t>s</w:t>
      </w:r>
      <w:bookmarkEnd w:id="48"/>
      <w:r w:rsidR="00340616">
        <w:t xml:space="preserve"> </w:t>
      </w:r>
      <w:bookmarkEnd w:id="49"/>
    </w:p>
    <w:p w:rsidR="00340616" w:rsidRDefault="00340616" w:rsidP="0054078D">
      <w:pPr>
        <w:pStyle w:val="Heading2Numbered"/>
      </w:pPr>
      <w:bookmarkStart w:id="52" w:name="_Toc467773980"/>
      <w:bookmarkStart w:id="53" w:name="_Toc514836292"/>
      <w:r>
        <w:t xml:space="preserve">The </w:t>
      </w:r>
      <w:r w:rsidRPr="0054078D">
        <w:t>grant agreement</w:t>
      </w:r>
      <w:bookmarkEnd w:id="52"/>
      <w:bookmarkEnd w:id="53"/>
    </w:p>
    <w:bookmarkEnd w:id="50"/>
    <w:bookmarkEnd w:id="51"/>
    <w:p w:rsidR="00340616" w:rsidRPr="002E0C03" w:rsidRDefault="00FD0864" w:rsidP="00F61587">
      <w:r>
        <w:t>Grantees</w:t>
      </w:r>
      <w:r w:rsidR="00340616" w:rsidRPr="00103A95">
        <w:t xml:space="preserve"> must enter into a legally binding grant agreement with the Commonwealth represented </w:t>
      </w:r>
      <w:r w:rsidR="00340616" w:rsidRPr="00340DDB">
        <w:t>by</w:t>
      </w:r>
      <w:r w:rsidR="00340616" w:rsidRPr="00944A44">
        <w:t xml:space="preserve"> </w:t>
      </w:r>
      <w:r w:rsidR="007272EB" w:rsidRPr="00944A44">
        <w:t>the Department of Education and Training</w:t>
      </w:r>
      <w:r w:rsidR="00DB0937" w:rsidRPr="00944A44">
        <w:t>.</w:t>
      </w:r>
      <w:r w:rsidR="00340616" w:rsidRPr="00944A44">
        <w:t xml:space="preserve"> </w:t>
      </w:r>
      <w:r w:rsidR="00DB0937" w:rsidRPr="00944A44">
        <w:t>The</w:t>
      </w:r>
      <w:r w:rsidR="00340616" w:rsidRPr="00944A44">
        <w:t xml:space="preserve"> </w:t>
      </w:r>
      <w:r w:rsidR="007272EB" w:rsidRPr="00944A44">
        <w:t>Department of Education and Training</w:t>
      </w:r>
      <w:r w:rsidR="00DB0937" w:rsidRPr="00944A44">
        <w:t xml:space="preserve"> </w:t>
      </w:r>
      <w:r w:rsidR="00340616" w:rsidRPr="00103A95">
        <w:t xml:space="preserve">will use the </w:t>
      </w:r>
      <w:hyperlink r:id="rId14" w:history="1">
        <w:r w:rsidR="00340616" w:rsidRPr="00103A95">
          <w:rPr>
            <w:rStyle w:val="Hyperlink"/>
            <w:i/>
            <w:u w:val="none"/>
          </w:rPr>
          <w:t xml:space="preserve">Commonwealth </w:t>
        </w:r>
        <w:r w:rsidR="00340616" w:rsidRPr="00944A44">
          <w:rPr>
            <w:rStyle w:val="Hyperlink"/>
            <w:i/>
            <w:u w:val="none"/>
          </w:rPr>
          <w:t>Standard</w:t>
        </w:r>
        <w:r w:rsidR="00340616" w:rsidRPr="00103A95">
          <w:rPr>
            <w:rStyle w:val="Hyperlink"/>
            <w:b/>
            <w:i/>
            <w:u w:val="none"/>
          </w:rPr>
          <w:t xml:space="preserve"> </w:t>
        </w:r>
        <w:r w:rsidR="00340616" w:rsidRPr="00103A95">
          <w:rPr>
            <w:rStyle w:val="Hyperlink"/>
            <w:i/>
            <w:u w:val="none"/>
          </w:rPr>
          <w:t>Grant Agreement</w:t>
        </w:r>
      </w:hyperlink>
      <w:r w:rsidR="00103A95">
        <w:rPr>
          <w:rStyle w:val="Hyperlink"/>
          <w:i/>
          <w:u w:val="none"/>
        </w:rPr>
        <w:t xml:space="preserve"> </w:t>
      </w:r>
      <w:r w:rsidR="00F61587">
        <w:rPr>
          <w:rStyle w:val="Hyperlink"/>
          <w:u w:val="none"/>
        </w:rPr>
        <w:t xml:space="preserve">(see </w:t>
      </w:r>
      <w:hyperlink r:id="rId15" w:history="1">
        <w:r w:rsidR="00F61587">
          <w:rPr>
            <w:rStyle w:val="Hyperlink"/>
            <w:lang w:val="en-US"/>
          </w:rPr>
          <w:t>https://www.grants.gov.au/?event=public.documentLibrary.list</w:t>
        </w:r>
      </w:hyperlink>
      <w:r w:rsidR="00F61587">
        <w:rPr>
          <w:lang w:val="en-US"/>
        </w:rPr>
        <w:t xml:space="preserve">) </w:t>
      </w:r>
      <w:r w:rsidR="007272EB" w:rsidRPr="00944A44">
        <w:t>for new projects, or a grant agreement variation for continuing projects</w:t>
      </w:r>
      <w:r w:rsidR="00340616" w:rsidRPr="00944A44">
        <w:t>.</w:t>
      </w:r>
      <w:r w:rsidR="00340616" w:rsidRPr="00103A95">
        <w:t xml:space="preserve"> Standard terms and conditions for </w:t>
      </w:r>
      <w:r w:rsidR="007272EB">
        <w:t>any new</w:t>
      </w:r>
      <w:r w:rsidR="007272EB" w:rsidRPr="00103A95">
        <w:t xml:space="preserve"> </w:t>
      </w:r>
      <w:r w:rsidR="00340616" w:rsidRPr="00103A95">
        <w:t>grant agreement will apply and cannot be changed. A schedule may be used to outline the specific grant</w:t>
      </w:r>
      <w:r w:rsidR="00340616" w:rsidRPr="002E0C03">
        <w:t xml:space="preserve"> requirements.  Any additional conditions attached to the grant will be identified in the grant offer or during the grant agreement </w:t>
      </w:r>
      <w:r w:rsidR="000D60FC">
        <w:t xml:space="preserve">(or variation) </w:t>
      </w:r>
      <w:r w:rsidR="00340616" w:rsidRPr="002E0C03">
        <w:t>negotiations.</w:t>
      </w:r>
      <w:r w:rsidR="0055140B">
        <w:t xml:space="preserve"> </w:t>
      </w:r>
    </w:p>
    <w:p w:rsidR="00340616" w:rsidRPr="00B72EE8" w:rsidRDefault="00340616" w:rsidP="00340616">
      <w:r>
        <w:t>You</w:t>
      </w:r>
      <w:r w:rsidRPr="00B72EE8">
        <w:t xml:space="preserve"> will </w:t>
      </w:r>
      <w:r>
        <w:t>b</w:t>
      </w:r>
      <w:r w:rsidRPr="00B72EE8">
        <w:t>e required to</w:t>
      </w:r>
      <w:r w:rsidR="000D60FC">
        <w:t xml:space="preserve"> report on activities relevant to your project’s performance, as well as activities relevant to NCRIS’ performance. Reports may include</w:t>
      </w:r>
      <w:r w:rsidRPr="00B72EE8">
        <w:t xml:space="preserve">: </w:t>
      </w:r>
    </w:p>
    <w:p w:rsidR="000D60FC" w:rsidRPr="00944A44" w:rsidRDefault="000D60FC" w:rsidP="00726710">
      <w:pPr>
        <w:pStyle w:val="Bullet1"/>
      </w:pPr>
      <w:r w:rsidRPr="00944A44">
        <w:t>Implementation Plans</w:t>
      </w:r>
    </w:p>
    <w:p w:rsidR="00FD0864" w:rsidRDefault="00FD0864" w:rsidP="00726710">
      <w:pPr>
        <w:pStyle w:val="Bullet1"/>
      </w:pPr>
      <w:r>
        <w:t>Establishment Plans</w:t>
      </w:r>
    </w:p>
    <w:p w:rsidR="000D60FC" w:rsidRPr="00944A44" w:rsidRDefault="000D60FC" w:rsidP="00726710">
      <w:pPr>
        <w:pStyle w:val="Bullet1"/>
      </w:pPr>
      <w:r w:rsidRPr="00944A44">
        <w:t>Annual Business Plans</w:t>
      </w:r>
      <w:r w:rsidR="004703B9">
        <w:t xml:space="preserve"> (See Appendix D)</w:t>
      </w:r>
    </w:p>
    <w:p w:rsidR="000D60FC" w:rsidRPr="00944A44" w:rsidRDefault="000D60FC" w:rsidP="00726710">
      <w:pPr>
        <w:pStyle w:val="Bullet1"/>
      </w:pPr>
      <w:r w:rsidRPr="00944A44">
        <w:t>Project Reports</w:t>
      </w:r>
    </w:p>
    <w:p w:rsidR="000D60FC" w:rsidRDefault="000D60FC" w:rsidP="00726710">
      <w:pPr>
        <w:pStyle w:val="Bullet1"/>
      </w:pPr>
      <w:r>
        <w:t>Project Outputs and Outcomes</w:t>
      </w:r>
    </w:p>
    <w:p w:rsidR="00EE4FC3" w:rsidRDefault="00EE4FC3" w:rsidP="00726710">
      <w:pPr>
        <w:pStyle w:val="Bullet1"/>
      </w:pPr>
      <w:r>
        <w:t>Annual National Research Infrastructure Censuses</w:t>
      </w:r>
    </w:p>
    <w:p w:rsidR="00EE4FC3" w:rsidRDefault="00CB46B0" w:rsidP="00726710">
      <w:pPr>
        <w:pStyle w:val="Bullet1"/>
      </w:pPr>
      <w:r>
        <w:t xml:space="preserve">NCRIS </w:t>
      </w:r>
      <w:r w:rsidR="00EE4FC3">
        <w:t>User satisfaction surveys</w:t>
      </w:r>
    </w:p>
    <w:p w:rsidR="00340616" w:rsidRPr="00944A44" w:rsidRDefault="00EE4FC3" w:rsidP="00726710">
      <w:pPr>
        <w:pStyle w:val="Bullet1"/>
      </w:pPr>
      <w:r>
        <w:t>Reports on support for quality research</w:t>
      </w:r>
    </w:p>
    <w:p w:rsidR="00340616" w:rsidRPr="00726710" w:rsidRDefault="00340616" w:rsidP="00340616">
      <w:pPr>
        <w:rPr>
          <w:lang w:eastAsia="en-AU"/>
        </w:rPr>
      </w:pPr>
      <w:r w:rsidRPr="00BB7C9D">
        <w:t xml:space="preserve">The </w:t>
      </w:r>
      <w:r w:rsidR="007272EB" w:rsidRPr="00C81D2C">
        <w:rPr>
          <w:rStyle w:val="highlightedtextChar"/>
          <w:b w:val="0"/>
          <w:color w:val="auto"/>
        </w:rPr>
        <w:t xml:space="preserve">Department of Education and Training </w:t>
      </w:r>
      <w:r w:rsidRPr="00726710">
        <w:t xml:space="preserve">will negotiate agreements </w:t>
      </w:r>
      <w:r w:rsidR="007272EB">
        <w:t xml:space="preserve">or variations </w:t>
      </w:r>
      <w:r w:rsidRPr="00726710">
        <w:t xml:space="preserve">with </w:t>
      </w:r>
      <w:r w:rsidR="007272EB">
        <w:t>grantees</w:t>
      </w:r>
      <w:r w:rsidRPr="00726710">
        <w:t xml:space="preserve"> by </w:t>
      </w:r>
      <w:r w:rsidR="00695039">
        <w:t>8 June</w:t>
      </w:r>
      <w:r w:rsidR="007272EB">
        <w:t xml:space="preserve"> </w:t>
      </w:r>
      <w:r w:rsidR="007272EB" w:rsidRPr="00F8492D">
        <w:t>2018</w:t>
      </w:r>
      <w:r w:rsidRPr="00944A44">
        <w:rPr>
          <w:rStyle w:val="highlightedtextChar"/>
          <w:color w:val="auto"/>
        </w:rPr>
        <w:t xml:space="preserve">. If there are unreasonable delays in finalising </w:t>
      </w:r>
      <w:r w:rsidRPr="00944A44">
        <w:rPr>
          <w:rStyle w:val="highlightedtextChar"/>
          <w:b w:val="0"/>
          <w:color w:val="auto"/>
        </w:rPr>
        <w:t>a grant</w:t>
      </w:r>
      <w:r w:rsidRPr="00726710">
        <w:rPr>
          <w:lang w:eastAsia="en-AU"/>
        </w:rPr>
        <w:t xml:space="preserve"> agreement</w:t>
      </w:r>
      <w:r w:rsidR="007272EB">
        <w:rPr>
          <w:lang w:eastAsia="en-AU"/>
        </w:rPr>
        <w:t xml:space="preserve"> or variation</w:t>
      </w:r>
      <w:r w:rsidRPr="00726710">
        <w:rPr>
          <w:lang w:eastAsia="en-AU"/>
        </w:rPr>
        <w:t>, the grant offer may be withdrawn.</w:t>
      </w:r>
    </w:p>
    <w:p w:rsidR="00340616" w:rsidRPr="00BB7C9D" w:rsidRDefault="00340616" w:rsidP="00340616">
      <w:r w:rsidRPr="00726710">
        <w:rPr>
          <w:lang w:eastAsia="en-AU"/>
        </w:rPr>
        <w:t xml:space="preserve">Where a grantee fails to meet the obligations of the grant agreement, </w:t>
      </w:r>
      <w:r w:rsidRPr="00BB7C9D">
        <w:t>the</w:t>
      </w:r>
      <w:r w:rsidRPr="00BB7C9D">
        <w:rPr>
          <w:lang w:eastAsia="en-AU"/>
        </w:rPr>
        <w:t xml:space="preserve"> </w:t>
      </w:r>
      <w:r w:rsidR="007272EB" w:rsidRPr="00C81D2C">
        <w:rPr>
          <w:rStyle w:val="highlightedtextChar"/>
          <w:b w:val="0"/>
          <w:color w:val="auto"/>
        </w:rPr>
        <w:t>Department of Education and Training</w:t>
      </w:r>
      <w:r w:rsidRPr="00BB7C9D">
        <w:t xml:space="preserve"> </w:t>
      </w:r>
      <w:r w:rsidRPr="00BB7C9D">
        <w:rPr>
          <w:lang w:eastAsia="en-AU"/>
        </w:rPr>
        <w:t>may</w:t>
      </w:r>
      <w:r w:rsidRPr="00944A44">
        <w:t xml:space="preserve"> </w:t>
      </w:r>
      <w:r w:rsidR="00E66EAD" w:rsidRPr="00944A44">
        <w:t>take any action allowed under the agreement for the project</w:t>
      </w:r>
      <w:r w:rsidRPr="00944A44">
        <w:rPr>
          <w:b/>
        </w:rPr>
        <w:t xml:space="preserve">. </w:t>
      </w:r>
    </w:p>
    <w:p w:rsidR="00340616" w:rsidRDefault="00340616" w:rsidP="00340616">
      <w:pPr>
        <w:rPr>
          <w:bCs/>
          <w:lang w:eastAsia="en-AU"/>
        </w:rPr>
      </w:pPr>
      <w:r w:rsidRPr="00726710">
        <w:rPr>
          <w:bCs/>
          <w:lang w:eastAsia="en-AU"/>
        </w:rPr>
        <w:t>You should not make financial commitments until a grant agreement has been executed by the Commonwealth.</w:t>
      </w:r>
      <w:r>
        <w:rPr>
          <w:bCs/>
          <w:lang w:eastAsia="en-AU"/>
        </w:rPr>
        <w:t xml:space="preserve"> </w:t>
      </w:r>
    </w:p>
    <w:p w:rsidR="00340616" w:rsidRDefault="00340616" w:rsidP="0054078D">
      <w:pPr>
        <w:pStyle w:val="Heading2Numbered"/>
      </w:pPr>
      <w:bookmarkStart w:id="54" w:name="_Toc467773981"/>
      <w:bookmarkStart w:id="55" w:name="_Toc514836293"/>
      <w:r>
        <w:t>How the grant will be paid</w:t>
      </w:r>
      <w:bookmarkEnd w:id="54"/>
      <w:bookmarkEnd w:id="55"/>
    </w:p>
    <w:p w:rsidR="00340616" w:rsidRPr="00DB0315" w:rsidRDefault="00340616" w:rsidP="00944A44">
      <w:pPr>
        <w:tabs>
          <w:tab w:val="left" w:pos="0"/>
        </w:tabs>
      </w:pPr>
      <w:r w:rsidRPr="00DB0315">
        <w:rPr>
          <w:bCs/>
          <w:lang w:eastAsia="en-AU"/>
        </w:rPr>
        <w:t>The grant agreement will state the</w:t>
      </w:r>
      <w:r w:rsidR="00BC4938">
        <w:rPr>
          <w:bCs/>
          <w:lang w:eastAsia="en-AU"/>
        </w:rPr>
        <w:t xml:space="preserve"> </w:t>
      </w:r>
      <w:r w:rsidRPr="00DB0315">
        <w:t>maximum grant amount to be paid</w:t>
      </w:r>
      <w:r w:rsidR="00BC4938">
        <w:t>.</w:t>
      </w:r>
    </w:p>
    <w:p w:rsidR="00340616" w:rsidRPr="00DB0315" w:rsidRDefault="00340616" w:rsidP="00340616">
      <w:pPr>
        <w:tabs>
          <w:tab w:val="left" w:pos="0"/>
        </w:tabs>
        <w:rPr>
          <w:bCs/>
          <w:lang w:eastAsia="en-AU"/>
        </w:rPr>
      </w:pPr>
      <w:r w:rsidRPr="00DB0315">
        <w:rPr>
          <w:bCs/>
          <w:lang w:eastAsia="en-AU"/>
        </w:rPr>
        <w:t xml:space="preserve">We will not exceed the maximum </w:t>
      </w:r>
      <w:r w:rsidR="00BC4938">
        <w:rPr>
          <w:bCs/>
          <w:lang w:eastAsia="en-AU"/>
        </w:rPr>
        <w:t xml:space="preserve">approved </w:t>
      </w:r>
      <w:r w:rsidRPr="00DB0315">
        <w:rPr>
          <w:bCs/>
          <w:lang w:eastAsia="en-AU"/>
        </w:rPr>
        <w:t>grant amount under any circumstances.</w:t>
      </w:r>
      <w:r>
        <w:rPr>
          <w:b/>
          <w:bCs/>
          <w:lang w:eastAsia="en-AU"/>
        </w:rPr>
        <w:t xml:space="preserve"> </w:t>
      </w:r>
      <w:r w:rsidRPr="00DB0315">
        <w:rPr>
          <w:bCs/>
          <w:lang w:eastAsia="en-AU"/>
        </w:rPr>
        <w:t xml:space="preserve">If you incur extra eligible expenditure, you must </w:t>
      </w:r>
      <w:r>
        <w:rPr>
          <w:bCs/>
          <w:lang w:eastAsia="en-AU"/>
        </w:rPr>
        <w:t>pay</w:t>
      </w:r>
      <w:r w:rsidRPr="00DB0315">
        <w:rPr>
          <w:bCs/>
          <w:lang w:eastAsia="en-AU"/>
        </w:rPr>
        <w:t xml:space="preserve"> it yourself</w:t>
      </w:r>
      <w:r w:rsidR="00E66EAD">
        <w:rPr>
          <w:bCs/>
          <w:lang w:eastAsia="en-AU"/>
        </w:rPr>
        <w:t xml:space="preserve"> or secure the funding from another party</w:t>
      </w:r>
      <w:r w:rsidRPr="00DB0315">
        <w:rPr>
          <w:bCs/>
          <w:lang w:eastAsia="en-AU"/>
        </w:rPr>
        <w:t>.</w:t>
      </w:r>
    </w:p>
    <w:p w:rsidR="00340616" w:rsidRDefault="00340616" w:rsidP="00340616">
      <w:pPr>
        <w:tabs>
          <w:tab w:val="left" w:pos="0"/>
        </w:tabs>
        <w:rPr>
          <w:bCs/>
          <w:lang w:eastAsia="en-AU"/>
        </w:rPr>
      </w:pPr>
      <w:r w:rsidRPr="00DB0315">
        <w:rPr>
          <w:bCs/>
          <w:lang w:eastAsia="en-AU"/>
        </w:rPr>
        <w:t>We will make payments progressively based on your progress reports</w:t>
      </w:r>
      <w:r w:rsidR="00E66EAD">
        <w:rPr>
          <w:bCs/>
          <w:lang w:eastAsia="en-AU"/>
        </w:rPr>
        <w:t xml:space="preserve">, taking into account </w:t>
      </w:r>
      <w:r w:rsidRPr="00DB0315">
        <w:rPr>
          <w:bCs/>
          <w:lang w:eastAsia="en-AU"/>
        </w:rPr>
        <w:t xml:space="preserve">your </w:t>
      </w:r>
      <w:r w:rsidR="00CB46B0">
        <w:rPr>
          <w:bCs/>
          <w:lang w:eastAsia="en-AU"/>
        </w:rPr>
        <w:t xml:space="preserve">actual and proposed </w:t>
      </w:r>
      <w:r w:rsidRPr="00DB0315">
        <w:rPr>
          <w:bCs/>
          <w:lang w:eastAsia="en-AU"/>
        </w:rPr>
        <w:t>eligible expenditure.</w:t>
      </w:r>
    </w:p>
    <w:p w:rsidR="00340616" w:rsidRPr="009E7919" w:rsidRDefault="00340616" w:rsidP="0054078D">
      <w:pPr>
        <w:pStyle w:val="Heading2Numbered"/>
      </w:pPr>
      <w:bookmarkStart w:id="56" w:name="_Toc451936378"/>
      <w:bookmarkStart w:id="57" w:name="_Toc467773982"/>
      <w:bookmarkStart w:id="58" w:name="_Toc514836294"/>
      <w:r>
        <w:t>Grant agreement</w:t>
      </w:r>
      <w:r w:rsidRPr="009E7919">
        <w:t xml:space="preserve"> variations</w:t>
      </w:r>
      <w:bookmarkEnd w:id="56"/>
      <w:bookmarkEnd w:id="57"/>
      <w:bookmarkEnd w:id="58"/>
    </w:p>
    <w:p w:rsidR="00340616" w:rsidRPr="00DB0315" w:rsidRDefault="00340616" w:rsidP="00340616">
      <w:pPr>
        <w:tabs>
          <w:tab w:val="left" w:pos="0"/>
        </w:tabs>
        <w:rPr>
          <w:bCs/>
          <w:lang w:eastAsia="en-AU"/>
        </w:rPr>
      </w:pPr>
      <w:r w:rsidRPr="00DB0315">
        <w:rPr>
          <w:bCs/>
          <w:lang w:eastAsia="en-AU"/>
        </w:rPr>
        <w:t xml:space="preserve">We recognise that unexpected events may affect </w:t>
      </w:r>
      <w:r>
        <w:rPr>
          <w:bCs/>
          <w:lang w:eastAsia="en-AU"/>
        </w:rPr>
        <w:t xml:space="preserve">the progress of a </w:t>
      </w:r>
      <w:r w:rsidRPr="00DB0315">
        <w:rPr>
          <w:bCs/>
          <w:lang w:eastAsia="en-AU"/>
        </w:rPr>
        <w:t>project</w:t>
      </w:r>
      <w:r>
        <w:rPr>
          <w:bCs/>
          <w:lang w:eastAsia="en-AU"/>
        </w:rPr>
        <w:t>.</w:t>
      </w:r>
      <w:r w:rsidRPr="00DB0315">
        <w:rPr>
          <w:bCs/>
          <w:lang w:eastAsia="en-AU"/>
        </w:rPr>
        <w:t xml:space="preserve"> In these circumstances, you can request a project variation, including:</w:t>
      </w:r>
    </w:p>
    <w:p w:rsidR="00340616" w:rsidRPr="00DB0315" w:rsidRDefault="00340616" w:rsidP="00726710">
      <w:pPr>
        <w:pStyle w:val="Bullet1"/>
      </w:pPr>
      <w:r w:rsidRPr="00DB0315">
        <w:t>changing project milestones</w:t>
      </w:r>
    </w:p>
    <w:p w:rsidR="00726710" w:rsidRPr="00726710" w:rsidRDefault="00340616" w:rsidP="00726710">
      <w:pPr>
        <w:pStyle w:val="Bullet1"/>
        <w:rPr>
          <w:b/>
        </w:rPr>
      </w:pPr>
      <w:r w:rsidRPr="00726710">
        <w:t xml:space="preserve">extending the timeframe for completing </w:t>
      </w:r>
      <w:r w:rsidR="00EF3708">
        <w:t>milestones, but not beyond 30 June 2023</w:t>
      </w:r>
    </w:p>
    <w:p w:rsidR="00EF3708" w:rsidRDefault="007272EB" w:rsidP="00944A44">
      <w:pPr>
        <w:pStyle w:val="Bullet1"/>
        <w:tabs>
          <w:tab w:val="left" w:pos="0"/>
        </w:tabs>
        <w:rPr>
          <w:bCs/>
          <w:lang w:eastAsia="en-AU"/>
        </w:rPr>
      </w:pPr>
      <w:r w:rsidRPr="00944A44">
        <w:t xml:space="preserve">amending activities to best meet the objectives of the 2016 Roadmap and/or </w:t>
      </w:r>
      <w:r w:rsidR="00A22096">
        <w:t>I</w:t>
      </w:r>
      <w:r w:rsidR="00EF153C">
        <w:t>nvestment Plan</w:t>
      </w:r>
      <w:r w:rsidRPr="00944A44">
        <w:t xml:space="preserve">. </w:t>
      </w:r>
    </w:p>
    <w:p w:rsidR="00340616" w:rsidRPr="00EF3708" w:rsidRDefault="00340616" w:rsidP="00944A44">
      <w:pPr>
        <w:pStyle w:val="Bullet1"/>
        <w:numPr>
          <w:ilvl w:val="0"/>
          <w:numId w:val="0"/>
        </w:numPr>
        <w:tabs>
          <w:tab w:val="left" w:pos="0"/>
        </w:tabs>
        <w:rPr>
          <w:bCs/>
          <w:lang w:eastAsia="en-AU"/>
        </w:rPr>
      </w:pPr>
      <w:r w:rsidRPr="00340DDB">
        <w:rPr>
          <w:bCs/>
          <w:lang w:eastAsia="en-AU"/>
        </w:rPr>
        <w:t>If you want to propose changes to the grant agreement, you must put them in writing before the grant agreement end date. Contact</w:t>
      </w:r>
      <w:r w:rsidR="00BC4938" w:rsidRPr="00EF3708">
        <w:rPr>
          <w:bCs/>
          <w:lang w:eastAsia="en-AU"/>
        </w:rPr>
        <w:t xml:space="preserve"> </w:t>
      </w:r>
      <w:hyperlink r:id="rId16" w:history="1">
        <w:r w:rsidR="00297012" w:rsidRPr="00EF3708">
          <w:rPr>
            <w:rStyle w:val="Hyperlink"/>
            <w:rFonts w:cstheme="minorBidi"/>
            <w:bCs/>
            <w:lang w:eastAsia="en-AU"/>
          </w:rPr>
          <w:t>NCRIS@education.gov.au</w:t>
        </w:r>
      </w:hyperlink>
      <w:r w:rsidR="00BC4938" w:rsidRPr="00EF3708">
        <w:rPr>
          <w:bCs/>
          <w:lang w:eastAsia="en-AU"/>
        </w:rPr>
        <w:t xml:space="preserve"> </w:t>
      </w:r>
      <w:r w:rsidRPr="00EF3708">
        <w:rPr>
          <w:bCs/>
          <w:lang w:eastAsia="en-AU"/>
        </w:rPr>
        <w:t>for further information. We will not consider changes after the grant agreement end date.</w:t>
      </w:r>
    </w:p>
    <w:p w:rsidR="00340616" w:rsidRPr="00DB0315" w:rsidRDefault="00340616" w:rsidP="00340616">
      <w:pPr>
        <w:tabs>
          <w:tab w:val="left" w:pos="0"/>
        </w:tabs>
        <w:rPr>
          <w:bCs/>
          <w:lang w:eastAsia="en-AU"/>
        </w:rPr>
      </w:pPr>
      <w:r w:rsidRPr="00DB0315">
        <w:rPr>
          <w:bCs/>
          <w:lang w:eastAsia="en-AU"/>
        </w:rPr>
        <w:t>You should not assume that a variation request will be successful. We will consider your request based on factors such as:</w:t>
      </w:r>
    </w:p>
    <w:p w:rsidR="00340616" w:rsidRPr="00DB0315" w:rsidRDefault="00340616" w:rsidP="00726710">
      <w:pPr>
        <w:pStyle w:val="Bullet1"/>
      </w:pPr>
      <w:r w:rsidRPr="00DB0315">
        <w:t>how it affects the project outcome</w:t>
      </w:r>
    </w:p>
    <w:p w:rsidR="00340616" w:rsidRPr="00DB0315" w:rsidRDefault="00340616" w:rsidP="00726710">
      <w:pPr>
        <w:pStyle w:val="Bullet1"/>
      </w:pPr>
      <w:r w:rsidRPr="00DB0315">
        <w:t xml:space="preserve">consistency with the program policy objective and any relevant policies of the </w:t>
      </w:r>
      <w:r w:rsidR="00A22096">
        <w:t>D</w:t>
      </w:r>
      <w:r w:rsidRPr="00DB0315">
        <w:t>epartment</w:t>
      </w:r>
      <w:r w:rsidR="00A22096">
        <w:t xml:space="preserve"> of Education and Training</w:t>
      </w:r>
    </w:p>
    <w:p w:rsidR="00340616" w:rsidRPr="00DB0315" w:rsidRDefault="00340616" w:rsidP="00726710">
      <w:pPr>
        <w:pStyle w:val="Bullet1"/>
      </w:pPr>
      <w:r w:rsidRPr="00DB0315">
        <w:t>changes to the timing of grant payments</w:t>
      </w:r>
    </w:p>
    <w:p w:rsidR="00340616" w:rsidRDefault="00340616" w:rsidP="00726710">
      <w:pPr>
        <w:pStyle w:val="Bullet1"/>
      </w:pPr>
      <w:r w:rsidRPr="00DB0315">
        <w:t>availability of program funds.</w:t>
      </w:r>
      <w:r w:rsidR="000F016C">
        <w:br/>
      </w:r>
    </w:p>
    <w:p w:rsidR="00340616" w:rsidRDefault="00340616" w:rsidP="0054078D">
      <w:pPr>
        <w:pStyle w:val="Heading1Numbered"/>
      </w:pPr>
      <w:bookmarkStart w:id="59" w:name="_Toc467773983"/>
      <w:bookmarkStart w:id="60" w:name="_Toc514836295"/>
      <w:r w:rsidRPr="001607E9">
        <w:t>Announcement</w:t>
      </w:r>
      <w:r>
        <w:t xml:space="preserve"> of grants</w:t>
      </w:r>
      <w:bookmarkEnd w:id="59"/>
      <w:bookmarkEnd w:id="60"/>
    </w:p>
    <w:p w:rsidR="00340616" w:rsidRDefault="00CB46B0" w:rsidP="00340616">
      <w:pPr>
        <w:rPr>
          <w:i/>
        </w:rPr>
      </w:pPr>
      <w:r>
        <w:t>Grants</w:t>
      </w:r>
      <w:r w:rsidR="00340616">
        <w:t xml:space="preserve"> will be listed</w:t>
      </w:r>
      <w:r w:rsidR="00340616" w:rsidRPr="00B72EE8">
        <w:t xml:space="preserve"> on</w:t>
      </w:r>
      <w:r w:rsidR="00340616">
        <w:t xml:space="preserve"> the GrantConnect</w:t>
      </w:r>
      <w:r w:rsidR="00340616" w:rsidRPr="000A572F">
        <w:t xml:space="preserve"> website</w:t>
      </w:r>
      <w:r w:rsidR="00340616">
        <w:t xml:space="preserve"> </w:t>
      </w:r>
      <w:r w:rsidR="001744FA">
        <w:t>28 calendar</w:t>
      </w:r>
      <w:r w:rsidR="00340616">
        <w:t xml:space="preserve"> d</w:t>
      </w:r>
      <w:r w:rsidR="00340616" w:rsidRPr="000A572F">
        <w:t xml:space="preserve">ays </w:t>
      </w:r>
      <w:r w:rsidR="00340616">
        <w:t>after</w:t>
      </w:r>
      <w:r w:rsidR="00340616" w:rsidRPr="000A572F">
        <w:t xml:space="preserve"> </w:t>
      </w:r>
      <w:r w:rsidR="00340616">
        <w:t>the date of effect</w:t>
      </w:r>
      <w:r w:rsidR="00340616">
        <w:rPr>
          <w:rStyle w:val="FootnoteReference"/>
        </w:rPr>
        <w:footnoteReference w:id="7"/>
      </w:r>
      <w:r w:rsidR="002165C7">
        <w:t xml:space="preserve">, </w:t>
      </w:r>
      <w:r w:rsidR="00340616">
        <w:t xml:space="preserve">as required by Section 5.3 of the </w:t>
      </w:r>
      <w:r w:rsidR="00340616" w:rsidRPr="004B48A7">
        <w:rPr>
          <w:i/>
        </w:rPr>
        <w:t>CGRGs.</w:t>
      </w:r>
      <w:r w:rsidR="00340616" w:rsidRPr="00F27CA7">
        <w:rPr>
          <w:i/>
        </w:rPr>
        <w:t xml:space="preserve"> </w:t>
      </w:r>
    </w:p>
    <w:p w:rsidR="00CB46B0" w:rsidRDefault="00CB46B0" w:rsidP="00340616">
      <w:pPr>
        <w:rPr>
          <w:i/>
        </w:rPr>
      </w:pPr>
    </w:p>
    <w:p w:rsidR="00340616" w:rsidRPr="00B72EE8" w:rsidRDefault="00340616" w:rsidP="0054078D">
      <w:pPr>
        <w:pStyle w:val="Heading1Numbered"/>
      </w:pPr>
      <w:bookmarkStart w:id="61" w:name="_Toc421777623"/>
      <w:bookmarkStart w:id="62" w:name="_Toc467773984"/>
      <w:bookmarkStart w:id="63" w:name="_Toc514836296"/>
      <w:r w:rsidRPr="00B72EE8">
        <w:t xml:space="preserve">Delivery of </w:t>
      </w:r>
      <w:r>
        <w:t>g</w:t>
      </w:r>
      <w:r w:rsidRPr="00B72EE8">
        <w:t>rant</w:t>
      </w:r>
      <w:r>
        <w:t xml:space="preserve"> activities</w:t>
      </w:r>
      <w:bookmarkEnd w:id="61"/>
      <w:bookmarkEnd w:id="62"/>
      <w:bookmarkEnd w:id="63"/>
    </w:p>
    <w:p w:rsidR="00340616" w:rsidRPr="00B72EE8" w:rsidDel="00D505A5" w:rsidRDefault="00340616" w:rsidP="0054078D">
      <w:pPr>
        <w:pStyle w:val="Heading2Numbered"/>
      </w:pPr>
      <w:bookmarkStart w:id="64" w:name="_Toc421777624"/>
      <w:bookmarkStart w:id="65" w:name="_Toc433641185"/>
      <w:bookmarkStart w:id="66" w:name="_Toc467773985"/>
      <w:bookmarkStart w:id="67" w:name="_Toc514836297"/>
      <w:r>
        <w:t>Your</w:t>
      </w:r>
      <w:r w:rsidRPr="00B72EE8" w:rsidDel="00D505A5">
        <w:t xml:space="preserve"> responsibilities</w:t>
      </w:r>
      <w:bookmarkEnd w:id="64"/>
      <w:bookmarkEnd w:id="65"/>
      <w:bookmarkEnd w:id="66"/>
      <w:bookmarkEnd w:id="67"/>
    </w:p>
    <w:p w:rsidR="00340616" w:rsidRPr="00726710" w:rsidRDefault="00340616" w:rsidP="00340616">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timeframes </w:t>
      </w:r>
      <w:r w:rsidRPr="00726710">
        <w:rPr>
          <w:rFonts w:cstheme="minorHAnsi"/>
        </w:rPr>
        <w:t xml:space="preserve">in the </w:t>
      </w:r>
      <w:hyperlink r:id="rId17" w:history="1">
        <w:r w:rsidRPr="00726710">
          <w:rPr>
            <w:rFonts w:cstheme="minorHAnsi"/>
          </w:rPr>
          <w:t>grant agreement</w:t>
        </w:r>
      </w:hyperlink>
      <w:r w:rsidRPr="00726710">
        <w:rPr>
          <w:rFonts w:cstheme="minorHAnsi"/>
        </w:rPr>
        <w:t xml:space="preserve">. We will provide sample templates for these reports in the grant agreement. </w:t>
      </w:r>
      <w:r w:rsidR="00CB46B0">
        <w:rPr>
          <w:rFonts w:cstheme="minorHAnsi"/>
        </w:rPr>
        <w:t xml:space="preserve">The sample templates may change from time-to-time. </w:t>
      </w:r>
      <w:r w:rsidRPr="00726710">
        <w:rPr>
          <w:rFonts w:cstheme="minorHAnsi"/>
        </w:rPr>
        <w:t>We will expect you to report on</w:t>
      </w:r>
      <w:r w:rsidR="002165C7">
        <w:rPr>
          <w:rFonts w:cstheme="minorHAnsi"/>
        </w:rPr>
        <w:t>:</w:t>
      </w:r>
    </w:p>
    <w:p w:rsidR="00340616" w:rsidRPr="00726710" w:rsidRDefault="00340616" w:rsidP="00726710">
      <w:pPr>
        <w:pStyle w:val="Bullet1"/>
      </w:pPr>
      <w:r w:rsidRPr="00726710">
        <w:t>progress against agreed project milestones</w:t>
      </w:r>
    </w:p>
    <w:p w:rsidR="00340616" w:rsidRPr="00726710" w:rsidRDefault="00340616" w:rsidP="00726710">
      <w:pPr>
        <w:pStyle w:val="Bullet1"/>
      </w:pPr>
      <w:r w:rsidRPr="00726710">
        <w:t>contributions of participants directly related to the project</w:t>
      </w:r>
    </w:p>
    <w:p w:rsidR="00340616" w:rsidRPr="00726710" w:rsidRDefault="00340616" w:rsidP="00726710">
      <w:pPr>
        <w:pStyle w:val="Bullet1"/>
      </w:pPr>
      <w:r w:rsidRPr="00726710">
        <w:t>eligible expenditure of grant funds</w:t>
      </w:r>
    </w:p>
    <w:p w:rsidR="00340616" w:rsidRPr="00944A44" w:rsidRDefault="0077054B" w:rsidP="00726710">
      <w:pPr>
        <w:pStyle w:val="Bullet1"/>
      </w:pPr>
      <w:r w:rsidRPr="00944A44">
        <w:t>other activities relevant to the effective and efficient conduct of your project.</w:t>
      </w:r>
    </w:p>
    <w:p w:rsidR="00340616" w:rsidRPr="00726710" w:rsidRDefault="00340616" w:rsidP="00340616">
      <w:pPr>
        <w:rPr>
          <w:rFonts w:cstheme="minorHAnsi"/>
        </w:rPr>
      </w:pPr>
      <w:r w:rsidRPr="00726710">
        <w:rPr>
          <w:rFonts w:cstheme="minorHAnsi"/>
        </w:rPr>
        <w:t>You</w:t>
      </w:r>
      <w:r w:rsidRPr="00726710" w:rsidDel="00D505A5">
        <w:rPr>
          <w:rFonts w:cstheme="minorHAnsi"/>
        </w:rPr>
        <w:t xml:space="preserve"> </w:t>
      </w:r>
      <w:r w:rsidRPr="00726710">
        <w:rPr>
          <w:rFonts w:cstheme="minorHAnsi"/>
        </w:rPr>
        <w:t>will be</w:t>
      </w:r>
      <w:r w:rsidRPr="00726710" w:rsidDel="00D505A5">
        <w:rPr>
          <w:rFonts w:cstheme="minorHAnsi"/>
        </w:rPr>
        <w:t xml:space="preserve"> responsible for:</w:t>
      </w:r>
    </w:p>
    <w:p w:rsidR="009F1432" w:rsidRPr="0077054B" w:rsidRDefault="009F1432" w:rsidP="009F1432">
      <w:pPr>
        <w:pStyle w:val="Bullet1"/>
      </w:pPr>
      <w:r w:rsidRPr="0077054B">
        <w:t>the delivery of the project</w:t>
      </w:r>
    </w:p>
    <w:p w:rsidR="00EE64B5" w:rsidRDefault="00EE64B5" w:rsidP="00EE64B5">
      <w:pPr>
        <w:pStyle w:val="Bullet1"/>
      </w:pPr>
      <w:r>
        <w:t xml:space="preserve">conducting the project in line with the NCRIS Principles at </w:t>
      </w:r>
      <w:r w:rsidR="00CC07F5">
        <w:rPr>
          <w:u w:val="single"/>
        </w:rPr>
        <w:t>Appendix A</w:t>
      </w:r>
      <w:r>
        <w:t xml:space="preserve"> </w:t>
      </w:r>
    </w:p>
    <w:p w:rsidR="00340616" w:rsidRPr="00944A44" w:rsidRDefault="00EE64B5" w:rsidP="00EE64B5">
      <w:pPr>
        <w:pStyle w:val="Bullet1"/>
      </w:pPr>
      <w:r w:rsidRPr="00944A44">
        <w:t xml:space="preserve">working collaboratively with the Department of Education and Training, </w:t>
      </w:r>
      <w:r w:rsidR="00CB46B0">
        <w:t xml:space="preserve">your project partners </w:t>
      </w:r>
      <w:r w:rsidRPr="00944A44">
        <w:t>and other NCRIS projects, to identify strategically important gaps in Australia’s national research infrastructure and implement agreed actions</w:t>
      </w:r>
      <w:r w:rsidR="0077054B">
        <w:t xml:space="preserve"> to address those gaps</w:t>
      </w:r>
    </w:p>
    <w:p w:rsidR="00340616" w:rsidRDefault="00340616" w:rsidP="00726710">
      <w:pPr>
        <w:pStyle w:val="Bullet1"/>
      </w:pPr>
      <w:r w:rsidRPr="00726710">
        <w:t>meeting</w:t>
      </w:r>
      <w:r w:rsidRPr="00726710" w:rsidDel="00D505A5">
        <w:t xml:space="preserve"> the terms and conditions of the grant agreement </w:t>
      </w:r>
      <w:r w:rsidRPr="00726710">
        <w:t>and managing the</w:t>
      </w:r>
      <w:r w:rsidRPr="00726710" w:rsidDel="00D505A5">
        <w:t xml:space="preserve"> activity efficient</w:t>
      </w:r>
      <w:r w:rsidRPr="00726710">
        <w:t>ly</w:t>
      </w:r>
      <w:r w:rsidRPr="00726710" w:rsidDel="00D505A5">
        <w:t xml:space="preserve"> and effective</w:t>
      </w:r>
      <w:r w:rsidRPr="00726710">
        <w:t>ly</w:t>
      </w:r>
    </w:p>
    <w:p w:rsidR="00340616" w:rsidRPr="00726710" w:rsidDel="00D505A5" w:rsidRDefault="00340616" w:rsidP="00726710">
      <w:pPr>
        <w:pStyle w:val="Bullet1"/>
      </w:pPr>
      <w:r w:rsidRPr="00726710" w:rsidDel="00D505A5">
        <w:t xml:space="preserve">complying with record keeping, reporting and acquittal requirements </w:t>
      </w:r>
      <w:r w:rsidRPr="00726710">
        <w:t>as set out in the grant agreement</w:t>
      </w:r>
    </w:p>
    <w:p w:rsidR="00340616" w:rsidRDefault="00340616" w:rsidP="00726710">
      <w:pPr>
        <w:pStyle w:val="Bullet1"/>
      </w:pPr>
      <w:r w:rsidRPr="00726710" w:rsidDel="00D505A5">
        <w:t xml:space="preserve">participating in </w:t>
      </w:r>
      <w:r w:rsidRPr="00726710">
        <w:t>a grant program e</w:t>
      </w:r>
      <w:r w:rsidRPr="00726710" w:rsidDel="00D505A5">
        <w:t xml:space="preserve">valuation as </w:t>
      </w:r>
      <w:r w:rsidRPr="00726710">
        <w:t>specified in the grant agreement</w:t>
      </w:r>
    </w:p>
    <w:p w:rsidR="00C64C22" w:rsidRPr="00340DDB" w:rsidRDefault="00C64C22" w:rsidP="00C64C22">
      <w:pPr>
        <w:pStyle w:val="Bullet1"/>
      </w:pPr>
      <w:r w:rsidRPr="00340DDB">
        <w:t>deal</w:t>
      </w:r>
      <w:r w:rsidR="00CB46B0">
        <w:t>ing</w:t>
      </w:r>
      <w:r w:rsidRPr="00340DDB">
        <w:t xml:space="preserve"> fairly with the Department</w:t>
      </w:r>
      <w:r w:rsidR="00A22096">
        <w:t xml:space="preserve"> of Education and Training</w:t>
      </w:r>
      <w:r w:rsidRPr="00340DDB">
        <w:t xml:space="preserve"> and other stakeholders</w:t>
      </w:r>
      <w:r w:rsidR="00CB46B0">
        <w:t xml:space="preserve">, including </w:t>
      </w:r>
      <w:r w:rsidR="00CB46B0" w:rsidRPr="0077054B">
        <w:t>governance and management partners and project participants and subcontractors</w:t>
      </w:r>
    </w:p>
    <w:p w:rsidR="00C64C22" w:rsidRPr="0077054B" w:rsidRDefault="00C64C22" w:rsidP="00C64C22">
      <w:pPr>
        <w:pStyle w:val="Bullet1"/>
      </w:pPr>
      <w:r w:rsidRPr="0077054B">
        <w:t>consult</w:t>
      </w:r>
      <w:r w:rsidR="009F1432">
        <w:t>ing</w:t>
      </w:r>
      <w:r w:rsidRPr="0077054B">
        <w:t xml:space="preserve"> with relevant stakeholders, particularly governance and management partners and project participants and subcontractors. </w:t>
      </w:r>
    </w:p>
    <w:p w:rsidR="00340616" w:rsidRPr="00B72EE8" w:rsidRDefault="00726710" w:rsidP="00726710">
      <w:pPr>
        <w:pStyle w:val="Heading2Numbered"/>
      </w:pPr>
      <w:bookmarkStart w:id="68" w:name="_Toc420671454"/>
      <w:bookmarkStart w:id="69" w:name="_Toc433641186"/>
      <w:bookmarkStart w:id="70" w:name="_Toc467773986"/>
      <w:bookmarkStart w:id="71" w:name="_Toc514836298"/>
      <w:r w:rsidRPr="00944A44">
        <w:rPr>
          <w:color w:val="auto"/>
        </w:rPr>
        <w:t>R</w:t>
      </w:r>
      <w:r w:rsidR="00340616" w:rsidRPr="00944A44">
        <w:rPr>
          <w:color w:val="auto"/>
        </w:rPr>
        <w:t>e</w:t>
      </w:r>
      <w:r w:rsidRPr="00944A44">
        <w:rPr>
          <w:color w:val="auto"/>
        </w:rPr>
        <w:t>le</w:t>
      </w:r>
      <w:r w:rsidR="00340616" w:rsidRPr="00944A44">
        <w:rPr>
          <w:color w:val="auto"/>
        </w:rPr>
        <w:t xml:space="preserve">vant Commonwealth entity’s </w:t>
      </w:r>
      <w:r w:rsidR="00340616" w:rsidRPr="00B72EE8">
        <w:t>responsibilities</w:t>
      </w:r>
      <w:bookmarkEnd w:id="68"/>
      <w:bookmarkEnd w:id="69"/>
      <w:bookmarkEnd w:id="70"/>
      <w:bookmarkEnd w:id="71"/>
    </w:p>
    <w:p w:rsidR="00340616" w:rsidRPr="00726710" w:rsidRDefault="00340616" w:rsidP="00340616">
      <w:pPr>
        <w:rPr>
          <w:rFonts w:cstheme="minorHAnsi"/>
        </w:rPr>
      </w:pPr>
      <w:r w:rsidRPr="002D0C7A">
        <w:rPr>
          <w:rFonts w:cstheme="minorHAnsi"/>
        </w:rPr>
        <w:t xml:space="preserve">The </w:t>
      </w:r>
      <w:r w:rsidR="006D43FC" w:rsidRPr="00944A44">
        <w:rPr>
          <w:rFonts w:cstheme="minorHAnsi"/>
        </w:rPr>
        <w:t xml:space="preserve">Department of </w:t>
      </w:r>
      <w:r w:rsidR="002D0C7A" w:rsidRPr="00944A44">
        <w:rPr>
          <w:rFonts w:cstheme="minorHAnsi"/>
        </w:rPr>
        <w:t>Education</w:t>
      </w:r>
      <w:r w:rsidR="006D43FC" w:rsidRPr="00944A44">
        <w:rPr>
          <w:rFonts w:cstheme="minorHAnsi"/>
        </w:rPr>
        <w:t xml:space="preserve"> and Training</w:t>
      </w:r>
      <w:r w:rsidR="00DB0937">
        <w:rPr>
          <w:rFonts w:cstheme="minorHAnsi"/>
          <w:b/>
          <w:color w:val="745B00" w:themeColor="accent3" w:themeShade="80"/>
        </w:rPr>
        <w:t xml:space="preserve"> </w:t>
      </w:r>
      <w:r w:rsidRPr="00726710">
        <w:rPr>
          <w:rFonts w:cstheme="minorHAnsi"/>
        </w:rPr>
        <w:t xml:space="preserve">will: </w:t>
      </w:r>
    </w:p>
    <w:p w:rsidR="00340616" w:rsidRPr="00726710" w:rsidRDefault="00340616" w:rsidP="00726710">
      <w:pPr>
        <w:pStyle w:val="Bullet1"/>
      </w:pPr>
      <w:r w:rsidRPr="00726710">
        <w:t>meet the terms and conditions set out in the grant agreement</w:t>
      </w:r>
    </w:p>
    <w:p w:rsidR="00340616" w:rsidRPr="00726710" w:rsidRDefault="00340616" w:rsidP="00726710">
      <w:pPr>
        <w:pStyle w:val="Bullet1"/>
      </w:pPr>
      <w:r w:rsidRPr="00726710">
        <w:t>provide timely administration of the grant</w:t>
      </w:r>
    </w:p>
    <w:p w:rsidR="00340616" w:rsidRDefault="00340616" w:rsidP="00726710">
      <w:pPr>
        <w:pStyle w:val="Bullet1"/>
      </w:pPr>
      <w:r w:rsidRPr="00726710">
        <w:t>evaluate the grantee’s performance</w:t>
      </w:r>
    </w:p>
    <w:p w:rsidR="00C64C22" w:rsidRDefault="00C64C22" w:rsidP="00944A44">
      <w:pPr>
        <w:pStyle w:val="Bullet1"/>
      </w:pPr>
      <w:r>
        <w:t>deal fairly with Lead Agents and their nominated representatives</w:t>
      </w:r>
    </w:p>
    <w:p w:rsidR="00C64C22" w:rsidRDefault="00C64C22" w:rsidP="00944A44">
      <w:pPr>
        <w:pStyle w:val="Bullet1"/>
      </w:pPr>
      <w:r>
        <w:t xml:space="preserve">conduct the development, implementation and administration of NCRIS 2018, including application of the eligibility criteria and determining funding allocations </w:t>
      </w:r>
    </w:p>
    <w:p w:rsidR="00C64C22" w:rsidRDefault="00C64C22" w:rsidP="00944A44">
      <w:pPr>
        <w:pStyle w:val="Bullet1"/>
      </w:pPr>
      <w:r>
        <w:t>undertake project or program-level evaluations</w:t>
      </w:r>
    </w:p>
    <w:p w:rsidR="00C64C22" w:rsidRDefault="00C64C22" w:rsidP="00944A44">
      <w:pPr>
        <w:pStyle w:val="Bullet1"/>
      </w:pPr>
      <w:r>
        <w:t>promote the NCRIS program</w:t>
      </w:r>
    </w:p>
    <w:p w:rsidR="00C64C22" w:rsidRDefault="00C64C22" w:rsidP="00944A44">
      <w:pPr>
        <w:pStyle w:val="Bullet1"/>
      </w:pPr>
      <w:r>
        <w:t xml:space="preserve">support the implementation of the Government’s response to the 2016 Roadmap and </w:t>
      </w:r>
      <w:r w:rsidR="00A22096">
        <w:t>I</w:t>
      </w:r>
      <w:r w:rsidR="00EF153C">
        <w:t>nvestment Plan</w:t>
      </w:r>
      <w:r>
        <w:t>.</w:t>
      </w:r>
    </w:p>
    <w:p w:rsidR="00340616" w:rsidRPr="00726710" w:rsidRDefault="00340616" w:rsidP="00340616">
      <w:pPr>
        <w:rPr>
          <w:rFonts w:cstheme="minorHAnsi"/>
        </w:rPr>
      </w:pPr>
      <w:r w:rsidRPr="00726710">
        <w:rPr>
          <w:rFonts w:cstheme="minorHAnsi"/>
        </w:rPr>
        <w:t xml:space="preserve">We will monitor the progress of your project by assessing reports you submit and may conduct site visits to confirm details of your reports if necessary. Occasionally we may need to re-examine claims, seek further information or request an independent audit of claims and payments. </w:t>
      </w:r>
    </w:p>
    <w:p w:rsidR="00340616" w:rsidRPr="00B72EE8" w:rsidRDefault="00340616" w:rsidP="0054078D">
      <w:pPr>
        <w:pStyle w:val="Heading2Numbered"/>
      </w:pPr>
      <w:bookmarkStart w:id="72" w:name="_Toc421777626"/>
      <w:bookmarkStart w:id="73" w:name="_Toc467773987"/>
      <w:bookmarkStart w:id="74" w:name="_Toc514836299"/>
      <w:bookmarkStart w:id="75" w:name="_Toc433641188"/>
      <w:r>
        <w:t>Grant p</w:t>
      </w:r>
      <w:r w:rsidRPr="00B72EE8">
        <w:t>ayments</w:t>
      </w:r>
      <w:bookmarkEnd w:id="72"/>
      <w:r>
        <w:t xml:space="preserve"> and GST</w:t>
      </w:r>
      <w:bookmarkEnd w:id="73"/>
      <w:bookmarkEnd w:id="74"/>
      <w:r>
        <w:t xml:space="preserve"> </w:t>
      </w:r>
      <w:bookmarkEnd w:id="75"/>
    </w:p>
    <w:p w:rsidR="00340616" w:rsidRPr="00445570" w:rsidRDefault="00340616" w:rsidP="00340616">
      <w:r>
        <w:t>P</w:t>
      </w:r>
      <w:r w:rsidRPr="00B72EE8">
        <w:t xml:space="preserve">ayments </w:t>
      </w:r>
      <w:r>
        <w:t xml:space="preserve">will be made as set out in </w:t>
      </w:r>
      <w:r w:rsidRPr="00B72EE8">
        <w:t>the</w:t>
      </w:r>
      <w:r>
        <w:t xml:space="preserve"> grant </w:t>
      </w:r>
      <w:r w:rsidRPr="00445570">
        <w:t xml:space="preserve">agreement. </w:t>
      </w:r>
      <w:r w:rsidR="00D03036" w:rsidRPr="00944A44">
        <w:t>Where appropriate</w:t>
      </w:r>
      <w:r w:rsidR="00445570">
        <w:t>,</w:t>
      </w:r>
      <w:r w:rsidRPr="00944A44">
        <w:rPr>
          <w:b/>
        </w:rPr>
        <w:t xml:space="preserve"> </w:t>
      </w:r>
      <w:r w:rsidR="00D03036" w:rsidRPr="00445570">
        <w:t>p</w:t>
      </w:r>
      <w:r w:rsidRPr="00445570">
        <w:t xml:space="preserve">ayments will be GST </w:t>
      </w:r>
      <w:r w:rsidR="00D03036" w:rsidRPr="00445570">
        <w:t>i</w:t>
      </w:r>
      <w:r w:rsidRPr="00445570">
        <w:t>nclusive.</w:t>
      </w:r>
    </w:p>
    <w:p w:rsidR="00340616" w:rsidRPr="00DE3325" w:rsidRDefault="00340616" w:rsidP="00340616">
      <w:r w:rsidRPr="000715D5">
        <w:t>If you receive a grant,</w:t>
      </w:r>
      <w:r w:rsidRPr="00C44FAA">
        <w:t xml:space="preserve"> you should consider speaking to a tax advisor </w:t>
      </w:r>
      <w:r w:rsidRPr="00433E7D">
        <w:t xml:space="preserve">about the effect of receiving a grant before you enter into a grant agreement. </w:t>
      </w:r>
      <w:r w:rsidRPr="00430E14">
        <w:t>You can also visit the</w:t>
      </w:r>
      <w:r w:rsidRPr="00C033CD">
        <w:t xml:space="preserve"> </w:t>
      </w:r>
      <w:r w:rsidRPr="00E620C7">
        <w:t>Australian Taxation Office website at</w:t>
      </w:r>
      <w:r w:rsidRPr="00BE5190">
        <w:t xml:space="preserve"> </w:t>
      </w:r>
      <w:hyperlink r:id="rId18" w:history="1">
        <w:r w:rsidRPr="00726710">
          <w:rPr>
            <w:rStyle w:val="Hyperlink"/>
          </w:rPr>
          <w:t>www.ato.gov.au</w:t>
        </w:r>
      </w:hyperlink>
      <w:r w:rsidRPr="00E620C7">
        <w:t xml:space="preserve"> for more information.</w:t>
      </w:r>
    </w:p>
    <w:p w:rsidR="00340616" w:rsidRPr="00B72EE8" w:rsidRDefault="00340616" w:rsidP="0054078D">
      <w:pPr>
        <w:pStyle w:val="Heading2Numbered"/>
      </w:pPr>
      <w:bookmarkStart w:id="76" w:name="_Toc421777629"/>
      <w:bookmarkStart w:id="77" w:name="_Toc467773988"/>
      <w:bookmarkStart w:id="78" w:name="_Toc514836300"/>
      <w:r>
        <w:t>E</w:t>
      </w:r>
      <w:r w:rsidRPr="00B72EE8">
        <w:t>valuation</w:t>
      </w:r>
      <w:bookmarkEnd w:id="76"/>
      <w:bookmarkEnd w:id="77"/>
      <w:bookmarkEnd w:id="78"/>
    </w:p>
    <w:p w:rsidR="00340616" w:rsidRDefault="00726710" w:rsidP="00340616">
      <w:r>
        <w:t>The</w:t>
      </w:r>
      <w:r w:rsidRPr="00944A44">
        <w:t xml:space="preserve"> </w:t>
      </w:r>
      <w:r w:rsidR="00FE7459" w:rsidRPr="00944A44">
        <w:t xml:space="preserve">Department of Education and Training </w:t>
      </w:r>
      <w:r w:rsidR="00340616">
        <w:t xml:space="preserve">will </w:t>
      </w:r>
      <w:r w:rsidR="00340616" w:rsidRPr="00B72EE8">
        <w:t>evaluat</w:t>
      </w:r>
      <w:r w:rsidR="00340616">
        <w:t>e</w:t>
      </w:r>
      <w:r w:rsidR="00340616" w:rsidRPr="00B72EE8">
        <w:t xml:space="preserve"> </w:t>
      </w:r>
      <w:r w:rsidR="00340616" w:rsidRPr="00726710">
        <w:t>the</w:t>
      </w:r>
      <w:r w:rsidR="00340616" w:rsidRPr="00944A44">
        <w:t xml:space="preserve"> </w:t>
      </w:r>
      <w:r w:rsidR="00FE7459" w:rsidRPr="00944A44">
        <w:t xml:space="preserve">NCRIS </w:t>
      </w:r>
      <w:r w:rsidR="00340616" w:rsidRPr="00944A44">
        <w:t xml:space="preserve">program </w:t>
      </w:r>
      <w:r w:rsidR="00340616" w:rsidRPr="00B72EE8">
        <w:t>to</w:t>
      </w:r>
      <w:r w:rsidR="00340616">
        <w:t xml:space="preserve"> measure how well </w:t>
      </w:r>
      <w:r w:rsidR="00340616" w:rsidRPr="00B72EE8">
        <w:t xml:space="preserve">the outcomes and objectives have been achieved. </w:t>
      </w:r>
      <w:r w:rsidR="00340616">
        <w:t xml:space="preserve">Your grant agreement </w:t>
      </w:r>
      <w:r w:rsidR="00340616" w:rsidRPr="00B72EE8">
        <w:t>require</w:t>
      </w:r>
      <w:r w:rsidR="00340616">
        <w:t>s</w:t>
      </w:r>
      <w:r w:rsidR="00340616" w:rsidRPr="00B72EE8">
        <w:t xml:space="preserve"> </w:t>
      </w:r>
      <w:r w:rsidR="00340616">
        <w:t>you</w:t>
      </w:r>
      <w:r w:rsidR="00340616" w:rsidRPr="00B72EE8">
        <w:t xml:space="preserve"> to provide information to </w:t>
      </w:r>
      <w:r w:rsidR="00340616">
        <w:t>help with</w:t>
      </w:r>
      <w:r w:rsidR="00340616" w:rsidRPr="00B72EE8">
        <w:t xml:space="preserve"> this evaluation.</w:t>
      </w:r>
      <w:r w:rsidR="004703B9">
        <w:t xml:space="preserve"> </w:t>
      </w:r>
      <w:r w:rsidR="009821D6">
        <w:t>At a minimum, i</w:t>
      </w:r>
      <w:r w:rsidR="004703B9">
        <w:t xml:space="preserve">nformation sought will </w:t>
      </w:r>
      <w:r w:rsidR="009821D6">
        <w:t>include the following categories</w:t>
      </w:r>
      <w:r w:rsidR="004703B9">
        <w:t>:</w:t>
      </w:r>
    </w:p>
    <w:p w:rsidR="004703B9" w:rsidRPr="00306CAC" w:rsidRDefault="00306CAC" w:rsidP="00306CAC">
      <w:pPr>
        <w:pStyle w:val="ListParagraph"/>
        <w:numPr>
          <w:ilvl w:val="0"/>
          <w:numId w:val="52"/>
        </w:numPr>
        <w:rPr>
          <w:rFonts w:asciiTheme="minorHAnsi" w:hAnsiTheme="minorHAnsi" w:cstheme="minorHAnsi"/>
        </w:rPr>
      </w:pPr>
      <w:r w:rsidRPr="00306CAC">
        <w:rPr>
          <w:rFonts w:asciiTheme="minorHAnsi" w:hAnsiTheme="minorHAnsi" w:cstheme="minorHAnsi"/>
        </w:rPr>
        <w:t>Effectiveness of financial, administrative and governance arrangements</w:t>
      </w:r>
    </w:p>
    <w:p w:rsidR="00306CAC" w:rsidRPr="00306CAC" w:rsidRDefault="00306CAC" w:rsidP="00306CAC">
      <w:pPr>
        <w:pStyle w:val="ListParagraph"/>
        <w:numPr>
          <w:ilvl w:val="0"/>
          <w:numId w:val="52"/>
        </w:numPr>
        <w:rPr>
          <w:rFonts w:asciiTheme="minorHAnsi" w:hAnsiTheme="minorHAnsi" w:cstheme="minorHAnsi"/>
        </w:rPr>
      </w:pPr>
      <w:r w:rsidRPr="00306CAC">
        <w:rPr>
          <w:rFonts w:asciiTheme="minorHAnsi" w:hAnsiTheme="minorHAnsi" w:cstheme="minorHAnsi"/>
        </w:rPr>
        <w:t>Infrastructure use and other output measures</w:t>
      </w:r>
    </w:p>
    <w:p w:rsidR="00306CAC" w:rsidRPr="00306CAC" w:rsidRDefault="00306CAC" w:rsidP="00306CAC">
      <w:pPr>
        <w:pStyle w:val="ListParagraph"/>
        <w:numPr>
          <w:ilvl w:val="0"/>
          <w:numId w:val="52"/>
        </w:numPr>
        <w:rPr>
          <w:rFonts w:asciiTheme="minorHAnsi" w:hAnsiTheme="minorHAnsi" w:cstheme="minorHAnsi"/>
        </w:rPr>
      </w:pPr>
      <w:r w:rsidRPr="00306CAC">
        <w:rPr>
          <w:rFonts w:asciiTheme="minorHAnsi" w:hAnsiTheme="minorHAnsi" w:cstheme="minorHAnsi"/>
        </w:rPr>
        <w:t>Impacts of all types, including outreach, industry and international engagement, and, where appropriate, commercial outcomes</w:t>
      </w:r>
      <w:r>
        <w:rPr>
          <w:rFonts w:asciiTheme="minorHAnsi" w:hAnsiTheme="minorHAnsi" w:cstheme="minorHAnsi"/>
        </w:rPr>
        <w:t>.</w:t>
      </w:r>
    </w:p>
    <w:p w:rsidR="00340616" w:rsidRPr="00B72EE8" w:rsidRDefault="00340616" w:rsidP="0054078D">
      <w:pPr>
        <w:pStyle w:val="Heading2Numbered"/>
      </w:pPr>
      <w:bookmarkStart w:id="79" w:name="_Toc467773989"/>
      <w:bookmarkStart w:id="80" w:name="_Toc514836301"/>
      <w:r>
        <w:t>Acknowledgement</w:t>
      </w:r>
      <w:bookmarkEnd w:id="79"/>
      <w:bookmarkEnd w:id="80"/>
    </w:p>
    <w:p w:rsidR="00340616" w:rsidRPr="008B782D" w:rsidRDefault="00340616" w:rsidP="00340616">
      <w:r w:rsidRPr="008B782D">
        <w:t xml:space="preserve">The </w:t>
      </w:r>
      <w:r>
        <w:t>Program</w:t>
      </w:r>
      <w:r w:rsidRPr="008B782D">
        <w:t xml:space="preserve"> logo is designed to be used on all materials related to grants under the </w:t>
      </w:r>
      <w:r>
        <w:t>Program</w:t>
      </w:r>
      <w:r w:rsidRPr="008B782D">
        <w:t xml:space="preserve">. Whenever the logo is used the publication </w:t>
      </w:r>
      <w:r>
        <w:t>must</w:t>
      </w:r>
      <w:r w:rsidRPr="008B782D">
        <w:t xml:space="preserve"> also acknowledge the Commonwealth as follows:</w:t>
      </w:r>
    </w:p>
    <w:p w:rsidR="00340616" w:rsidRPr="008B782D" w:rsidRDefault="003767BB" w:rsidP="00340616">
      <w:r w:rsidRPr="00944A44">
        <w:t>‘</w:t>
      </w:r>
      <w:r w:rsidR="004E1FC8" w:rsidRPr="00944A44">
        <w:t>NCRIS</w:t>
      </w:r>
      <w:r w:rsidR="00340616" w:rsidRPr="00944A44">
        <w:t xml:space="preserve"> </w:t>
      </w:r>
      <w:r w:rsidR="00340616" w:rsidRPr="008B782D">
        <w:t>– an Australian Government initiative</w:t>
      </w:r>
      <w:r w:rsidR="00340616">
        <w:t>’</w:t>
      </w:r>
      <w:r w:rsidR="00340616" w:rsidRPr="008B782D">
        <w:t>.</w:t>
      </w:r>
    </w:p>
    <w:p w:rsidR="00340616" w:rsidRPr="008B782D" w:rsidRDefault="00340616" w:rsidP="00340616">
      <w:r w:rsidRPr="008B782D">
        <w:t xml:space="preserve">All </w:t>
      </w:r>
      <w:r w:rsidR="007735A2">
        <w:t xml:space="preserve">promotional </w:t>
      </w:r>
      <w:r w:rsidRPr="008B782D">
        <w:t xml:space="preserve">publications related to grants under the </w:t>
      </w:r>
      <w:r>
        <w:t>Program</w:t>
      </w:r>
      <w:r w:rsidRPr="008B782D">
        <w:t xml:space="preserve"> </w:t>
      </w:r>
      <w:r>
        <w:t xml:space="preserve">must </w:t>
      </w:r>
      <w:r w:rsidRPr="008B782D">
        <w:t>acknowledge the Commonwealth as follows:</w:t>
      </w:r>
    </w:p>
    <w:p w:rsidR="000F016C" w:rsidRDefault="00340616" w:rsidP="00340616">
      <w:pPr>
        <w:spacing w:after="0"/>
      </w:pPr>
      <w:r>
        <w:t>‘</w:t>
      </w:r>
      <w:r w:rsidRPr="008B782D">
        <w:t>This activity received grant funding from the Australian Government</w:t>
      </w:r>
      <w:r w:rsidR="00D532F9">
        <w:t xml:space="preserve"> through the National Collaborative Research Infrastructure Strategy</w:t>
      </w:r>
      <w:r w:rsidRPr="008B782D">
        <w:t>.</w:t>
      </w:r>
      <w:r w:rsidR="000F016C">
        <w:t>’</w:t>
      </w:r>
    </w:p>
    <w:p w:rsidR="00340616" w:rsidRPr="00B72EE8" w:rsidRDefault="00340616" w:rsidP="00340616">
      <w:pPr>
        <w:spacing w:after="0"/>
      </w:pPr>
    </w:p>
    <w:p w:rsidR="00340616" w:rsidRPr="00B72EE8" w:rsidRDefault="00340616" w:rsidP="0054078D">
      <w:pPr>
        <w:pStyle w:val="Heading1Numbered"/>
      </w:pPr>
      <w:bookmarkStart w:id="81" w:name="_Toc467773990"/>
      <w:bookmarkStart w:id="82" w:name="_Toc514836302"/>
      <w:bookmarkStart w:id="83" w:name="_Toc421777631"/>
      <w:r w:rsidRPr="00B72EE8">
        <w:t>Probity</w:t>
      </w:r>
      <w:bookmarkEnd w:id="81"/>
      <w:bookmarkEnd w:id="82"/>
      <w:r w:rsidRPr="00B72EE8">
        <w:t xml:space="preserve"> </w:t>
      </w:r>
      <w:bookmarkEnd w:id="83"/>
    </w:p>
    <w:p w:rsidR="00340616" w:rsidRPr="00726710" w:rsidRDefault="00340616" w:rsidP="00340616">
      <w:r w:rsidRPr="00B72EE8">
        <w:t xml:space="preserve">The Australian Government </w:t>
      </w:r>
      <w:r>
        <w:t xml:space="preserve">will make sure that </w:t>
      </w:r>
      <w:r w:rsidRPr="00B72EE8">
        <w:t>the</w:t>
      </w:r>
      <w:r>
        <w:t xml:space="preserve"> program</w:t>
      </w:r>
      <w:r>
        <w:rPr>
          <w:b/>
        </w:rPr>
        <w:t xml:space="preserve">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CGRGs.</w:t>
      </w:r>
    </w:p>
    <w:p w:rsidR="00340616" w:rsidRPr="00B72EE8" w:rsidRDefault="00340616" w:rsidP="00340616">
      <w:r w:rsidRPr="00726710">
        <w:rPr>
          <w:b/>
        </w:rPr>
        <w:t>Note:</w:t>
      </w:r>
      <w:r w:rsidRPr="00726710">
        <w:t xml:space="preserve"> These guidelines may be changed from time-to-time by</w:t>
      </w:r>
      <w:r w:rsidR="004E1FC8">
        <w:t xml:space="preserve"> the Department of </w:t>
      </w:r>
      <w:r w:rsidR="009F1432">
        <w:t>Education</w:t>
      </w:r>
      <w:r w:rsidR="004E1FC8">
        <w:t xml:space="preserve"> and Training</w:t>
      </w:r>
      <w:r w:rsidRPr="00726710">
        <w:t xml:space="preserve">. When this happens the revised guidelines will be published on the GrantConnect </w:t>
      </w:r>
      <w:r w:rsidR="009F1432">
        <w:t xml:space="preserve">website </w:t>
      </w:r>
      <w:r w:rsidRPr="00726710">
        <w:t xml:space="preserve">at </w:t>
      </w:r>
      <w:r w:rsidR="004E1FC8">
        <w:t>education.gov.au</w:t>
      </w:r>
      <w:r w:rsidRPr="00726710">
        <w:rPr>
          <w:b/>
        </w:rPr>
        <w:t>.</w:t>
      </w:r>
    </w:p>
    <w:p w:rsidR="00340616" w:rsidRPr="0054078D" w:rsidRDefault="00340616" w:rsidP="0054078D">
      <w:pPr>
        <w:pStyle w:val="Heading2Numbered"/>
      </w:pPr>
      <w:bookmarkStart w:id="84" w:name="_Toc414983585"/>
      <w:bookmarkStart w:id="85" w:name="_Toc414984002"/>
      <w:bookmarkStart w:id="86" w:name="_Toc414984762"/>
      <w:bookmarkStart w:id="87" w:name="_Toc414984856"/>
      <w:bookmarkStart w:id="88" w:name="_Toc414984960"/>
      <w:bookmarkStart w:id="89" w:name="_Toc414985063"/>
      <w:bookmarkStart w:id="90" w:name="_Toc414985166"/>
      <w:bookmarkStart w:id="91" w:name="_Toc414985268"/>
      <w:bookmarkStart w:id="92" w:name="_Toc421777632"/>
      <w:bookmarkStart w:id="93" w:name="_Toc467773991"/>
      <w:bookmarkStart w:id="94" w:name="_Toc514836303"/>
      <w:bookmarkEnd w:id="84"/>
      <w:bookmarkEnd w:id="85"/>
      <w:bookmarkEnd w:id="86"/>
      <w:bookmarkEnd w:id="87"/>
      <w:bookmarkEnd w:id="88"/>
      <w:bookmarkEnd w:id="89"/>
      <w:bookmarkEnd w:id="90"/>
      <w:bookmarkEnd w:id="91"/>
      <w:r w:rsidRPr="0054078D">
        <w:t>Complaints process</w:t>
      </w:r>
      <w:bookmarkEnd w:id="92"/>
      <w:bookmarkEnd w:id="93"/>
      <w:bookmarkEnd w:id="94"/>
    </w:p>
    <w:p w:rsidR="00340616" w:rsidRPr="00B72EE8" w:rsidRDefault="00340616" w:rsidP="00340616">
      <w:r>
        <w:t>A</w:t>
      </w:r>
      <w:r w:rsidRPr="00B72EE8">
        <w:t xml:space="preserve">ll complaints </w:t>
      </w:r>
      <w:r>
        <w:t>about</w:t>
      </w:r>
      <w:r w:rsidRPr="00B72EE8">
        <w:t xml:space="preserve"> a grant process </w:t>
      </w:r>
      <w:r>
        <w:t xml:space="preserve">must </w:t>
      </w:r>
      <w:r w:rsidRPr="00B72EE8">
        <w:t>be lodged in writing.</w:t>
      </w:r>
    </w:p>
    <w:p w:rsidR="00340616" w:rsidRPr="00B72EE8" w:rsidRDefault="00340616" w:rsidP="00340616">
      <w:r w:rsidRPr="00B72EE8">
        <w:t xml:space="preserve">Any </w:t>
      </w:r>
      <w:r>
        <w:t xml:space="preserve">questions </w:t>
      </w:r>
      <w:r w:rsidRPr="00B72EE8">
        <w:t>you</w:t>
      </w:r>
      <w:r>
        <w:t xml:space="preserve"> have about</w:t>
      </w:r>
      <w:r w:rsidRPr="00B72EE8">
        <w:t xml:space="preserve"> </w:t>
      </w:r>
      <w:r>
        <w:t>grant</w:t>
      </w:r>
      <w:r w:rsidRPr="00B72EE8">
        <w:t xml:space="preserve"> decisions for the</w:t>
      </w:r>
      <w:r>
        <w:t xml:space="preserve"> Program</w:t>
      </w:r>
      <w:r w:rsidRPr="00B72EE8">
        <w:t xml:space="preserve"> should be </w:t>
      </w:r>
      <w:r>
        <w:t>sent</w:t>
      </w:r>
      <w:r w:rsidRPr="00B72EE8">
        <w:t xml:space="preserve"> to</w:t>
      </w:r>
      <w:r w:rsidRPr="009E25CE">
        <w:rPr>
          <w:b/>
        </w:rPr>
        <w:t xml:space="preserve"> </w:t>
      </w:r>
      <w:r w:rsidR="000D3C14" w:rsidRPr="00944A44">
        <w:rPr>
          <w:color w:val="745B00" w:themeColor="accent3" w:themeShade="80"/>
          <w:u w:val="single"/>
        </w:rPr>
        <w:t>NCRIS@education.gov.au</w:t>
      </w:r>
      <w:r w:rsidRPr="00153348">
        <w:rPr>
          <w:b/>
        </w:rPr>
        <w:t>.</w:t>
      </w:r>
    </w:p>
    <w:p w:rsidR="00340616" w:rsidRPr="00B72EE8" w:rsidRDefault="00340616" w:rsidP="00340616">
      <w:r w:rsidRPr="004E6659">
        <w:t xml:space="preserve">If </w:t>
      </w:r>
      <w:r>
        <w:t>you do not agree</w:t>
      </w:r>
      <w:r w:rsidRPr="00B72EE8">
        <w:t xml:space="preserve"> with the way the</w:t>
      </w:r>
      <w:r w:rsidR="003767BB">
        <w:t xml:space="preserve"> Department of Educati</w:t>
      </w:r>
      <w:r w:rsidR="00F61C84">
        <w:t xml:space="preserve">on and Training </w:t>
      </w:r>
      <w:r w:rsidRPr="00B72EE8">
        <w:t xml:space="preserve">has handled </w:t>
      </w:r>
      <w:r>
        <w:t>your</w:t>
      </w:r>
      <w:r w:rsidRPr="00B72EE8">
        <w:t xml:space="preserve"> complaint, </w:t>
      </w:r>
      <w:r>
        <w:t>you</w:t>
      </w:r>
      <w:r w:rsidRPr="00B72EE8">
        <w:t xml:space="preserve"> may complain to the Commonwealth Ombudsman. The Ombudsman will </w:t>
      </w:r>
      <w:r>
        <w:t xml:space="preserve">not </w:t>
      </w:r>
      <w:r w:rsidRPr="00B72EE8">
        <w:t>usually</w:t>
      </w:r>
      <w:r>
        <w:t xml:space="preserve"> look into a </w:t>
      </w:r>
      <w:r w:rsidRPr="00B72EE8">
        <w:t>complaint unless the matter has first been raised directly with the</w:t>
      </w:r>
      <w:r w:rsidR="00F61C84">
        <w:t xml:space="preserve"> Department of Education and Training.</w:t>
      </w:r>
    </w:p>
    <w:p w:rsidR="00241945" w:rsidRDefault="00340616" w:rsidP="00340616">
      <w:pPr>
        <w:ind w:left="5040" w:hanging="5040"/>
      </w:pPr>
      <w:r w:rsidRPr="00B72EE8">
        <w:t xml:space="preserve">The Commonwealth Ombudsman can be contacted on: </w:t>
      </w:r>
    </w:p>
    <w:p w:rsidR="00340616" w:rsidRDefault="00340616" w:rsidP="00241945">
      <w:pPr>
        <w:ind w:left="1276" w:hanging="1276"/>
      </w:pPr>
      <w:r w:rsidRPr="00B72EE8">
        <w:tab/>
        <w:t>Phone (Toll free): 1300 362 072</w:t>
      </w:r>
      <w:r w:rsidRPr="00B72EE8">
        <w:br/>
        <w:t xml:space="preserve">Email: </w:t>
      </w:r>
      <w:hyperlink r:id="rId19" w:history="1">
        <w:r w:rsidRPr="00B72EE8">
          <w:t>ombudsman@ombudsman.gov.au</w:t>
        </w:r>
      </w:hyperlink>
      <w:r w:rsidRPr="00B72EE8">
        <w:t xml:space="preserve"> </w:t>
      </w:r>
      <w:r w:rsidRPr="00B72EE8">
        <w:br/>
        <w:t xml:space="preserve">Website: </w:t>
      </w:r>
      <w:hyperlink r:id="rId20" w:history="1">
        <w:r w:rsidRPr="00B72EE8">
          <w:t>www.ombudsman.gov.au</w:t>
        </w:r>
      </w:hyperlink>
      <w:r w:rsidR="003767BB">
        <w:t xml:space="preserve"> </w:t>
      </w:r>
    </w:p>
    <w:p w:rsidR="00340616" w:rsidRPr="00B72EE8" w:rsidRDefault="00340616" w:rsidP="0054078D">
      <w:pPr>
        <w:pStyle w:val="Heading2Numbered"/>
      </w:pPr>
      <w:bookmarkStart w:id="95" w:name="_Toc421777633"/>
      <w:bookmarkStart w:id="96" w:name="_Toc467773992"/>
      <w:bookmarkStart w:id="97" w:name="_Toc514836304"/>
      <w:r w:rsidRPr="00B72EE8">
        <w:t>Conflict of interest</w:t>
      </w:r>
      <w:bookmarkEnd w:id="95"/>
      <w:bookmarkEnd w:id="96"/>
      <w:bookmarkEnd w:id="97"/>
    </w:p>
    <w:p w:rsidR="00340616" w:rsidRPr="00B72EE8" w:rsidRDefault="00340616" w:rsidP="00340616">
      <w:r>
        <w:t xml:space="preserve">Any </w:t>
      </w:r>
      <w:r w:rsidRPr="00726710">
        <w:t xml:space="preserve">conflicts of interest could affect the performance of the grant.  There may be a </w:t>
      </w:r>
      <w:hyperlink r:id="rId21" w:history="1">
        <w:r w:rsidRPr="00726710">
          <w:t>conflict of interest</w:t>
        </w:r>
      </w:hyperlink>
      <w:r w:rsidRPr="00726710">
        <w:t>, or</w:t>
      </w:r>
      <w:r w:rsidRPr="00781E9D">
        <w:t xml:space="preserve"> perceived conflict</w:t>
      </w:r>
      <w:r>
        <w:t xml:space="preserve"> of interest,</w:t>
      </w:r>
      <w:r w:rsidRPr="00B72EE8">
        <w:t xml:space="preserve"> if</w:t>
      </w:r>
      <w:r w:rsidR="00453F01">
        <w:t xml:space="preserve"> the Department of </w:t>
      </w:r>
      <w:r w:rsidR="00804128">
        <w:t>E</w:t>
      </w:r>
      <w:r w:rsidR="00453F01">
        <w:t>ducation and Training’s</w:t>
      </w:r>
      <w:r>
        <w:t xml:space="preserve"> </w:t>
      </w:r>
      <w:r w:rsidR="00DB0937">
        <w:t>st</w:t>
      </w:r>
      <w:r w:rsidRPr="00B72EE8">
        <w:t>aff, any member of a</w:t>
      </w:r>
      <w:r>
        <w:t xml:space="preserve"> committee or advisor</w:t>
      </w:r>
      <w:r w:rsidRPr="00B72EE8">
        <w:t xml:space="preserve"> and/or </w:t>
      </w:r>
      <w:r>
        <w:t>you</w:t>
      </w:r>
      <w:r w:rsidRPr="00B72EE8">
        <w:t xml:space="preserve"> or any of </w:t>
      </w:r>
      <w:r>
        <w:t xml:space="preserve">your </w:t>
      </w:r>
      <w:r w:rsidRPr="00B72EE8">
        <w:t>personnel:</w:t>
      </w:r>
    </w:p>
    <w:p w:rsidR="00340616" w:rsidRPr="00B72EE8" w:rsidRDefault="00340616" w:rsidP="00726710">
      <w:pPr>
        <w:pStyle w:val="Bullet1"/>
      </w:pPr>
      <w:r w:rsidRPr="00B72EE8">
        <w:t xml:space="preserve">has a professional, commercial or personal relationship with a party who is able to influence the </w:t>
      </w:r>
      <w:r>
        <w:t>selection</w:t>
      </w:r>
      <w:r w:rsidRPr="00B72EE8">
        <w:t xml:space="preserve"> process, such as a</w:t>
      </w:r>
      <w:r>
        <w:t>n</w:t>
      </w:r>
      <w:r w:rsidRPr="00B72EE8">
        <w:t xml:space="preserve"> </w:t>
      </w:r>
      <w:r>
        <w:t>Australian Government officer</w:t>
      </w:r>
    </w:p>
    <w:p w:rsidR="00340616" w:rsidRPr="00B72EE8" w:rsidRDefault="00340616" w:rsidP="00726710">
      <w:pPr>
        <w:pStyle w:val="Bullet1"/>
      </w:pPr>
      <w:r w:rsidRPr="00B72EE8">
        <w:t xml:space="preserve">has </w:t>
      </w:r>
      <w:r>
        <w:t>a relationship with an organisation</w:t>
      </w:r>
      <w:r w:rsidRPr="00B72EE8">
        <w:t xml:space="preserve"> relationship with, or in, an organisation, which is likely to interfere with or restrict the </w:t>
      </w:r>
      <w:r w:rsidR="00453F01">
        <w:t>grantees</w:t>
      </w:r>
      <w:r w:rsidR="00453F01" w:rsidRPr="00B72EE8">
        <w:t xml:space="preserve"> </w:t>
      </w:r>
      <w:r w:rsidRPr="00B72EE8">
        <w:t>from carrying out the proposed acti</w:t>
      </w:r>
      <w:r>
        <w:t>vities fairly and independently</w:t>
      </w:r>
      <w:r w:rsidRPr="00B72EE8">
        <w:t xml:space="preserve"> or</w:t>
      </w:r>
    </w:p>
    <w:p w:rsidR="00340616" w:rsidRPr="00B72EE8" w:rsidRDefault="00340616" w:rsidP="00726710">
      <w:pPr>
        <w:pStyle w:val="Bullet1"/>
      </w:pPr>
      <w:r w:rsidRPr="00B72EE8">
        <w:t xml:space="preserve">has a relationship with, or interest in, an organisation from which they will receive personal gain </w:t>
      </w:r>
      <w:r>
        <w:t xml:space="preserve">because </w:t>
      </w:r>
      <w:r w:rsidRPr="00B72EE8">
        <w:t>the organisation receiv</w:t>
      </w:r>
      <w:r>
        <w:t>es</w:t>
      </w:r>
      <w:r w:rsidRPr="00B72EE8">
        <w:t xml:space="preserve"> funding under</w:t>
      </w:r>
      <w:r>
        <w:t xml:space="preserve"> the Program.</w:t>
      </w:r>
    </w:p>
    <w:p w:rsidR="00340616" w:rsidRPr="00B72EE8" w:rsidRDefault="00340616" w:rsidP="00340616">
      <w:r>
        <w:t>You will be asked to declare</w:t>
      </w:r>
      <w:r w:rsidRPr="00B72EE8">
        <w:t xml:space="preserve"> </w:t>
      </w:r>
      <w:r>
        <w:t xml:space="preserve">any perceived or </w:t>
      </w:r>
      <w:r w:rsidRPr="00B72EE8">
        <w:t>existing conflicts of interest or that</w:t>
      </w:r>
      <w:r>
        <w:t>,</w:t>
      </w:r>
      <w:r w:rsidRPr="00B72EE8">
        <w:t xml:space="preserve"> to the best of </w:t>
      </w:r>
      <w:r>
        <w:t>your</w:t>
      </w:r>
      <w:r w:rsidRPr="00B72EE8">
        <w:t xml:space="preserve"> knowledge</w:t>
      </w:r>
      <w:r>
        <w:t>,</w:t>
      </w:r>
      <w:r w:rsidRPr="00B72EE8">
        <w:t xml:space="preserve"> there is no</w:t>
      </w:r>
      <w:r>
        <w:t xml:space="preserve"> conflict of interest</w:t>
      </w:r>
      <w:r w:rsidRPr="00B72EE8">
        <w:t>.</w:t>
      </w:r>
    </w:p>
    <w:p w:rsidR="00340616" w:rsidRDefault="00340616" w:rsidP="00340616">
      <w:r>
        <w:t xml:space="preserve">If you later </w:t>
      </w:r>
      <w:r w:rsidRPr="00B72EE8">
        <w:t>identif</w:t>
      </w:r>
      <w:r>
        <w:t>y</w:t>
      </w:r>
      <w:r w:rsidRPr="00B72EE8">
        <w:t xml:space="preserve"> that</w:t>
      </w:r>
      <w:r>
        <w:t xml:space="preserve"> there is</w:t>
      </w:r>
      <w:r w:rsidRPr="00B72EE8">
        <w:t xml:space="preserve"> an actual, apparent, or potential conflict of interest </w:t>
      </w:r>
      <w:r>
        <w:t>or that one might arise in relation to a</w:t>
      </w:r>
      <w:r w:rsidRPr="00B72EE8">
        <w:t xml:space="preserve"> </w:t>
      </w:r>
      <w:r>
        <w:t>grant, you</w:t>
      </w:r>
      <w:r w:rsidRPr="00B72EE8">
        <w:t xml:space="preserve"> must inform the</w:t>
      </w:r>
      <w:r w:rsidR="00453F01">
        <w:t xml:space="preserve"> Department of </w:t>
      </w:r>
      <w:r w:rsidR="00804128">
        <w:t>Education</w:t>
      </w:r>
      <w:r w:rsidR="00453F01">
        <w:t xml:space="preserve"> and Training</w:t>
      </w:r>
      <w:r w:rsidRPr="00726710">
        <w:rPr>
          <w:color w:val="745B00" w:themeColor="accent3" w:themeShade="80"/>
        </w:rPr>
        <w:t xml:space="preserve"> </w:t>
      </w:r>
      <w:r w:rsidRPr="00B72EE8">
        <w:t xml:space="preserve">in writing immediately. </w:t>
      </w:r>
      <w:r>
        <w:t>Committee members and other officials including the decision maker must also declare any conflicts of interest.</w:t>
      </w:r>
    </w:p>
    <w:p w:rsidR="00340616" w:rsidRPr="00B72EE8" w:rsidRDefault="00340616" w:rsidP="00340616">
      <w:r w:rsidRPr="00B72EE8">
        <w:t xml:space="preserve">The chair of the Assessment Committee </w:t>
      </w:r>
      <w:r>
        <w:t>will be made aware of any confli</w:t>
      </w:r>
      <w:r w:rsidRPr="00B72EE8">
        <w:t xml:space="preserve">cts of interest and will handle them </w:t>
      </w:r>
      <w:r>
        <w:t xml:space="preserve">as set out in Australian Government </w:t>
      </w:r>
      <w:r w:rsidRPr="00B72EE8">
        <w:t>policies and procedures.</w:t>
      </w:r>
      <w:r>
        <w:t xml:space="preserve"> </w:t>
      </w:r>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Public Service Code of Conduct (Section 13(7)) of the </w:t>
      </w:r>
      <w:r w:rsidRPr="009D325B">
        <w:rPr>
          <w:i/>
        </w:rPr>
        <w:t>Public Service Act 1999</w:t>
      </w:r>
      <w:r>
        <w:t xml:space="preserve">. We publish our conflict of interest policy available on the </w:t>
      </w:r>
      <w:r w:rsidR="00F67771">
        <w:t>Department of Education and Training</w:t>
      </w:r>
      <w:r w:rsidRPr="00726710">
        <w:rPr>
          <w:color w:val="745B00" w:themeColor="accent3" w:themeShade="80"/>
        </w:rPr>
        <w:t xml:space="preserve"> </w:t>
      </w:r>
      <w:r>
        <w:t xml:space="preserve">website. </w:t>
      </w:r>
    </w:p>
    <w:p w:rsidR="00340616" w:rsidRPr="00440282" w:rsidRDefault="00340616" w:rsidP="0054078D">
      <w:pPr>
        <w:pStyle w:val="Heading2Numbered"/>
      </w:pPr>
      <w:bookmarkStart w:id="98" w:name="_Toc421777634"/>
      <w:bookmarkStart w:id="99" w:name="_Toc467773993"/>
      <w:bookmarkStart w:id="100" w:name="_Toc514836305"/>
      <w:r w:rsidRPr="00B72EE8">
        <w:t>Privacy: confidentiality and protection of personal information</w:t>
      </w:r>
      <w:bookmarkEnd w:id="98"/>
      <w:bookmarkEnd w:id="99"/>
      <w:bookmarkEnd w:id="100"/>
    </w:p>
    <w:p w:rsidR="00340616" w:rsidRPr="000D1F02" w:rsidRDefault="00340616" w:rsidP="00340616">
      <w:r w:rsidRPr="00532087">
        <w:t xml:space="preserve">We treat </w:t>
      </w:r>
      <w:r w:rsidRPr="003A4C3C">
        <w:t>yo</w:t>
      </w:r>
      <w:r w:rsidRPr="000D1F02">
        <w:t>ur personal information according to the</w:t>
      </w:r>
      <w:r>
        <w:t xml:space="preserve"> 13</w:t>
      </w:r>
      <w:r w:rsidRPr="00532087">
        <w:t xml:space="preserve"> Australian </w:t>
      </w:r>
      <w:r w:rsidRPr="003A4C3C">
        <w:t xml:space="preserve">Privacy Principles and the </w:t>
      </w:r>
      <w:r w:rsidRPr="000D1F02">
        <w:rPr>
          <w:i/>
        </w:rPr>
        <w:t>Privacy Act 1988</w:t>
      </w:r>
      <w:r w:rsidRPr="000D1F02">
        <w:t xml:space="preserve">. This includes letting you know: </w:t>
      </w:r>
    </w:p>
    <w:p w:rsidR="00340616" w:rsidRPr="00E86A67" w:rsidRDefault="00340616" w:rsidP="00726710">
      <w:pPr>
        <w:pStyle w:val="Bullet1"/>
      </w:pPr>
      <w:r w:rsidRPr="00E86A67">
        <w:t>what personal information we collect</w:t>
      </w:r>
    </w:p>
    <w:p w:rsidR="00340616" w:rsidRPr="00E86A67" w:rsidRDefault="00340616" w:rsidP="00726710">
      <w:pPr>
        <w:pStyle w:val="Bullet1"/>
      </w:pPr>
      <w:r w:rsidRPr="00E86A67">
        <w:t>why we co</w:t>
      </w:r>
      <w:r>
        <w:t>llect your personal information</w:t>
      </w:r>
    </w:p>
    <w:p w:rsidR="00340616" w:rsidRDefault="00340616" w:rsidP="00726710">
      <w:pPr>
        <w:pStyle w:val="Bullet1"/>
      </w:pPr>
      <w:r w:rsidRPr="00E86A67">
        <w:t>who we gi</w:t>
      </w:r>
      <w:r>
        <w:t>ve your personal information to</w:t>
      </w:r>
    </w:p>
    <w:p w:rsidR="00340616" w:rsidRPr="00E86A67" w:rsidRDefault="00340616" w:rsidP="00340616">
      <w:r w:rsidRPr="00E86A67">
        <w:t xml:space="preserve">You are required, as part of your application, to declare your ability to comply with the </w:t>
      </w:r>
      <w:hyperlink r:id="rId22" w:history="1">
        <w:r w:rsidRPr="00333BAC">
          <w:rPr>
            <w:i/>
          </w:rPr>
          <w:t>Privacy Act 1988</w:t>
        </w:r>
      </w:hyperlink>
      <w:r w:rsidRPr="00333BAC">
        <w:rPr>
          <w:i/>
        </w:rPr>
        <w:t>,</w:t>
      </w:r>
      <w:r w:rsidRPr="00E86A67">
        <w:t xml:space="preserve"> including the Australian Privacy Principles and impose the same privacy obligations on any subcontractors you engage to assist with the activity. You must ask for the Australian Government’s consent in writing before disclosing confidential information.</w:t>
      </w:r>
    </w:p>
    <w:p w:rsidR="00340616" w:rsidRDefault="00340616" w:rsidP="00340616">
      <w:r>
        <w:t xml:space="preserve">Your personal information </w:t>
      </w:r>
      <w:r w:rsidRPr="00B72EE8">
        <w:t xml:space="preserve">can only be disclosed to someone else if you </w:t>
      </w:r>
      <w:r>
        <w:t>are</w:t>
      </w:r>
      <w:r w:rsidRPr="00B72EE8">
        <w:t xml:space="preserve"> given reasonable notice of the disclosure; where disclosure is authorised or required by law or is reasonably necessary for the enforcement of the criminal law; if it will prevent or lessen a serious and imminent threat to a person’s life or health; or if you have consented to the disclosure. </w:t>
      </w:r>
    </w:p>
    <w:p w:rsidR="00340616" w:rsidRPr="00763129" w:rsidRDefault="00340616" w:rsidP="00340616">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w:t>
      </w:r>
      <w:r w:rsidRPr="00763129">
        <w:t>recipients under the Program in any other Australian Government business or function</w:t>
      </w:r>
      <w:r>
        <w:t xml:space="preserve">. This includes giving </w:t>
      </w:r>
      <w:r w:rsidRPr="00763129">
        <w:t>information to the Australian Taxation Office for compliance purposes.</w:t>
      </w:r>
    </w:p>
    <w:p w:rsidR="00340616" w:rsidRPr="0033741C" w:rsidRDefault="00340616" w:rsidP="00340616">
      <w:pPr>
        <w:rPr>
          <w:lang w:eastAsia="en-AU"/>
        </w:rPr>
      </w:pPr>
      <w:r>
        <w:rPr>
          <w:lang w:eastAsia="en-AU"/>
        </w:rPr>
        <w:t>We may reveal confidential information to</w:t>
      </w:r>
      <w:r w:rsidRPr="0033741C">
        <w:rPr>
          <w:lang w:eastAsia="en-AU"/>
        </w:rPr>
        <w:t>:</w:t>
      </w:r>
    </w:p>
    <w:p w:rsidR="00340616" w:rsidRPr="0033741C" w:rsidRDefault="00340616" w:rsidP="00726710">
      <w:pPr>
        <w:pStyle w:val="Bullet1"/>
      </w:pPr>
      <w:r w:rsidRPr="0033741C">
        <w:t xml:space="preserve">the </w:t>
      </w:r>
      <w:r>
        <w:t>c</w:t>
      </w:r>
      <w:r w:rsidRPr="0033741C">
        <w:t xml:space="preserve">ommittee and other Commonwealth employees and contractors </w:t>
      </w:r>
      <w:r>
        <w:t>to help us manage the program effectively</w:t>
      </w:r>
    </w:p>
    <w:p w:rsidR="00340616" w:rsidRDefault="00340616" w:rsidP="00726710">
      <w:pPr>
        <w:pStyle w:val="Bullet1"/>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rsidR="00340616" w:rsidRDefault="00340616" w:rsidP="00726710">
      <w:pPr>
        <w:pStyle w:val="Bullet1"/>
      </w:pPr>
      <w:r>
        <w:t>employees and contractors of other Commonwealth agencies for any purposes, including government administration, research or service delivery</w:t>
      </w:r>
    </w:p>
    <w:p w:rsidR="00340616" w:rsidRPr="0033741C" w:rsidRDefault="00340616" w:rsidP="00726710">
      <w:pPr>
        <w:pStyle w:val="Bullet1"/>
      </w:pPr>
      <w:r>
        <w:t>other Commonwealth, State, Territory or local government agencies in program reports and consultations</w:t>
      </w:r>
    </w:p>
    <w:p w:rsidR="00340616" w:rsidRPr="0033741C" w:rsidRDefault="00340616" w:rsidP="00726710">
      <w:pPr>
        <w:pStyle w:val="Bullet1"/>
      </w:pPr>
      <w:r w:rsidRPr="0033741C">
        <w:t>the Auditor-General, Ombudsman or Privacy Commissioner</w:t>
      </w:r>
    </w:p>
    <w:p w:rsidR="00340616" w:rsidRPr="00BA6D16" w:rsidRDefault="00340616" w:rsidP="00726710">
      <w:pPr>
        <w:pStyle w:val="Bullet1"/>
      </w:pPr>
      <w:r w:rsidRPr="00BA6D16">
        <w:t>the responsible Minister or Parliamentary Secretary</w:t>
      </w:r>
    </w:p>
    <w:p w:rsidR="00340616" w:rsidRPr="0033741C" w:rsidRDefault="00340616" w:rsidP="00726710">
      <w:pPr>
        <w:pStyle w:val="Bullet1"/>
      </w:pPr>
      <w:r w:rsidRPr="0033741C">
        <w:t xml:space="preserve">a House or a Committee of the </w:t>
      </w:r>
      <w:r>
        <w:t xml:space="preserve">Australian </w:t>
      </w:r>
      <w:r w:rsidRPr="0033741C">
        <w:t>Parliament</w:t>
      </w:r>
      <w:r>
        <w:t>.</w:t>
      </w:r>
    </w:p>
    <w:p w:rsidR="00340616" w:rsidRPr="00AB0818" w:rsidRDefault="00340616" w:rsidP="00340616">
      <w:r w:rsidRPr="00AB0818">
        <w:t>We may share the information you give us with other Commonwealth agencies for any purposes including government administration, research or service delivery and according to Australian laws, including the:</w:t>
      </w:r>
    </w:p>
    <w:p w:rsidR="00340616" w:rsidRPr="00726710" w:rsidRDefault="00340616" w:rsidP="00726710">
      <w:pPr>
        <w:pStyle w:val="Bullet1"/>
        <w:rPr>
          <w:i/>
        </w:rPr>
      </w:pPr>
      <w:r w:rsidRPr="00726710">
        <w:rPr>
          <w:i/>
        </w:rPr>
        <w:t>Public Service Act 1999</w:t>
      </w:r>
    </w:p>
    <w:p w:rsidR="00340616" w:rsidRPr="00726710" w:rsidRDefault="00340616" w:rsidP="00726710">
      <w:pPr>
        <w:pStyle w:val="Bullet1"/>
        <w:rPr>
          <w:i/>
        </w:rPr>
      </w:pPr>
      <w:r w:rsidRPr="00726710">
        <w:rPr>
          <w:i/>
        </w:rPr>
        <w:t>Public Service Regulations 1999</w:t>
      </w:r>
    </w:p>
    <w:p w:rsidR="00340616" w:rsidRPr="00726710" w:rsidRDefault="00340616" w:rsidP="00726710">
      <w:pPr>
        <w:pStyle w:val="Bullet1"/>
        <w:rPr>
          <w:i/>
        </w:rPr>
      </w:pPr>
      <w:r w:rsidRPr="00726710">
        <w:rPr>
          <w:i/>
        </w:rPr>
        <w:t>Public Governance, Performance and Accountability Act</w:t>
      </w:r>
    </w:p>
    <w:p w:rsidR="00340616" w:rsidRPr="00726710" w:rsidRDefault="00340616" w:rsidP="00726710">
      <w:pPr>
        <w:pStyle w:val="Bullet1"/>
        <w:rPr>
          <w:i/>
        </w:rPr>
      </w:pPr>
      <w:r w:rsidRPr="00726710">
        <w:rPr>
          <w:i/>
        </w:rPr>
        <w:t xml:space="preserve">Privacy Act 1988 </w:t>
      </w:r>
    </w:p>
    <w:p w:rsidR="00340616" w:rsidRPr="00726710" w:rsidRDefault="00340616" w:rsidP="00726710">
      <w:pPr>
        <w:pStyle w:val="Bullet1"/>
        <w:rPr>
          <w:i/>
        </w:rPr>
      </w:pPr>
      <w:r w:rsidRPr="00726710">
        <w:rPr>
          <w:i/>
        </w:rPr>
        <w:t>Crimes Act 1914</w:t>
      </w:r>
    </w:p>
    <w:p w:rsidR="00340616" w:rsidRPr="00726710" w:rsidRDefault="00340616" w:rsidP="00726710">
      <w:pPr>
        <w:pStyle w:val="Bullet1"/>
        <w:rPr>
          <w:i/>
        </w:rPr>
      </w:pPr>
      <w:r w:rsidRPr="00726710">
        <w:rPr>
          <w:i/>
        </w:rPr>
        <w:t>Criminal Code Act 1995</w:t>
      </w:r>
    </w:p>
    <w:p w:rsidR="00340616" w:rsidRPr="00AB0818" w:rsidRDefault="00340616" w:rsidP="00340616">
      <w:pPr>
        <w:keepNext/>
      </w:pPr>
      <w:r w:rsidRPr="00AB0818">
        <w:t>We</w:t>
      </w:r>
      <w:r w:rsidR="007E4634">
        <w:t xml:space="preserve"> wi</w:t>
      </w:r>
      <w:r w:rsidRPr="00AB0818">
        <w:t>ll treat the information you give us as sensitive and therefore confidential if it meets all of the four conditions below:</w:t>
      </w:r>
    </w:p>
    <w:p w:rsidR="00340616" w:rsidRPr="00AB0818" w:rsidRDefault="00340616" w:rsidP="00726710">
      <w:pPr>
        <w:pStyle w:val="NumberedList1"/>
        <w:numPr>
          <w:ilvl w:val="0"/>
          <w:numId w:val="16"/>
        </w:numPr>
      </w:pPr>
      <w:r>
        <w:t>y</w:t>
      </w:r>
      <w:r w:rsidRPr="00AB0818">
        <w:t>ou clearly identify the information as confidential and explain why we should treat it as conf</w:t>
      </w:r>
      <w:r>
        <w:t>idential</w:t>
      </w:r>
    </w:p>
    <w:p w:rsidR="00340616" w:rsidRPr="00AB0818" w:rsidRDefault="00340616" w:rsidP="0054078D">
      <w:pPr>
        <w:pStyle w:val="NumberedList1"/>
      </w:pPr>
      <w:r>
        <w:t>t</w:t>
      </w:r>
      <w:r w:rsidRPr="00AB0818">
        <w:t>he inform</w:t>
      </w:r>
      <w:r>
        <w:t>ation is commercially sensitive</w:t>
      </w:r>
    </w:p>
    <w:p w:rsidR="00340616" w:rsidRPr="00AB0818" w:rsidRDefault="00340616" w:rsidP="0054078D">
      <w:pPr>
        <w:pStyle w:val="NumberedList1"/>
      </w:pPr>
      <w:r>
        <w:t>r</w:t>
      </w:r>
      <w:r w:rsidRPr="00AB0818">
        <w:t>evealing the information would cause unreasona</w:t>
      </w:r>
      <w:r>
        <w:t>ble harm to you or someone else</w:t>
      </w:r>
    </w:p>
    <w:p w:rsidR="00340616" w:rsidRDefault="00340616" w:rsidP="0054078D">
      <w:pPr>
        <w:pStyle w:val="NumberedList1"/>
      </w:pPr>
      <w:r>
        <w:t>y</w:t>
      </w:r>
      <w:r w:rsidRPr="00AB0818">
        <w:t>ou provide the information with an understanding that it will stay confidential.</w:t>
      </w:r>
    </w:p>
    <w:p w:rsidR="00340616" w:rsidRPr="00E86A67" w:rsidRDefault="00340616" w:rsidP="00340616">
      <w:r w:rsidRPr="00E86A67">
        <w:t xml:space="preserve">The </w:t>
      </w:r>
      <w:r>
        <w:t xml:space="preserve">grant </w:t>
      </w:r>
      <w:r w:rsidRPr="00E86A67">
        <w:t xml:space="preserve">agreement will include any specific requirements about special categories of information collected, created or held under the </w:t>
      </w:r>
      <w:r>
        <w:t xml:space="preserve">grant </w:t>
      </w:r>
      <w:r w:rsidRPr="00E86A67">
        <w:t xml:space="preserve">agreement. </w:t>
      </w:r>
    </w:p>
    <w:p w:rsidR="00340616" w:rsidRPr="00B72EE8" w:rsidRDefault="00340616" w:rsidP="0054078D">
      <w:pPr>
        <w:pStyle w:val="Heading2Numbered"/>
      </w:pPr>
      <w:bookmarkStart w:id="101" w:name="_Toc421777635"/>
      <w:bookmarkStart w:id="102" w:name="_Toc467773994"/>
      <w:bookmarkStart w:id="103" w:name="_Toc514836306"/>
      <w:r w:rsidRPr="00B72EE8">
        <w:t>Freedom of information</w:t>
      </w:r>
      <w:bookmarkEnd w:id="101"/>
      <w:bookmarkEnd w:id="102"/>
      <w:bookmarkEnd w:id="103"/>
    </w:p>
    <w:p w:rsidR="00340616" w:rsidRPr="00B72EE8" w:rsidRDefault="00340616" w:rsidP="00340616">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B72EE8">
        <w:t xml:space="preserve"> </w:t>
      </w:r>
      <w:r w:rsidRPr="00333BAC">
        <w:rPr>
          <w:i/>
        </w:rPr>
        <w:t>(FOI Act).</w:t>
      </w:r>
    </w:p>
    <w:p w:rsidR="00340616" w:rsidRPr="00B72EE8" w:rsidRDefault="00340616" w:rsidP="00340616">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rsidR="00340616" w:rsidRPr="00B72EE8" w:rsidRDefault="00340616" w:rsidP="00340616">
      <w:r w:rsidRPr="00B72EE8">
        <w:t>All F</w:t>
      </w:r>
      <w:r>
        <w:t xml:space="preserve">reedom of Information </w:t>
      </w:r>
      <w:r w:rsidRPr="00B72EE8">
        <w:t>requests must be referred to the Freedom of Information Coordinator in writing.</w:t>
      </w:r>
    </w:p>
    <w:p w:rsidR="00340616" w:rsidRPr="00B72EE8" w:rsidRDefault="00340616" w:rsidP="00340616">
      <w:pPr>
        <w:tabs>
          <w:tab w:val="left" w:pos="1418"/>
        </w:tabs>
        <w:ind w:left="1418" w:hanging="1418"/>
        <w:contextualSpacing/>
      </w:pPr>
      <w:r w:rsidRPr="00B72EE8">
        <w:t>By mail:</w:t>
      </w:r>
      <w:r w:rsidRPr="00B72EE8">
        <w:tab/>
        <w:t>Freedom of Information Coordinator</w:t>
      </w:r>
    </w:p>
    <w:p w:rsidR="009C7FCB" w:rsidRPr="00944A44" w:rsidRDefault="009C7FCB" w:rsidP="00944A44">
      <w:pPr>
        <w:tabs>
          <w:tab w:val="left" w:pos="1418"/>
        </w:tabs>
        <w:ind w:left="1418" w:hanging="1418"/>
        <w:contextualSpacing/>
      </w:pPr>
      <w:r>
        <w:tab/>
      </w:r>
      <w:r w:rsidRPr="00944A44">
        <w:t>Schools, Child Care and Corporate Legal Branch</w:t>
      </w:r>
      <w:r w:rsidRPr="00944A44">
        <w:br/>
        <w:t>Location Code: C50MA10 - LEGAL</w:t>
      </w:r>
      <w:r w:rsidRPr="00944A44">
        <w:br/>
        <w:t>GPO  BOX  9880</w:t>
      </w:r>
      <w:r w:rsidRPr="00944A44">
        <w:br/>
        <w:t>CANBERRA  ACT  2601</w:t>
      </w:r>
    </w:p>
    <w:p w:rsidR="00340616" w:rsidRPr="00944A44" w:rsidRDefault="00340616" w:rsidP="00340616">
      <w:r w:rsidRPr="00B72EE8">
        <w:t>By email:</w:t>
      </w:r>
      <w:r w:rsidRPr="00B72EE8">
        <w:tab/>
      </w:r>
      <w:hyperlink r:id="rId23" w:history="1">
        <w:r w:rsidR="009C7FCB" w:rsidRPr="00944A44">
          <w:t>FOI@education.gov.au</w:t>
        </w:r>
      </w:hyperlink>
    </w:p>
    <w:p w:rsidR="009C7FCB" w:rsidRPr="00B72EE8" w:rsidRDefault="009C7FCB" w:rsidP="00340616"/>
    <w:p w:rsidR="00340616" w:rsidRPr="00B72EE8" w:rsidRDefault="00340616" w:rsidP="0054078D">
      <w:pPr>
        <w:pStyle w:val="Heading1Numbered"/>
      </w:pPr>
      <w:bookmarkStart w:id="104" w:name="_Toc421777637"/>
      <w:bookmarkStart w:id="105" w:name="_Toc467773995"/>
      <w:bookmarkStart w:id="106" w:name="_Toc514836307"/>
      <w:r w:rsidRPr="00B72EE8">
        <w:t>Consultation</w:t>
      </w:r>
      <w:bookmarkEnd w:id="104"/>
      <w:bookmarkEnd w:id="105"/>
      <w:bookmarkEnd w:id="106"/>
    </w:p>
    <w:p w:rsidR="00E70C10" w:rsidRPr="00944A44" w:rsidRDefault="007735A2" w:rsidP="00944A44">
      <w:r>
        <w:t xml:space="preserve">The Government’s response to </w:t>
      </w:r>
      <w:r w:rsidR="003767BB">
        <w:t xml:space="preserve">the 2016 Roadmap and consideration of the </w:t>
      </w:r>
      <w:r w:rsidR="00A22096">
        <w:t>I</w:t>
      </w:r>
      <w:r w:rsidR="00EF153C">
        <w:t>nvestment Plan</w:t>
      </w:r>
      <w:r w:rsidR="003767BB">
        <w:t xml:space="preserve"> </w:t>
      </w:r>
      <w:r w:rsidR="00732750">
        <w:t>took</w:t>
      </w:r>
      <w:r w:rsidR="003767BB">
        <w:t xml:space="preserve"> into account </w:t>
      </w:r>
      <w:r w:rsidR="00E70C10" w:rsidRPr="00944A44">
        <w:t>nearly 500 written submissions and consultations with over 580</w:t>
      </w:r>
      <w:r w:rsidR="00E70C10" w:rsidRPr="00944A44">
        <w:rPr>
          <w:rFonts w:hint="eastAsia"/>
        </w:rPr>
        <w:t> </w:t>
      </w:r>
      <w:r w:rsidR="00732750">
        <w:t>stakeholders</w:t>
      </w:r>
      <w:r w:rsidR="003767BB">
        <w:t>.</w:t>
      </w:r>
    </w:p>
    <w:p w:rsidR="00340616" w:rsidRPr="00944A44" w:rsidRDefault="00CB46B0" w:rsidP="00944A44">
      <w:r>
        <w:t xml:space="preserve">The Department of </w:t>
      </w:r>
      <w:r w:rsidR="00804128">
        <w:t>E</w:t>
      </w:r>
      <w:r>
        <w:t>ducation and Training also consults with projects in the existing NCRIS network on project and program improvements.</w:t>
      </w:r>
      <w:r w:rsidR="00340616" w:rsidRPr="00944A44">
        <w:br w:type="page"/>
      </w:r>
    </w:p>
    <w:p w:rsidR="00340616" w:rsidRPr="00B72EE8" w:rsidRDefault="00340616" w:rsidP="0054078D">
      <w:pPr>
        <w:pStyle w:val="Heading1Numbered"/>
      </w:pPr>
      <w:bookmarkStart w:id="107" w:name="_Toc467773996"/>
      <w:bookmarkStart w:id="108" w:name="_Toc514836308"/>
      <w:r w:rsidRPr="00B72EE8">
        <w:t>Glossary</w:t>
      </w:r>
      <w:bookmarkEnd w:id="107"/>
      <w:bookmarkEnd w:id="108"/>
    </w:p>
    <w:tbl>
      <w:tblPr>
        <w:tblStyle w:val="TableGrid"/>
        <w:tblW w:w="0" w:type="auto"/>
        <w:tblInd w:w="108" w:type="dxa"/>
        <w:tblLook w:val="04A0" w:firstRow="1" w:lastRow="0" w:firstColumn="1" w:lastColumn="0" w:noHBand="0" w:noVBand="1"/>
      </w:tblPr>
      <w:tblGrid>
        <w:gridCol w:w="2513"/>
        <w:gridCol w:w="6395"/>
      </w:tblGrid>
      <w:tr w:rsidR="00340616" w:rsidRPr="001B21A4" w:rsidTr="00694DF9">
        <w:tc>
          <w:tcPr>
            <w:tcW w:w="2513" w:type="dxa"/>
          </w:tcPr>
          <w:p w:rsidR="00340616" w:rsidRPr="001B21A4" w:rsidRDefault="00340616" w:rsidP="00694DF9">
            <w:pPr>
              <w:tabs>
                <w:tab w:val="left" w:pos="2835"/>
              </w:tabs>
              <w:spacing w:after="120"/>
            </w:pPr>
            <w:r w:rsidRPr="001B21A4">
              <w:t>assessment criteria</w:t>
            </w:r>
          </w:p>
        </w:tc>
        <w:tc>
          <w:tcPr>
            <w:tcW w:w="6395" w:type="dxa"/>
          </w:tcPr>
          <w:p w:rsidR="00340616" w:rsidRPr="00710FAB" w:rsidRDefault="00340616" w:rsidP="00694DF9">
            <w:pPr>
              <w:tabs>
                <w:tab w:val="left" w:pos="2835"/>
              </w:tabs>
              <w:spacing w:after="120"/>
            </w:pPr>
            <w:r w:rsidRPr="00710FAB">
              <w:rPr>
                <w:rFonts w:cs="Arial"/>
                <w:lang w:eastAsia="en-AU"/>
              </w:rPr>
              <w:t>The specified principles or standards against which applications will be judged. These criteria are also used to assess the merits of proposals and, in the case of a competitive granting activity, to determine applicant rankings. (</w:t>
            </w:r>
            <w:r>
              <w:rPr>
                <w:rFonts w:cs="Arial"/>
                <w:lang w:eastAsia="en-AU"/>
              </w:rPr>
              <w:t xml:space="preserve">as defined in the </w:t>
            </w:r>
            <w:r w:rsidRPr="00710FAB">
              <w:rPr>
                <w:rFonts w:cs="Arial"/>
                <w:lang w:eastAsia="en-AU"/>
              </w:rPr>
              <w:t>CGRGs)</w:t>
            </w:r>
          </w:p>
        </w:tc>
      </w:tr>
      <w:tr w:rsidR="00340616" w:rsidRPr="00463AB3" w:rsidTr="00694DF9">
        <w:tc>
          <w:tcPr>
            <w:tcW w:w="2513" w:type="dxa"/>
          </w:tcPr>
          <w:p w:rsidR="00340616" w:rsidRPr="00463AB3" w:rsidRDefault="005E0682" w:rsidP="00694DF9">
            <w:pPr>
              <w:tabs>
                <w:tab w:val="left" w:pos="2835"/>
              </w:tabs>
              <w:spacing w:after="120"/>
            </w:pPr>
            <w:r>
              <w:t>c</w:t>
            </w:r>
            <w:r w:rsidR="00340616" w:rsidRPr="00463AB3">
              <w:t>ommencement date</w:t>
            </w:r>
          </w:p>
        </w:tc>
        <w:tc>
          <w:tcPr>
            <w:tcW w:w="6395" w:type="dxa"/>
          </w:tcPr>
          <w:p w:rsidR="00340616" w:rsidRPr="00463AB3" w:rsidRDefault="00340616" w:rsidP="00694DF9">
            <w:pPr>
              <w:tabs>
                <w:tab w:val="left" w:pos="2835"/>
              </w:tabs>
              <w:spacing w:after="120"/>
            </w:pPr>
            <w:r w:rsidRPr="00463AB3">
              <w:t xml:space="preserve">The expected start date for the grant activity. </w:t>
            </w:r>
          </w:p>
        </w:tc>
      </w:tr>
      <w:tr w:rsidR="00340616" w:rsidRPr="001B21A4" w:rsidTr="00694DF9">
        <w:tc>
          <w:tcPr>
            <w:tcW w:w="2513" w:type="dxa"/>
          </w:tcPr>
          <w:p w:rsidR="00340616" w:rsidRPr="00463AB3" w:rsidRDefault="005E0682" w:rsidP="00694DF9">
            <w:pPr>
              <w:tabs>
                <w:tab w:val="left" w:pos="2835"/>
              </w:tabs>
              <w:spacing w:after="120"/>
            </w:pPr>
            <w:r>
              <w:t>c</w:t>
            </w:r>
            <w:r w:rsidR="00340616" w:rsidRPr="00463AB3">
              <w:t>ompletion date</w:t>
            </w:r>
          </w:p>
        </w:tc>
        <w:tc>
          <w:tcPr>
            <w:tcW w:w="6395" w:type="dxa"/>
          </w:tcPr>
          <w:p w:rsidR="00340616" w:rsidRPr="00463AB3" w:rsidRDefault="00340616" w:rsidP="00694DF9">
            <w:pPr>
              <w:tabs>
                <w:tab w:val="left" w:pos="2835"/>
              </w:tabs>
              <w:spacing w:after="120"/>
            </w:pPr>
            <w:r w:rsidRPr="00463AB3">
              <w:t xml:space="preserve">The expected date that the grant activity must be completed and the grant spent by. </w:t>
            </w:r>
          </w:p>
        </w:tc>
      </w:tr>
      <w:tr w:rsidR="00340616" w:rsidRPr="001B21A4" w:rsidTr="00694DF9">
        <w:tc>
          <w:tcPr>
            <w:tcW w:w="2513" w:type="dxa"/>
          </w:tcPr>
          <w:p w:rsidR="00340616" w:rsidRDefault="005E0682" w:rsidP="005E0682">
            <w:r>
              <w:t>d</w:t>
            </w:r>
            <w:r w:rsidR="00340616">
              <w:t>ate of effect</w:t>
            </w:r>
          </w:p>
        </w:tc>
        <w:tc>
          <w:tcPr>
            <w:tcW w:w="6395" w:type="dxa"/>
          </w:tcPr>
          <w:p w:rsidR="00340616" w:rsidRPr="00710FAB" w:rsidRDefault="00340616" w:rsidP="00694DF9">
            <w:pPr>
              <w:rPr>
                <w:rFonts w:cs="Arial"/>
                <w:lang w:eastAsia="en-AU"/>
              </w:rPr>
            </w:pPr>
            <w:r w:rsidRPr="00710FAB">
              <w:rPr>
                <w:rFonts w:cs="Arial"/>
                <w:lang w:eastAsia="en-AU"/>
              </w:rPr>
              <w:t>This will depend on the particular grant. It can be the date in which a grant agreement is signed or a specified starting date. Where there is no grant agreement, entities must publish information on individual grants as soon as practicable.</w:t>
            </w:r>
            <w:r>
              <w:rPr>
                <w:rFonts w:cs="Arial"/>
                <w:lang w:eastAsia="en-AU"/>
              </w:rPr>
              <w:t xml:space="preserve"> CGRGs</w:t>
            </w:r>
          </w:p>
        </w:tc>
      </w:tr>
      <w:tr w:rsidR="00340616" w:rsidRPr="001B21A4" w:rsidTr="00694DF9">
        <w:tc>
          <w:tcPr>
            <w:tcW w:w="2513" w:type="dxa"/>
          </w:tcPr>
          <w:p w:rsidR="00340616" w:rsidRPr="001B21A4" w:rsidRDefault="00340616" w:rsidP="00694DF9">
            <w:r w:rsidRPr="001B21A4">
              <w:t>decision maker</w:t>
            </w:r>
          </w:p>
        </w:tc>
        <w:tc>
          <w:tcPr>
            <w:tcW w:w="6395" w:type="dxa"/>
          </w:tcPr>
          <w:p w:rsidR="00340616" w:rsidRPr="00710FAB" w:rsidRDefault="00340616" w:rsidP="00694DF9">
            <w:r w:rsidRPr="00710FAB">
              <w:rPr>
                <w:rFonts w:cs="Arial"/>
                <w:lang w:eastAsia="en-AU"/>
              </w:rPr>
              <w:t>The person who makes a decision to award a grant.</w:t>
            </w:r>
          </w:p>
        </w:tc>
      </w:tr>
      <w:tr w:rsidR="00340616" w:rsidRPr="001B21A4" w:rsidTr="00694DF9">
        <w:tc>
          <w:tcPr>
            <w:tcW w:w="2513" w:type="dxa"/>
          </w:tcPr>
          <w:p w:rsidR="00340616" w:rsidRPr="001B21A4" w:rsidRDefault="00340616" w:rsidP="00694DF9">
            <w:pPr>
              <w:tabs>
                <w:tab w:val="left" w:pos="2835"/>
              </w:tabs>
              <w:spacing w:after="120"/>
            </w:pPr>
            <w:r w:rsidRPr="001B21A4">
              <w:t>eligibility criteria</w:t>
            </w:r>
          </w:p>
        </w:tc>
        <w:tc>
          <w:tcPr>
            <w:tcW w:w="6395" w:type="dxa"/>
          </w:tcPr>
          <w:p w:rsidR="00340616" w:rsidRPr="00710FAB" w:rsidRDefault="00340616" w:rsidP="00694DF9">
            <w:pPr>
              <w:tabs>
                <w:tab w:val="left" w:pos="2835"/>
              </w:tabs>
              <w:spacing w:after="120"/>
            </w:pPr>
            <w:r w:rsidRPr="00710FAB">
              <w:rPr>
                <w:rFonts w:cs="Arial"/>
                <w:lang w:eastAsia="en-AU"/>
              </w:rPr>
              <w:t>The principles, standards or rules that a grant applicant must meet to qualify for consideration of a grant. Eligibility criteria may apply in addition to assessment criteria. (CGRGs)</w:t>
            </w:r>
          </w:p>
        </w:tc>
      </w:tr>
      <w:tr w:rsidR="00340616" w:rsidRPr="001B21A4" w:rsidTr="00694DF9">
        <w:tc>
          <w:tcPr>
            <w:tcW w:w="2513" w:type="dxa"/>
          </w:tcPr>
          <w:p w:rsidR="00340616" w:rsidRPr="001B21A4" w:rsidRDefault="00340616" w:rsidP="00694DF9">
            <w:pPr>
              <w:tabs>
                <w:tab w:val="left" w:pos="2835"/>
              </w:tabs>
              <w:spacing w:after="120"/>
            </w:pPr>
            <w:r>
              <w:t xml:space="preserve">Commonwealth </w:t>
            </w:r>
            <w:r w:rsidRPr="001B21A4">
              <w:t>entity</w:t>
            </w:r>
          </w:p>
        </w:tc>
        <w:tc>
          <w:tcPr>
            <w:tcW w:w="6395" w:type="dxa"/>
          </w:tcPr>
          <w:p w:rsidR="00340616" w:rsidRPr="00710FAB" w:rsidRDefault="00340616" w:rsidP="00694DF9">
            <w:pPr>
              <w:tabs>
                <w:tab w:val="left" w:pos="2835"/>
              </w:tabs>
              <w:spacing w:after="120"/>
            </w:pPr>
            <w:r w:rsidRPr="00710FAB">
              <w:rPr>
                <w:rFonts w:cs="Arial"/>
                <w:lang w:eastAsia="en-AU"/>
              </w:rPr>
              <w:t>A Department of State, or a Parliamentary Department, or a listed entity or a body corporate established by a law of the Commonwealth. See subsections 10(1) and (2) of the PGPA Act.</w:t>
            </w:r>
          </w:p>
        </w:tc>
      </w:tr>
      <w:tr w:rsidR="00340616" w:rsidRPr="001B21A4" w:rsidTr="00694DF9">
        <w:tc>
          <w:tcPr>
            <w:tcW w:w="2513" w:type="dxa"/>
          </w:tcPr>
          <w:p w:rsidR="00340616" w:rsidRPr="001B21A4" w:rsidRDefault="00340616" w:rsidP="00694DF9">
            <w:pPr>
              <w:spacing w:after="120"/>
            </w:pPr>
            <w:r w:rsidRPr="0007627E">
              <w:t xml:space="preserve">cost shifting </w:t>
            </w:r>
          </w:p>
        </w:tc>
        <w:tc>
          <w:tcPr>
            <w:tcW w:w="6395" w:type="dxa"/>
          </w:tcPr>
          <w:p w:rsidR="00340616" w:rsidRPr="00710FAB" w:rsidRDefault="00340616" w:rsidP="00694DF9">
            <w:r w:rsidRPr="00710FAB">
              <w:t>Involves ‘substitution of effort’ by the Commonwealth for activities of another organisation or level of government. For example, cost shifting occurs where the Commonwealth provides a grant for an activity that would usually be paid for by a state, territory, or local government, such as municipal services. (CGRGs)</w:t>
            </w:r>
          </w:p>
        </w:tc>
      </w:tr>
      <w:tr w:rsidR="00340616" w:rsidRPr="00463AB3" w:rsidTr="00694DF9">
        <w:tc>
          <w:tcPr>
            <w:tcW w:w="2513" w:type="dxa"/>
          </w:tcPr>
          <w:p w:rsidR="00340616" w:rsidRPr="00463AB3" w:rsidRDefault="00340616" w:rsidP="00694DF9">
            <w:pPr>
              <w:tabs>
                <w:tab w:val="left" w:pos="2835"/>
              </w:tabs>
              <w:spacing w:after="120"/>
            </w:pPr>
            <w:r w:rsidRPr="00463AB3">
              <w:rPr>
                <w:rFonts w:cs="Arial"/>
                <w:lang w:eastAsia="en-AU"/>
              </w:rPr>
              <w:t xml:space="preserve">grant </w:t>
            </w:r>
          </w:p>
        </w:tc>
        <w:tc>
          <w:tcPr>
            <w:tcW w:w="6395" w:type="dxa"/>
          </w:tcPr>
          <w:p w:rsidR="00340616" w:rsidRPr="00463AB3" w:rsidRDefault="00340616" w:rsidP="00694DF9">
            <w:pPr>
              <w:rPr>
                <w:rFonts w:cs="Arial"/>
                <w:lang w:eastAsia="en-AU"/>
              </w:rPr>
            </w:pPr>
            <w:r w:rsidRPr="00463AB3">
              <w:rPr>
                <w:rFonts w:cs="Arial"/>
                <w:lang w:eastAsia="en-AU"/>
              </w:rPr>
              <w:t>a grant is an arrangement for the provision of financial assistance by the Commonwealth or on behalf of the Commonwealth:</w:t>
            </w:r>
          </w:p>
          <w:p w:rsidR="00340616" w:rsidRPr="00463AB3" w:rsidRDefault="00340616" w:rsidP="00726710">
            <w:pPr>
              <w:numPr>
                <w:ilvl w:val="0"/>
                <w:numId w:val="7"/>
              </w:numPr>
              <w:suppressAutoHyphens w:val="0"/>
              <w:spacing w:before="0" w:after="40" w:line="240" w:lineRule="auto"/>
              <w:ind w:left="459" w:hanging="425"/>
              <w:rPr>
                <w:rFonts w:cs="Arial"/>
                <w:lang w:eastAsia="en-AU"/>
              </w:rPr>
            </w:pPr>
            <w:r w:rsidRPr="00463AB3">
              <w:rPr>
                <w:rFonts w:cs="Arial"/>
                <w:lang w:eastAsia="en-AU"/>
              </w:rPr>
              <w:t>under which relevant money or other CRF money, is to be paid to a recipient other than the Commonwealth; and</w:t>
            </w:r>
          </w:p>
          <w:p w:rsidR="00340616" w:rsidRPr="00463AB3" w:rsidRDefault="00340616" w:rsidP="00726710">
            <w:pPr>
              <w:numPr>
                <w:ilvl w:val="0"/>
                <w:numId w:val="7"/>
              </w:numPr>
              <w:suppressAutoHyphens w:val="0"/>
              <w:spacing w:before="0" w:after="40" w:line="240" w:lineRule="auto"/>
              <w:ind w:left="459" w:hanging="425"/>
              <w:rPr>
                <w:rFonts w:cs="Arial"/>
                <w:lang w:eastAsia="en-AU"/>
              </w:rPr>
            </w:pPr>
            <w:r w:rsidRPr="00463AB3">
              <w:rPr>
                <w:rFonts w:cs="Arial"/>
                <w:lang w:eastAsia="en-AU"/>
              </w:rPr>
              <w:t>which is intended to assist the recipient achieve its goals; and</w:t>
            </w:r>
          </w:p>
          <w:p w:rsidR="00340616" w:rsidRPr="00463AB3" w:rsidRDefault="00340616" w:rsidP="00726710">
            <w:pPr>
              <w:numPr>
                <w:ilvl w:val="0"/>
                <w:numId w:val="7"/>
              </w:numPr>
              <w:suppressAutoHyphens w:val="0"/>
              <w:spacing w:before="0" w:after="40" w:line="240" w:lineRule="auto"/>
              <w:ind w:left="459" w:hanging="425"/>
              <w:rPr>
                <w:rFonts w:cs="Arial"/>
                <w:lang w:eastAsia="en-AU"/>
              </w:rPr>
            </w:pPr>
            <w:r w:rsidRPr="00463AB3">
              <w:rPr>
                <w:rFonts w:cs="Arial"/>
                <w:lang w:eastAsia="en-AU"/>
              </w:rPr>
              <w:t>which is intended to help address one or more of the Australian Government’s policy objectives; and</w:t>
            </w:r>
          </w:p>
          <w:p w:rsidR="00340616" w:rsidRDefault="00340616" w:rsidP="00694DF9">
            <w:pPr>
              <w:tabs>
                <w:tab w:val="left" w:pos="2835"/>
              </w:tabs>
              <w:spacing w:after="120"/>
              <w:rPr>
                <w:rFonts w:cs="Arial"/>
                <w:lang w:eastAsia="en-AU"/>
              </w:rPr>
            </w:pPr>
            <w:r w:rsidRPr="00463AB3">
              <w:rPr>
                <w:rFonts w:cs="Arial"/>
                <w:lang w:eastAsia="en-AU"/>
              </w:rPr>
              <w:t xml:space="preserve">under which the recipient may be required to act in accordance with specified terms or conditions. </w:t>
            </w:r>
          </w:p>
          <w:p w:rsidR="00340616" w:rsidRPr="00463AB3" w:rsidRDefault="00340616" w:rsidP="00694DF9">
            <w:pPr>
              <w:tabs>
                <w:tab w:val="left" w:pos="2835"/>
              </w:tabs>
              <w:spacing w:after="120"/>
            </w:pPr>
            <w:r>
              <w:rPr>
                <w:rFonts w:cs="Arial"/>
                <w:lang w:eastAsia="en-AU"/>
              </w:rPr>
              <w:t>CGRGs section 2.3</w:t>
            </w:r>
          </w:p>
        </w:tc>
      </w:tr>
      <w:tr w:rsidR="00340616" w:rsidRPr="001B21A4" w:rsidTr="00694DF9">
        <w:tc>
          <w:tcPr>
            <w:tcW w:w="2513" w:type="dxa"/>
          </w:tcPr>
          <w:p w:rsidR="00340616" w:rsidRPr="0007627E" w:rsidRDefault="00340616" w:rsidP="00694DF9">
            <w:pPr>
              <w:tabs>
                <w:tab w:val="left" w:pos="2835"/>
              </w:tabs>
              <w:spacing w:after="120"/>
            </w:pPr>
            <w:r>
              <w:t xml:space="preserve">grant </w:t>
            </w:r>
            <w:r w:rsidRPr="001B21A4">
              <w:t>activity</w:t>
            </w:r>
          </w:p>
        </w:tc>
        <w:tc>
          <w:tcPr>
            <w:tcW w:w="6395" w:type="dxa"/>
          </w:tcPr>
          <w:p w:rsidR="00340616" w:rsidRPr="00710FAB" w:rsidRDefault="00340616" w:rsidP="00694DF9">
            <w:pPr>
              <w:tabs>
                <w:tab w:val="left" w:pos="2835"/>
              </w:tabs>
              <w:spacing w:after="120"/>
            </w:pPr>
            <w:r w:rsidRPr="00710FAB">
              <w:t>Is the project /tasks /services that the Grantee is required to undertake with the grant money. It is described in the Grant Agreement. (Proposed definition in the grants taxonomy)</w:t>
            </w:r>
          </w:p>
        </w:tc>
      </w:tr>
      <w:tr w:rsidR="00340616" w:rsidRPr="001B21A4" w:rsidTr="00694DF9">
        <w:tc>
          <w:tcPr>
            <w:tcW w:w="2513" w:type="dxa"/>
          </w:tcPr>
          <w:p w:rsidR="00340616" w:rsidRPr="001B21A4" w:rsidRDefault="00340616" w:rsidP="00694DF9">
            <w:pPr>
              <w:tabs>
                <w:tab w:val="left" w:pos="2835"/>
              </w:tabs>
              <w:spacing w:after="120"/>
            </w:pPr>
            <w:r w:rsidRPr="001B21A4">
              <w:t>grant agreement</w:t>
            </w:r>
          </w:p>
        </w:tc>
        <w:tc>
          <w:tcPr>
            <w:tcW w:w="6395" w:type="dxa"/>
          </w:tcPr>
          <w:p w:rsidR="00340616" w:rsidRPr="00710FAB" w:rsidRDefault="00340616" w:rsidP="00694DF9">
            <w:pPr>
              <w:tabs>
                <w:tab w:val="left" w:pos="2835"/>
              </w:tabs>
              <w:spacing w:after="120"/>
            </w:pPr>
            <w:r w:rsidRPr="00710FAB">
              <w:t xml:space="preserve">Grant agreement means the contract template used by Australian Government entities to </w:t>
            </w:r>
            <w:r>
              <w:t xml:space="preserve">set out the mutual obligations relating to the provision of the grant. The Australian Government is standardising and streamlining </w:t>
            </w:r>
            <w:r w:rsidRPr="00710FAB">
              <w:t>grant agreements between the Commonwealth and grant recipients to allow grant recipients to engage more easily and efficiently with the Commonwealth. (CGRGs)</w:t>
            </w:r>
          </w:p>
        </w:tc>
      </w:tr>
      <w:tr w:rsidR="00340616" w:rsidRPr="001B21A4" w:rsidTr="00694DF9">
        <w:tc>
          <w:tcPr>
            <w:tcW w:w="2513" w:type="dxa"/>
          </w:tcPr>
          <w:p w:rsidR="00340616" w:rsidRPr="001B21A4" w:rsidRDefault="00340616" w:rsidP="00694DF9">
            <w:pPr>
              <w:tabs>
                <w:tab w:val="left" w:pos="2835"/>
              </w:tabs>
              <w:spacing w:after="120"/>
            </w:pPr>
            <w:r>
              <w:t>grant opportunity</w:t>
            </w:r>
          </w:p>
        </w:tc>
        <w:tc>
          <w:tcPr>
            <w:tcW w:w="6395" w:type="dxa"/>
          </w:tcPr>
          <w:p w:rsidR="00340616" w:rsidRPr="00710FAB" w:rsidRDefault="00340616" w:rsidP="00694DF9">
            <w:pPr>
              <w:tabs>
                <w:tab w:val="left" w:pos="2835"/>
              </w:tabs>
              <w:spacing w:after="120"/>
            </w:pPr>
            <w:r w:rsidRPr="00710FAB">
              <w:t>A notice published on GrantConnect advertising the availability of Commonwealth grants. (Proposed definition in the grants taxonomy)</w:t>
            </w:r>
          </w:p>
        </w:tc>
      </w:tr>
      <w:tr w:rsidR="00340616" w:rsidRPr="001B21A4" w:rsidTr="00694DF9">
        <w:tc>
          <w:tcPr>
            <w:tcW w:w="2513" w:type="dxa"/>
          </w:tcPr>
          <w:p w:rsidR="00340616" w:rsidRPr="001B21A4" w:rsidRDefault="00340616" w:rsidP="00694DF9">
            <w:pPr>
              <w:tabs>
                <w:tab w:val="left" w:pos="2835"/>
              </w:tabs>
              <w:spacing w:after="120"/>
            </w:pPr>
            <w:r w:rsidRPr="001B21A4">
              <w:t xml:space="preserve">grant </w:t>
            </w:r>
            <w:r>
              <w:t>program</w:t>
            </w:r>
          </w:p>
        </w:tc>
        <w:tc>
          <w:tcPr>
            <w:tcW w:w="6395" w:type="dxa"/>
          </w:tcPr>
          <w:p w:rsidR="00340616" w:rsidRPr="00710FAB" w:rsidRDefault="00340616" w:rsidP="00694DF9">
            <w:pPr>
              <w:tabs>
                <w:tab w:val="left" w:pos="2835"/>
              </w:tabs>
              <w:spacing w:after="120"/>
            </w:pPr>
            <w:r w:rsidRPr="00710FAB">
              <w:rPr>
                <w:rFonts w:cs="Arial"/>
              </w:rPr>
              <w:t>May be advertised within the ‘Forecast Opportunity’ (FO) section of GrantConnect to provide a consolidated view of associated grant opportunities and provide strategic context for specific grant opportunities</w:t>
            </w:r>
          </w:p>
        </w:tc>
      </w:tr>
      <w:tr w:rsidR="00340616" w:rsidRPr="001B21A4" w:rsidTr="00694DF9">
        <w:tc>
          <w:tcPr>
            <w:tcW w:w="2513" w:type="dxa"/>
          </w:tcPr>
          <w:p w:rsidR="00340616" w:rsidRPr="001B21A4" w:rsidRDefault="005E0682" w:rsidP="005E0682">
            <w:pPr>
              <w:tabs>
                <w:tab w:val="left" w:pos="2835"/>
              </w:tabs>
              <w:spacing w:after="120"/>
            </w:pPr>
            <w:r>
              <w:t>g</w:t>
            </w:r>
            <w:r w:rsidR="00340616">
              <w:t>rantee</w:t>
            </w:r>
          </w:p>
        </w:tc>
        <w:tc>
          <w:tcPr>
            <w:tcW w:w="6395" w:type="dxa"/>
          </w:tcPr>
          <w:p w:rsidR="00340616" w:rsidRPr="00710FAB" w:rsidRDefault="00340616" w:rsidP="00694DF9">
            <w:pPr>
              <w:tabs>
                <w:tab w:val="left" w:pos="2835"/>
              </w:tabs>
              <w:spacing w:after="120"/>
            </w:pPr>
            <w:r w:rsidRPr="00710FAB">
              <w:t>An individual/organisation that has been awarded a grant. (Proposed definition in the grants taxonomy)</w:t>
            </w:r>
          </w:p>
        </w:tc>
      </w:tr>
      <w:tr w:rsidR="008D71EB" w:rsidRPr="001B21A4" w:rsidTr="00694DF9">
        <w:tc>
          <w:tcPr>
            <w:tcW w:w="2513" w:type="dxa"/>
          </w:tcPr>
          <w:p w:rsidR="008D71EB" w:rsidRDefault="008D71EB" w:rsidP="005E0682">
            <w:pPr>
              <w:tabs>
                <w:tab w:val="left" w:pos="2835"/>
              </w:tabs>
              <w:spacing w:after="120"/>
            </w:pPr>
            <w:r>
              <w:t>lead agent</w:t>
            </w:r>
          </w:p>
        </w:tc>
        <w:tc>
          <w:tcPr>
            <w:tcW w:w="6395" w:type="dxa"/>
          </w:tcPr>
          <w:p w:rsidR="008D71EB" w:rsidRPr="00710FAB" w:rsidRDefault="008D71EB" w:rsidP="00694DF9">
            <w:pPr>
              <w:tabs>
                <w:tab w:val="left" w:pos="2835"/>
              </w:tabs>
              <w:spacing w:after="120"/>
            </w:pPr>
            <w:r>
              <w:t>The non-</w:t>
            </w:r>
            <w:r w:rsidR="00A22096">
              <w:t>d</w:t>
            </w:r>
            <w:r>
              <w:t>epartmental party to an NCRIS grant agreement</w:t>
            </w:r>
          </w:p>
        </w:tc>
      </w:tr>
      <w:tr w:rsidR="00340616" w:rsidRPr="00463AB3" w:rsidTr="00694DF9">
        <w:tc>
          <w:tcPr>
            <w:tcW w:w="2513" w:type="dxa"/>
          </w:tcPr>
          <w:p w:rsidR="00340616" w:rsidRPr="00463AB3" w:rsidRDefault="00340616" w:rsidP="00694DF9">
            <w:pPr>
              <w:tabs>
                <w:tab w:val="left" w:pos="2835"/>
              </w:tabs>
              <w:spacing w:after="120"/>
            </w:pPr>
            <w:r w:rsidRPr="00463AB3">
              <w:t>PBS Program</w:t>
            </w:r>
          </w:p>
        </w:tc>
        <w:tc>
          <w:tcPr>
            <w:tcW w:w="6395" w:type="dxa"/>
          </w:tcPr>
          <w:p w:rsidR="00340616" w:rsidRPr="00463AB3" w:rsidRDefault="00340616" w:rsidP="00694DF9">
            <w:pPr>
              <w:tabs>
                <w:tab w:val="left" w:pos="2835"/>
              </w:tabs>
              <w:spacing w:after="120"/>
            </w:pPr>
            <w:r w:rsidRPr="00463AB3">
              <w:rPr>
                <w:rFonts w:cs="Arial"/>
              </w:rPr>
              <w:t xml:space="preserve">Described within the entity’s Portfolio Budget Statement, </w:t>
            </w:r>
            <w:r w:rsidRPr="00463AB3">
              <w:t xml:space="preserve">PBS programs each link to a single outcome and provide transparency for funding decisions. These high level PBS programs often comprise a number of lower level, more publicly recognised programs, some of which will be Grant Programs. A PBS Program may have more than one Grant Program associated with it, and each of these may have </w:t>
            </w:r>
            <w:r w:rsidRPr="00463AB3">
              <w:rPr>
                <w:rFonts w:cs="Arial"/>
              </w:rPr>
              <w:t>one or more grant opportunities</w:t>
            </w:r>
          </w:p>
        </w:tc>
      </w:tr>
      <w:tr w:rsidR="00340616" w:rsidRPr="001B21A4" w:rsidTr="00694DF9">
        <w:tc>
          <w:tcPr>
            <w:tcW w:w="2513" w:type="dxa"/>
          </w:tcPr>
          <w:p w:rsidR="00340616" w:rsidRPr="001B21A4" w:rsidRDefault="00340616" w:rsidP="00694DF9">
            <w:pPr>
              <w:tabs>
                <w:tab w:val="left" w:pos="2835"/>
              </w:tabs>
              <w:spacing w:after="120"/>
            </w:pPr>
            <w:r w:rsidRPr="001B21A4">
              <w:t>selection criteria</w:t>
            </w:r>
          </w:p>
        </w:tc>
        <w:tc>
          <w:tcPr>
            <w:tcW w:w="6395" w:type="dxa"/>
          </w:tcPr>
          <w:p w:rsidR="00340616" w:rsidRPr="00710FAB" w:rsidRDefault="00340616" w:rsidP="00694DF9">
            <w:pPr>
              <w:tabs>
                <w:tab w:val="left" w:pos="2835"/>
              </w:tabs>
              <w:spacing w:after="120"/>
            </w:pPr>
            <w:r w:rsidRPr="00710FAB">
              <w:t>Comprise eligibility criteria and assessment criteria. (CGRGs)</w:t>
            </w:r>
          </w:p>
        </w:tc>
      </w:tr>
      <w:tr w:rsidR="00340616" w:rsidRPr="001B21A4" w:rsidTr="00694DF9">
        <w:tc>
          <w:tcPr>
            <w:tcW w:w="2513" w:type="dxa"/>
          </w:tcPr>
          <w:p w:rsidR="00340616" w:rsidRPr="001B21A4" w:rsidRDefault="00340616" w:rsidP="00694DF9">
            <w:pPr>
              <w:tabs>
                <w:tab w:val="left" w:pos="2835"/>
              </w:tabs>
              <w:spacing w:after="120"/>
            </w:pPr>
            <w:r w:rsidRPr="001B21A4">
              <w:t>selection process</w:t>
            </w:r>
          </w:p>
        </w:tc>
        <w:tc>
          <w:tcPr>
            <w:tcW w:w="6395" w:type="dxa"/>
          </w:tcPr>
          <w:p w:rsidR="00340616" w:rsidRPr="00710FAB" w:rsidRDefault="00340616" w:rsidP="00694DF9">
            <w:pPr>
              <w:tabs>
                <w:tab w:val="left" w:pos="2835"/>
              </w:tabs>
              <w:spacing w:after="120"/>
            </w:pPr>
            <w:r w:rsidRPr="00710FAB">
              <w:t>The method used to select potential grantees. This process may involve comparative assessment of applications or the assessment of applications against the eligibility criteria and/or the assessment criteria. (CGRGs)</w:t>
            </w:r>
          </w:p>
        </w:tc>
      </w:tr>
    </w:tbl>
    <w:p w:rsidR="00340616" w:rsidRDefault="00340616" w:rsidP="00340616">
      <w:pPr>
        <w:spacing w:after="0" w:line="240" w:lineRule="auto"/>
      </w:pPr>
      <w:r>
        <w:br w:type="page"/>
      </w:r>
    </w:p>
    <w:p w:rsidR="00340616" w:rsidRPr="0054078D" w:rsidRDefault="00340616" w:rsidP="00340616">
      <w:pPr>
        <w:pStyle w:val="Heading2"/>
        <w:spacing w:before="240"/>
        <w:ind w:left="360" w:hanging="360"/>
        <w:rPr>
          <w:sz w:val="40"/>
        </w:rPr>
      </w:pPr>
      <w:bookmarkStart w:id="109" w:name="_Toc467773997"/>
      <w:bookmarkStart w:id="110" w:name="_Toc514836309"/>
      <w:r w:rsidRPr="0054078D">
        <w:rPr>
          <w:sz w:val="40"/>
        </w:rPr>
        <w:t xml:space="preserve">Appendix A: </w:t>
      </w:r>
      <w:r w:rsidR="005A386A">
        <w:rPr>
          <w:sz w:val="40"/>
        </w:rPr>
        <w:t>NCRIS Principles</w:t>
      </w:r>
      <w:bookmarkEnd w:id="109"/>
      <w:bookmarkEnd w:id="110"/>
    </w:p>
    <w:p w:rsidR="005A386A" w:rsidRPr="00967909" w:rsidRDefault="005A386A" w:rsidP="005A386A">
      <w:r w:rsidRPr="00967909">
        <w:t>The key principles underpinning NCRIS are that:</w:t>
      </w:r>
    </w:p>
    <w:p w:rsidR="005A386A" w:rsidRPr="00944A44" w:rsidRDefault="005A386A" w:rsidP="005A386A">
      <w:pPr>
        <w:pStyle w:val="ListParagraph"/>
        <w:numPr>
          <w:ilvl w:val="0"/>
          <w:numId w:val="30"/>
        </w:numPr>
        <w:spacing w:after="240"/>
        <w:ind w:left="709" w:hanging="357"/>
        <w:rPr>
          <w:rFonts w:asciiTheme="minorHAnsi" w:hAnsiTheme="minorHAnsi" w:cstheme="minorHAnsi"/>
        </w:rPr>
      </w:pPr>
      <w:r w:rsidRPr="00944A44">
        <w:rPr>
          <w:rFonts w:asciiTheme="minorHAnsi" w:hAnsiTheme="minorHAnsi" w:cstheme="minorHAnsi"/>
        </w:rPr>
        <w:t>Australia’s investment in research infrastructure should be planned and developed with the aim of maximising the contributions of the research and development system to foster innovation, economic development, national security, social wellbeing and environmental sustainability</w:t>
      </w:r>
    </w:p>
    <w:p w:rsidR="005A386A" w:rsidRPr="00944A44" w:rsidRDefault="005A386A" w:rsidP="005A386A">
      <w:pPr>
        <w:pStyle w:val="ListParagraph"/>
        <w:numPr>
          <w:ilvl w:val="0"/>
          <w:numId w:val="30"/>
        </w:numPr>
        <w:spacing w:after="120"/>
        <w:ind w:left="709" w:hanging="357"/>
        <w:rPr>
          <w:rFonts w:asciiTheme="minorHAnsi" w:hAnsiTheme="minorHAnsi" w:cstheme="minorHAnsi"/>
        </w:rPr>
      </w:pPr>
      <w:r w:rsidRPr="00944A44">
        <w:rPr>
          <w:rFonts w:asciiTheme="minorHAnsi" w:hAnsiTheme="minorHAnsi" w:cstheme="minorHAnsi"/>
        </w:rPr>
        <w:t>infrastructure resources should be focussed in areas where Australia is, or has the potential to be, world-class (in both discovery and application driven research) and provide international leadership</w:t>
      </w:r>
    </w:p>
    <w:p w:rsidR="005A386A" w:rsidRPr="00944A44" w:rsidRDefault="005A386A" w:rsidP="005A386A">
      <w:pPr>
        <w:pStyle w:val="ListParagraph"/>
        <w:numPr>
          <w:ilvl w:val="0"/>
          <w:numId w:val="30"/>
        </w:numPr>
        <w:spacing w:after="120"/>
        <w:ind w:left="709" w:hanging="357"/>
        <w:rPr>
          <w:rFonts w:asciiTheme="minorHAnsi" w:hAnsiTheme="minorHAnsi" w:cstheme="minorHAnsi"/>
        </w:rPr>
      </w:pPr>
      <w:r w:rsidRPr="00944A44">
        <w:rPr>
          <w:rFonts w:asciiTheme="minorHAnsi" w:hAnsiTheme="minorHAnsi" w:cstheme="minorHAnsi"/>
        </w:rPr>
        <w:t>major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p>
    <w:p w:rsidR="005A386A" w:rsidRPr="00944A44" w:rsidRDefault="005A386A" w:rsidP="005A386A">
      <w:pPr>
        <w:pStyle w:val="ListParagraph"/>
        <w:numPr>
          <w:ilvl w:val="0"/>
          <w:numId w:val="30"/>
        </w:numPr>
        <w:spacing w:after="120"/>
        <w:ind w:left="709" w:hanging="357"/>
        <w:rPr>
          <w:rFonts w:asciiTheme="minorHAnsi" w:hAnsiTheme="minorHAnsi" w:cstheme="minorHAnsi"/>
        </w:rPr>
      </w:pPr>
      <w:r w:rsidRPr="00944A44">
        <w:rPr>
          <w:rFonts w:asciiTheme="minorHAnsi" w:hAnsiTheme="minorHAnsi" w:cstheme="minorHAnsi"/>
        </w:rPr>
        <w:t>access is a critical issue in the drive to optimise Australia’s research infrastructure. In terms of NCRIS funding there should be as few barriers as possible to accessing major infrastructure for those undertaking meritorious research, including the use of preferential arrangements for meritorious researchers</w:t>
      </w:r>
    </w:p>
    <w:p w:rsidR="005A386A" w:rsidRPr="00944A44" w:rsidRDefault="005A386A" w:rsidP="005A386A">
      <w:pPr>
        <w:pStyle w:val="ListParagraph"/>
        <w:numPr>
          <w:ilvl w:val="0"/>
          <w:numId w:val="30"/>
        </w:numPr>
        <w:spacing w:after="120"/>
        <w:ind w:left="709" w:hanging="357"/>
        <w:rPr>
          <w:rFonts w:asciiTheme="minorHAnsi" w:hAnsiTheme="minorHAnsi" w:cstheme="minorHAnsi"/>
        </w:rPr>
      </w:pPr>
      <w:r w:rsidRPr="00944A44">
        <w:rPr>
          <w:rFonts w:asciiTheme="minorHAnsi" w:hAnsiTheme="minorHAnsi" w:cstheme="minorHAnsi"/>
        </w:rPr>
        <w:t>due regard be given to the whole-of-life costs of major infrastructure, with funding available for operational costs where appropriate</w:t>
      </w:r>
    </w:p>
    <w:p w:rsidR="005A386A" w:rsidRPr="00944A44" w:rsidRDefault="00804128" w:rsidP="005A386A">
      <w:pPr>
        <w:pStyle w:val="ListParagraph"/>
        <w:numPr>
          <w:ilvl w:val="0"/>
          <w:numId w:val="30"/>
        </w:numPr>
        <w:ind w:left="709" w:hanging="357"/>
        <w:rPr>
          <w:rFonts w:asciiTheme="minorHAnsi" w:hAnsiTheme="minorHAnsi" w:cstheme="minorHAnsi"/>
        </w:rPr>
      </w:pPr>
      <w:r>
        <w:rPr>
          <w:rFonts w:asciiTheme="minorHAnsi" w:hAnsiTheme="minorHAnsi" w:cstheme="minorHAnsi"/>
        </w:rPr>
        <w:t>NCRIS</w:t>
      </w:r>
      <w:r w:rsidR="005A386A" w:rsidRPr="00944A44">
        <w:rPr>
          <w:rFonts w:asciiTheme="minorHAnsi" w:hAnsiTheme="minorHAnsi" w:cstheme="minorHAnsi"/>
        </w:rPr>
        <w:t xml:space="preserve"> should seek to enable the fuller participation of Australian researchers in the international research system</w:t>
      </w:r>
    </w:p>
    <w:p w:rsidR="005A386A" w:rsidRPr="00944A44" w:rsidRDefault="00804128" w:rsidP="005A386A">
      <w:pPr>
        <w:pStyle w:val="ListParagraph"/>
        <w:numPr>
          <w:ilvl w:val="0"/>
          <w:numId w:val="30"/>
        </w:numPr>
        <w:ind w:left="709" w:hanging="357"/>
        <w:rPr>
          <w:rFonts w:asciiTheme="minorHAnsi" w:hAnsiTheme="minorHAnsi" w:cstheme="minorHAnsi"/>
        </w:rPr>
      </w:pPr>
      <w:r>
        <w:rPr>
          <w:rFonts w:asciiTheme="minorHAnsi" w:hAnsiTheme="minorHAnsi" w:cstheme="minorHAnsi"/>
        </w:rPr>
        <w:t xml:space="preserve">NCRIS </w:t>
      </w:r>
      <w:r w:rsidR="005A386A" w:rsidRPr="00944A44">
        <w:rPr>
          <w:rFonts w:asciiTheme="minorHAnsi" w:hAnsiTheme="minorHAnsi" w:cstheme="minorHAnsi"/>
        </w:rPr>
        <w:t>should enable Government initiatives which seek to maximise opportunities for industry and international engagement and commercialisation of research</w:t>
      </w:r>
    </w:p>
    <w:p w:rsidR="005A386A" w:rsidRPr="00944A44" w:rsidRDefault="005A386A" w:rsidP="005A386A">
      <w:pPr>
        <w:pStyle w:val="ListParagraph"/>
        <w:numPr>
          <w:ilvl w:val="0"/>
          <w:numId w:val="30"/>
        </w:numPr>
        <w:ind w:left="709" w:hanging="357"/>
        <w:rPr>
          <w:rFonts w:asciiTheme="minorHAnsi" w:hAnsiTheme="minorHAnsi" w:cstheme="minorHAnsi"/>
        </w:rPr>
      </w:pPr>
      <w:r w:rsidRPr="00944A44">
        <w:rPr>
          <w:rFonts w:asciiTheme="minorHAnsi" w:hAnsiTheme="minorHAnsi" w:cstheme="minorHAnsi"/>
        </w:rPr>
        <w:t>data generated, created, captured or stored by NCRIS funded projects will be made available to the wider research community based on the F.A.I.R. principles, appropriately implemented for individual research communities</w:t>
      </w:r>
      <w:r w:rsidR="00CB46B0">
        <w:rPr>
          <w:rFonts w:asciiTheme="minorHAnsi" w:hAnsiTheme="minorHAnsi" w:cstheme="minorHAnsi"/>
        </w:rPr>
        <w:t>. Data must be stored to an appropriate level of security</w:t>
      </w:r>
    </w:p>
    <w:p w:rsidR="005A386A" w:rsidRPr="00944A44" w:rsidRDefault="005A386A" w:rsidP="005A386A">
      <w:pPr>
        <w:pStyle w:val="ListParagraph"/>
        <w:numPr>
          <w:ilvl w:val="0"/>
          <w:numId w:val="30"/>
        </w:numPr>
        <w:ind w:left="709" w:hanging="357"/>
        <w:rPr>
          <w:rFonts w:asciiTheme="minorHAnsi" w:hAnsiTheme="minorHAnsi" w:cstheme="minorHAnsi"/>
        </w:rPr>
      </w:pPr>
      <w:r w:rsidRPr="00944A44">
        <w:rPr>
          <w:rFonts w:asciiTheme="minorHAnsi" w:hAnsiTheme="minorHAnsi" w:cstheme="minorHAnsi"/>
        </w:rPr>
        <w:t>new projects, and additional investment in existing projects, should be based on a robust business case.</w:t>
      </w:r>
    </w:p>
    <w:p w:rsidR="005A386A" w:rsidRDefault="005A386A" w:rsidP="005A386A">
      <w:pPr>
        <w:pStyle w:val="BodyText1"/>
        <w:rPr>
          <w:rFonts w:asciiTheme="minorHAnsi" w:hAnsiTheme="minorHAnsi"/>
        </w:rPr>
      </w:pPr>
      <w:r>
        <w:rPr>
          <w:rFonts w:asciiTheme="minorHAnsi" w:hAnsiTheme="minorHAnsi"/>
        </w:rPr>
        <w:br w:type="page"/>
      </w:r>
    </w:p>
    <w:p w:rsidR="00CB5EFF" w:rsidRPr="006317BC" w:rsidRDefault="00CB5EFF" w:rsidP="00D02419">
      <w:pPr>
        <w:pStyle w:val="Heading2"/>
        <w:spacing w:before="240"/>
        <w:ind w:left="360" w:hanging="360"/>
        <w:rPr>
          <w:sz w:val="40"/>
        </w:rPr>
      </w:pPr>
      <w:bookmarkStart w:id="111" w:name="_Toc514836310"/>
      <w:r w:rsidRPr="006317BC">
        <w:rPr>
          <w:sz w:val="40"/>
        </w:rPr>
        <w:t xml:space="preserve">Appendix </w:t>
      </w:r>
      <w:r w:rsidR="000F016C">
        <w:rPr>
          <w:sz w:val="40"/>
        </w:rPr>
        <w:t xml:space="preserve">B: </w:t>
      </w:r>
      <w:r w:rsidR="000F016C" w:rsidRPr="000F016C">
        <w:rPr>
          <w:sz w:val="40"/>
        </w:rPr>
        <w:t>Funding sources for t</w:t>
      </w:r>
      <w:r w:rsidR="000F016C" w:rsidRPr="00EE4964">
        <w:rPr>
          <w:sz w:val="40"/>
        </w:rPr>
        <w:t>hese Guidelines</w:t>
      </w:r>
      <w:bookmarkEnd w:id="111"/>
    </w:p>
    <w:p w:rsidR="00CB5EFF" w:rsidRDefault="00CB5EFF" w:rsidP="005A386A">
      <w:pPr>
        <w:pStyle w:val="BodyText1"/>
        <w:rPr>
          <w:rFonts w:asciiTheme="minorHAnsi" w:hAnsiTheme="minorHAnsi"/>
        </w:rPr>
      </w:pPr>
    </w:p>
    <w:p w:rsidR="00CB5EFF" w:rsidRDefault="00CB5EFF" w:rsidP="00CB5EFF">
      <w:pPr>
        <w:rPr>
          <w:rFonts w:cstheme="minorHAnsi"/>
        </w:rPr>
      </w:pPr>
      <w:r w:rsidRPr="000D60FC">
        <w:rPr>
          <w:rFonts w:cstheme="minorHAnsi"/>
        </w:rPr>
        <w:t xml:space="preserve">The Australian Government has </w:t>
      </w:r>
      <w:r w:rsidR="000F016C">
        <w:rPr>
          <w:rFonts w:cstheme="minorHAnsi"/>
        </w:rPr>
        <w:t>allocated the following funding for NCRIS</w:t>
      </w:r>
      <w:r w:rsidR="00FF2261">
        <w:rPr>
          <w:rFonts w:cstheme="minorHAnsi"/>
        </w:rPr>
        <w:t xml:space="preserve"> (subject to future indexation)</w:t>
      </w:r>
      <w:r w:rsidR="000F016C">
        <w:rPr>
          <w:rFonts w:cstheme="minorHAnsi"/>
        </w:rPr>
        <w:t>:</w:t>
      </w:r>
      <w:r w:rsidRPr="0039438E">
        <w:rPr>
          <w:rFonts w:cstheme="minorHAnsi"/>
        </w:rPr>
        <w:t xml:space="preserve"> </w:t>
      </w:r>
    </w:p>
    <w:p w:rsidR="00CB5EFF" w:rsidRDefault="00CB5EFF" w:rsidP="00CB5EFF">
      <w:pPr>
        <w:rPr>
          <w:rFonts w:cstheme="minorHAnsi"/>
        </w:rPr>
      </w:pPr>
    </w:p>
    <w:p w:rsidR="00CB5EFF" w:rsidRPr="00944A44" w:rsidRDefault="00CB5EFF" w:rsidP="00CB5EFF">
      <w:pPr>
        <w:pStyle w:val="ListParagraph"/>
        <w:numPr>
          <w:ilvl w:val="0"/>
          <w:numId w:val="17"/>
        </w:numPr>
        <w:rPr>
          <w:rFonts w:asciiTheme="minorHAnsi" w:hAnsiTheme="minorHAnsi" w:cstheme="minorHAnsi"/>
          <w:b/>
        </w:rPr>
      </w:pPr>
      <w:r>
        <w:rPr>
          <w:rFonts w:asciiTheme="minorHAnsi" w:hAnsiTheme="minorHAnsi" w:cstheme="minorHAnsi"/>
        </w:rPr>
        <w:t>NISA funding</w:t>
      </w:r>
    </w:p>
    <w:p w:rsidR="00CB5EFF" w:rsidRPr="00944A44"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2018-19: $15</w:t>
      </w:r>
      <w:r w:rsidR="00FD2FE7">
        <w:rPr>
          <w:rFonts w:asciiTheme="minorHAnsi" w:hAnsiTheme="minorHAnsi" w:cstheme="minorHAnsi"/>
        </w:rPr>
        <w:t>6.2</w:t>
      </w:r>
      <w:r w:rsidR="000F016C">
        <w:rPr>
          <w:rFonts w:asciiTheme="minorHAnsi" w:hAnsiTheme="minorHAnsi" w:cstheme="minorHAnsi"/>
        </w:rPr>
        <w:t>13</w:t>
      </w:r>
      <w:r>
        <w:rPr>
          <w:rFonts w:asciiTheme="minorHAnsi" w:hAnsiTheme="minorHAnsi" w:cstheme="minorHAnsi"/>
        </w:rPr>
        <w:t xml:space="preserve"> million</w:t>
      </w:r>
    </w:p>
    <w:p w:rsidR="00CB5EFF" w:rsidRPr="00944A44"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2019-20: $159.</w:t>
      </w:r>
      <w:r w:rsidR="000F016C">
        <w:rPr>
          <w:rFonts w:asciiTheme="minorHAnsi" w:hAnsiTheme="minorHAnsi" w:cstheme="minorHAnsi"/>
        </w:rPr>
        <w:t>962</w:t>
      </w:r>
      <w:r>
        <w:rPr>
          <w:rFonts w:asciiTheme="minorHAnsi" w:hAnsiTheme="minorHAnsi" w:cstheme="minorHAnsi"/>
        </w:rPr>
        <w:t xml:space="preserve"> million</w:t>
      </w:r>
    </w:p>
    <w:p w:rsidR="00CB5EFF" w:rsidRPr="00944A44" w:rsidRDefault="000F016C" w:rsidP="00CB5EFF">
      <w:pPr>
        <w:pStyle w:val="ListParagraph"/>
        <w:numPr>
          <w:ilvl w:val="1"/>
          <w:numId w:val="17"/>
        </w:numPr>
        <w:rPr>
          <w:rFonts w:asciiTheme="minorHAnsi" w:hAnsiTheme="minorHAnsi" w:cstheme="minorHAnsi"/>
          <w:b/>
        </w:rPr>
      </w:pPr>
      <w:r>
        <w:rPr>
          <w:rFonts w:asciiTheme="minorHAnsi" w:hAnsiTheme="minorHAnsi" w:cstheme="minorHAnsi"/>
        </w:rPr>
        <w:t>2020-21: $163.641</w:t>
      </w:r>
      <w:r w:rsidR="00CB5EFF">
        <w:rPr>
          <w:rFonts w:asciiTheme="minorHAnsi" w:hAnsiTheme="minorHAnsi" w:cstheme="minorHAnsi"/>
        </w:rPr>
        <w:t xml:space="preserve"> million</w:t>
      </w:r>
    </w:p>
    <w:p w:rsidR="00CB5EFF" w:rsidRPr="00944A44" w:rsidRDefault="000F016C" w:rsidP="00CB5EFF">
      <w:pPr>
        <w:pStyle w:val="ListParagraph"/>
        <w:numPr>
          <w:ilvl w:val="1"/>
          <w:numId w:val="17"/>
        </w:numPr>
        <w:rPr>
          <w:rFonts w:asciiTheme="minorHAnsi" w:hAnsiTheme="minorHAnsi" w:cstheme="minorHAnsi"/>
          <w:b/>
        </w:rPr>
      </w:pPr>
      <w:r>
        <w:rPr>
          <w:rFonts w:asciiTheme="minorHAnsi" w:hAnsiTheme="minorHAnsi" w:cstheme="minorHAnsi"/>
        </w:rPr>
        <w:t>2021-22: $167.732</w:t>
      </w:r>
      <w:r w:rsidR="00CB5EFF">
        <w:rPr>
          <w:rFonts w:asciiTheme="minorHAnsi" w:hAnsiTheme="minorHAnsi" w:cstheme="minorHAnsi"/>
        </w:rPr>
        <w:t xml:space="preserve"> million</w:t>
      </w:r>
    </w:p>
    <w:p w:rsidR="00CB5EFF" w:rsidRPr="000B078D" w:rsidRDefault="000F016C" w:rsidP="00CB5EFF">
      <w:pPr>
        <w:pStyle w:val="ListParagraph"/>
        <w:numPr>
          <w:ilvl w:val="1"/>
          <w:numId w:val="17"/>
        </w:numPr>
        <w:rPr>
          <w:rFonts w:asciiTheme="minorHAnsi" w:hAnsiTheme="minorHAnsi" w:cstheme="minorHAnsi"/>
          <w:b/>
        </w:rPr>
      </w:pPr>
      <w:r>
        <w:rPr>
          <w:rFonts w:asciiTheme="minorHAnsi" w:hAnsiTheme="minorHAnsi" w:cstheme="minorHAnsi"/>
        </w:rPr>
        <w:t>2022-23: $171.925</w:t>
      </w:r>
      <w:r w:rsidR="00CB5EFF">
        <w:rPr>
          <w:rFonts w:asciiTheme="minorHAnsi" w:hAnsiTheme="minorHAnsi" w:cstheme="minorHAnsi"/>
        </w:rPr>
        <w:t xml:space="preserve"> million</w:t>
      </w:r>
    </w:p>
    <w:p w:rsidR="00CB5EFF" w:rsidRPr="00944A44" w:rsidRDefault="00CB5EFF" w:rsidP="00CB5EFF">
      <w:pPr>
        <w:pStyle w:val="ListParagraph"/>
        <w:numPr>
          <w:ilvl w:val="0"/>
          <w:numId w:val="17"/>
        </w:numPr>
        <w:rPr>
          <w:rFonts w:asciiTheme="minorHAnsi" w:hAnsiTheme="minorHAnsi" w:cstheme="minorHAnsi"/>
          <w:b/>
        </w:rPr>
      </w:pPr>
      <w:r>
        <w:rPr>
          <w:rFonts w:asciiTheme="minorHAnsi" w:hAnsiTheme="minorHAnsi" w:cstheme="minorHAnsi"/>
        </w:rPr>
        <w:t>funding to replace the supercomputer at NCI of $70 million</w:t>
      </w:r>
    </w:p>
    <w:p w:rsidR="00CB5EFF" w:rsidRPr="00944A44"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2017-18: $69.200 million</w:t>
      </w:r>
    </w:p>
    <w:p w:rsidR="00CB5EFF" w:rsidRPr="00AA2F02"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2018-19: $0.800 million</w:t>
      </w:r>
    </w:p>
    <w:p w:rsidR="00CB5EFF" w:rsidRPr="00804128" w:rsidRDefault="00CB5EFF" w:rsidP="00CB5EFF">
      <w:pPr>
        <w:pStyle w:val="ListParagraph"/>
        <w:numPr>
          <w:ilvl w:val="0"/>
          <w:numId w:val="17"/>
        </w:numPr>
        <w:rPr>
          <w:rFonts w:asciiTheme="minorHAnsi" w:hAnsiTheme="minorHAnsi" w:cstheme="minorHAnsi"/>
        </w:rPr>
      </w:pPr>
      <w:r>
        <w:rPr>
          <w:rFonts w:asciiTheme="minorHAnsi" w:hAnsiTheme="minorHAnsi" w:cstheme="minorHAnsi"/>
        </w:rPr>
        <w:t>funding in the Government’s response to the 2016 Roadmap following consideration of a</w:t>
      </w:r>
      <w:r w:rsidR="00A22096">
        <w:rPr>
          <w:rFonts w:asciiTheme="minorHAnsi" w:hAnsiTheme="minorHAnsi" w:cstheme="minorHAnsi"/>
        </w:rPr>
        <w:t>n</w:t>
      </w:r>
      <w:r>
        <w:rPr>
          <w:rFonts w:asciiTheme="minorHAnsi" w:hAnsiTheme="minorHAnsi" w:cstheme="minorHAnsi"/>
        </w:rPr>
        <w:t xml:space="preserve"> </w:t>
      </w:r>
      <w:r w:rsidR="00A22096">
        <w:rPr>
          <w:rFonts w:asciiTheme="minorHAnsi" w:hAnsiTheme="minorHAnsi" w:cstheme="minorHAnsi"/>
        </w:rPr>
        <w:t>I</w:t>
      </w:r>
      <w:r>
        <w:rPr>
          <w:rFonts w:asciiTheme="minorHAnsi" w:hAnsiTheme="minorHAnsi" w:cstheme="minorHAnsi"/>
        </w:rPr>
        <w:t>nvestment Plan</w:t>
      </w:r>
    </w:p>
    <w:p w:rsidR="00CB5EFF" w:rsidRPr="00804128" w:rsidRDefault="00CB5EFF" w:rsidP="00CB5EFF">
      <w:pPr>
        <w:pStyle w:val="ListParagraph"/>
        <w:numPr>
          <w:ilvl w:val="1"/>
          <w:numId w:val="17"/>
        </w:numPr>
        <w:rPr>
          <w:rFonts w:asciiTheme="minorHAnsi" w:hAnsiTheme="minorHAnsi" w:cstheme="minorHAnsi"/>
        </w:rPr>
      </w:pPr>
      <w:r w:rsidRPr="00944A44">
        <w:rPr>
          <w:rFonts w:asciiTheme="minorHAnsi" w:hAnsiTheme="minorHAnsi" w:cstheme="minorHAnsi"/>
        </w:rPr>
        <w:t>2017-18</w:t>
      </w:r>
      <w:r>
        <w:rPr>
          <w:rFonts w:asciiTheme="minorHAnsi" w:hAnsiTheme="minorHAnsi" w:cstheme="minorHAnsi"/>
        </w:rPr>
        <w:t>:</w:t>
      </w:r>
      <w:r w:rsidR="000F016C">
        <w:rPr>
          <w:rFonts w:asciiTheme="minorHAnsi" w:hAnsiTheme="minorHAnsi" w:cstheme="minorHAnsi"/>
        </w:rPr>
        <w:t xml:space="preserve"> $199.217 million</w:t>
      </w:r>
    </w:p>
    <w:p w:rsidR="00CB5EFF" w:rsidRPr="001421EA"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2018-19:</w:t>
      </w:r>
      <w:r w:rsidR="000F016C">
        <w:rPr>
          <w:rFonts w:asciiTheme="minorHAnsi" w:hAnsiTheme="minorHAnsi" w:cstheme="minorHAnsi"/>
        </w:rPr>
        <w:t xml:space="preserve"> $5.45</w:t>
      </w:r>
      <w:r w:rsidR="003A3076">
        <w:rPr>
          <w:rFonts w:asciiTheme="minorHAnsi" w:hAnsiTheme="minorHAnsi" w:cstheme="minorHAnsi"/>
        </w:rPr>
        <w:t>9</w:t>
      </w:r>
      <w:r w:rsidR="000F016C">
        <w:rPr>
          <w:rFonts w:asciiTheme="minorHAnsi" w:hAnsiTheme="minorHAnsi" w:cstheme="minorHAnsi"/>
        </w:rPr>
        <w:t xml:space="preserve"> million</w:t>
      </w:r>
    </w:p>
    <w:p w:rsidR="00CB5EFF" w:rsidRPr="001421EA"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2019-20:</w:t>
      </w:r>
      <w:r w:rsidR="000F016C">
        <w:rPr>
          <w:rFonts w:asciiTheme="minorHAnsi" w:hAnsiTheme="minorHAnsi" w:cstheme="minorHAnsi"/>
        </w:rPr>
        <w:t xml:space="preserve"> $25.644 million</w:t>
      </w:r>
    </w:p>
    <w:p w:rsidR="00CB5EFF" w:rsidRPr="001421EA"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2020-21:</w:t>
      </w:r>
      <w:r w:rsidR="000F016C">
        <w:rPr>
          <w:rFonts w:asciiTheme="minorHAnsi" w:hAnsiTheme="minorHAnsi" w:cstheme="minorHAnsi"/>
        </w:rPr>
        <w:t xml:space="preserve"> $76.439 million</w:t>
      </w:r>
    </w:p>
    <w:p w:rsidR="00CB5EFF" w:rsidRPr="001421EA" w:rsidRDefault="00CB5EFF" w:rsidP="00CB5EFF">
      <w:pPr>
        <w:pStyle w:val="ListParagraph"/>
        <w:numPr>
          <w:ilvl w:val="1"/>
          <w:numId w:val="17"/>
        </w:numPr>
        <w:rPr>
          <w:rFonts w:asciiTheme="minorHAnsi" w:hAnsiTheme="minorHAnsi" w:cstheme="minorHAnsi"/>
          <w:b/>
        </w:rPr>
      </w:pPr>
      <w:r>
        <w:rPr>
          <w:rFonts w:asciiTheme="minorHAnsi" w:hAnsiTheme="minorHAnsi" w:cstheme="minorHAnsi"/>
        </w:rPr>
        <w:t>2021-22:</w:t>
      </w:r>
      <w:r w:rsidR="000F016C">
        <w:rPr>
          <w:rFonts w:asciiTheme="minorHAnsi" w:hAnsiTheme="minorHAnsi" w:cstheme="minorHAnsi"/>
        </w:rPr>
        <w:t xml:space="preserve"> $86.703 million</w:t>
      </w:r>
    </w:p>
    <w:p w:rsidR="00CB5EFF" w:rsidRDefault="00CB5EFF" w:rsidP="005A386A">
      <w:pPr>
        <w:pStyle w:val="BodyText1"/>
        <w:rPr>
          <w:rFonts w:asciiTheme="minorHAnsi" w:hAnsiTheme="minorHAnsi"/>
        </w:rPr>
      </w:pPr>
    </w:p>
    <w:p w:rsidR="006317BC" w:rsidRDefault="006317BC" w:rsidP="005A386A">
      <w:pPr>
        <w:pStyle w:val="BodyText1"/>
        <w:rPr>
          <w:rFonts w:asciiTheme="minorHAnsi" w:hAnsiTheme="minorHAnsi"/>
        </w:rPr>
      </w:pPr>
    </w:p>
    <w:p w:rsidR="006317BC" w:rsidRDefault="006317BC" w:rsidP="005A386A">
      <w:pPr>
        <w:pStyle w:val="BodyText1"/>
        <w:rPr>
          <w:rFonts w:asciiTheme="minorHAnsi" w:hAnsiTheme="minorHAnsi"/>
        </w:rPr>
        <w:sectPr w:rsidR="006317BC" w:rsidSect="00435962">
          <w:headerReference w:type="default" r:id="rId24"/>
          <w:footerReference w:type="default" r:id="rId25"/>
          <w:headerReference w:type="first" r:id="rId26"/>
          <w:footerReference w:type="first" r:id="rId27"/>
          <w:pgSz w:w="11906" w:h="16838" w:code="9"/>
          <w:pgMar w:top="1985" w:right="1134" w:bottom="1134" w:left="1418" w:header="567" w:footer="624" w:gutter="0"/>
          <w:cols w:space="708"/>
          <w:titlePg/>
          <w:docGrid w:linePitch="360"/>
        </w:sectPr>
      </w:pPr>
    </w:p>
    <w:p w:rsidR="005A386A" w:rsidRDefault="005A386A" w:rsidP="00944A44">
      <w:pPr>
        <w:pStyle w:val="BodyText1"/>
      </w:pPr>
    </w:p>
    <w:p w:rsidR="005A386A" w:rsidRPr="004703B9" w:rsidRDefault="005A386A" w:rsidP="00D02419">
      <w:pPr>
        <w:pStyle w:val="Heading2"/>
        <w:spacing w:before="240"/>
        <w:ind w:left="360" w:hanging="360"/>
        <w:rPr>
          <w:sz w:val="40"/>
        </w:rPr>
      </w:pPr>
      <w:bookmarkStart w:id="112" w:name="_Toc514836311"/>
      <w:r w:rsidRPr="0054078D">
        <w:rPr>
          <w:sz w:val="40"/>
        </w:rPr>
        <w:t xml:space="preserve">Appendix </w:t>
      </w:r>
      <w:r w:rsidR="004703B9">
        <w:rPr>
          <w:sz w:val="40"/>
        </w:rPr>
        <w:t>C</w:t>
      </w:r>
      <w:r w:rsidRPr="0054078D">
        <w:rPr>
          <w:sz w:val="40"/>
        </w:rPr>
        <w:t>:</w:t>
      </w:r>
      <w:r w:rsidR="004703B9">
        <w:rPr>
          <w:sz w:val="40"/>
        </w:rPr>
        <w:t xml:space="preserve"> </w:t>
      </w:r>
      <w:r w:rsidR="00D91435">
        <w:rPr>
          <w:sz w:val="40"/>
        </w:rPr>
        <w:t>Grants awarded by these Guidelines</w:t>
      </w:r>
      <w:r w:rsidR="004703B9" w:rsidRPr="004703B9">
        <w:rPr>
          <w:sz w:val="40"/>
        </w:rPr>
        <w:t xml:space="preserve"> ($</w:t>
      </w:r>
      <w:r w:rsidR="00D16F57">
        <w:rPr>
          <w:sz w:val="40"/>
        </w:rPr>
        <w:t>, GST excl.</w:t>
      </w:r>
      <w:r w:rsidR="004703B9" w:rsidRPr="004703B9">
        <w:rPr>
          <w:sz w:val="40"/>
        </w:rPr>
        <w:t>)</w:t>
      </w:r>
      <w:bookmarkEnd w:id="112"/>
    </w:p>
    <w:p w:rsidR="005A386A" w:rsidRPr="00E81710" w:rsidRDefault="005A386A" w:rsidP="005A386A">
      <w:pPr>
        <w:spacing w:after="0" w:line="240" w:lineRule="auto"/>
        <w:jc w:val="center"/>
        <w:rPr>
          <w:rFonts w:cs="Times New Roman"/>
          <w:b/>
        </w:rPr>
      </w:pPr>
    </w:p>
    <w:p w:rsidR="005A386A" w:rsidRPr="00944A44" w:rsidRDefault="005A386A" w:rsidP="005A386A">
      <w:pPr>
        <w:spacing w:after="0" w:line="240" w:lineRule="auto"/>
        <w:rPr>
          <w:rFonts w:cs="Times New Roman"/>
          <w:b/>
        </w:rPr>
      </w:pPr>
    </w:p>
    <w:tbl>
      <w:tblPr>
        <w:tblStyle w:val="TableGrid"/>
        <w:tblW w:w="15701" w:type="dxa"/>
        <w:tblLook w:val="04A0" w:firstRow="1" w:lastRow="0" w:firstColumn="1" w:lastColumn="0" w:noHBand="0" w:noVBand="1"/>
      </w:tblPr>
      <w:tblGrid>
        <w:gridCol w:w="3072"/>
        <w:gridCol w:w="2090"/>
        <w:gridCol w:w="2080"/>
        <w:gridCol w:w="2080"/>
        <w:gridCol w:w="2081"/>
        <w:gridCol w:w="2354"/>
        <w:gridCol w:w="1944"/>
      </w:tblGrid>
      <w:tr w:rsidR="005A386A" w:rsidRPr="00D61115" w:rsidTr="00C543D2">
        <w:tc>
          <w:tcPr>
            <w:tcW w:w="3072" w:type="dxa"/>
          </w:tcPr>
          <w:p w:rsidR="005A386A" w:rsidRDefault="005A386A" w:rsidP="00B627D6">
            <w:pPr>
              <w:spacing w:before="60"/>
              <w:rPr>
                <w:rFonts w:cs="Times New Roman"/>
                <w:b/>
                <w:i/>
              </w:rPr>
            </w:pPr>
            <w:r w:rsidRPr="00D61115">
              <w:rPr>
                <w:rFonts w:cs="Times New Roman"/>
                <w:b/>
                <w:i/>
              </w:rPr>
              <w:t>Project</w:t>
            </w:r>
          </w:p>
          <w:p w:rsidR="00D16F57" w:rsidRPr="00D16F57" w:rsidRDefault="00D16F57" w:rsidP="00D16F57">
            <w:pPr>
              <w:pStyle w:val="ListParagraph"/>
              <w:numPr>
                <w:ilvl w:val="0"/>
                <w:numId w:val="57"/>
              </w:numPr>
              <w:spacing w:before="60"/>
              <w:rPr>
                <w:b/>
                <w:i/>
              </w:rPr>
            </w:pPr>
            <w:r>
              <w:rPr>
                <w:b/>
                <w:i/>
              </w:rPr>
              <w:t>Lead Agent</w:t>
            </w:r>
          </w:p>
        </w:tc>
        <w:tc>
          <w:tcPr>
            <w:tcW w:w="2090" w:type="dxa"/>
          </w:tcPr>
          <w:p w:rsidR="005A386A" w:rsidRPr="00D61115" w:rsidRDefault="005A386A" w:rsidP="00B627D6">
            <w:pPr>
              <w:spacing w:before="60"/>
              <w:jc w:val="center"/>
              <w:rPr>
                <w:rFonts w:cs="Times New Roman"/>
                <w:b/>
                <w:i/>
              </w:rPr>
            </w:pPr>
            <w:r w:rsidRPr="00D61115">
              <w:rPr>
                <w:rFonts w:cs="Times New Roman"/>
                <w:b/>
                <w:i/>
              </w:rPr>
              <w:t>2017-18</w:t>
            </w:r>
          </w:p>
        </w:tc>
        <w:tc>
          <w:tcPr>
            <w:tcW w:w="2080" w:type="dxa"/>
          </w:tcPr>
          <w:p w:rsidR="005A386A" w:rsidRPr="00D61115" w:rsidRDefault="005A386A" w:rsidP="00B627D6">
            <w:pPr>
              <w:spacing w:before="60"/>
              <w:jc w:val="center"/>
              <w:rPr>
                <w:rFonts w:cs="Times New Roman"/>
                <w:b/>
                <w:i/>
              </w:rPr>
            </w:pPr>
            <w:r w:rsidRPr="00D61115">
              <w:rPr>
                <w:rFonts w:cs="Times New Roman"/>
                <w:b/>
                <w:i/>
              </w:rPr>
              <w:t>2018-19</w:t>
            </w:r>
          </w:p>
        </w:tc>
        <w:tc>
          <w:tcPr>
            <w:tcW w:w="2080" w:type="dxa"/>
          </w:tcPr>
          <w:p w:rsidR="005A386A" w:rsidRPr="00D61115" w:rsidRDefault="005A386A" w:rsidP="00B627D6">
            <w:pPr>
              <w:spacing w:before="60"/>
              <w:jc w:val="center"/>
              <w:rPr>
                <w:rFonts w:cs="Times New Roman"/>
                <w:b/>
                <w:i/>
              </w:rPr>
            </w:pPr>
            <w:r w:rsidRPr="00D61115">
              <w:rPr>
                <w:rFonts w:cs="Times New Roman"/>
                <w:b/>
                <w:i/>
              </w:rPr>
              <w:t>2019-20</w:t>
            </w:r>
          </w:p>
        </w:tc>
        <w:tc>
          <w:tcPr>
            <w:tcW w:w="2081" w:type="dxa"/>
          </w:tcPr>
          <w:p w:rsidR="005A386A" w:rsidRPr="00D61115" w:rsidRDefault="005A386A" w:rsidP="00B627D6">
            <w:pPr>
              <w:spacing w:before="60"/>
              <w:jc w:val="center"/>
              <w:rPr>
                <w:rFonts w:cs="Times New Roman"/>
                <w:b/>
                <w:i/>
              </w:rPr>
            </w:pPr>
            <w:r w:rsidRPr="00D61115">
              <w:rPr>
                <w:rFonts w:cs="Times New Roman"/>
                <w:b/>
                <w:i/>
              </w:rPr>
              <w:t>2020-21</w:t>
            </w:r>
          </w:p>
        </w:tc>
        <w:tc>
          <w:tcPr>
            <w:tcW w:w="2354" w:type="dxa"/>
          </w:tcPr>
          <w:p w:rsidR="005A386A" w:rsidRPr="00D61115" w:rsidRDefault="005A386A" w:rsidP="00B627D6">
            <w:pPr>
              <w:spacing w:before="60"/>
              <w:jc w:val="center"/>
              <w:rPr>
                <w:rFonts w:cs="Times New Roman"/>
                <w:b/>
                <w:i/>
              </w:rPr>
            </w:pPr>
            <w:r w:rsidRPr="00D61115">
              <w:rPr>
                <w:rFonts w:cs="Times New Roman"/>
                <w:b/>
                <w:i/>
              </w:rPr>
              <w:t>2021-22</w:t>
            </w:r>
          </w:p>
        </w:tc>
        <w:tc>
          <w:tcPr>
            <w:tcW w:w="1944" w:type="dxa"/>
          </w:tcPr>
          <w:p w:rsidR="005A386A" w:rsidRPr="00D61115" w:rsidRDefault="005A386A" w:rsidP="00B627D6">
            <w:pPr>
              <w:spacing w:before="60"/>
              <w:jc w:val="center"/>
              <w:rPr>
                <w:rFonts w:cs="Times New Roman"/>
                <w:b/>
                <w:i/>
              </w:rPr>
            </w:pPr>
            <w:r w:rsidRPr="00D61115">
              <w:rPr>
                <w:rFonts w:cs="Times New Roman"/>
                <w:b/>
                <w:i/>
              </w:rPr>
              <w:t>2022-23</w:t>
            </w:r>
          </w:p>
        </w:tc>
      </w:tr>
      <w:tr w:rsidR="00D16F57" w:rsidRPr="005A386A" w:rsidTr="005203A5">
        <w:trPr>
          <w:trHeight w:val="1469"/>
        </w:trPr>
        <w:tc>
          <w:tcPr>
            <w:tcW w:w="3072" w:type="dxa"/>
            <w:tcBorders>
              <w:right w:val="nil"/>
            </w:tcBorders>
          </w:tcPr>
          <w:p w:rsidR="00D16F57" w:rsidRDefault="002417CF" w:rsidP="00D16F57">
            <w:pPr>
              <w:spacing w:after="0" w:line="240" w:lineRule="auto"/>
              <w:rPr>
                <w:rFonts w:cs="Times New Roman"/>
                <w:sz w:val="18"/>
                <w:szCs w:val="18"/>
              </w:rPr>
            </w:pPr>
            <w:r>
              <w:rPr>
                <w:rFonts w:cs="Times New Roman"/>
                <w:sz w:val="18"/>
                <w:szCs w:val="18"/>
              </w:rPr>
              <w:t>Astronomy</w:t>
            </w:r>
          </w:p>
          <w:p w:rsidR="00D16F57" w:rsidRPr="002417CF" w:rsidRDefault="002417CF" w:rsidP="002417CF">
            <w:pPr>
              <w:pStyle w:val="ListParagraph"/>
              <w:numPr>
                <w:ilvl w:val="0"/>
                <w:numId w:val="58"/>
              </w:numPr>
              <w:spacing w:after="0" w:line="240" w:lineRule="auto"/>
              <w:ind w:left="357" w:hanging="357"/>
              <w:rPr>
                <w:sz w:val="18"/>
                <w:szCs w:val="18"/>
              </w:rPr>
            </w:pPr>
            <w:r>
              <w:rPr>
                <w:sz w:val="18"/>
                <w:szCs w:val="18"/>
              </w:rPr>
              <w:t>Astronomy Australia Ltd</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Base operating</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D16F57" w:rsidRDefault="00D16F57" w:rsidP="00D16F57">
            <w:pPr>
              <w:pStyle w:val="ListParagraph"/>
              <w:numPr>
                <w:ilvl w:val="0"/>
                <w:numId w:val="31"/>
              </w:numPr>
              <w:rPr>
                <w:sz w:val="18"/>
                <w:szCs w:val="18"/>
              </w:rPr>
            </w:pPr>
            <w:r w:rsidRPr="00D16F57">
              <w:rPr>
                <w:sz w:val="18"/>
                <w:szCs w:val="18"/>
              </w:rPr>
              <w:t>Capital</w:t>
            </w:r>
            <w:r w:rsidR="002417CF">
              <w:rPr>
                <w:sz w:val="18"/>
                <w:szCs w:val="18"/>
              </w:rPr>
              <w:t xml:space="preserve"> (ATNF</w:t>
            </w:r>
            <w:r w:rsidR="005203A5">
              <w:rPr>
                <w:sz w:val="18"/>
                <w:szCs w:val="18"/>
              </w:rPr>
              <w:t xml:space="preserve"> - ASKAP</w:t>
            </w:r>
            <w:r w:rsidR="002417CF">
              <w:rPr>
                <w:sz w:val="18"/>
                <w:szCs w:val="18"/>
              </w:rPr>
              <w:t>)</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w:t>
            </w:r>
          </w:p>
          <w:p w:rsidR="00D16F57"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w:t>
            </w:r>
          </w:p>
          <w:p w:rsidR="00D16F57"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550,000</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64D4B">
              <w:rPr>
                <w:rFonts w:cs="Times New Roman"/>
                <w:sz w:val="18"/>
                <w:szCs w:val="18"/>
              </w:rPr>
              <w:t>9,494,945</w:t>
            </w:r>
          </w:p>
          <w:p w:rsidR="00D16F57"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253,000</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64D4B">
              <w:rPr>
                <w:rFonts w:cs="Times New Roman"/>
                <w:sz w:val="18"/>
                <w:szCs w:val="18"/>
              </w:rPr>
              <w:t>9,732,318</w:t>
            </w:r>
          </w:p>
          <w:p w:rsidR="00D16F57"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256,000</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64D4B">
              <w:rPr>
                <w:rFonts w:cs="Times New Roman"/>
                <w:sz w:val="18"/>
                <w:szCs w:val="18"/>
              </w:rPr>
              <w:t>9,975,626</w:t>
            </w:r>
          </w:p>
          <w:p w:rsidR="00D16F57"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260,000</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64D4B">
              <w:rPr>
                <w:rFonts w:cs="Times New Roman"/>
                <w:sz w:val="18"/>
                <w:szCs w:val="18"/>
              </w:rPr>
              <w:t>10,225,017</w:t>
            </w:r>
          </w:p>
          <w:p w:rsidR="00D16F57" w:rsidRDefault="00D16F57"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p>
        </w:tc>
      </w:tr>
      <w:tr w:rsidR="00E6371A" w:rsidRPr="00944A44" w:rsidTr="00764D4B">
        <w:tc>
          <w:tcPr>
            <w:tcW w:w="3072" w:type="dxa"/>
            <w:tcBorders>
              <w:right w:val="nil"/>
            </w:tcBorders>
          </w:tcPr>
          <w:p w:rsidR="00E6371A" w:rsidRDefault="00E6371A" w:rsidP="00764D4B">
            <w:pPr>
              <w:spacing w:after="0" w:line="240" w:lineRule="auto"/>
              <w:rPr>
                <w:rFonts w:cs="Times New Roman"/>
                <w:sz w:val="18"/>
                <w:szCs w:val="18"/>
              </w:rPr>
            </w:pPr>
            <w:r>
              <w:rPr>
                <w:rFonts w:cs="Times New Roman"/>
                <w:sz w:val="18"/>
                <w:szCs w:val="18"/>
              </w:rPr>
              <w:t>Atlas of Living Australia</w:t>
            </w:r>
          </w:p>
          <w:p w:rsidR="00E6371A" w:rsidRPr="008A4D3F" w:rsidRDefault="00E6371A" w:rsidP="00764D4B">
            <w:pPr>
              <w:pStyle w:val="ListParagraph"/>
              <w:numPr>
                <w:ilvl w:val="0"/>
                <w:numId w:val="59"/>
              </w:numPr>
              <w:spacing w:after="0" w:line="240" w:lineRule="auto"/>
              <w:ind w:left="357" w:hanging="357"/>
              <w:rPr>
                <w:sz w:val="18"/>
                <w:szCs w:val="18"/>
              </w:rPr>
            </w:pPr>
            <w:r>
              <w:rPr>
                <w:sz w:val="18"/>
                <w:szCs w:val="18"/>
              </w:rPr>
              <w:t>CSIRO</w:t>
            </w:r>
          </w:p>
          <w:p w:rsidR="00E6371A" w:rsidRPr="00944A44" w:rsidRDefault="00E6371A" w:rsidP="00764D4B">
            <w:pPr>
              <w:pStyle w:val="ListParagraph"/>
              <w:numPr>
                <w:ilvl w:val="0"/>
                <w:numId w:val="31"/>
              </w:numPr>
              <w:spacing w:after="0" w:line="240" w:lineRule="auto"/>
              <w:contextualSpacing/>
              <w:rPr>
                <w:sz w:val="18"/>
                <w:szCs w:val="18"/>
              </w:rPr>
            </w:pPr>
            <w:r w:rsidRPr="00944A44">
              <w:rPr>
                <w:sz w:val="18"/>
                <w:szCs w:val="18"/>
              </w:rPr>
              <w:t>Base operating</w:t>
            </w:r>
          </w:p>
          <w:p w:rsidR="00E6371A" w:rsidRPr="00944A44" w:rsidRDefault="00E6371A"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E6371A" w:rsidRPr="008A4D3F" w:rsidRDefault="00E6371A" w:rsidP="00764D4B">
            <w:pPr>
              <w:pStyle w:val="ListParagraph"/>
              <w:numPr>
                <w:ilvl w:val="0"/>
                <w:numId w:val="31"/>
              </w:numPr>
              <w:rPr>
                <w:sz w:val="18"/>
                <w:szCs w:val="18"/>
              </w:rPr>
            </w:pPr>
            <w:r w:rsidRPr="008A4D3F">
              <w:rPr>
                <w:sz w:val="18"/>
                <w:szCs w:val="18"/>
              </w:rPr>
              <w:t>Capital</w:t>
            </w:r>
          </w:p>
        </w:tc>
        <w:tc>
          <w:tcPr>
            <w:tcW w:w="2090" w:type="dxa"/>
          </w:tcPr>
          <w:p w:rsidR="00E6371A" w:rsidRPr="00944A44" w:rsidRDefault="00E6371A" w:rsidP="000C10D7">
            <w:pPr>
              <w:spacing w:after="0"/>
              <w:jc w:val="right"/>
              <w:rPr>
                <w:rFonts w:cs="Times New Roman"/>
                <w:sz w:val="18"/>
                <w:szCs w:val="18"/>
              </w:rPr>
            </w:pPr>
          </w:p>
          <w:p w:rsidR="00E6371A" w:rsidRDefault="00E6371A" w:rsidP="000C10D7">
            <w:pPr>
              <w:spacing w:before="0" w:after="0" w:line="240" w:lineRule="auto"/>
              <w:jc w:val="right"/>
              <w:rPr>
                <w:rFonts w:cs="Times New Roman"/>
                <w:sz w:val="18"/>
                <w:szCs w:val="18"/>
              </w:rPr>
            </w:pPr>
          </w:p>
          <w:p w:rsidR="00E6371A" w:rsidRPr="00944A44" w:rsidRDefault="00E6371A"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6371A" w:rsidRDefault="00E6371A"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6371A" w:rsidRPr="00944A44" w:rsidRDefault="00E6371A"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480,000</w:t>
            </w:r>
          </w:p>
        </w:tc>
        <w:tc>
          <w:tcPr>
            <w:tcW w:w="2080" w:type="dxa"/>
          </w:tcPr>
          <w:p w:rsidR="00E6371A" w:rsidRPr="00944A44" w:rsidRDefault="00E6371A" w:rsidP="000C10D7">
            <w:pPr>
              <w:spacing w:after="0"/>
              <w:jc w:val="right"/>
              <w:rPr>
                <w:rFonts w:cs="Times New Roman"/>
                <w:sz w:val="18"/>
                <w:szCs w:val="18"/>
              </w:rPr>
            </w:pPr>
          </w:p>
          <w:p w:rsidR="00E6371A" w:rsidRDefault="00E6371A" w:rsidP="000C10D7">
            <w:pPr>
              <w:spacing w:before="0" w:after="0" w:line="240" w:lineRule="auto"/>
              <w:jc w:val="right"/>
              <w:rPr>
                <w:rFonts w:cs="Times New Roman"/>
                <w:sz w:val="18"/>
                <w:szCs w:val="18"/>
              </w:rPr>
            </w:pPr>
          </w:p>
          <w:p w:rsidR="00E6371A" w:rsidRPr="00944A44" w:rsidRDefault="00E6371A"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6371A" w:rsidRDefault="00E6371A"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6371A" w:rsidRPr="00944A44" w:rsidRDefault="00E6371A"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E6371A" w:rsidRPr="00944A44" w:rsidRDefault="00E6371A" w:rsidP="000C10D7">
            <w:pPr>
              <w:spacing w:after="0"/>
              <w:jc w:val="right"/>
              <w:rPr>
                <w:rFonts w:cs="Times New Roman"/>
                <w:sz w:val="18"/>
                <w:szCs w:val="18"/>
              </w:rPr>
            </w:pPr>
          </w:p>
          <w:p w:rsidR="00E6371A" w:rsidRDefault="00E6371A" w:rsidP="000C10D7">
            <w:pPr>
              <w:spacing w:before="0" w:after="0" w:line="240" w:lineRule="auto"/>
              <w:jc w:val="right"/>
              <w:rPr>
                <w:rFonts w:cs="Times New Roman"/>
                <w:sz w:val="18"/>
                <w:szCs w:val="18"/>
              </w:rPr>
            </w:pPr>
          </w:p>
          <w:p w:rsidR="00E6371A" w:rsidRPr="00944A44" w:rsidRDefault="00E6371A"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5,057,078</w:t>
            </w:r>
          </w:p>
          <w:p w:rsidR="00E6371A" w:rsidRDefault="00E6371A"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6371A" w:rsidRPr="00944A44" w:rsidRDefault="00E6371A"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E6371A" w:rsidRPr="00944A44" w:rsidRDefault="00E6371A" w:rsidP="000C10D7">
            <w:pPr>
              <w:spacing w:after="0"/>
              <w:jc w:val="right"/>
              <w:rPr>
                <w:rFonts w:cs="Times New Roman"/>
                <w:sz w:val="18"/>
                <w:szCs w:val="18"/>
              </w:rPr>
            </w:pPr>
          </w:p>
          <w:p w:rsidR="00E6371A" w:rsidRDefault="00E6371A" w:rsidP="000C10D7">
            <w:pPr>
              <w:spacing w:before="0" w:after="0" w:line="240" w:lineRule="auto"/>
              <w:jc w:val="right"/>
              <w:rPr>
                <w:rFonts w:cs="Times New Roman"/>
                <w:sz w:val="18"/>
                <w:szCs w:val="18"/>
              </w:rPr>
            </w:pPr>
          </w:p>
          <w:p w:rsidR="00E6371A" w:rsidRPr="00944A44" w:rsidRDefault="00E6371A"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5,183,505</w:t>
            </w:r>
          </w:p>
          <w:p w:rsidR="00E6371A" w:rsidRDefault="00E6371A"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6371A" w:rsidRPr="00944A44" w:rsidRDefault="00E6371A"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513,384</w:t>
            </w:r>
          </w:p>
        </w:tc>
        <w:tc>
          <w:tcPr>
            <w:tcW w:w="2354" w:type="dxa"/>
          </w:tcPr>
          <w:p w:rsidR="00E6371A" w:rsidRPr="00944A44" w:rsidRDefault="00E6371A" w:rsidP="000C10D7">
            <w:pPr>
              <w:spacing w:after="0"/>
              <w:jc w:val="right"/>
              <w:rPr>
                <w:rFonts w:cs="Times New Roman"/>
                <w:sz w:val="18"/>
                <w:szCs w:val="18"/>
              </w:rPr>
            </w:pPr>
          </w:p>
          <w:p w:rsidR="00E6371A" w:rsidRDefault="00E6371A" w:rsidP="000C10D7">
            <w:pPr>
              <w:spacing w:before="0" w:after="0" w:line="240" w:lineRule="auto"/>
              <w:jc w:val="right"/>
              <w:rPr>
                <w:rFonts w:cs="Times New Roman"/>
                <w:sz w:val="18"/>
                <w:szCs w:val="18"/>
              </w:rPr>
            </w:pPr>
          </w:p>
          <w:p w:rsidR="00E6371A" w:rsidRPr="00944A44" w:rsidRDefault="00E6371A"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5,313,093</w:t>
            </w:r>
          </w:p>
          <w:p w:rsidR="00E6371A" w:rsidRDefault="00E6371A"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6371A" w:rsidRPr="00944A44" w:rsidRDefault="00E6371A"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1,074,364</w:t>
            </w:r>
          </w:p>
        </w:tc>
        <w:tc>
          <w:tcPr>
            <w:tcW w:w="1944" w:type="dxa"/>
          </w:tcPr>
          <w:p w:rsidR="00E6371A" w:rsidRPr="00944A44" w:rsidRDefault="00E6371A" w:rsidP="000C10D7">
            <w:pPr>
              <w:spacing w:after="0"/>
              <w:jc w:val="right"/>
              <w:rPr>
                <w:rFonts w:cs="Times New Roman"/>
                <w:sz w:val="18"/>
                <w:szCs w:val="18"/>
              </w:rPr>
            </w:pPr>
          </w:p>
          <w:p w:rsidR="00E6371A" w:rsidRDefault="00E6371A" w:rsidP="000C10D7">
            <w:pPr>
              <w:spacing w:before="0" w:after="0" w:line="240" w:lineRule="auto"/>
              <w:jc w:val="right"/>
              <w:rPr>
                <w:rFonts w:cs="Times New Roman"/>
                <w:sz w:val="18"/>
                <w:szCs w:val="18"/>
              </w:rPr>
            </w:pPr>
          </w:p>
          <w:p w:rsidR="00E6371A" w:rsidRPr="00944A44" w:rsidRDefault="00E6371A"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5,445,920</w:t>
            </w:r>
          </w:p>
          <w:p w:rsidR="00E6371A" w:rsidRDefault="00E6371A"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E6371A" w:rsidRPr="00944A44" w:rsidRDefault="00E6371A"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D16F57" w:rsidRPr="005A386A" w:rsidTr="00C543D2">
        <w:tc>
          <w:tcPr>
            <w:tcW w:w="3072" w:type="dxa"/>
            <w:tcBorders>
              <w:right w:val="nil"/>
            </w:tcBorders>
          </w:tcPr>
          <w:p w:rsidR="00D16F57" w:rsidRDefault="00E6371A" w:rsidP="00D16F57">
            <w:pPr>
              <w:spacing w:after="0" w:line="240" w:lineRule="auto"/>
              <w:rPr>
                <w:rFonts w:cs="Times New Roman"/>
                <w:sz w:val="18"/>
                <w:szCs w:val="18"/>
              </w:rPr>
            </w:pPr>
            <w:r>
              <w:rPr>
                <w:rFonts w:cs="Times New Roman"/>
                <w:sz w:val="18"/>
                <w:szCs w:val="18"/>
              </w:rPr>
              <w:t>AuScope</w:t>
            </w:r>
          </w:p>
          <w:p w:rsidR="00D16F57" w:rsidRPr="008A4D3F" w:rsidRDefault="00E6371A" w:rsidP="008A4D3F">
            <w:pPr>
              <w:pStyle w:val="ListParagraph"/>
              <w:numPr>
                <w:ilvl w:val="0"/>
                <w:numId w:val="59"/>
              </w:numPr>
              <w:spacing w:after="0" w:line="240" w:lineRule="auto"/>
              <w:ind w:left="357" w:hanging="357"/>
              <w:rPr>
                <w:sz w:val="18"/>
                <w:szCs w:val="18"/>
              </w:rPr>
            </w:pPr>
            <w:r>
              <w:rPr>
                <w:sz w:val="18"/>
                <w:szCs w:val="18"/>
              </w:rPr>
              <w:t>AuScope Ltd</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Base operating</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8A4D3F" w:rsidRDefault="00D16F57" w:rsidP="008A4D3F">
            <w:pPr>
              <w:pStyle w:val="ListParagraph"/>
              <w:numPr>
                <w:ilvl w:val="0"/>
                <w:numId w:val="31"/>
              </w:numPr>
              <w:rPr>
                <w:sz w:val="18"/>
                <w:szCs w:val="18"/>
              </w:rPr>
            </w:pPr>
            <w:r w:rsidRPr="008A4D3F">
              <w:rPr>
                <w:sz w:val="18"/>
                <w:szCs w:val="18"/>
              </w:rPr>
              <w:t>Capital</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8A4D3F"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740,000</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8A4D3F"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8,001,297</w:t>
            </w:r>
          </w:p>
          <w:p w:rsidR="008A4D3F"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8,201,330</w:t>
            </w:r>
          </w:p>
          <w:p w:rsidR="008A4D3F"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395,734</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8,406,363</w:t>
            </w:r>
          </w:p>
          <w:p w:rsidR="008A4D3F"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405,627</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8,616,522</w:t>
            </w:r>
          </w:p>
          <w:p w:rsidR="008A4D3F" w:rsidRDefault="00D16F57" w:rsidP="000C10D7">
            <w:pPr>
              <w:spacing w:before="0" w:after="0" w:line="240" w:lineRule="auto"/>
              <w:jc w:val="right"/>
              <w:rPr>
                <w:rFonts w:cs="Times New Roman"/>
                <w:sz w:val="18"/>
                <w:szCs w:val="18"/>
              </w:rPr>
            </w:pPr>
            <w:r w:rsidRPr="00944A44">
              <w:rPr>
                <w:rFonts w:cs="Times New Roman"/>
                <w:sz w:val="18"/>
                <w:szCs w:val="18"/>
              </w:rPr>
              <w:t>$</w:t>
            </w:r>
            <w:r w:rsidR="00134FD6">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5203A5" w:rsidRPr="00944A44" w:rsidTr="00764D4B">
        <w:tc>
          <w:tcPr>
            <w:tcW w:w="3072" w:type="dxa"/>
            <w:tcBorders>
              <w:right w:val="nil"/>
            </w:tcBorders>
          </w:tcPr>
          <w:p w:rsidR="005203A5" w:rsidRDefault="005203A5" w:rsidP="00764D4B">
            <w:pPr>
              <w:spacing w:after="0" w:line="240" w:lineRule="auto"/>
              <w:rPr>
                <w:rFonts w:cs="Times New Roman"/>
                <w:sz w:val="18"/>
                <w:szCs w:val="18"/>
              </w:rPr>
            </w:pPr>
            <w:r>
              <w:rPr>
                <w:rFonts w:cs="Times New Roman"/>
                <w:sz w:val="18"/>
                <w:szCs w:val="18"/>
              </w:rPr>
              <w:t>Australian Animal Health Laboratory</w:t>
            </w:r>
          </w:p>
          <w:p w:rsidR="005203A5" w:rsidRPr="00D16F57" w:rsidRDefault="005203A5" w:rsidP="00764D4B">
            <w:pPr>
              <w:pStyle w:val="ListParagraph"/>
              <w:numPr>
                <w:ilvl w:val="0"/>
                <w:numId w:val="56"/>
              </w:numPr>
              <w:spacing w:after="0" w:line="240" w:lineRule="auto"/>
              <w:rPr>
                <w:sz w:val="18"/>
                <w:szCs w:val="18"/>
              </w:rPr>
            </w:pPr>
            <w:r w:rsidRPr="00D16F57">
              <w:rPr>
                <w:sz w:val="18"/>
                <w:szCs w:val="18"/>
              </w:rPr>
              <w:t>CSIRO</w:t>
            </w:r>
          </w:p>
          <w:p w:rsidR="005203A5" w:rsidRPr="00944A44" w:rsidRDefault="005203A5" w:rsidP="00764D4B">
            <w:pPr>
              <w:pStyle w:val="ListParagraph"/>
              <w:numPr>
                <w:ilvl w:val="0"/>
                <w:numId w:val="31"/>
              </w:numPr>
              <w:spacing w:after="0" w:line="240" w:lineRule="auto"/>
              <w:contextualSpacing/>
              <w:rPr>
                <w:sz w:val="18"/>
                <w:szCs w:val="18"/>
              </w:rPr>
            </w:pPr>
            <w:r w:rsidRPr="00944A44">
              <w:rPr>
                <w:sz w:val="18"/>
                <w:szCs w:val="18"/>
              </w:rPr>
              <w:t>Base operating</w:t>
            </w:r>
          </w:p>
          <w:p w:rsidR="005203A5" w:rsidRPr="00944A44" w:rsidRDefault="005203A5"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5203A5" w:rsidRPr="00944A44" w:rsidRDefault="005203A5" w:rsidP="00764D4B">
            <w:pPr>
              <w:pStyle w:val="ListParagraph"/>
              <w:numPr>
                <w:ilvl w:val="0"/>
                <w:numId w:val="31"/>
              </w:numPr>
              <w:spacing w:after="0" w:line="240" w:lineRule="auto"/>
              <w:contextualSpacing/>
              <w:rPr>
                <w:sz w:val="18"/>
                <w:szCs w:val="18"/>
              </w:rPr>
            </w:pPr>
            <w:r w:rsidRPr="00944A44">
              <w:rPr>
                <w:sz w:val="18"/>
                <w:szCs w:val="18"/>
              </w:rPr>
              <w:t>Capital</w:t>
            </w:r>
            <w:r>
              <w:rPr>
                <w:sz w:val="18"/>
                <w:szCs w:val="18"/>
              </w:rPr>
              <w:t xml:space="preserve"> </w:t>
            </w:r>
          </w:p>
        </w:tc>
        <w:tc>
          <w:tcPr>
            <w:tcW w:w="2090" w:type="dxa"/>
          </w:tcPr>
          <w:p w:rsidR="005203A5" w:rsidRPr="00944A44" w:rsidRDefault="005203A5" w:rsidP="000C10D7">
            <w:pPr>
              <w:spacing w:after="0"/>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Pr="00944A44" w:rsidRDefault="005203A5"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203A5" w:rsidRDefault="005203A5"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203A5" w:rsidRPr="00944A44" w:rsidRDefault="005203A5" w:rsidP="000C10D7">
            <w:pPr>
              <w:spacing w:before="0" w:after="0" w:line="240" w:lineRule="auto"/>
              <w:jc w:val="right"/>
              <w:rPr>
                <w:rFonts w:cs="Times New Roman"/>
                <w:sz w:val="18"/>
                <w:szCs w:val="18"/>
              </w:rPr>
            </w:pPr>
            <w:r>
              <w:rPr>
                <w:rFonts w:cs="Times New Roman"/>
                <w:sz w:val="18"/>
                <w:szCs w:val="18"/>
              </w:rPr>
              <w:t>$-</w:t>
            </w:r>
          </w:p>
        </w:tc>
        <w:tc>
          <w:tcPr>
            <w:tcW w:w="2080" w:type="dxa"/>
          </w:tcPr>
          <w:p w:rsidR="005203A5" w:rsidRPr="00944A44" w:rsidRDefault="005203A5" w:rsidP="000C10D7">
            <w:pPr>
              <w:spacing w:after="0"/>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Pr="00944A44" w:rsidRDefault="005203A5"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203A5" w:rsidRDefault="005203A5"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203A5" w:rsidRPr="00944A44" w:rsidRDefault="005203A5" w:rsidP="000C10D7">
            <w:pPr>
              <w:spacing w:before="0" w:after="0" w:line="240" w:lineRule="auto"/>
              <w:jc w:val="right"/>
              <w:rPr>
                <w:rFonts w:cs="Times New Roman"/>
                <w:sz w:val="18"/>
                <w:szCs w:val="18"/>
              </w:rPr>
            </w:pPr>
            <w:r>
              <w:rPr>
                <w:rFonts w:cs="Times New Roman"/>
                <w:sz w:val="18"/>
                <w:szCs w:val="18"/>
              </w:rPr>
              <w:t>$-</w:t>
            </w:r>
          </w:p>
        </w:tc>
        <w:tc>
          <w:tcPr>
            <w:tcW w:w="2080" w:type="dxa"/>
          </w:tcPr>
          <w:p w:rsidR="005203A5" w:rsidRPr="00944A44" w:rsidRDefault="005203A5" w:rsidP="000C10D7">
            <w:pPr>
              <w:spacing w:after="0"/>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Pr="00944A44" w:rsidRDefault="005203A5" w:rsidP="000C10D7">
            <w:pPr>
              <w:spacing w:before="0" w:after="0" w:line="240" w:lineRule="auto"/>
              <w:jc w:val="right"/>
              <w:rPr>
                <w:rFonts w:cs="Times New Roman"/>
                <w:sz w:val="18"/>
                <w:szCs w:val="18"/>
              </w:rPr>
            </w:pPr>
            <w:r w:rsidRPr="00944A44">
              <w:rPr>
                <w:rFonts w:cs="Times New Roman"/>
                <w:sz w:val="18"/>
                <w:szCs w:val="18"/>
              </w:rPr>
              <w:t>$</w:t>
            </w:r>
            <w:r w:rsidR="00764D4B">
              <w:rPr>
                <w:rFonts w:cs="Times New Roman"/>
                <w:sz w:val="18"/>
                <w:szCs w:val="18"/>
              </w:rPr>
              <w:t>1,595,952</w:t>
            </w:r>
          </w:p>
          <w:p w:rsidR="005203A5" w:rsidRDefault="005203A5"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203A5" w:rsidRPr="00944A44" w:rsidRDefault="005203A5" w:rsidP="000C10D7">
            <w:pPr>
              <w:spacing w:before="0" w:after="0" w:line="240" w:lineRule="auto"/>
              <w:jc w:val="right"/>
              <w:rPr>
                <w:rFonts w:cs="Times New Roman"/>
                <w:sz w:val="18"/>
                <w:szCs w:val="18"/>
              </w:rPr>
            </w:pPr>
            <w:r>
              <w:rPr>
                <w:rFonts w:cs="Times New Roman"/>
                <w:sz w:val="18"/>
                <w:szCs w:val="18"/>
              </w:rPr>
              <w:t>$-</w:t>
            </w:r>
          </w:p>
        </w:tc>
        <w:tc>
          <w:tcPr>
            <w:tcW w:w="2081" w:type="dxa"/>
          </w:tcPr>
          <w:p w:rsidR="005203A5" w:rsidRPr="00944A44" w:rsidRDefault="005203A5" w:rsidP="000C10D7">
            <w:pPr>
              <w:spacing w:after="0"/>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Pr="00944A44" w:rsidRDefault="005203A5" w:rsidP="000C10D7">
            <w:pPr>
              <w:spacing w:before="0" w:after="0" w:line="240" w:lineRule="auto"/>
              <w:jc w:val="right"/>
              <w:rPr>
                <w:rFonts w:cs="Times New Roman"/>
                <w:sz w:val="18"/>
                <w:szCs w:val="18"/>
              </w:rPr>
            </w:pPr>
            <w:r w:rsidRPr="00944A44">
              <w:rPr>
                <w:rFonts w:cs="Times New Roman"/>
                <w:sz w:val="18"/>
                <w:szCs w:val="18"/>
              </w:rPr>
              <w:t>$</w:t>
            </w:r>
            <w:r w:rsidR="00764D4B">
              <w:rPr>
                <w:rFonts w:cs="Times New Roman"/>
                <w:sz w:val="18"/>
                <w:szCs w:val="18"/>
              </w:rPr>
              <w:t>1,635</w:t>
            </w:r>
            <w:r w:rsidR="00171FA2">
              <w:rPr>
                <w:rFonts w:cs="Times New Roman"/>
                <w:sz w:val="18"/>
                <w:szCs w:val="18"/>
              </w:rPr>
              <w:t>,851</w:t>
            </w:r>
          </w:p>
          <w:p w:rsidR="005203A5" w:rsidRDefault="005203A5"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203A5" w:rsidRPr="00944A44" w:rsidRDefault="005203A5" w:rsidP="000C10D7">
            <w:pPr>
              <w:spacing w:before="0" w:after="0" w:line="240" w:lineRule="auto"/>
              <w:jc w:val="right"/>
              <w:rPr>
                <w:rFonts w:cs="Times New Roman"/>
                <w:sz w:val="18"/>
                <w:szCs w:val="18"/>
              </w:rPr>
            </w:pPr>
            <w:r>
              <w:rPr>
                <w:rFonts w:cs="Times New Roman"/>
                <w:sz w:val="18"/>
                <w:szCs w:val="18"/>
              </w:rPr>
              <w:t>$-</w:t>
            </w:r>
          </w:p>
        </w:tc>
        <w:tc>
          <w:tcPr>
            <w:tcW w:w="2354" w:type="dxa"/>
          </w:tcPr>
          <w:p w:rsidR="005203A5" w:rsidRPr="00944A44" w:rsidRDefault="005203A5" w:rsidP="000C10D7">
            <w:pPr>
              <w:spacing w:after="0"/>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Pr="00944A44" w:rsidRDefault="005203A5"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1,676,747</w:t>
            </w:r>
          </w:p>
          <w:p w:rsidR="005203A5" w:rsidRDefault="005203A5"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203A5" w:rsidRPr="00944A44" w:rsidRDefault="005203A5" w:rsidP="000C10D7">
            <w:pPr>
              <w:spacing w:before="0" w:after="0" w:line="240" w:lineRule="auto"/>
              <w:jc w:val="right"/>
              <w:rPr>
                <w:rFonts w:cs="Times New Roman"/>
                <w:sz w:val="18"/>
                <w:szCs w:val="18"/>
              </w:rPr>
            </w:pPr>
            <w:r>
              <w:rPr>
                <w:rFonts w:cs="Times New Roman"/>
                <w:sz w:val="18"/>
                <w:szCs w:val="18"/>
              </w:rPr>
              <w:t>$-</w:t>
            </w:r>
          </w:p>
        </w:tc>
        <w:tc>
          <w:tcPr>
            <w:tcW w:w="1944" w:type="dxa"/>
          </w:tcPr>
          <w:p w:rsidR="005203A5" w:rsidRPr="00944A44" w:rsidRDefault="005203A5" w:rsidP="000C10D7">
            <w:pPr>
              <w:spacing w:after="0"/>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Default="005203A5" w:rsidP="000C10D7">
            <w:pPr>
              <w:spacing w:before="0" w:after="0" w:line="240" w:lineRule="auto"/>
              <w:jc w:val="right"/>
              <w:rPr>
                <w:rFonts w:cs="Times New Roman"/>
                <w:sz w:val="18"/>
                <w:szCs w:val="18"/>
              </w:rPr>
            </w:pPr>
          </w:p>
          <w:p w:rsidR="005203A5" w:rsidRPr="00944A44" w:rsidRDefault="005203A5"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1,718,666</w:t>
            </w:r>
          </w:p>
          <w:p w:rsidR="005203A5" w:rsidRDefault="005203A5"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203A5" w:rsidRPr="00944A44" w:rsidRDefault="005203A5" w:rsidP="000C10D7">
            <w:pPr>
              <w:spacing w:before="0" w:after="0" w:line="240" w:lineRule="auto"/>
              <w:jc w:val="right"/>
              <w:rPr>
                <w:rFonts w:cs="Times New Roman"/>
                <w:sz w:val="18"/>
                <w:szCs w:val="18"/>
              </w:rPr>
            </w:pPr>
            <w:r>
              <w:rPr>
                <w:rFonts w:cs="Times New Roman"/>
                <w:sz w:val="18"/>
                <w:szCs w:val="18"/>
              </w:rPr>
              <w:t>$-</w:t>
            </w:r>
          </w:p>
        </w:tc>
      </w:tr>
    </w:tbl>
    <w:p w:rsidR="006A438F" w:rsidRDefault="006A438F">
      <w:r>
        <w:br w:type="page"/>
      </w:r>
    </w:p>
    <w:p w:rsidR="007C41EA" w:rsidRDefault="007C41EA"/>
    <w:p w:rsidR="007C41EA" w:rsidRDefault="007C41EA"/>
    <w:tbl>
      <w:tblPr>
        <w:tblStyle w:val="TableGrid"/>
        <w:tblW w:w="15701" w:type="dxa"/>
        <w:tblLook w:val="04A0" w:firstRow="1" w:lastRow="0" w:firstColumn="1" w:lastColumn="0" w:noHBand="0" w:noVBand="1"/>
      </w:tblPr>
      <w:tblGrid>
        <w:gridCol w:w="3072"/>
        <w:gridCol w:w="2090"/>
        <w:gridCol w:w="2080"/>
        <w:gridCol w:w="2080"/>
        <w:gridCol w:w="2081"/>
        <w:gridCol w:w="2354"/>
        <w:gridCol w:w="1944"/>
      </w:tblGrid>
      <w:tr w:rsidR="00D16F57" w:rsidRPr="005A386A" w:rsidTr="00C543D2">
        <w:tc>
          <w:tcPr>
            <w:tcW w:w="3072" w:type="dxa"/>
            <w:tcBorders>
              <w:right w:val="nil"/>
            </w:tcBorders>
          </w:tcPr>
          <w:p w:rsidR="00D16F57" w:rsidRDefault="00EE1C01" w:rsidP="00D16F57">
            <w:pPr>
              <w:spacing w:after="0" w:line="240" w:lineRule="auto"/>
              <w:rPr>
                <w:rFonts w:cs="Times New Roman"/>
                <w:sz w:val="18"/>
                <w:szCs w:val="18"/>
              </w:rPr>
            </w:pPr>
            <w:r>
              <w:rPr>
                <w:rFonts w:cs="Times New Roman"/>
                <w:sz w:val="18"/>
                <w:szCs w:val="18"/>
              </w:rPr>
              <w:t>Australian Microscopy and Microanalysis Facility</w:t>
            </w:r>
          </w:p>
          <w:p w:rsidR="00D16F57" w:rsidRPr="00EE1C01" w:rsidRDefault="00EE1C01" w:rsidP="00EE1C01">
            <w:pPr>
              <w:pStyle w:val="ListParagraph"/>
              <w:numPr>
                <w:ilvl w:val="0"/>
                <w:numId w:val="60"/>
              </w:numPr>
              <w:spacing w:after="0" w:line="240" w:lineRule="auto"/>
              <w:ind w:left="357" w:hanging="357"/>
              <w:rPr>
                <w:sz w:val="18"/>
                <w:szCs w:val="18"/>
              </w:rPr>
            </w:pPr>
            <w:r w:rsidRPr="00EE1C01">
              <w:rPr>
                <w:sz w:val="18"/>
                <w:szCs w:val="18"/>
              </w:rPr>
              <w:t>University of Sydney</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Base operating</w:t>
            </w:r>
          </w:p>
          <w:p w:rsidR="00EE1C01" w:rsidRDefault="00D16F57" w:rsidP="00EE1C01">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944A44" w:rsidRDefault="00D16F57" w:rsidP="00EE1C01">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12,080,000</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290,734</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3,912,344</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304,293</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4,010,152</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342,099</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598,948</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4,110,406</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361,265</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394,664</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4,213,166</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34FD6">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D16F57" w:rsidRPr="005A386A" w:rsidTr="00C543D2">
        <w:tc>
          <w:tcPr>
            <w:tcW w:w="3072" w:type="dxa"/>
            <w:tcBorders>
              <w:right w:val="nil"/>
            </w:tcBorders>
          </w:tcPr>
          <w:p w:rsidR="00D16F57" w:rsidRDefault="00EE1C01" w:rsidP="00D16F57">
            <w:pPr>
              <w:spacing w:after="0" w:line="240" w:lineRule="auto"/>
              <w:rPr>
                <w:rFonts w:cs="Times New Roman"/>
                <w:sz w:val="18"/>
                <w:szCs w:val="18"/>
              </w:rPr>
            </w:pPr>
            <w:r>
              <w:rPr>
                <w:rFonts w:cs="Times New Roman"/>
                <w:sz w:val="18"/>
                <w:szCs w:val="18"/>
              </w:rPr>
              <w:t>Australian National Fabrication Facility</w:t>
            </w:r>
          </w:p>
          <w:p w:rsidR="00EE1C01" w:rsidRPr="00EE1C01" w:rsidRDefault="00EE1C01" w:rsidP="00EE1C01">
            <w:pPr>
              <w:pStyle w:val="ListParagraph"/>
              <w:numPr>
                <w:ilvl w:val="0"/>
                <w:numId w:val="61"/>
              </w:numPr>
              <w:spacing w:after="0" w:line="240" w:lineRule="auto"/>
              <w:ind w:left="357" w:hanging="357"/>
              <w:rPr>
                <w:sz w:val="18"/>
                <w:szCs w:val="18"/>
              </w:rPr>
            </w:pPr>
            <w:r w:rsidRPr="00EE1C01">
              <w:rPr>
                <w:sz w:val="18"/>
                <w:szCs w:val="18"/>
              </w:rPr>
              <w:t>Australian National Fabrication Facility Ltd</w:t>
            </w:r>
          </w:p>
          <w:p w:rsidR="00D16F57" w:rsidRPr="00944A44" w:rsidRDefault="00D16F57" w:rsidP="00EE1C01">
            <w:pPr>
              <w:pStyle w:val="ListParagraph"/>
              <w:numPr>
                <w:ilvl w:val="0"/>
                <w:numId w:val="31"/>
              </w:numPr>
              <w:spacing w:after="0" w:line="240" w:lineRule="auto"/>
              <w:contextualSpacing/>
              <w:rPr>
                <w:sz w:val="18"/>
                <w:szCs w:val="18"/>
              </w:rPr>
            </w:pPr>
            <w:r>
              <w:rPr>
                <w:sz w:val="18"/>
                <w:szCs w:val="18"/>
              </w:rPr>
              <w:t>[</w:t>
            </w:r>
            <w:r w:rsidRPr="00944A44">
              <w:rPr>
                <w:sz w:val="18"/>
                <w:szCs w:val="18"/>
              </w:rPr>
              <w:t>Base operating</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944A44" w:rsidRDefault="00D16F57" w:rsidP="00EE1C01">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28,438,200</w:t>
            </w:r>
          </w:p>
        </w:tc>
        <w:tc>
          <w:tcPr>
            <w:tcW w:w="2080" w:type="dxa"/>
          </w:tcPr>
          <w:p w:rsidR="00D16F57" w:rsidRDefault="00D16F57" w:rsidP="000C10D7">
            <w:pPr>
              <w:spacing w:before="0" w:after="0"/>
              <w:jc w:val="right"/>
              <w:rPr>
                <w:rFonts w:cs="Times New Roman"/>
                <w:sz w:val="18"/>
                <w:szCs w:val="18"/>
              </w:rPr>
            </w:pPr>
          </w:p>
          <w:p w:rsidR="00EE1C01" w:rsidRDefault="00EE1C01" w:rsidP="000C10D7">
            <w:pPr>
              <w:spacing w:before="0" w:after="0"/>
              <w:jc w:val="right"/>
              <w:rPr>
                <w:rFonts w:cs="Times New Roman"/>
                <w:sz w:val="18"/>
                <w:szCs w:val="18"/>
              </w:rPr>
            </w:pPr>
          </w:p>
          <w:p w:rsidR="00EE1C01" w:rsidRPr="00944A44" w:rsidRDefault="00EE1C01" w:rsidP="000C10D7">
            <w:pPr>
              <w:spacing w:before="0"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399,211</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13,392,212</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885,751</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13,727,017</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1,280,573</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1,497,799</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14,070,193</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2,139,052</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71FA2">
              <w:rPr>
                <w:rFonts w:cs="Times New Roman"/>
                <w:sz w:val="18"/>
                <w:szCs w:val="18"/>
              </w:rPr>
              <w:t>1,594,443</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EE1C01" w:rsidRDefault="00EE1C01"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171FA2">
              <w:rPr>
                <w:rFonts w:cs="Times New Roman"/>
                <w:sz w:val="18"/>
                <w:szCs w:val="18"/>
              </w:rPr>
              <w:t>14,421,947</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34FD6">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D16F57" w:rsidRPr="005A386A" w:rsidTr="00C543D2">
        <w:tc>
          <w:tcPr>
            <w:tcW w:w="3072" w:type="dxa"/>
            <w:tcBorders>
              <w:right w:val="nil"/>
            </w:tcBorders>
          </w:tcPr>
          <w:p w:rsidR="00D16F57" w:rsidRDefault="00EE1C01" w:rsidP="00D16F57">
            <w:pPr>
              <w:spacing w:after="0" w:line="240" w:lineRule="auto"/>
              <w:rPr>
                <w:rFonts w:cs="Times New Roman"/>
                <w:sz w:val="18"/>
                <w:szCs w:val="18"/>
              </w:rPr>
            </w:pPr>
            <w:r>
              <w:rPr>
                <w:rFonts w:cs="Times New Roman"/>
                <w:sz w:val="18"/>
                <w:szCs w:val="18"/>
              </w:rPr>
              <w:t>Australian Phenomics Network</w:t>
            </w:r>
          </w:p>
          <w:p w:rsidR="00D16F57" w:rsidRPr="00EE1C01" w:rsidRDefault="00EE1C01" w:rsidP="00EE1C01">
            <w:pPr>
              <w:pStyle w:val="ListParagraph"/>
              <w:numPr>
                <w:ilvl w:val="0"/>
                <w:numId w:val="62"/>
              </w:numPr>
              <w:spacing w:after="0" w:line="240" w:lineRule="auto"/>
              <w:ind w:left="357" w:hanging="357"/>
              <w:rPr>
                <w:sz w:val="18"/>
                <w:szCs w:val="18"/>
              </w:rPr>
            </w:pPr>
            <w:r w:rsidRPr="00EE1C01">
              <w:rPr>
                <w:sz w:val="18"/>
                <w:szCs w:val="18"/>
              </w:rPr>
              <w:t>Australian National University</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Base operating</w:t>
            </w:r>
          </w:p>
          <w:p w:rsidR="00EE1C01" w:rsidRDefault="00D16F57" w:rsidP="00EE1C01">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944A44" w:rsidRDefault="00D16F57" w:rsidP="00EE1C01">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1,813,982</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4,797,548</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4,917,486</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149,449</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5,040,424</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156,249</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5,166,434</w:t>
            </w:r>
          </w:p>
          <w:p w:rsidR="00EE1C01" w:rsidRDefault="00D16F57" w:rsidP="000C10D7">
            <w:pPr>
              <w:spacing w:before="0" w:after="0" w:line="240" w:lineRule="auto"/>
              <w:jc w:val="right"/>
              <w:rPr>
                <w:rFonts w:cs="Times New Roman"/>
                <w:sz w:val="18"/>
                <w:szCs w:val="18"/>
              </w:rPr>
            </w:pPr>
            <w:r w:rsidRPr="00944A44">
              <w:rPr>
                <w:rFonts w:cs="Times New Roman"/>
                <w:sz w:val="18"/>
                <w:szCs w:val="18"/>
              </w:rPr>
              <w:t>$</w:t>
            </w:r>
            <w:r w:rsidR="00134FD6">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D16F57" w:rsidRPr="005A386A" w:rsidTr="00C543D2">
        <w:tc>
          <w:tcPr>
            <w:tcW w:w="3072" w:type="dxa"/>
            <w:tcBorders>
              <w:right w:val="nil"/>
            </w:tcBorders>
          </w:tcPr>
          <w:p w:rsidR="00D16F57" w:rsidRDefault="006949A5" w:rsidP="00D16F57">
            <w:pPr>
              <w:spacing w:after="0" w:line="240" w:lineRule="auto"/>
              <w:rPr>
                <w:rFonts w:cs="Times New Roman"/>
                <w:sz w:val="18"/>
                <w:szCs w:val="18"/>
              </w:rPr>
            </w:pPr>
            <w:r>
              <w:rPr>
                <w:rFonts w:cs="Times New Roman"/>
                <w:sz w:val="18"/>
                <w:szCs w:val="18"/>
              </w:rPr>
              <w:t xml:space="preserve">Australian Plant Phenomics </w:t>
            </w:r>
            <w:r w:rsidR="00695039">
              <w:rPr>
                <w:rFonts w:cs="Times New Roman"/>
                <w:sz w:val="18"/>
                <w:szCs w:val="18"/>
              </w:rPr>
              <w:t>Facility</w:t>
            </w:r>
          </w:p>
          <w:p w:rsidR="00D16F57" w:rsidRPr="006949A5" w:rsidRDefault="006949A5" w:rsidP="006949A5">
            <w:pPr>
              <w:pStyle w:val="ListParagraph"/>
              <w:numPr>
                <w:ilvl w:val="0"/>
                <w:numId w:val="63"/>
              </w:numPr>
              <w:spacing w:after="0" w:line="240" w:lineRule="auto"/>
              <w:ind w:left="357" w:hanging="357"/>
              <w:rPr>
                <w:sz w:val="18"/>
                <w:szCs w:val="18"/>
              </w:rPr>
            </w:pPr>
            <w:r w:rsidRPr="006949A5">
              <w:rPr>
                <w:sz w:val="18"/>
                <w:szCs w:val="18"/>
              </w:rPr>
              <w:t>University of Adelaide</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Base operating</w:t>
            </w:r>
          </w:p>
          <w:p w:rsidR="006949A5" w:rsidRDefault="00D16F57" w:rsidP="006949A5">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944A44" w:rsidRDefault="00D16F57" w:rsidP="006949A5">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6949A5" w:rsidRDefault="006949A5"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6949A5"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2,206,820</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6949A5" w:rsidRDefault="006949A5"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6949A5"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6949A5" w:rsidRDefault="006949A5"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4,040,494</w:t>
            </w:r>
          </w:p>
          <w:p w:rsidR="006949A5"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6949A5" w:rsidRDefault="006949A5"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4,141,506</w:t>
            </w:r>
          </w:p>
          <w:p w:rsidR="006949A5"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151,609</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6949A5" w:rsidRDefault="006949A5"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4,245,044</w:t>
            </w:r>
          </w:p>
          <w:p w:rsidR="006949A5"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203,307</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6949A5" w:rsidRDefault="006949A5"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4,351,170</w:t>
            </w:r>
          </w:p>
          <w:p w:rsidR="006949A5" w:rsidRDefault="00D16F57" w:rsidP="000C10D7">
            <w:pPr>
              <w:spacing w:before="0" w:after="0" w:line="240" w:lineRule="auto"/>
              <w:jc w:val="right"/>
              <w:rPr>
                <w:rFonts w:cs="Times New Roman"/>
                <w:sz w:val="18"/>
                <w:szCs w:val="18"/>
              </w:rPr>
            </w:pPr>
            <w:r w:rsidRPr="00944A44">
              <w:rPr>
                <w:rFonts w:cs="Times New Roman"/>
                <w:sz w:val="18"/>
                <w:szCs w:val="18"/>
              </w:rPr>
              <w:t>$</w:t>
            </w:r>
            <w:r w:rsidR="00134FD6">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D16F57" w:rsidRPr="005A386A" w:rsidTr="00C543D2">
        <w:tc>
          <w:tcPr>
            <w:tcW w:w="3072" w:type="dxa"/>
            <w:tcBorders>
              <w:right w:val="nil"/>
            </w:tcBorders>
          </w:tcPr>
          <w:p w:rsidR="00D16F57" w:rsidRDefault="00695039" w:rsidP="00D16F57">
            <w:pPr>
              <w:spacing w:after="0" w:line="240" w:lineRule="auto"/>
              <w:rPr>
                <w:rFonts w:cs="Times New Roman"/>
                <w:sz w:val="18"/>
                <w:szCs w:val="18"/>
              </w:rPr>
            </w:pPr>
            <w:r>
              <w:rPr>
                <w:rFonts w:cs="Times New Roman"/>
                <w:sz w:val="18"/>
                <w:szCs w:val="18"/>
              </w:rPr>
              <w:t>Australian Urban Research Infrastructure Network</w:t>
            </w:r>
          </w:p>
          <w:p w:rsidR="00D16F57" w:rsidRPr="00C543D2" w:rsidRDefault="00005234" w:rsidP="00C543D2">
            <w:pPr>
              <w:pStyle w:val="ListParagraph"/>
              <w:numPr>
                <w:ilvl w:val="0"/>
                <w:numId w:val="64"/>
              </w:numPr>
              <w:spacing w:after="0" w:line="240" w:lineRule="auto"/>
              <w:ind w:left="357" w:hanging="357"/>
              <w:rPr>
                <w:sz w:val="18"/>
                <w:szCs w:val="18"/>
              </w:rPr>
            </w:pPr>
            <w:r w:rsidRPr="00C543D2">
              <w:rPr>
                <w:sz w:val="18"/>
                <w:szCs w:val="18"/>
              </w:rPr>
              <w:t>University of Melbourne</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Base operating</w:t>
            </w:r>
          </w:p>
          <w:p w:rsidR="00005234" w:rsidRDefault="00D16F57" w:rsidP="00005234">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944A44" w:rsidRDefault="00D16F57" w:rsidP="00005234">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00523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3,555,500</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00523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2,284,085</w:t>
            </w:r>
          </w:p>
          <w:p w:rsidR="0000523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2,341,187</w:t>
            </w:r>
          </w:p>
          <w:p w:rsidR="0000523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1,540,688</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2,399,717</w:t>
            </w:r>
          </w:p>
          <w:p w:rsidR="0000523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2,318,652</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2,459,710</w:t>
            </w:r>
          </w:p>
          <w:p w:rsidR="00005234" w:rsidRDefault="00D16F57" w:rsidP="000C10D7">
            <w:pPr>
              <w:spacing w:before="0" w:after="0" w:line="240" w:lineRule="auto"/>
              <w:jc w:val="right"/>
              <w:rPr>
                <w:rFonts w:cs="Times New Roman"/>
                <w:sz w:val="18"/>
                <w:szCs w:val="18"/>
              </w:rPr>
            </w:pPr>
            <w:r w:rsidRPr="00944A44">
              <w:rPr>
                <w:rFonts w:cs="Times New Roman"/>
                <w:sz w:val="18"/>
                <w:szCs w:val="18"/>
              </w:rPr>
              <w:t>$</w:t>
            </w:r>
            <w:r w:rsidR="00134FD6">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D16F57" w:rsidRPr="005A386A" w:rsidTr="00C543D2">
        <w:tc>
          <w:tcPr>
            <w:tcW w:w="3072" w:type="dxa"/>
            <w:tcBorders>
              <w:right w:val="nil"/>
            </w:tcBorders>
          </w:tcPr>
          <w:p w:rsidR="00D16F57" w:rsidRDefault="00C543D2" w:rsidP="00D16F57">
            <w:pPr>
              <w:spacing w:after="0" w:line="240" w:lineRule="auto"/>
              <w:rPr>
                <w:rFonts w:cs="Times New Roman"/>
                <w:sz w:val="18"/>
                <w:szCs w:val="18"/>
              </w:rPr>
            </w:pPr>
            <w:r>
              <w:rPr>
                <w:rFonts w:cs="Times New Roman"/>
                <w:sz w:val="18"/>
                <w:szCs w:val="18"/>
              </w:rPr>
              <w:t>Bioplatforms Australia</w:t>
            </w:r>
          </w:p>
          <w:p w:rsidR="00D16F57" w:rsidRPr="00C543D2" w:rsidRDefault="00C543D2" w:rsidP="00C543D2">
            <w:pPr>
              <w:pStyle w:val="ListParagraph"/>
              <w:numPr>
                <w:ilvl w:val="0"/>
                <w:numId w:val="65"/>
              </w:numPr>
              <w:spacing w:after="0" w:line="240" w:lineRule="auto"/>
              <w:ind w:left="357" w:hanging="357"/>
              <w:rPr>
                <w:sz w:val="18"/>
                <w:szCs w:val="18"/>
              </w:rPr>
            </w:pPr>
            <w:r w:rsidRPr="00C543D2">
              <w:rPr>
                <w:sz w:val="18"/>
                <w:szCs w:val="18"/>
              </w:rPr>
              <w:t>Bioplatforms Australia Ltd</w:t>
            </w:r>
          </w:p>
          <w:p w:rsidR="00D16F57" w:rsidRPr="00944A44" w:rsidRDefault="00D16F57" w:rsidP="00D16F57">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D16F57" w:rsidP="00C543D2">
            <w:pPr>
              <w:pStyle w:val="ListParagraph"/>
              <w:numPr>
                <w:ilvl w:val="0"/>
                <w:numId w:val="31"/>
              </w:numPr>
              <w:spacing w:after="0" w:line="240" w:lineRule="auto"/>
              <w:contextualSpacing/>
              <w:rPr>
                <w:sz w:val="18"/>
                <w:szCs w:val="18"/>
              </w:rPr>
            </w:pPr>
            <w:r w:rsidRPr="00944A44">
              <w:rPr>
                <w:sz w:val="18"/>
                <w:szCs w:val="18"/>
              </w:rPr>
              <w:t>Additional operating</w:t>
            </w:r>
          </w:p>
          <w:p w:rsidR="00D16F57" w:rsidRPr="00944A44" w:rsidRDefault="00D16F57" w:rsidP="00C543D2">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675,000</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30,614,520</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689,175</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15,172,312</w:t>
            </w:r>
          </w:p>
          <w:p w:rsidR="00C543D2"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1,600,928</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15,551,620</w:t>
            </w:r>
          </w:p>
          <w:p w:rsidR="00C543D2"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1,836,452</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4,145,578</w:t>
            </w:r>
          </w:p>
        </w:tc>
        <w:tc>
          <w:tcPr>
            <w:tcW w:w="235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15,940,410</w:t>
            </w:r>
          </w:p>
          <w:p w:rsidR="00C543D2"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2,091,125</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6,438,617</w:t>
            </w:r>
          </w:p>
        </w:tc>
        <w:tc>
          <w:tcPr>
            <w:tcW w:w="1944" w:type="dxa"/>
          </w:tcPr>
          <w:p w:rsidR="00D16F57" w:rsidRPr="00944A44" w:rsidRDefault="00D16F57" w:rsidP="000C10D7">
            <w:pPr>
              <w:spacing w:after="0"/>
              <w:jc w:val="right"/>
              <w:rPr>
                <w:rFonts w:cs="Times New Roman"/>
                <w:sz w:val="18"/>
                <w:szCs w:val="18"/>
              </w:rPr>
            </w:pPr>
          </w:p>
          <w:p w:rsidR="00D16F57" w:rsidRDefault="00D16F57" w:rsidP="000C10D7">
            <w:pPr>
              <w:spacing w:before="0" w:after="0" w:line="240" w:lineRule="auto"/>
              <w:jc w:val="right"/>
              <w:rPr>
                <w:rFonts w:cs="Times New Roman"/>
                <w:sz w:val="18"/>
                <w:szCs w:val="18"/>
              </w:rPr>
            </w:pPr>
          </w:p>
          <w:p w:rsidR="00D16F57" w:rsidRPr="00944A44" w:rsidRDefault="00D16F57"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16,338,921</w:t>
            </w:r>
          </w:p>
          <w:p w:rsidR="00C543D2" w:rsidRDefault="00D16F57" w:rsidP="000C10D7">
            <w:pPr>
              <w:spacing w:before="0" w:after="0" w:line="240" w:lineRule="auto"/>
              <w:jc w:val="right"/>
              <w:rPr>
                <w:rFonts w:cs="Times New Roman"/>
                <w:sz w:val="18"/>
                <w:szCs w:val="18"/>
              </w:rPr>
            </w:pPr>
            <w:r w:rsidRPr="00944A44">
              <w:rPr>
                <w:rFonts w:cs="Times New Roman"/>
                <w:sz w:val="18"/>
                <w:szCs w:val="18"/>
              </w:rPr>
              <w:t>$</w:t>
            </w:r>
            <w:r w:rsidR="00134FD6">
              <w:rPr>
                <w:rFonts w:cs="Times New Roman"/>
                <w:sz w:val="18"/>
                <w:szCs w:val="18"/>
              </w:rPr>
              <w:t>-</w:t>
            </w:r>
          </w:p>
          <w:p w:rsidR="00D16F57" w:rsidRPr="00944A44" w:rsidRDefault="00D16F57" w:rsidP="000C10D7">
            <w:pPr>
              <w:spacing w:before="0" w:after="0" w:line="240" w:lineRule="auto"/>
              <w:jc w:val="right"/>
              <w:rPr>
                <w:rFonts w:cs="Times New Roman"/>
                <w:sz w:val="18"/>
                <w:szCs w:val="18"/>
              </w:rPr>
            </w:pPr>
            <w:r>
              <w:rPr>
                <w:rFonts w:cs="Times New Roman"/>
                <w:sz w:val="18"/>
                <w:szCs w:val="18"/>
              </w:rPr>
              <w:t>$</w:t>
            </w:r>
            <w:r w:rsidR="00134FD6">
              <w:rPr>
                <w:rFonts w:cs="Times New Roman"/>
                <w:sz w:val="18"/>
                <w:szCs w:val="18"/>
              </w:rPr>
              <w:t>-</w:t>
            </w:r>
          </w:p>
        </w:tc>
      </w:tr>
      <w:tr w:rsidR="00C543D2" w:rsidRPr="00944A44" w:rsidTr="00C543D2">
        <w:tc>
          <w:tcPr>
            <w:tcW w:w="3072" w:type="dxa"/>
          </w:tcPr>
          <w:p w:rsidR="00C543D2" w:rsidRDefault="00447C0D" w:rsidP="00764D4B">
            <w:pPr>
              <w:spacing w:after="0" w:line="240" w:lineRule="auto"/>
              <w:rPr>
                <w:rFonts w:cs="Times New Roman"/>
                <w:sz w:val="18"/>
                <w:szCs w:val="18"/>
              </w:rPr>
            </w:pPr>
            <w:r>
              <w:rPr>
                <w:rFonts w:cs="Times New Roman"/>
                <w:sz w:val="18"/>
                <w:szCs w:val="18"/>
              </w:rPr>
              <w:t>eResearch Project</w:t>
            </w:r>
            <w:r w:rsidR="00A8579C">
              <w:rPr>
                <w:rFonts w:cs="Times New Roman"/>
                <w:sz w:val="18"/>
                <w:szCs w:val="18"/>
              </w:rPr>
              <w:t xml:space="preserve"> (ANDS</w:t>
            </w:r>
            <w:r w:rsidR="00134FD6">
              <w:rPr>
                <w:rFonts w:cs="Times New Roman"/>
                <w:sz w:val="18"/>
                <w:szCs w:val="18"/>
              </w:rPr>
              <w:t>,</w:t>
            </w:r>
            <w:r w:rsidR="00695039">
              <w:rPr>
                <w:rFonts w:cs="Times New Roman"/>
                <w:sz w:val="18"/>
                <w:szCs w:val="18"/>
              </w:rPr>
              <w:t xml:space="preserve"> </w:t>
            </w:r>
            <w:r w:rsidR="00134FD6">
              <w:rPr>
                <w:rFonts w:cs="Times New Roman"/>
                <w:sz w:val="18"/>
                <w:szCs w:val="18"/>
              </w:rPr>
              <w:t>Ne</w:t>
            </w:r>
            <w:r w:rsidR="00695039">
              <w:rPr>
                <w:rFonts w:cs="Times New Roman"/>
                <w:sz w:val="18"/>
                <w:szCs w:val="18"/>
              </w:rPr>
              <w:t>ctar</w:t>
            </w:r>
            <w:r w:rsidR="00134FD6">
              <w:rPr>
                <w:rFonts w:cs="Times New Roman"/>
                <w:sz w:val="18"/>
                <w:szCs w:val="18"/>
              </w:rPr>
              <w:t xml:space="preserve"> &amp; RDS</w:t>
            </w:r>
            <w:r w:rsidR="00A8579C">
              <w:rPr>
                <w:rFonts w:cs="Times New Roman"/>
                <w:sz w:val="18"/>
                <w:szCs w:val="18"/>
              </w:rPr>
              <w:t>)</w:t>
            </w:r>
          </w:p>
          <w:p w:rsidR="00C543D2" w:rsidRPr="00A8579C" w:rsidRDefault="00A8579C" w:rsidP="00A8579C">
            <w:pPr>
              <w:pStyle w:val="ListParagraph"/>
              <w:numPr>
                <w:ilvl w:val="0"/>
                <w:numId w:val="66"/>
              </w:numPr>
              <w:spacing w:after="0" w:line="240" w:lineRule="auto"/>
              <w:ind w:left="357" w:hanging="357"/>
              <w:rPr>
                <w:sz w:val="18"/>
                <w:szCs w:val="18"/>
              </w:rPr>
            </w:pPr>
            <w:r w:rsidRPr="00A8579C">
              <w:rPr>
                <w:sz w:val="18"/>
                <w:szCs w:val="18"/>
              </w:rPr>
              <w:t>Monash University</w:t>
            </w:r>
            <w:r w:rsidR="00134FD6">
              <w:rPr>
                <w:sz w:val="18"/>
                <w:szCs w:val="18"/>
              </w:rPr>
              <w:t>, University of Melbourne</w:t>
            </w:r>
            <w:r w:rsidR="006A438F">
              <w:rPr>
                <w:sz w:val="18"/>
                <w:szCs w:val="18"/>
              </w:rPr>
              <w:t xml:space="preserve"> &amp; University of Queensland</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Default="00C543D2" w:rsidP="000C10D7">
            <w:pPr>
              <w:spacing w:after="0"/>
              <w:jc w:val="right"/>
              <w:rPr>
                <w:rFonts w:cs="Times New Roman"/>
                <w:sz w:val="18"/>
                <w:szCs w:val="18"/>
              </w:rPr>
            </w:pPr>
          </w:p>
          <w:p w:rsidR="006A438F" w:rsidRPr="00944A44" w:rsidRDefault="006A438F" w:rsidP="006A438F">
            <w:pPr>
              <w:spacing w:after="0"/>
              <w:rPr>
                <w:rFonts w:cs="Times New Roman"/>
                <w:sz w:val="18"/>
                <w:szCs w:val="18"/>
              </w:rPr>
            </w:pPr>
          </w:p>
          <w:p w:rsidR="00C543D2" w:rsidRDefault="00C543D2" w:rsidP="000C10D7">
            <w:pPr>
              <w:spacing w:before="0" w:after="0" w:line="240" w:lineRule="auto"/>
              <w:jc w:val="right"/>
              <w:rPr>
                <w:rFonts w:cs="Times New Roman"/>
                <w:sz w:val="18"/>
                <w:szCs w:val="18"/>
              </w:rPr>
            </w:pPr>
          </w:p>
          <w:p w:rsidR="006A438F" w:rsidRDefault="006A438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1,267,996</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44,483,325</w:t>
            </w:r>
          </w:p>
        </w:tc>
        <w:tc>
          <w:tcPr>
            <w:tcW w:w="2080" w:type="dxa"/>
          </w:tcPr>
          <w:p w:rsidR="00C543D2" w:rsidRDefault="00C543D2" w:rsidP="000C10D7">
            <w:pPr>
              <w:spacing w:after="0"/>
              <w:jc w:val="right"/>
              <w:rPr>
                <w:rFonts w:cs="Times New Roman"/>
                <w:sz w:val="18"/>
                <w:szCs w:val="18"/>
              </w:rPr>
            </w:pPr>
          </w:p>
          <w:p w:rsidR="006A438F" w:rsidRPr="00944A44" w:rsidRDefault="006A438F"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6A438F" w:rsidRDefault="006A438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B45547">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1,294,623</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C543D2" w:rsidRDefault="00C543D2" w:rsidP="000C10D7">
            <w:pPr>
              <w:spacing w:after="0"/>
              <w:jc w:val="right"/>
              <w:rPr>
                <w:rFonts w:cs="Times New Roman"/>
                <w:sz w:val="18"/>
                <w:szCs w:val="18"/>
              </w:rPr>
            </w:pPr>
          </w:p>
          <w:p w:rsidR="006A438F" w:rsidRPr="00944A44" w:rsidRDefault="006A438F"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6A438F" w:rsidRDefault="006A438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21,237,360</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2,717,673</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C543D2" w:rsidRDefault="00C543D2" w:rsidP="000C10D7">
            <w:pPr>
              <w:spacing w:after="0"/>
              <w:jc w:val="right"/>
              <w:rPr>
                <w:rFonts w:cs="Times New Roman"/>
                <w:sz w:val="18"/>
                <w:szCs w:val="18"/>
              </w:rPr>
            </w:pPr>
          </w:p>
          <w:p w:rsidR="006A438F" w:rsidRPr="00944A44" w:rsidRDefault="006A438F"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6A438F" w:rsidRDefault="006A438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21,768,294</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2,849,684</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8,091,564</w:t>
            </w:r>
          </w:p>
        </w:tc>
        <w:tc>
          <w:tcPr>
            <w:tcW w:w="2354" w:type="dxa"/>
          </w:tcPr>
          <w:p w:rsidR="00C543D2" w:rsidRDefault="00C543D2" w:rsidP="000C10D7">
            <w:pPr>
              <w:spacing w:after="0"/>
              <w:jc w:val="right"/>
              <w:rPr>
                <w:rFonts w:cs="Times New Roman"/>
                <w:sz w:val="18"/>
                <w:szCs w:val="18"/>
              </w:rPr>
            </w:pPr>
          </w:p>
          <w:p w:rsidR="006A438F" w:rsidRPr="00944A44" w:rsidRDefault="006A438F"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6A438F" w:rsidRDefault="006A438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22,312,501</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2,993,950</w:t>
            </w:r>
          </w:p>
          <w:p w:rsidR="00C543D2" w:rsidRPr="00944A44" w:rsidRDefault="006A438F" w:rsidP="000C10D7">
            <w:pPr>
              <w:spacing w:before="0" w:after="0" w:line="240" w:lineRule="auto"/>
              <w:jc w:val="right"/>
              <w:rPr>
                <w:rFonts w:cs="Times New Roman"/>
                <w:sz w:val="18"/>
                <w:szCs w:val="18"/>
              </w:rPr>
            </w:pPr>
            <w:r>
              <w:rPr>
                <w:rFonts w:cs="Times New Roman"/>
                <w:sz w:val="18"/>
                <w:szCs w:val="18"/>
              </w:rPr>
              <w:t>$8,501,199</w:t>
            </w:r>
          </w:p>
        </w:tc>
        <w:tc>
          <w:tcPr>
            <w:tcW w:w="1944" w:type="dxa"/>
          </w:tcPr>
          <w:p w:rsidR="00C543D2" w:rsidRDefault="00C543D2" w:rsidP="000C10D7">
            <w:pPr>
              <w:spacing w:after="0"/>
              <w:jc w:val="right"/>
              <w:rPr>
                <w:rFonts w:cs="Times New Roman"/>
                <w:sz w:val="18"/>
                <w:szCs w:val="18"/>
              </w:rPr>
            </w:pPr>
          </w:p>
          <w:p w:rsidR="006A438F" w:rsidRPr="00944A44" w:rsidRDefault="006A438F"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6A438F" w:rsidRDefault="006A438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22,870,314</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A8579C">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A8579C">
              <w:rPr>
                <w:rFonts w:cs="Times New Roman"/>
                <w:sz w:val="18"/>
                <w:szCs w:val="18"/>
              </w:rPr>
              <w:t>-</w:t>
            </w:r>
          </w:p>
        </w:tc>
      </w:tr>
      <w:tr w:rsidR="00C543D2" w:rsidRPr="00944A44" w:rsidTr="00C543D2">
        <w:tc>
          <w:tcPr>
            <w:tcW w:w="3072" w:type="dxa"/>
          </w:tcPr>
          <w:p w:rsidR="00C543D2" w:rsidRDefault="00A8579C" w:rsidP="00764D4B">
            <w:pPr>
              <w:spacing w:after="0" w:line="240" w:lineRule="auto"/>
              <w:rPr>
                <w:rFonts w:cs="Times New Roman"/>
                <w:sz w:val="18"/>
                <w:szCs w:val="18"/>
              </w:rPr>
            </w:pPr>
            <w:r>
              <w:rPr>
                <w:rFonts w:cs="Times New Roman"/>
                <w:sz w:val="18"/>
                <w:szCs w:val="18"/>
              </w:rPr>
              <w:t>Heavy Ion Accelerators</w:t>
            </w:r>
          </w:p>
          <w:p w:rsidR="00C543D2" w:rsidRPr="00A8579C" w:rsidRDefault="00A8579C" w:rsidP="00A8579C">
            <w:pPr>
              <w:pStyle w:val="ListParagraph"/>
              <w:numPr>
                <w:ilvl w:val="0"/>
                <w:numId w:val="69"/>
              </w:numPr>
              <w:spacing w:after="0" w:line="240" w:lineRule="auto"/>
              <w:ind w:left="357" w:hanging="357"/>
              <w:rPr>
                <w:sz w:val="18"/>
                <w:szCs w:val="18"/>
              </w:rPr>
            </w:pPr>
            <w:r w:rsidRPr="00A8579C">
              <w:rPr>
                <w:sz w:val="18"/>
                <w:szCs w:val="18"/>
              </w:rPr>
              <w:t>Australian National University</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1,712,256</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1,755,062</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1,798,939</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1,843,913</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r>
      <w:tr w:rsidR="00E0495E" w:rsidRPr="00944A44" w:rsidTr="00764D4B">
        <w:tc>
          <w:tcPr>
            <w:tcW w:w="3072" w:type="dxa"/>
          </w:tcPr>
          <w:p w:rsidR="00E0495E" w:rsidRDefault="00E0495E" w:rsidP="00764D4B">
            <w:pPr>
              <w:spacing w:after="0" w:line="240" w:lineRule="auto"/>
              <w:rPr>
                <w:rFonts w:cs="Times New Roman"/>
                <w:sz w:val="18"/>
                <w:szCs w:val="18"/>
              </w:rPr>
            </w:pPr>
            <w:r>
              <w:rPr>
                <w:rFonts w:cs="Times New Roman"/>
                <w:sz w:val="18"/>
                <w:szCs w:val="18"/>
              </w:rPr>
              <w:t>Integrated Marine Observing System</w:t>
            </w:r>
          </w:p>
          <w:p w:rsidR="00E0495E" w:rsidRPr="00B55AEC" w:rsidRDefault="00E0495E" w:rsidP="00764D4B">
            <w:pPr>
              <w:pStyle w:val="ListParagraph"/>
              <w:numPr>
                <w:ilvl w:val="0"/>
                <w:numId w:val="70"/>
              </w:numPr>
              <w:spacing w:after="0" w:line="240" w:lineRule="auto"/>
              <w:ind w:left="357" w:hanging="357"/>
              <w:rPr>
                <w:sz w:val="18"/>
                <w:szCs w:val="18"/>
              </w:rPr>
            </w:pPr>
            <w:r w:rsidRPr="00B55AEC">
              <w:rPr>
                <w:sz w:val="18"/>
                <w:szCs w:val="18"/>
              </w:rPr>
              <w:t>University of Tasmania</w:t>
            </w:r>
          </w:p>
          <w:p w:rsidR="00E0495E" w:rsidRPr="00944A44" w:rsidRDefault="00E0495E" w:rsidP="00764D4B">
            <w:pPr>
              <w:pStyle w:val="ListParagraph"/>
              <w:numPr>
                <w:ilvl w:val="0"/>
                <w:numId w:val="31"/>
              </w:numPr>
              <w:spacing w:after="0" w:line="240" w:lineRule="auto"/>
              <w:contextualSpacing/>
              <w:rPr>
                <w:sz w:val="18"/>
                <w:szCs w:val="18"/>
              </w:rPr>
            </w:pPr>
            <w:r w:rsidRPr="00944A44">
              <w:rPr>
                <w:sz w:val="18"/>
                <w:szCs w:val="18"/>
              </w:rPr>
              <w:t>Base operating</w:t>
            </w:r>
          </w:p>
          <w:p w:rsidR="00E0495E" w:rsidRDefault="00E0495E"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E0495E" w:rsidRPr="00944A44" w:rsidRDefault="00E0495E"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E0495E" w:rsidRPr="00944A44" w:rsidRDefault="00E0495E" w:rsidP="000C10D7">
            <w:pPr>
              <w:spacing w:after="0"/>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Pr="00944A44" w:rsidRDefault="00E0495E"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0495E" w:rsidRDefault="00E0495E"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1,181,657</w:t>
            </w:r>
          </w:p>
          <w:p w:rsidR="00E0495E" w:rsidRPr="00944A44" w:rsidRDefault="00E0495E"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10,232,060</w:t>
            </w:r>
          </w:p>
        </w:tc>
        <w:tc>
          <w:tcPr>
            <w:tcW w:w="2080" w:type="dxa"/>
          </w:tcPr>
          <w:p w:rsidR="00E0495E" w:rsidRPr="00944A44" w:rsidRDefault="00E0495E" w:rsidP="000C10D7">
            <w:pPr>
              <w:spacing w:after="0"/>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Pr="00944A44" w:rsidRDefault="00E0495E"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0495E" w:rsidRDefault="00E0495E" w:rsidP="000C10D7">
            <w:pPr>
              <w:spacing w:before="0" w:after="0" w:line="240" w:lineRule="auto"/>
              <w:jc w:val="right"/>
              <w:rPr>
                <w:rFonts w:cs="Times New Roman"/>
                <w:sz w:val="18"/>
                <w:szCs w:val="18"/>
              </w:rPr>
            </w:pPr>
            <w:r w:rsidRPr="00944A44">
              <w:rPr>
                <w:rFonts w:cs="Times New Roman"/>
                <w:sz w:val="18"/>
                <w:szCs w:val="18"/>
              </w:rPr>
              <w:t>$</w:t>
            </w:r>
            <w:r w:rsidR="00031FD1">
              <w:rPr>
                <w:rFonts w:cs="Times New Roman"/>
                <w:sz w:val="18"/>
                <w:szCs w:val="18"/>
              </w:rPr>
              <w:t>1,206,472</w:t>
            </w:r>
          </w:p>
          <w:p w:rsidR="00E0495E" w:rsidRPr="00944A44" w:rsidRDefault="00E0495E" w:rsidP="000C10D7">
            <w:pPr>
              <w:spacing w:before="0" w:after="0" w:line="240" w:lineRule="auto"/>
              <w:jc w:val="right"/>
              <w:rPr>
                <w:rFonts w:cs="Times New Roman"/>
                <w:sz w:val="18"/>
                <w:szCs w:val="18"/>
              </w:rPr>
            </w:pPr>
            <w:r>
              <w:rPr>
                <w:rFonts w:cs="Times New Roman"/>
                <w:sz w:val="18"/>
                <w:szCs w:val="18"/>
              </w:rPr>
              <w:t>$</w:t>
            </w:r>
            <w:r w:rsidR="00031FD1">
              <w:rPr>
                <w:rFonts w:cs="Times New Roman"/>
                <w:sz w:val="18"/>
                <w:szCs w:val="18"/>
              </w:rPr>
              <w:t>-</w:t>
            </w:r>
          </w:p>
        </w:tc>
        <w:tc>
          <w:tcPr>
            <w:tcW w:w="2080" w:type="dxa"/>
          </w:tcPr>
          <w:p w:rsidR="00E0495E" w:rsidRPr="00944A44" w:rsidRDefault="00E0495E" w:rsidP="000C10D7">
            <w:pPr>
              <w:spacing w:after="0"/>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Pr="00944A44" w:rsidRDefault="00E0495E"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16,872,476</w:t>
            </w:r>
          </w:p>
          <w:p w:rsidR="00E0495E" w:rsidRDefault="00E0495E" w:rsidP="000C10D7">
            <w:pPr>
              <w:spacing w:before="0" w:after="0" w:line="240" w:lineRule="auto"/>
              <w:jc w:val="right"/>
              <w:rPr>
                <w:rFonts w:cs="Times New Roman"/>
                <w:sz w:val="18"/>
                <w:szCs w:val="18"/>
              </w:rPr>
            </w:pPr>
            <w:r w:rsidRPr="00944A44">
              <w:rPr>
                <w:rFonts w:cs="Times New Roman"/>
                <w:sz w:val="18"/>
                <w:szCs w:val="18"/>
              </w:rPr>
              <w:t>$</w:t>
            </w:r>
            <w:r w:rsidR="00031FD1">
              <w:rPr>
                <w:rFonts w:cs="Times New Roman"/>
                <w:sz w:val="18"/>
                <w:szCs w:val="18"/>
              </w:rPr>
              <w:t>2,661,696</w:t>
            </w:r>
          </w:p>
          <w:p w:rsidR="00E0495E" w:rsidRPr="00944A44" w:rsidRDefault="00E0495E" w:rsidP="000C10D7">
            <w:pPr>
              <w:spacing w:before="0" w:after="0" w:line="240" w:lineRule="auto"/>
              <w:jc w:val="right"/>
              <w:rPr>
                <w:rFonts w:cs="Times New Roman"/>
                <w:sz w:val="18"/>
                <w:szCs w:val="18"/>
              </w:rPr>
            </w:pPr>
            <w:r>
              <w:rPr>
                <w:rFonts w:cs="Times New Roman"/>
                <w:sz w:val="18"/>
                <w:szCs w:val="18"/>
              </w:rPr>
              <w:t>$</w:t>
            </w:r>
            <w:r w:rsidR="00031FD1">
              <w:rPr>
                <w:rFonts w:cs="Times New Roman"/>
                <w:sz w:val="18"/>
                <w:szCs w:val="18"/>
              </w:rPr>
              <w:t>-</w:t>
            </w:r>
          </w:p>
        </w:tc>
        <w:tc>
          <w:tcPr>
            <w:tcW w:w="2081" w:type="dxa"/>
          </w:tcPr>
          <w:p w:rsidR="00E0495E" w:rsidRPr="00944A44" w:rsidRDefault="00E0495E" w:rsidP="000C10D7">
            <w:pPr>
              <w:spacing w:after="0"/>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Pr="00944A44" w:rsidRDefault="00E0495E"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17,294,288</w:t>
            </w:r>
          </w:p>
          <w:p w:rsidR="00E0495E" w:rsidRDefault="00E0495E" w:rsidP="000C10D7">
            <w:pPr>
              <w:spacing w:before="0" w:after="0" w:line="240" w:lineRule="auto"/>
              <w:jc w:val="right"/>
              <w:rPr>
                <w:rFonts w:cs="Times New Roman"/>
                <w:sz w:val="18"/>
                <w:szCs w:val="18"/>
              </w:rPr>
            </w:pPr>
            <w:r w:rsidRPr="00944A44">
              <w:rPr>
                <w:rFonts w:cs="Times New Roman"/>
                <w:sz w:val="18"/>
                <w:szCs w:val="18"/>
              </w:rPr>
              <w:t>$</w:t>
            </w:r>
            <w:r w:rsidR="00031FD1">
              <w:rPr>
                <w:rFonts w:cs="Times New Roman"/>
                <w:sz w:val="18"/>
                <w:szCs w:val="18"/>
              </w:rPr>
              <w:t>2,646,041</w:t>
            </w:r>
          </w:p>
          <w:p w:rsidR="00E0495E" w:rsidRPr="00944A44" w:rsidRDefault="00E0495E" w:rsidP="000C10D7">
            <w:pPr>
              <w:spacing w:before="0" w:after="0" w:line="240" w:lineRule="auto"/>
              <w:jc w:val="right"/>
              <w:rPr>
                <w:rFonts w:cs="Times New Roman"/>
                <w:sz w:val="18"/>
                <w:szCs w:val="18"/>
              </w:rPr>
            </w:pPr>
            <w:r>
              <w:rPr>
                <w:rFonts w:cs="Times New Roman"/>
                <w:sz w:val="18"/>
                <w:szCs w:val="18"/>
              </w:rPr>
              <w:t>$</w:t>
            </w:r>
            <w:r w:rsidR="00031FD1">
              <w:rPr>
                <w:rFonts w:cs="Times New Roman"/>
                <w:sz w:val="18"/>
                <w:szCs w:val="18"/>
              </w:rPr>
              <w:t>682,067</w:t>
            </w:r>
          </w:p>
        </w:tc>
        <w:tc>
          <w:tcPr>
            <w:tcW w:w="2354" w:type="dxa"/>
          </w:tcPr>
          <w:p w:rsidR="00E0495E" w:rsidRPr="00944A44" w:rsidRDefault="00E0495E" w:rsidP="000C10D7">
            <w:pPr>
              <w:spacing w:after="0"/>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Pr="00944A44" w:rsidRDefault="00E0495E"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17,726,645</w:t>
            </w:r>
          </w:p>
          <w:p w:rsidR="00E0495E" w:rsidRDefault="00E0495E" w:rsidP="000C10D7">
            <w:pPr>
              <w:spacing w:before="0" w:after="0" w:line="240" w:lineRule="auto"/>
              <w:jc w:val="right"/>
              <w:rPr>
                <w:rFonts w:cs="Times New Roman"/>
                <w:sz w:val="18"/>
                <w:szCs w:val="18"/>
              </w:rPr>
            </w:pPr>
            <w:r w:rsidRPr="00944A44">
              <w:rPr>
                <w:rFonts w:cs="Times New Roman"/>
                <w:sz w:val="18"/>
                <w:szCs w:val="18"/>
              </w:rPr>
              <w:t>$</w:t>
            </w:r>
            <w:r w:rsidR="00031FD1">
              <w:rPr>
                <w:rFonts w:cs="Times New Roman"/>
                <w:sz w:val="18"/>
                <w:szCs w:val="18"/>
              </w:rPr>
              <w:t>2,766,437</w:t>
            </w:r>
          </w:p>
          <w:p w:rsidR="00E0495E" w:rsidRPr="00944A44" w:rsidRDefault="00E0495E" w:rsidP="000C10D7">
            <w:pPr>
              <w:spacing w:before="0" w:after="0" w:line="240" w:lineRule="auto"/>
              <w:jc w:val="right"/>
              <w:rPr>
                <w:rFonts w:cs="Times New Roman"/>
                <w:sz w:val="18"/>
                <w:szCs w:val="18"/>
              </w:rPr>
            </w:pPr>
            <w:r>
              <w:rPr>
                <w:rFonts w:cs="Times New Roman"/>
                <w:sz w:val="18"/>
                <w:szCs w:val="18"/>
              </w:rPr>
              <w:t>$</w:t>
            </w:r>
            <w:r w:rsidR="00031FD1">
              <w:rPr>
                <w:rFonts w:cs="Times New Roman"/>
                <w:sz w:val="18"/>
                <w:szCs w:val="18"/>
              </w:rPr>
              <w:t>668,803</w:t>
            </w:r>
          </w:p>
        </w:tc>
        <w:tc>
          <w:tcPr>
            <w:tcW w:w="1944" w:type="dxa"/>
          </w:tcPr>
          <w:p w:rsidR="00E0495E" w:rsidRPr="00944A44" w:rsidRDefault="00E0495E" w:rsidP="000C10D7">
            <w:pPr>
              <w:spacing w:after="0"/>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Default="00E0495E" w:rsidP="000C10D7">
            <w:pPr>
              <w:spacing w:before="0" w:after="0" w:line="240" w:lineRule="auto"/>
              <w:jc w:val="right"/>
              <w:rPr>
                <w:rFonts w:cs="Times New Roman"/>
                <w:sz w:val="18"/>
                <w:szCs w:val="18"/>
              </w:rPr>
            </w:pPr>
          </w:p>
          <w:p w:rsidR="00E0495E" w:rsidRPr="00944A44" w:rsidRDefault="00E0495E"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18,169,811</w:t>
            </w:r>
          </w:p>
          <w:p w:rsidR="00E0495E" w:rsidRDefault="00E0495E"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E0495E" w:rsidRPr="00944A44" w:rsidRDefault="00E0495E"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r>
      <w:tr w:rsidR="00C543D2" w:rsidRPr="00944A44" w:rsidTr="00C543D2">
        <w:tc>
          <w:tcPr>
            <w:tcW w:w="3072" w:type="dxa"/>
          </w:tcPr>
          <w:p w:rsidR="00C543D2" w:rsidRDefault="00E0495E" w:rsidP="00764D4B">
            <w:pPr>
              <w:spacing w:after="0" w:line="240" w:lineRule="auto"/>
              <w:rPr>
                <w:rFonts w:cs="Times New Roman"/>
                <w:sz w:val="18"/>
                <w:szCs w:val="18"/>
              </w:rPr>
            </w:pPr>
            <w:r>
              <w:rPr>
                <w:rFonts w:cs="Times New Roman"/>
                <w:sz w:val="18"/>
                <w:szCs w:val="18"/>
              </w:rPr>
              <w:t>Marine National Facility</w:t>
            </w:r>
          </w:p>
          <w:p w:rsidR="00C543D2" w:rsidRPr="00B55AEC" w:rsidRDefault="00B55AEC" w:rsidP="00B55AEC">
            <w:pPr>
              <w:pStyle w:val="ListParagraph"/>
              <w:numPr>
                <w:ilvl w:val="0"/>
                <w:numId w:val="70"/>
              </w:numPr>
              <w:spacing w:after="0" w:line="240" w:lineRule="auto"/>
              <w:ind w:left="357" w:hanging="357"/>
              <w:rPr>
                <w:sz w:val="18"/>
                <w:szCs w:val="18"/>
              </w:rPr>
            </w:pPr>
            <w:r w:rsidRPr="00B55AEC">
              <w:rPr>
                <w:sz w:val="18"/>
                <w:szCs w:val="18"/>
              </w:rPr>
              <w:t>University of Tasmania</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E0495E">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5,703,000</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1,600,000</w:t>
            </w:r>
          </w:p>
        </w:tc>
        <w:tc>
          <w:tcPr>
            <w:tcW w:w="2080"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E0495E">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E0495E">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7,285,000</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1,600,000</w:t>
            </w:r>
          </w:p>
        </w:tc>
        <w:tc>
          <w:tcPr>
            <w:tcW w:w="2081"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E0495E">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5,843,000</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1,600,000</w:t>
            </w:r>
          </w:p>
        </w:tc>
        <w:tc>
          <w:tcPr>
            <w:tcW w:w="2354"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E0495E">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7916AC">
              <w:rPr>
                <w:rFonts w:cs="Times New Roman"/>
                <w:sz w:val="18"/>
                <w:szCs w:val="18"/>
              </w:rPr>
              <w:t>5,924,000</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7916AC">
              <w:rPr>
                <w:rFonts w:cs="Times New Roman"/>
                <w:sz w:val="18"/>
                <w:szCs w:val="18"/>
              </w:rPr>
              <w:t>1,600,000</w:t>
            </w:r>
          </w:p>
        </w:tc>
        <w:tc>
          <w:tcPr>
            <w:tcW w:w="1944"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E0495E">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r>
      <w:tr w:rsidR="005A4F0B" w:rsidRPr="00944A44" w:rsidTr="00764D4B">
        <w:tc>
          <w:tcPr>
            <w:tcW w:w="3072" w:type="dxa"/>
          </w:tcPr>
          <w:p w:rsidR="005A4F0B" w:rsidRDefault="005A4F0B" w:rsidP="00764D4B">
            <w:pPr>
              <w:spacing w:after="0" w:line="240" w:lineRule="auto"/>
              <w:rPr>
                <w:rFonts w:cs="Times New Roman"/>
                <w:sz w:val="18"/>
                <w:szCs w:val="18"/>
              </w:rPr>
            </w:pPr>
            <w:r>
              <w:rPr>
                <w:rFonts w:cs="Times New Roman"/>
                <w:sz w:val="18"/>
                <w:szCs w:val="18"/>
              </w:rPr>
              <w:t>National Computational Infrastructure</w:t>
            </w:r>
          </w:p>
          <w:p w:rsidR="005A4F0B" w:rsidRPr="00B55AEC" w:rsidRDefault="005A4F0B" w:rsidP="00764D4B">
            <w:pPr>
              <w:pStyle w:val="ListParagraph"/>
              <w:numPr>
                <w:ilvl w:val="0"/>
                <w:numId w:val="71"/>
              </w:numPr>
              <w:spacing w:after="0" w:line="240" w:lineRule="auto"/>
              <w:ind w:left="357" w:hanging="357"/>
              <w:rPr>
                <w:sz w:val="18"/>
                <w:szCs w:val="18"/>
              </w:rPr>
            </w:pPr>
            <w:r>
              <w:rPr>
                <w:sz w:val="18"/>
                <w:szCs w:val="18"/>
              </w:rPr>
              <w:t>Australian National University</w:t>
            </w:r>
          </w:p>
          <w:p w:rsidR="005A4F0B" w:rsidRPr="00944A44" w:rsidRDefault="005A4F0B" w:rsidP="00764D4B">
            <w:pPr>
              <w:pStyle w:val="ListParagraph"/>
              <w:numPr>
                <w:ilvl w:val="0"/>
                <w:numId w:val="31"/>
              </w:numPr>
              <w:spacing w:after="0" w:line="240" w:lineRule="auto"/>
              <w:contextualSpacing/>
              <w:rPr>
                <w:sz w:val="18"/>
                <w:szCs w:val="18"/>
              </w:rPr>
            </w:pPr>
            <w:r w:rsidRPr="00944A44">
              <w:rPr>
                <w:sz w:val="18"/>
                <w:szCs w:val="18"/>
              </w:rPr>
              <w:t>Base operating</w:t>
            </w:r>
          </w:p>
          <w:p w:rsidR="005A4F0B" w:rsidRDefault="005A4F0B"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5A4F0B" w:rsidRPr="00944A44" w:rsidRDefault="005A4F0B"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69,200,000</w:t>
            </w:r>
          </w:p>
        </w:tc>
        <w:tc>
          <w:tcPr>
            <w:tcW w:w="2080"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800,000</w:t>
            </w:r>
          </w:p>
        </w:tc>
        <w:tc>
          <w:tcPr>
            <w:tcW w:w="2080"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5,913,206</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6,061,037</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354"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6,212,562</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6,303,664</w:t>
            </w:r>
          </w:p>
        </w:tc>
        <w:tc>
          <w:tcPr>
            <w:tcW w:w="1944"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6,367,877</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r>
      <w:tr w:rsidR="00C543D2" w:rsidRPr="00944A44" w:rsidTr="00C543D2">
        <w:tc>
          <w:tcPr>
            <w:tcW w:w="3072" w:type="dxa"/>
          </w:tcPr>
          <w:p w:rsidR="00C543D2" w:rsidRDefault="00B55AEC" w:rsidP="00764D4B">
            <w:pPr>
              <w:spacing w:after="0" w:line="240" w:lineRule="auto"/>
              <w:rPr>
                <w:rFonts w:cs="Times New Roman"/>
                <w:sz w:val="18"/>
                <w:szCs w:val="18"/>
              </w:rPr>
            </w:pPr>
            <w:r>
              <w:rPr>
                <w:rFonts w:cs="Times New Roman"/>
                <w:sz w:val="18"/>
                <w:szCs w:val="18"/>
              </w:rPr>
              <w:t xml:space="preserve">National </w:t>
            </w:r>
            <w:r w:rsidR="005A4F0B">
              <w:rPr>
                <w:rFonts w:cs="Times New Roman"/>
                <w:sz w:val="18"/>
                <w:szCs w:val="18"/>
              </w:rPr>
              <w:t>Deuteration Facility</w:t>
            </w:r>
            <w:r>
              <w:rPr>
                <w:rFonts w:cs="Times New Roman"/>
                <w:sz w:val="18"/>
                <w:szCs w:val="18"/>
              </w:rPr>
              <w:t xml:space="preserve"> </w:t>
            </w:r>
          </w:p>
          <w:p w:rsidR="00C543D2" w:rsidRPr="00B55AEC" w:rsidRDefault="005A4F0B" w:rsidP="00B55AEC">
            <w:pPr>
              <w:pStyle w:val="ListParagraph"/>
              <w:numPr>
                <w:ilvl w:val="0"/>
                <w:numId w:val="71"/>
              </w:numPr>
              <w:spacing w:after="0" w:line="240" w:lineRule="auto"/>
              <w:ind w:left="357" w:hanging="357"/>
              <w:rPr>
                <w:sz w:val="18"/>
                <w:szCs w:val="18"/>
              </w:rPr>
            </w:pPr>
            <w:r>
              <w:rPr>
                <w:sz w:val="18"/>
                <w:szCs w:val="18"/>
              </w:rPr>
              <w:t>ANSTO</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B55AEC" w:rsidRPr="00944A44" w:rsidRDefault="00B55AEC"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655,826</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672,222</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354"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689,028</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98,536</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50,000</w:t>
            </w:r>
          </w:p>
        </w:tc>
        <w:tc>
          <w:tcPr>
            <w:tcW w:w="1944" w:type="dxa"/>
          </w:tcPr>
          <w:p w:rsidR="00C543D2" w:rsidRPr="00944A44" w:rsidRDefault="00C543D2" w:rsidP="000C10D7">
            <w:pPr>
              <w:spacing w:after="0"/>
              <w:jc w:val="right"/>
              <w:rPr>
                <w:rFonts w:cs="Times New Roman"/>
                <w:sz w:val="18"/>
                <w:szCs w:val="18"/>
              </w:rPr>
            </w:pPr>
          </w:p>
          <w:p w:rsidR="00B55AEC" w:rsidRDefault="00B55AEC"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706,253</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r>
    </w:tbl>
    <w:p w:rsidR="006A438F" w:rsidRDefault="006A438F">
      <w:r>
        <w:br w:type="page"/>
      </w:r>
    </w:p>
    <w:tbl>
      <w:tblPr>
        <w:tblStyle w:val="TableGrid"/>
        <w:tblW w:w="15701" w:type="dxa"/>
        <w:tblLook w:val="04A0" w:firstRow="1" w:lastRow="0" w:firstColumn="1" w:lastColumn="0" w:noHBand="0" w:noVBand="1"/>
      </w:tblPr>
      <w:tblGrid>
        <w:gridCol w:w="3072"/>
        <w:gridCol w:w="2090"/>
        <w:gridCol w:w="2080"/>
        <w:gridCol w:w="2080"/>
        <w:gridCol w:w="2081"/>
        <w:gridCol w:w="2354"/>
        <w:gridCol w:w="1944"/>
      </w:tblGrid>
      <w:tr w:rsidR="00C543D2" w:rsidRPr="00944A44" w:rsidTr="00C543D2">
        <w:tc>
          <w:tcPr>
            <w:tcW w:w="3072" w:type="dxa"/>
          </w:tcPr>
          <w:p w:rsidR="00C543D2" w:rsidRDefault="00E6371A" w:rsidP="00764D4B">
            <w:pPr>
              <w:spacing w:after="0" w:line="240" w:lineRule="auto"/>
              <w:rPr>
                <w:rFonts w:cs="Times New Roman"/>
                <w:sz w:val="18"/>
                <w:szCs w:val="18"/>
              </w:rPr>
            </w:pPr>
            <w:r>
              <w:rPr>
                <w:rFonts w:cs="Times New Roman"/>
                <w:sz w:val="18"/>
                <w:szCs w:val="18"/>
              </w:rPr>
              <w:t>National Imaging Facility</w:t>
            </w:r>
          </w:p>
          <w:p w:rsidR="00C543D2" w:rsidRPr="00E6371A" w:rsidRDefault="00E6371A" w:rsidP="00E6371A">
            <w:pPr>
              <w:pStyle w:val="ListParagraph"/>
              <w:numPr>
                <w:ilvl w:val="0"/>
                <w:numId w:val="72"/>
              </w:numPr>
              <w:spacing w:after="0" w:line="240" w:lineRule="auto"/>
              <w:ind w:left="357" w:hanging="357"/>
              <w:rPr>
                <w:sz w:val="18"/>
                <w:szCs w:val="18"/>
              </w:rPr>
            </w:pPr>
            <w:r w:rsidRPr="00E6371A">
              <w:rPr>
                <w:sz w:val="18"/>
                <w:szCs w:val="18"/>
              </w:rPr>
              <w:t>University of Queensland</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802,300</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35,203,000</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6A438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819,148</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3,217,749</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2,489,757</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3,298,193</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3,096,048</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4,186,007</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3,380,648</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3,521,893</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3,445,912</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3,465,164</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5A4F0B" w:rsidRPr="00944A44" w:rsidTr="00764D4B">
        <w:tc>
          <w:tcPr>
            <w:tcW w:w="3072" w:type="dxa"/>
          </w:tcPr>
          <w:p w:rsidR="005A4F0B" w:rsidRDefault="005A4F0B" w:rsidP="00764D4B">
            <w:pPr>
              <w:spacing w:after="0" w:line="240" w:lineRule="auto"/>
              <w:rPr>
                <w:rFonts w:cs="Times New Roman"/>
                <w:sz w:val="18"/>
                <w:szCs w:val="18"/>
              </w:rPr>
            </w:pPr>
            <w:r>
              <w:rPr>
                <w:rFonts w:cs="Times New Roman"/>
                <w:sz w:val="18"/>
                <w:szCs w:val="18"/>
              </w:rPr>
              <w:t>Nuclear Science Facility (ACNS and CAS)</w:t>
            </w:r>
          </w:p>
          <w:p w:rsidR="005A4F0B" w:rsidRPr="00B55AEC" w:rsidRDefault="005A4F0B" w:rsidP="00764D4B">
            <w:pPr>
              <w:pStyle w:val="ListParagraph"/>
              <w:numPr>
                <w:ilvl w:val="0"/>
                <w:numId w:val="71"/>
              </w:numPr>
              <w:spacing w:after="0" w:line="240" w:lineRule="auto"/>
              <w:ind w:left="357" w:hanging="357"/>
              <w:rPr>
                <w:sz w:val="18"/>
                <w:szCs w:val="18"/>
              </w:rPr>
            </w:pPr>
            <w:r>
              <w:rPr>
                <w:sz w:val="18"/>
                <w:szCs w:val="18"/>
              </w:rPr>
              <w:t>ANSTO</w:t>
            </w:r>
          </w:p>
          <w:p w:rsidR="005A4F0B" w:rsidRPr="00944A44" w:rsidRDefault="005A4F0B" w:rsidP="00764D4B">
            <w:pPr>
              <w:pStyle w:val="ListParagraph"/>
              <w:numPr>
                <w:ilvl w:val="0"/>
                <w:numId w:val="31"/>
              </w:numPr>
              <w:spacing w:after="0" w:line="240" w:lineRule="auto"/>
              <w:contextualSpacing/>
              <w:rPr>
                <w:sz w:val="18"/>
                <w:szCs w:val="18"/>
              </w:rPr>
            </w:pPr>
            <w:r w:rsidRPr="00944A44">
              <w:rPr>
                <w:sz w:val="18"/>
                <w:szCs w:val="18"/>
              </w:rPr>
              <w:t>Base operating</w:t>
            </w:r>
          </w:p>
          <w:p w:rsidR="005A4F0B" w:rsidRDefault="005A4F0B"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5A4F0B" w:rsidRPr="00944A44" w:rsidRDefault="005A4F0B"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7,099,940</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7,277,438</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503E53">
              <w:rPr>
                <w:rFonts w:cs="Times New Roman"/>
                <w:sz w:val="18"/>
                <w:szCs w:val="18"/>
              </w:rPr>
              <w:t>55,905</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354"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7,459,374</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404,371</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6,738,000</w:t>
            </w:r>
          </w:p>
        </w:tc>
        <w:tc>
          <w:tcPr>
            <w:tcW w:w="1944" w:type="dxa"/>
          </w:tcPr>
          <w:p w:rsidR="005A4F0B" w:rsidRPr="00944A44" w:rsidRDefault="005A4F0B" w:rsidP="000C10D7">
            <w:pPr>
              <w:spacing w:after="0"/>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Default="005A4F0B" w:rsidP="000C10D7">
            <w:pPr>
              <w:spacing w:before="0" w:after="0" w:line="240" w:lineRule="auto"/>
              <w:jc w:val="right"/>
              <w:rPr>
                <w:rFonts w:cs="Times New Roman"/>
                <w:sz w:val="18"/>
                <w:szCs w:val="18"/>
              </w:rPr>
            </w:pPr>
          </w:p>
          <w:p w:rsidR="005A4F0B" w:rsidRPr="00944A44" w:rsidRDefault="005A4F0B"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7,645,859</w:t>
            </w:r>
          </w:p>
          <w:p w:rsidR="005A4F0B" w:rsidRDefault="005A4F0B"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5A4F0B" w:rsidRPr="00944A44" w:rsidRDefault="005A4F0B"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503E53" w:rsidRPr="00944A44" w:rsidTr="00091BDA">
        <w:tc>
          <w:tcPr>
            <w:tcW w:w="3072" w:type="dxa"/>
          </w:tcPr>
          <w:p w:rsidR="00503E53" w:rsidRDefault="00503E53" w:rsidP="00091BDA">
            <w:pPr>
              <w:spacing w:after="0" w:line="240" w:lineRule="auto"/>
              <w:rPr>
                <w:rFonts w:cs="Times New Roman"/>
                <w:sz w:val="18"/>
                <w:szCs w:val="18"/>
              </w:rPr>
            </w:pPr>
            <w:r>
              <w:rPr>
                <w:rFonts w:cs="Times New Roman"/>
                <w:sz w:val="18"/>
                <w:szCs w:val="18"/>
              </w:rPr>
              <w:t>Pawsey Supercomputing Centre</w:t>
            </w:r>
          </w:p>
          <w:p w:rsidR="00503E53" w:rsidRPr="00B22728" w:rsidRDefault="00503E53" w:rsidP="00091BDA">
            <w:pPr>
              <w:pStyle w:val="ListParagraph"/>
              <w:numPr>
                <w:ilvl w:val="0"/>
                <w:numId w:val="73"/>
              </w:numPr>
              <w:spacing w:after="0" w:line="240" w:lineRule="auto"/>
              <w:ind w:left="357" w:hanging="357"/>
              <w:rPr>
                <w:sz w:val="18"/>
                <w:szCs w:val="18"/>
              </w:rPr>
            </w:pPr>
            <w:r>
              <w:rPr>
                <w:sz w:val="18"/>
                <w:szCs w:val="18"/>
              </w:rPr>
              <w:t>CSIRO</w:t>
            </w:r>
          </w:p>
          <w:p w:rsidR="00503E53" w:rsidRPr="00944A44" w:rsidRDefault="00503E53" w:rsidP="00091BDA">
            <w:pPr>
              <w:pStyle w:val="ListParagraph"/>
              <w:numPr>
                <w:ilvl w:val="0"/>
                <w:numId w:val="31"/>
              </w:numPr>
              <w:spacing w:after="0" w:line="240" w:lineRule="auto"/>
              <w:contextualSpacing/>
              <w:rPr>
                <w:sz w:val="18"/>
                <w:szCs w:val="18"/>
              </w:rPr>
            </w:pPr>
            <w:r w:rsidRPr="00944A44">
              <w:rPr>
                <w:sz w:val="18"/>
                <w:szCs w:val="18"/>
              </w:rPr>
              <w:t>Base operating</w:t>
            </w:r>
          </w:p>
          <w:p w:rsidR="00503E53" w:rsidRDefault="00503E53" w:rsidP="00091BDA">
            <w:pPr>
              <w:pStyle w:val="ListParagraph"/>
              <w:numPr>
                <w:ilvl w:val="0"/>
                <w:numId w:val="31"/>
              </w:numPr>
              <w:spacing w:after="0" w:line="240" w:lineRule="auto"/>
              <w:contextualSpacing/>
              <w:rPr>
                <w:sz w:val="18"/>
                <w:szCs w:val="18"/>
              </w:rPr>
            </w:pPr>
            <w:r w:rsidRPr="00944A44">
              <w:rPr>
                <w:sz w:val="18"/>
                <w:szCs w:val="18"/>
              </w:rPr>
              <w:t>Additional operating</w:t>
            </w:r>
          </w:p>
          <w:p w:rsidR="00503E53" w:rsidRPr="00944A44" w:rsidRDefault="00503E53" w:rsidP="00091BDA">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503E53" w:rsidRPr="00944A44" w:rsidRDefault="00503E53" w:rsidP="00091BDA">
            <w:pPr>
              <w:spacing w:after="0"/>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Pr="00944A44" w:rsidRDefault="00503E53" w:rsidP="00091BDA">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03E53" w:rsidRDefault="00503E53" w:rsidP="00091BDA">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03E53" w:rsidRPr="00944A44" w:rsidRDefault="00503E53" w:rsidP="00091BDA">
            <w:pPr>
              <w:spacing w:before="0" w:after="0" w:line="240" w:lineRule="auto"/>
              <w:jc w:val="right"/>
              <w:rPr>
                <w:rFonts w:cs="Times New Roman"/>
                <w:sz w:val="18"/>
                <w:szCs w:val="18"/>
              </w:rPr>
            </w:pPr>
            <w:r>
              <w:rPr>
                <w:rFonts w:cs="Times New Roman"/>
                <w:sz w:val="18"/>
                <w:szCs w:val="18"/>
              </w:rPr>
              <w:t>$</w:t>
            </w:r>
            <w:r w:rsidR="000C10D7">
              <w:rPr>
                <w:rFonts w:cs="Times New Roman"/>
                <w:sz w:val="18"/>
                <w:szCs w:val="18"/>
              </w:rPr>
              <w:t>-</w:t>
            </w:r>
          </w:p>
        </w:tc>
        <w:tc>
          <w:tcPr>
            <w:tcW w:w="2080" w:type="dxa"/>
          </w:tcPr>
          <w:p w:rsidR="00503E53" w:rsidRPr="00944A44" w:rsidRDefault="00503E53" w:rsidP="00091BDA">
            <w:pPr>
              <w:spacing w:after="0"/>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Pr="00944A44" w:rsidRDefault="00503E53" w:rsidP="00091BDA">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03E53" w:rsidRDefault="00503E53" w:rsidP="00091BDA">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03E53" w:rsidRPr="00944A44" w:rsidRDefault="00503E53" w:rsidP="00091BDA">
            <w:pPr>
              <w:spacing w:before="0" w:after="0" w:line="240" w:lineRule="auto"/>
              <w:jc w:val="right"/>
              <w:rPr>
                <w:rFonts w:cs="Times New Roman"/>
                <w:sz w:val="18"/>
                <w:szCs w:val="18"/>
              </w:rPr>
            </w:pPr>
            <w:r>
              <w:rPr>
                <w:rFonts w:cs="Times New Roman"/>
                <w:sz w:val="18"/>
                <w:szCs w:val="18"/>
              </w:rPr>
              <w:t>$-</w:t>
            </w:r>
          </w:p>
        </w:tc>
        <w:tc>
          <w:tcPr>
            <w:tcW w:w="2080" w:type="dxa"/>
          </w:tcPr>
          <w:p w:rsidR="00503E53" w:rsidRPr="00944A44" w:rsidRDefault="00503E53" w:rsidP="00091BDA">
            <w:pPr>
              <w:spacing w:after="0"/>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Pr="00944A44" w:rsidRDefault="00503E53" w:rsidP="00091BDA">
            <w:pPr>
              <w:spacing w:before="0" w:after="0" w:line="240" w:lineRule="auto"/>
              <w:jc w:val="right"/>
              <w:rPr>
                <w:rFonts w:cs="Times New Roman"/>
                <w:sz w:val="18"/>
                <w:szCs w:val="18"/>
              </w:rPr>
            </w:pPr>
            <w:r w:rsidRPr="00944A44">
              <w:rPr>
                <w:rFonts w:cs="Times New Roman"/>
                <w:sz w:val="18"/>
                <w:szCs w:val="18"/>
              </w:rPr>
              <w:t>$</w:t>
            </w:r>
            <w:r w:rsidR="000C10D7">
              <w:rPr>
                <w:rFonts w:cs="Times New Roman"/>
                <w:sz w:val="18"/>
                <w:szCs w:val="18"/>
              </w:rPr>
              <w:t>6,226,582</w:t>
            </w:r>
          </w:p>
          <w:p w:rsidR="00503E53" w:rsidRDefault="00503E53" w:rsidP="00091BDA">
            <w:pPr>
              <w:spacing w:before="0" w:after="0" w:line="240" w:lineRule="auto"/>
              <w:jc w:val="right"/>
              <w:rPr>
                <w:rFonts w:cs="Times New Roman"/>
                <w:sz w:val="18"/>
                <w:szCs w:val="18"/>
              </w:rPr>
            </w:pPr>
            <w:r w:rsidRPr="00944A44">
              <w:rPr>
                <w:rFonts w:cs="Times New Roman"/>
                <w:sz w:val="18"/>
                <w:szCs w:val="18"/>
              </w:rPr>
              <w:t>$</w:t>
            </w:r>
            <w:r w:rsidR="000C10D7">
              <w:rPr>
                <w:rFonts w:cs="Times New Roman"/>
                <w:sz w:val="18"/>
                <w:szCs w:val="18"/>
              </w:rPr>
              <w:t>-</w:t>
            </w:r>
          </w:p>
          <w:p w:rsidR="00503E53" w:rsidRPr="00944A44" w:rsidRDefault="00503E53" w:rsidP="00091BDA">
            <w:pPr>
              <w:spacing w:before="0" w:after="0" w:line="240" w:lineRule="auto"/>
              <w:jc w:val="right"/>
              <w:rPr>
                <w:rFonts w:cs="Times New Roman"/>
                <w:sz w:val="18"/>
                <w:szCs w:val="18"/>
              </w:rPr>
            </w:pPr>
            <w:r>
              <w:rPr>
                <w:rFonts w:cs="Times New Roman"/>
                <w:sz w:val="18"/>
                <w:szCs w:val="18"/>
              </w:rPr>
              <w:t>$-</w:t>
            </w:r>
          </w:p>
        </w:tc>
        <w:tc>
          <w:tcPr>
            <w:tcW w:w="2081" w:type="dxa"/>
          </w:tcPr>
          <w:p w:rsidR="00503E53" w:rsidRPr="00944A44" w:rsidRDefault="00503E53" w:rsidP="00091BDA">
            <w:pPr>
              <w:spacing w:after="0"/>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Pr="00944A44" w:rsidRDefault="00503E53" w:rsidP="00091BDA">
            <w:pPr>
              <w:spacing w:before="0" w:after="0" w:line="240" w:lineRule="auto"/>
              <w:jc w:val="right"/>
              <w:rPr>
                <w:rFonts w:cs="Times New Roman"/>
                <w:sz w:val="18"/>
                <w:szCs w:val="18"/>
              </w:rPr>
            </w:pPr>
            <w:r w:rsidRPr="00944A44">
              <w:rPr>
                <w:rFonts w:cs="Times New Roman"/>
                <w:sz w:val="18"/>
                <w:szCs w:val="18"/>
              </w:rPr>
              <w:t>$</w:t>
            </w:r>
            <w:r w:rsidR="000C10D7">
              <w:rPr>
                <w:rFonts w:cs="Times New Roman"/>
                <w:sz w:val="18"/>
                <w:szCs w:val="18"/>
              </w:rPr>
              <w:t>6,382,246</w:t>
            </w:r>
          </w:p>
          <w:p w:rsidR="00503E53" w:rsidRDefault="00503E53" w:rsidP="00091BDA">
            <w:pPr>
              <w:spacing w:before="0" w:after="0" w:line="240" w:lineRule="auto"/>
              <w:jc w:val="right"/>
              <w:rPr>
                <w:rFonts w:cs="Times New Roman"/>
                <w:sz w:val="18"/>
                <w:szCs w:val="18"/>
              </w:rPr>
            </w:pPr>
            <w:r w:rsidRPr="00944A44">
              <w:rPr>
                <w:rFonts w:cs="Times New Roman"/>
                <w:sz w:val="18"/>
                <w:szCs w:val="18"/>
              </w:rPr>
              <w:t>$</w:t>
            </w:r>
            <w:r w:rsidR="000C10D7">
              <w:rPr>
                <w:rFonts w:cs="Times New Roman"/>
                <w:sz w:val="18"/>
                <w:szCs w:val="18"/>
              </w:rPr>
              <w:t>-</w:t>
            </w:r>
          </w:p>
          <w:p w:rsidR="00503E53" w:rsidRPr="00944A44" w:rsidRDefault="00503E53" w:rsidP="00091BDA">
            <w:pPr>
              <w:spacing w:before="0" w:after="0" w:line="240" w:lineRule="auto"/>
              <w:jc w:val="right"/>
              <w:rPr>
                <w:rFonts w:cs="Times New Roman"/>
                <w:sz w:val="18"/>
                <w:szCs w:val="18"/>
              </w:rPr>
            </w:pPr>
            <w:r>
              <w:rPr>
                <w:rFonts w:cs="Times New Roman"/>
                <w:sz w:val="18"/>
                <w:szCs w:val="18"/>
              </w:rPr>
              <w:t>$</w:t>
            </w:r>
            <w:r w:rsidR="000C10D7">
              <w:rPr>
                <w:rFonts w:cs="Times New Roman"/>
                <w:sz w:val="18"/>
                <w:szCs w:val="18"/>
              </w:rPr>
              <w:t>-</w:t>
            </w:r>
          </w:p>
        </w:tc>
        <w:tc>
          <w:tcPr>
            <w:tcW w:w="2354" w:type="dxa"/>
          </w:tcPr>
          <w:p w:rsidR="00503E53" w:rsidRPr="00944A44" w:rsidRDefault="00503E53" w:rsidP="00091BDA">
            <w:pPr>
              <w:spacing w:after="0"/>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Pr="00944A44" w:rsidRDefault="00503E53" w:rsidP="00091BDA">
            <w:pPr>
              <w:spacing w:before="0" w:after="0" w:line="240" w:lineRule="auto"/>
              <w:jc w:val="right"/>
              <w:rPr>
                <w:rFonts w:cs="Times New Roman"/>
                <w:sz w:val="18"/>
                <w:szCs w:val="18"/>
              </w:rPr>
            </w:pPr>
            <w:r w:rsidRPr="00944A44">
              <w:rPr>
                <w:rFonts w:cs="Times New Roman"/>
                <w:sz w:val="18"/>
                <w:szCs w:val="18"/>
              </w:rPr>
              <w:t>$</w:t>
            </w:r>
            <w:r w:rsidR="000C10D7">
              <w:rPr>
                <w:rFonts w:cs="Times New Roman"/>
                <w:sz w:val="18"/>
                <w:szCs w:val="18"/>
              </w:rPr>
              <w:t>6,541,802</w:t>
            </w:r>
          </w:p>
          <w:p w:rsidR="00503E53" w:rsidRDefault="00503E53" w:rsidP="00091BDA">
            <w:pPr>
              <w:spacing w:before="0" w:after="0" w:line="240" w:lineRule="auto"/>
              <w:jc w:val="right"/>
              <w:rPr>
                <w:rFonts w:cs="Times New Roman"/>
                <w:sz w:val="18"/>
                <w:szCs w:val="18"/>
              </w:rPr>
            </w:pPr>
            <w:r w:rsidRPr="00944A44">
              <w:rPr>
                <w:rFonts w:cs="Times New Roman"/>
                <w:sz w:val="18"/>
                <w:szCs w:val="18"/>
              </w:rPr>
              <w:t>$</w:t>
            </w:r>
            <w:r w:rsidR="000C10D7">
              <w:rPr>
                <w:rFonts w:cs="Times New Roman"/>
                <w:sz w:val="18"/>
                <w:szCs w:val="18"/>
              </w:rPr>
              <w:t>-</w:t>
            </w:r>
          </w:p>
          <w:p w:rsidR="00503E53" w:rsidRPr="00944A44" w:rsidRDefault="00503E53" w:rsidP="00091BDA">
            <w:pPr>
              <w:spacing w:before="0" w:after="0" w:line="240" w:lineRule="auto"/>
              <w:jc w:val="right"/>
              <w:rPr>
                <w:rFonts w:cs="Times New Roman"/>
                <w:sz w:val="18"/>
                <w:szCs w:val="18"/>
              </w:rPr>
            </w:pPr>
            <w:r>
              <w:rPr>
                <w:rFonts w:cs="Times New Roman"/>
                <w:sz w:val="18"/>
                <w:szCs w:val="18"/>
              </w:rPr>
              <w:t>$</w:t>
            </w:r>
            <w:r w:rsidR="000C10D7">
              <w:rPr>
                <w:rFonts w:cs="Times New Roman"/>
                <w:sz w:val="18"/>
                <w:szCs w:val="18"/>
              </w:rPr>
              <w:t>-</w:t>
            </w:r>
          </w:p>
        </w:tc>
        <w:tc>
          <w:tcPr>
            <w:tcW w:w="1944" w:type="dxa"/>
          </w:tcPr>
          <w:p w:rsidR="00503E53" w:rsidRPr="00944A44" w:rsidRDefault="00503E53" w:rsidP="00091BDA">
            <w:pPr>
              <w:spacing w:after="0"/>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Default="00503E53" w:rsidP="00091BDA">
            <w:pPr>
              <w:spacing w:before="0" w:after="0" w:line="240" w:lineRule="auto"/>
              <w:jc w:val="right"/>
              <w:rPr>
                <w:rFonts w:cs="Times New Roman"/>
                <w:sz w:val="18"/>
                <w:szCs w:val="18"/>
              </w:rPr>
            </w:pPr>
          </w:p>
          <w:p w:rsidR="00503E53" w:rsidRPr="00944A44" w:rsidRDefault="00503E53" w:rsidP="00091BDA">
            <w:pPr>
              <w:spacing w:before="0" w:after="0" w:line="240" w:lineRule="auto"/>
              <w:jc w:val="right"/>
              <w:rPr>
                <w:rFonts w:cs="Times New Roman"/>
                <w:sz w:val="18"/>
                <w:szCs w:val="18"/>
              </w:rPr>
            </w:pPr>
            <w:r w:rsidRPr="00944A44">
              <w:rPr>
                <w:rFonts w:cs="Times New Roman"/>
                <w:sz w:val="18"/>
                <w:szCs w:val="18"/>
              </w:rPr>
              <w:t>$</w:t>
            </w:r>
            <w:r w:rsidR="000C10D7">
              <w:rPr>
                <w:rFonts w:cs="Times New Roman"/>
                <w:sz w:val="18"/>
                <w:szCs w:val="18"/>
              </w:rPr>
              <w:t>6,705,347</w:t>
            </w:r>
          </w:p>
          <w:p w:rsidR="00503E53" w:rsidRDefault="00503E53" w:rsidP="00091BDA">
            <w:pPr>
              <w:spacing w:before="0" w:after="0" w:line="240" w:lineRule="auto"/>
              <w:jc w:val="right"/>
              <w:rPr>
                <w:rFonts w:cs="Times New Roman"/>
                <w:sz w:val="18"/>
                <w:szCs w:val="18"/>
              </w:rPr>
            </w:pPr>
            <w:r w:rsidRPr="00944A44">
              <w:rPr>
                <w:rFonts w:cs="Times New Roman"/>
                <w:sz w:val="18"/>
                <w:szCs w:val="18"/>
              </w:rPr>
              <w:t>$</w:t>
            </w:r>
            <w:r>
              <w:rPr>
                <w:rFonts w:cs="Times New Roman"/>
                <w:sz w:val="18"/>
                <w:szCs w:val="18"/>
              </w:rPr>
              <w:t>-</w:t>
            </w:r>
          </w:p>
          <w:p w:rsidR="00503E53" w:rsidRPr="00944A44" w:rsidRDefault="00503E53" w:rsidP="00091BDA">
            <w:pPr>
              <w:spacing w:before="0" w:after="0" w:line="240" w:lineRule="auto"/>
              <w:jc w:val="right"/>
              <w:rPr>
                <w:rFonts w:cs="Times New Roman"/>
                <w:sz w:val="18"/>
                <w:szCs w:val="18"/>
              </w:rPr>
            </w:pPr>
            <w:r>
              <w:rPr>
                <w:rFonts w:cs="Times New Roman"/>
                <w:sz w:val="18"/>
                <w:szCs w:val="18"/>
              </w:rPr>
              <w:t>$-</w:t>
            </w:r>
          </w:p>
        </w:tc>
      </w:tr>
      <w:tr w:rsidR="00C543D2" w:rsidRPr="00944A44" w:rsidTr="00C543D2">
        <w:tc>
          <w:tcPr>
            <w:tcW w:w="3072" w:type="dxa"/>
          </w:tcPr>
          <w:p w:rsidR="00C543D2" w:rsidRDefault="00B22728" w:rsidP="00764D4B">
            <w:pPr>
              <w:spacing w:after="0" w:line="240" w:lineRule="auto"/>
              <w:rPr>
                <w:rFonts w:cs="Times New Roman"/>
                <w:sz w:val="18"/>
                <w:szCs w:val="18"/>
              </w:rPr>
            </w:pPr>
            <w:r>
              <w:rPr>
                <w:rFonts w:cs="Times New Roman"/>
                <w:sz w:val="18"/>
                <w:szCs w:val="18"/>
              </w:rPr>
              <w:t>Population Health Research Network</w:t>
            </w:r>
          </w:p>
          <w:p w:rsidR="00C543D2" w:rsidRPr="00B22728" w:rsidRDefault="00B22728" w:rsidP="00B22728">
            <w:pPr>
              <w:pStyle w:val="ListParagraph"/>
              <w:numPr>
                <w:ilvl w:val="0"/>
                <w:numId w:val="73"/>
              </w:numPr>
              <w:spacing w:after="0" w:line="240" w:lineRule="auto"/>
              <w:ind w:left="357" w:hanging="357"/>
              <w:rPr>
                <w:sz w:val="18"/>
                <w:szCs w:val="18"/>
              </w:rPr>
            </w:pPr>
            <w:r w:rsidRPr="00B22728">
              <w:rPr>
                <w:sz w:val="18"/>
                <w:szCs w:val="18"/>
              </w:rPr>
              <w:t>University of Western Australia</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B22728" w:rsidRDefault="00B22728"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2,026,912</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B22728" w:rsidRDefault="00B22728"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B22728" w:rsidRDefault="00B22728"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4,689,859</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658,929</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B22728" w:rsidRDefault="00B22728"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4,807,105</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687,566</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140,539</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B22728" w:rsidRDefault="00B22728"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4,927,283</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718,851</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123,692</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B22728" w:rsidRDefault="00B22728"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5,050,465</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DB5F2D" w:rsidP="00764D4B">
            <w:pPr>
              <w:spacing w:after="0" w:line="240" w:lineRule="auto"/>
              <w:rPr>
                <w:rFonts w:cs="Times New Roman"/>
                <w:sz w:val="18"/>
                <w:szCs w:val="18"/>
              </w:rPr>
            </w:pPr>
            <w:r>
              <w:rPr>
                <w:rFonts w:cs="Times New Roman"/>
                <w:sz w:val="18"/>
                <w:szCs w:val="18"/>
              </w:rPr>
              <w:t>Translating health discovery (Therapeutic Development)</w:t>
            </w:r>
          </w:p>
          <w:p w:rsidR="00C543D2" w:rsidRPr="00DB5F2D" w:rsidRDefault="00DB5F2D" w:rsidP="00DB5F2D">
            <w:pPr>
              <w:pStyle w:val="ListParagraph"/>
              <w:numPr>
                <w:ilvl w:val="0"/>
                <w:numId w:val="74"/>
              </w:numPr>
              <w:spacing w:after="0" w:line="240" w:lineRule="auto"/>
              <w:ind w:left="357" w:hanging="357"/>
              <w:rPr>
                <w:sz w:val="18"/>
                <w:szCs w:val="18"/>
              </w:rPr>
            </w:pPr>
            <w:r>
              <w:rPr>
                <w:sz w:val="18"/>
                <w:szCs w:val="18"/>
              </w:rPr>
              <w:t>Therapeutic Innovation Australia Ltd</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12,012,711</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4,000,649</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4,171,443</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4,100,665</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4,521,975</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1,214,142</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4,203,182</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4,839,973</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2,551,216</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DB5F2D" w:rsidRDefault="00DB5F2D"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4,308,261</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DB5F2D" w:rsidP="00764D4B">
            <w:pPr>
              <w:spacing w:after="0" w:line="240" w:lineRule="auto"/>
              <w:rPr>
                <w:rFonts w:cs="Times New Roman"/>
                <w:sz w:val="18"/>
                <w:szCs w:val="18"/>
              </w:rPr>
            </w:pPr>
            <w:r>
              <w:rPr>
                <w:rFonts w:cs="Times New Roman"/>
                <w:sz w:val="18"/>
                <w:szCs w:val="18"/>
              </w:rPr>
              <w:t>Terrestrial Ecosystem Research Network</w:t>
            </w:r>
          </w:p>
          <w:p w:rsidR="00C543D2" w:rsidRPr="00DB5F2D" w:rsidRDefault="00DB5F2D" w:rsidP="00DB5F2D">
            <w:pPr>
              <w:pStyle w:val="ListParagraph"/>
              <w:numPr>
                <w:ilvl w:val="0"/>
                <w:numId w:val="75"/>
              </w:numPr>
              <w:spacing w:after="0" w:line="240" w:lineRule="auto"/>
              <w:ind w:left="357" w:hanging="357"/>
              <w:rPr>
                <w:sz w:val="18"/>
                <w:szCs w:val="18"/>
              </w:rPr>
            </w:pPr>
            <w:r w:rsidRPr="00DB5F2D">
              <w:rPr>
                <w:sz w:val="18"/>
                <w:szCs w:val="18"/>
              </w:rPr>
              <w:t>University of Queensland</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80A57" w:rsidRDefault="00C80A57"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3,500,000</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80A57" w:rsidRDefault="00C80A57"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80A57" w:rsidRDefault="00C80A57"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6,508,727</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80A57" w:rsidRDefault="00C80A57"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6,671,445</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80A57" w:rsidRDefault="00C80A57"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6,838,231</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902E47">
              <w:rPr>
                <w:rFonts w:cs="Times New Roman"/>
                <w:sz w:val="18"/>
                <w:szCs w:val="18"/>
              </w:rPr>
              <w:t>1,644,434</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80A57" w:rsidRDefault="00C80A57"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902E47">
              <w:rPr>
                <w:rFonts w:cs="Times New Roman"/>
                <w:sz w:val="18"/>
                <w:szCs w:val="18"/>
              </w:rPr>
              <w:t>7,009,187</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bl>
    <w:p w:rsidR="000C10D7" w:rsidRDefault="000C10D7">
      <w:r>
        <w:br w:type="page"/>
      </w:r>
    </w:p>
    <w:tbl>
      <w:tblPr>
        <w:tblStyle w:val="TableGrid"/>
        <w:tblW w:w="15701" w:type="dxa"/>
        <w:tblLook w:val="04A0" w:firstRow="1" w:lastRow="0" w:firstColumn="1" w:lastColumn="0" w:noHBand="0" w:noVBand="1"/>
      </w:tblPr>
      <w:tblGrid>
        <w:gridCol w:w="3072"/>
        <w:gridCol w:w="2090"/>
        <w:gridCol w:w="2080"/>
        <w:gridCol w:w="2080"/>
        <w:gridCol w:w="2081"/>
        <w:gridCol w:w="2354"/>
        <w:gridCol w:w="1944"/>
      </w:tblGrid>
      <w:tr w:rsidR="00C543D2" w:rsidRPr="00944A44" w:rsidTr="00C543D2">
        <w:tc>
          <w:tcPr>
            <w:tcW w:w="3072" w:type="dxa"/>
          </w:tcPr>
          <w:p w:rsidR="00C543D2" w:rsidRDefault="00CB1932" w:rsidP="00764D4B">
            <w:pPr>
              <w:spacing w:after="0" w:line="240" w:lineRule="auto"/>
              <w:rPr>
                <w:rFonts w:cs="Times New Roman"/>
                <w:sz w:val="18"/>
                <w:szCs w:val="18"/>
              </w:rPr>
            </w:pPr>
            <w:r>
              <w:rPr>
                <w:rFonts w:cs="Times New Roman"/>
                <w:sz w:val="18"/>
                <w:szCs w:val="18"/>
              </w:rPr>
              <w:t>European Molecular Biology Laboratory associate membership</w:t>
            </w:r>
          </w:p>
          <w:p w:rsidR="00C543D2" w:rsidRPr="00CB1932" w:rsidRDefault="00CB1932" w:rsidP="00CB1932">
            <w:pPr>
              <w:pStyle w:val="ListParagraph"/>
              <w:numPr>
                <w:ilvl w:val="0"/>
                <w:numId w:val="76"/>
              </w:numPr>
              <w:spacing w:after="0" w:line="240" w:lineRule="auto"/>
              <w:ind w:left="357" w:hanging="357"/>
              <w:rPr>
                <w:sz w:val="18"/>
                <w:szCs w:val="18"/>
              </w:rPr>
            </w:pPr>
            <w:r w:rsidRPr="00CB1932">
              <w:rPr>
                <w:sz w:val="18"/>
                <w:szCs w:val="18"/>
              </w:rPr>
              <w:t>European Molecular</w:t>
            </w:r>
            <w:r>
              <w:rPr>
                <w:sz w:val="18"/>
                <w:szCs w:val="18"/>
              </w:rPr>
              <w:t xml:space="preserve"> B</w:t>
            </w:r>
            <w:r w:rsidRPr="00CB1932">
              <w:rPr>
                <w:sz w:val="18"/>
                <w:szCs w:val="18"/>
              </w:rPr>
              <w:t>iology Laboratory</w:t>
            </w:r>
          </w:p>
          <w:p w:rsidR="00C543D2" w:rsidRPr="00CB1932" w:rsidRDefault="00CB1932" w:rsidP="00CB1932">
            <w:pPr>
              <w:pStyle w:val="ListParagraph"/>
              <w:numPr>
                <w:ilvl w:val="0"/>
                <w:numId w:val="31"/>
              </w:numPr>
              <w:spacing w:after="0" w:line="240" w:lineRule="auto"/>
              <w:contextualSpacing/>
              <w:rPr>
                <w:sz w:val="18"/>
                <w:szCs w:val="18"/>
              </w:rPr>
            </w:pPr>
            <w:r>
              <w:rPr>
                <w:sz w:val="18"/>
                <w:szCs w:val="18"/>
              </w:rPr>
              <w:t>Associate membership fee</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5,800,000</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5,900,000</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6,000,000</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6,100,000</w:t>
            </w:r>
          </w:p>
        </w:tc>
      </w:tr>
      <w:tr w:rsidR="00C543D2" w:rsidRPr="00944A44" w:rsidTr="00C543D2">
        <w:tc>
          <w:tcPr>
            <w:tcW w:w="3072" w:type="dxa"/>
          </w:tcPr>
          <w:p w:rsidR="00C543D2" w:rsidRDefault="00EC75A2" w:rsidP="00764D4B">
            <w:pPr>
              <w:spacing w:after="0" w:line="240" w:lineRule="auto"/>
              <w:rPr>
                <w:rFonts w:cs="Times New Roman"/>
                <w:sz w:val="18"/>
                <w:szCs w:val="18"/>
              </w:rPr>
            </w:pPr>
            <w:r>
              <w:rPr>
                <w:rFonts w:cs="Times New Roman"/>
                <w:sz w:val="18"/>
                <w:szCs w:val="18"/>
              </w:rPr>
              <w:t>Acces</w:t>
            </w:r>
            <w:r w:rsidR="005A5694">
              <w:rPr>
                <w:rFonts w:cs="Times New Roman"/>
                <w:sz w:val="18"/>
                <w:szCs w:val="18"/>
              </w:rPr>
              <w:t>s</w:t>
            </w:r>
          </w:p>
          <w:p w:rsidR="00C543D2" w:rsidRPr="00EC75A2" w:rsidRDefault="00EC75A2" w:rsidP="00EC75A2">
            <w:pPr>
              <w:pStyle w:val="ListParagraph"/>
              <w:numPr>
                <w:ilvl w:val="0"/>
                <w:numId w:val="76"/>
              </w:numPr>
              <w:spacing w:after="0" w:line="240" w:lineRule="auto"/>
              <w:ind w:left="357" w:hanging="357"/>
              <w:rPr>
                <w:sz w:val="18"/>
                <w:szCs w:val="18"/>
              </w:rPr>
            </w:pPr>
            <w:r>
              <w:rPr>
                <w:sz w:val="18"/>
                <w:szCs w:val="18"/>
              </w:rPr>
              <w:t xml:space="preserve">Australian National University </w:t>
            </w:r>
          </w:p>
          <w:p w:rsidR="00C543D2" w:rsidRPr="00944A44" w:rsidRDefault="00EC75A2" w:rsidP="00EC75A2">
            <w:pPr>
              <w:pStyle w:val="ListParagraph"/>
              <w:numPr>
                <w:ilvl w:val="0"/>
                <w:numId w:val="31"/>
              </w:numPr>
              <w:spacing w:after="0" w:line="240" w:lineRule="auto"/>
              <w:contextualSpacing/>
              <w:rPr>
                <w:sz w:val="18"/>
                <w:szCs w:val="18"/>
              </w:rPr>
            </w:pPr>
            <w:r w:rsidRPr="00EC75A2">
              <w:rPr>
                <w:sz w:val="18"/>
                <w:szCs w:val="18"/>
              </w:rPr>
              <w:t>Scoping Study</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200,000</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EC75A2" w:rsidP="00764D4B">
            <w:pPr>
              <w:spacing w:after="0" w:line="240" w:lineRule="auto"/>
              <w:rPr>
                <w:rFonts w:cs="Times New Roman"/>
                <w:sz w:val="18"/>
                <w:szCs w:val="18"/>
              </w:rPr>
            </w:pPr>
            <w:r>
              <w:rPr>
                <w:rFonts w:cs="Times New Roman"/>
                <w:sz w:val="18"/>
                <w:szCs w:val="18"/>
              </w:rPr>
              <w:t>National Environmental Prediction Service</w:t>
            </w:r>
          </w:p>
          <w:p w:rsidR="00C543D2" w:rsidRPr="00EC75A2" w:rsidRDefault="00EC75A2" w:rsidP="00EC75A2">
            <w:pPr>
              <w:pStyle w:val="ListParagraph"/>
              <w:numPr>
                <w:ilvl w:val="0"/>
                <w:numId w:val="76"/>
              </w:numPr>
              <w:spacing w:after="0" w:line="240" w:lineRule="auto"/>
              <w:ind w:left="357" w:hanging="357"/>
              <w:rPr>
                <w:sz w:val="18"/>
                <w:szCs w:val="18"/>
              </w:rPr>
            </w:pPr>
            <w:r w:rsidRPr="00EC75A2">
              <w:rPr>
                <w:sz w:val="18"/>
                <w:szCs w:val="18"/>
              </w:rPr>
              <w:t>University of Queensland</w:t>
            </w:r>
          </w:p>
          <w:p w:rsidR="00C543D2" w:rsidRPr="00944A44" w:rsidRDefault="00EC75A2" w:rsidP="00EC75A2">
            <w:pPr>
              <w:pStyle w:val="ListParagraph"/>
              <w:numPr>
                <w:ilvl w:val="0"/>
                <w:numId w:val="31"/>
              </w:numPr>
              <w:spacing w:after="0" w:line="240" w:lineRule="auto"/>
              <w:contextualSpacing/>
              <w:rPr>
                <w:sz w:val="18"/>
                <w:szCs w:val="18"/>
              </w:rPr>
            </w:pPr>
            <w:r w:rsidRPr="00EC75A2">
              <w:rPr>
                <w:sz w:val="18"/>
                <w:szCs w:val="18"/>
              </w:rPr>
              <w:t>Scoping Study</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200,000</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204,200</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C818D8" w:rsidP="00764D4B">
            <w:pPr>
              <w:spacing w:after="0" w:line="240" w:lineRule="auto"/>
              <w:rPr>
                <w:rFonts w:cs="Times New Roman"/>
                <w:sz w:val="18"/>
                <w:szCs w:val="18"/>
              </w:rPr>
            </w:pPr>
            <w:r>
              <w:rPr>
                <w:rFonts w:cs="Times New Roman"/>
                <w:sz w:val="18"/>
                <w:szCs w:val="18"/>
              </w:rPr>
              <w:t>Synthetic Biology</w:t>
            </w:r>
          </w:p>
          <w:p w:rsidR="00C543D2" w:rsidRPr="00C818D8" w:rsidRDefault="00C818D8" w:rsidP="007006BF">
            <w:pPr>
              <w:pStyle w:val="ListParagraph"/>
              <w:numPr>
                <w:ilvl w:val="0"/>
                <w:numId w:val="76"/>
              </w:numPr>
              <w:spacing w:after="0" w:line="240" w:lineRule="auto"/>
              <w:ind w:left="357" w:hanging="357"/>
              <w:rPr>
                <w:sz w:val="18"/>
                <w:szCs w:val="18"/>
              </w:rPr>
            </w:pPr>
            <w:r w:rsidRPr="00C818D8">
              <w:rPr>
                <w:sz w:val="18"/>
                <w:szCs w:val="18"/>
              </w:rPr>
              <w:t>Bioplatforms Australia Ltd</w:t>
            </w:r>
          </w:p>
          <w:p w:rsidR="00C543D2" w:rsidRPr="00944A44" w:rsidRDefault="005A5694" w:rsidP="00764D4B">
            <w:pPr>
              <w:pStyle w:val="ListParagraph"/>
              <w:numPr>
                <w:ilvl w:val="0"/>
                <w:numId w:val="31"/>
              </w:numPr>
              <w:spacing w:after="0" w:line="240" w:lineRule="auto"/>
              <w:contextualSpacing/>
              <w:rPr>
                <w:sz w:val="18"/>
                <w:szCs w:val="18"/>
              </w:rPr>
            </w:pPr>
            <w:r>
              <w:rPr>
                <w:sz w:val="18"/>
                <w:szCs w:val="18"/>
              </w:rPr>
              <w:t>Scoping study</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200,000</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E861D0" w:rsidP="00764D4B">
            <w:pPr>
              <w:spacing w:after="0" w:line="240" w:lineRule="auto"/>
              <w:rPr>
                <w:rFonts w:cs="Times New Roman"/>
                <w:sz w:val="18"/>
                <w:szCs w:val="18"/>
              </w:rPr>
            </w:pPr>
            <w:r>
              <w:rPr>
                <w:rFonts w:cs="Times New Roman"/>
                <w:sz w:val="18"/>
                <w:szCs w:val="18"/>
              </w:rPr>
              <w:t>Biobanks</w:t>
            </w:r>
          </w:p>
          <w:p w:rsidR="00C543D2" w:rsidRPr="00C818D8" w:rsidRDefault="00E861D0" w:rsidP="007006BF">
            <w:pPr>
              <w:pStyle w:val="ListParagraph"/>
              <w:numPr>
                <w:ilvl w:val="0"/>
                <w:numId w:val="76"/>
              </w:numPr>
              <w:spacing w:after="0" w:line="240" w:lineRule="auto"/>
              <w:ind w:left="357" w:hanging="357"/>
              <w:rPr>
                <w:sz w:val="18"/>
                <w:szCs w:val="18"/>
              </w:rPr>
            </w:pPr>
            <w:r>
              <w:rPr>
                <w:sz w:val="18"/>
                <w:szCs w:val="18"/>
              </w:rPr>
              <w:t>Lead agent to be determined by DET</w:t>
            </w:r>
          </w:p>
          <w:p w:rsidR="00C543D2" w:rsidRPr="00944A44" w:rsidRDefault="005A5694" w:rsidP="00764D4B">
            <w:pPr>
              <w:pStyle w:val="ListParagraph"/>
              <w:numPr>
                <w:ilvl w:val="0"/>
                <w:numId w:val="31"/>
              </w:numPr>
              <w:spacing w:after="0" w:line="240" w:lineRule="auto"/>
              <w:contextualSpacing/>
              <w:rPr>
                <w:sz w:val="18"/>
                <w:szCs w:val="18"/>
              </w:rPr>
            </w:pPr>
            <w:r>
              <w:rPr>
                <w:sz w:val="18"/>
                <w:szCs w:val="18"/>
              </w:rPr>
              <w:t>Scoping Study</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213,910</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219,258</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E861D0" w:rsidP="00764D4B">
            <w:pPr>
              <w:spacing w:after="0" w:line="240" w:lineRule="auto"/>
              <w:rPr>
                <w:rFonts w:cs="Times New Roman"/>
                <w:sz w:val="18"/>
                <w:szCs w:val="18"/>
              </w:rPr>
            </w:pPr>
            <w:r>
              <w:rPr>
                <w:rFonts w:cs="Times New Roman"/>
                <w:sz w:val="18"/>
                <w:szCs w:val="18"/>
              </w:rPr>
              <w:t>Biosecurity</w:t>
            </w:r>
          </w:p>
          <w:p w:rsidR="00C543D2" w:rsidRPr="00944A44" w:rsidRDefault="00E861D0" w:rsidP="007006BF">
            <w:pPr>
              <w:pStyle w:val="ListParagraph"/>
              <w:numPr>
                <w:ilvl w:val="0"/>
                <w:numId w:val="76"/>
              </w:numPr>
              <w:spacing w:after="0" w:line="240" w:lineRule="auto"/>
              <w:ind w:left="357" w:hanging="357"/>
              <w:rPr>
                <w:sz w:val="18"/>
                <w:szCs w:val="18"/>
              </w:rPr>
            </w:pPr>
            <w:r>
              <w:rPr>
                <w:sz w:val="18"/>
                <w:szCs w:val="18"/>
              </w:rPr>
              <w:t>Lead agent to be determined by DET</w:t>
            </w:r>
          </w:p>
          <w:p w:rsidR="00C543D2" w:rsidRPr="00944A44" w:rsidRDefault="00E861D0" w:rsidP="00764D4B">
            <w:pPr>
              <w:pStyle w:val="ListParagraph"/>
              <w:numPr>
                <w:ilvl w:val="0"/>
                <w:numId w:val="31"/>
              </w:numPr>
              <w:spacing w:after="0" w:line="240" w:lineRule="auto"/>
              <w:contextualSpacing/>
              <w:rPr>
                <w:sz w:val="18"/>
                <w:szCs w:val="18"/>
              </w:rPr>
            </w:pPr>
            <w:r>
              <w:rPr>
                <w:sz w:val="18"/>
                <w:szCs w:val="18"/>
              </w:rPr>
              <w:t>Scoping study</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E861D0" w:rsidRDefault="00E861D0"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213,910</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219,258</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E861D0" w:rsidP="00764D4B">
            <w:pPr>
              <w:spacing w:after="0" w:line="240" w:lineRule="auto"/>
              <w:rPr>
                <w:rFonts w:cs="Times New Roman"/>
                <w:sz w:val="18"/>
                <w:szCs w:val="18"/>
              </w:rPr>
            </w:pPr>
            <w:r>
              <w:rPr>
                <w:rFonts w:cs="Times New Roman"/>
                <w:sz w:val="18"/>
                <w:szCs w:val="18"/>
              </w:rPr>
              <w:t>Optimising the value of High Performance Computing through enhanced model performance</w:t>
            </w:r>
          </w:p>
          <w:p w:rsidR="00C543D2" w:rsidRPr="00944A44" w:rsidRDefault="00E861D0" w:rsidP="007006BF">
            <w:pPr>
              <w:pStyle w:val="ListParagraph"/>
              <w:numPr>
                <w:ilvl w:val="0"/>
                <w:numId w:val="76"/>
              </w:numPr>
              <w:spacing w:after="0" w:line="240" w:lineRule="auto"/>
              <w:ind w:left="357" w:hanging="357"/>
              <w:rPr>
                <w:sz w:val="18"/>
                <w:szCs w:val="18"/>
              </w:rPr>
            </w:pPr>
            <w:r>
              <w:rPr>
                <w:sz w:val="18"/>
                <w:szCs w:val="18"/>
              </w:rPr>
              <w:t>Lead agent to be determined by DET</w:t>
            </w:r>
          </w:p>
          <w:p w:rsidR="00C543D2" w:rsidRPr="00944A44" w:rsidRDefault="00D47BAF" w:rsidP="00764D4B">
            <w:pPr>
              <w:pStyle w:val="ListParagraph"/>
              <w:numPr>
                <w:ilvl w:val="0"/>
                <w:numId w:val="31"/>
              </w:numPr>
              <w:spacing w:after="0" w:line="240" w:lineRule="auto"/>
              <w:contextualSpacing/>
              <w:rPr>
                <w:sz w:val="18"/>
                <w:szCs w:val="18"/>
              </w:rPr>
            </w:pPr>
            <w:r>
              <w:rPr>
                <w:sz w:val="18"/>
                <w:szCs w:val="18"/>
              </w:rPr>
              <w:t>Scoping study</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47BAF" w:rsidRDefault="00D47BA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47BAF" w:rsidRPr="00944A44" w:rsidRDefault="00D47BAF"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47BAF" w:rsidRDefault="00D47BA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47BAF" w:rsidRDefault="00D47BA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213,910</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47BAF" w:rsidRDefault="00D47BA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219,258</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D47BAF" w:rsidRDefault="00D47BAF"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D47BAF" w:rsidP="00764D4B">
            <w:pPr>
              <w:spacing w:after="0" w:line="240" w:lineRule="auto"/>
              <w:rPr>
                <w:rFonts w:cs="Times New Roman"/>
                <w:sz w:val="18"/>
                <w:szCs w:val="18"/>
              </w:rPr>
            </w:pPr>
            <w:r>
              <w:rPr>
                <w:rFonts w:cs="Times New Roman"/>
                <w:sz w:val="18"/>
                <w:szCs w:val="18"/>
              </w:rPr>
              <w:t>Humanities, Arts and Social Science + Platforms</w:t>
            </w:r>
            <w:r w:rsidR="00695039">
              <w:rPr>
                <w:rFonts w:cs="Times New Roman"/>
                <w:sz w:val="18"/>
                <w:szCs w:val="18"/>
              </w:rPr>
              <w:t xml:space="preserve"> for Indigenous Research</w:t>
            </w:r>
          </w:p>
          <w:p w:rsidR="00C543D2" w:rsidRPr="00944A44" w:rsidRDefault="00D47BAF" w:rsidP="007006BF">
            <w:pPr>
              <w:pStyle w:val="ListParagraph"/>
              <w:numPr>
                <w:ilvl w:val="0"/>
                <w:numId w:val="76"/>
              </w:numPr>
              <w:spacing w:after="0" w:line="240" w:lineRule="auto"/>
              <w:ind w:left="357" w:hanging="357"/>
              <w:rPr>
                <w:sz w:val="18"/>
                <w:szCs w:val="18"/>
              </w:rPr>
            </w:pPr>
            <w:r>
              <w:rPr>
                <w:sz w:val="18"/>
                <w:szCs w:val="18"/>
              </w:rPr>
              <w:t>Lead agent(s) to be determined by DET</w:t>
            </w:r>
          </w:p>
          <w:p w:rsidR="00C543D2" w:rsidRPr="00944A44" w:rsidRDefault="009D2C95" w:rsidP="00764D4B">
            <w:pPr>
              <w:pStyle w:val="ListParagraph"/>
              <w:numPr>
                <w:ilvl w:val="0"/>
                <w:numId w:val="31"/>
              </w:numPr>
              <w:spacing w:after="0" w:line="240" w:lineRule="auto"/>
              <w:contextualSpacing/>
              <w:rPr>
                <w:sz w:val="18"/>
                <w:szCs w:val="18"/>
              </w:rPr>
            </w:pPr>
            <w:r>
              <w:rPr>
                <w:sz w:val="18"/>
                <w:szCs w:val="18"/>
              </w:rPr>
              <w:t>Scoping study/studies</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427,820</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438,516</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bl>
    <w:p w:rsidR="000C10D7" w:rsidRDefault="000C10D7">
      <w:r>
        <w:br w:type="page"/>
      </w:r>
    </w:p>
    <w:tbl>
      <w:tblPr>
        <w:tblStyle w:val="TableGrid"/>
        <w:tblW w:w="15701" w:type="dxa"/>
        <w:tblLook w:val="04A0" w:firstRow="1" w:lastRow="0" w:firstColumn="1" w:lastColumn="0" w:noHBand="0" w:noVBand="1"/>
      </w:tblPr>
      <w:tblGrid>
        <w:gridCol w:w="3072"/>
        <w:gridCol w:w="2090"/>
        <w:gridCol w:w="2080"/>
        <w:gridCol w:w="2080"/>
        <w:gridCol w:w="2081"/>
        <w:gridCol w:w="2354"/>
        <w:gridCol w:w="1944"/>
      </w:tblGrid>
      <w:tr w:rsidR="00C543D2" w:rsidRPr="00944A44" w:rsidTr="00C543D2">
        <w:tc>
          <w:tcPr>
            <w:tcW w:w="3072" w:type="dxa"/>
          </w:tcPr>
          <w:p w:rsidR="00C543D2" w:rsidRDefault="00FF34D7" w:rsidP="00764D4B">
            <w:pPr>
              <w:spacing w:after="0" w:line="240" w:lineRule="auto"/>
              <w:rPr>
                <w:rFonts w:cs="Times New Roman"/>
                <w:sz w:val="18"/>
                <w:szCs w:val="18"/>
              </w:rPr>
            </w:pPr>
            <w:r>
              <w:rPr>
                <w:rFonts w:cs="Times New Roman"/>
                <w:sz w:val="18"/>
                <w:szCs w:val="18"/>
              </w:rPr>
              <w:t>Precision measurement</w:t>
            </w:r>
          </w:p>
          <w:p w:rsidR="00C543D2" w:rsidRPr="00944A44" w:rsidRDefault="00FF34D7" w:rsidP="007006BF">
            <w:pPr>
              <w:pStyle w:val="ListParagraph"/>
              <w:numPr>
                <w:ilvl w:val="0"/>
                <w:numId w:val="76"/>
              </w:numPr>
              <w:spacing w:after="0" w:line="240" w:lineRule="auto"/>
              <w:ind w:left="357" w:hanging="357"/>
              <w:rPr>
                <w:sz w:val="18"/>
                <w:szCs w:val="18"/>
              </w:rPr>
            </w:pPr>
            <w:r>
              <w:rPr>
                <w:sz w:val="18"/>
                <w:szCs w:val="18"/>
              </w:rPr>
              <w:t>Lead agent to be determined by DET</w:t>
            </w:r>
          </w:p>
          <w:p w:rsidR="00C543D2" w:rsidRPr="00944A44" w:rsidRDefault="00FF34D7" w:rsidP="00764D4B">
            <w:pPr>
              <w:pStyle w:val="ListParagraph"/>
              <w:numPr>
                <w:ilvl w:val="0"/>
                <w:numId w:val="31"/>
              </w:numPr>
              <w:spacing w:after="0" w:line="240" w:lineRule="auto"/>
              <w:contextualSpacing/>
              <w:rPr>
                <w:sz w:val="18"/>
                <w:szCs w:val="18"/>
              </w:rPr>
            </w:pPr>
            <w:r>
              <w:rPr>
                <w:sz w:val="18"/>
                <w:szCs w:val="18"/>
              </w:rPr>
              <w:t>Scoping study</w:t>
            </w:r>
          </w:p>
        </w:tc>
        <w:tc>
          <w:tcPr>
            <w:tcW w:w="2090" w:type="dxa"/>
          </w:tcPr>
          <w:p w:rsidR="00C543D2" w:rsidRPr="00944A44" w:rsidRDefault="00C543D2" w:rsidP="000C10D7">
            <w:pPr>
              <w:spacing w:after="0"/>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1" w:type="dxa"/>
          </w:tcPr>
          <w:p w:rsidR="00C543D2" w:rsidRPr="00944A44" w:rsidRDefault="00C543D2" w:rsidP="000C10D7">
            <w:pPr>
              <w:spacing w:after="0"/>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354" w:type="dxa"/>
          </w:tcPr>
          <w:p w:rsidR="00C543D2" w:rsidRPr="00944A44" w:rsidRDefault="00C543D2" w:rsidP="000C10D7">
            <w:pPr>
              <w:spacing w:after="0"/>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2A6308">
              <w:rPr>
                <w:rFonts w:cs="Times New Roman"/>
                <w:sz w:val="18"/>
                <w:szCs w:val="18"/>
              </w:rPr>
              <w:t>219,258</w:t>
            </w:r>
          </w:p>
        </w:tc>
        <w:tc>
          <w:tcPr>
            <w:tcW w:w="1944" w:type="dxa"/>
          </w:tcPr>
          <w:p w:rsidR="00C543D2" w:rsidRPr="00944A44" w:rsidRDefault="00C543D2" w:rsidP="000C10D7">
            <w:pPr>
              <w:spacing w:after="0"/>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r w:rsidR="00C543D2" w:rsidRPr="00944A44" w:rsidTr="00C543D2">
        <w:tc>
          <w:tcPr>
            <w:tcW w:w="3072" w:type="dxa"/>
          </w:tcPr>
          <w:p w:rsidR="00C543D2" w:rsidRDefault="006A438F" w:rsidP="00764D4B">
            <w:pPr>
              <w:spacing w:after="0" w:line="240" w:lineRule="auto"/>
              <w:rPr>
                <w:rFonts w:cs="Times New Roman"/>
                <w:sz w:val="18"/>
                <w:szCs w:val="18"/>
              </w:rPr>
            </w:pPr>
            <w:r>
              <w:rPr>
                <w:rFonts w:cs="Times New Roman"/>
                <w:sz w:val="18"/>
                <w:szCs w:val="18"/>
              </w:rPr>
              <w:t>National Collections</w:t>
            </w:r>
          </w:p>
          <w:p w:rsidR="00C543D2" w:rsidRPr="00C818D8" w:rsidRDefault="006A438F" w:rsidP="007006BF">
            <w:pPr>
              <w:pStyle w:val="ListParagraph"/>
              <w:numPr>
                <w:ilvl w:val="0"/>
                <w:numId w:val="76"/>
              </w:numPr>
              <w:spacing w:after="0" w:line="240" w:lineRule="auto"/>
              <w:ind w:left="357" w:hanging="357"/>
              <w:rPr>
                <w:sz w:val="18"/>
                <w:szCs w:val="18"/>
              </w:rPr>
            </w:pPr>
            <w:r>
              <w:rPr>
                <w:sz w:val="18"/>
                <w:szCs w:val="18"/>
              </w:rPr>
              <w:t>CSIRO</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Base operating</w:t>
            </w:r>
          </w:p>
          <w:p w:rsidR="00C543D2" w:rsidRDefault="00C543D2" w:rsidP="00764D4B">
            <w:pPr>
              <w:pStyle w:val="ListParagraph"/>
              <w:numPr>
                <w:ilvl w:val="0"/>
                <w:numId w:val="31"/>
              </w:numPr>
              <w:spacing w:after="0" w:line="240" w:lineRule="auto"/>
              <w:contextualSpacing/>
              <w:rPr>
                <w:sz w:val="18"/>
                <w:szCs w:val="18"/>
              </w:rPr>
            </w:pPr>
            <w:r w:rsidRPr="00944A44">
              <w:rPr>
                <w:sz w:val="18"/>
                <w:szCs w:val="18"/>
              </w:rPr>
              <w:t>Additional operating</w:t>
            </w:r>
          </w:p>
          <w:p w:rsidR="00C543D2" w:rsidRPr="00944A44" w:rsidRDefault="00C543D2" w:rsidP="00764D4B">
            <w:pPr>
              <w:pStyle w:val="ListParagraph"/>
              <w:numPr>
                <w:ilvl w:val="0"/>
                <w:numId w:val="31"/>
              </w:numPr>
              <w:spacing w:after="0" w:line="240" w:lineRule="auto"/>
              <w:contextualSpacing/>
              <w:rPr>
                <w:sz w:val="18"/>
                <w:szCs w:val="18"/>
              </w:rPr>
            </w:pPr>
            <w:r w:rsidRPr="00944A44">
              <w:rPr>
                <w:sz w:val="18"/>
                <w:szCs w:val="18"/>
              </w:rPr>
              <w:t>Capital</w:t>
            </w:r>
          </w:p>
        </w:tc>
        <w:tc>
          <w:tcPr>
            <w:tcW w:w="209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c>
          <w:tcPr>
            <w:tcW w:w="2080"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1,000,000</w:t>
            </w:r>
          </w:p>
        </w:tc>
        <w:tc>
          <w:tcPr>
            <w:tcW w:w="2081"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27,000,000</w:t>
            </w:r>
          </w:p>
        </w:tc>
        <w:tc>
          <w:tcPr>
            <w:tcW w:w="235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6A438F">
              <w:rPr>
                <w:rFonts w:cs="Times New Roman"/>
                <w:sz w:val="18"/>
                <w:szCs w:val="18"/>
              </w:rPr>
              <w:t>15,000,000</w:t>
            </w:r>
          </w:p>
        </w:tc>
        <w:tc>
          <w:tcPr>
            <w:tcW w:w="1944" w:type="dxa"/>
          </w:tcPr>
          <w:p w:rsidR="00C543D2" w:rsidRPr="00944A44" w:rsidRDefault="00C543D2" w:rsidP="000C10D7">
            <w:pPr>
              <w:spacing w:after="0"/>
              <w:jc w:val="right"/>
              <w:rPr>
                <w:rFonts w:cs="Times New Roman"/>
                <w:sz w:val="18"/>
                <w:szCs w:val="18"/>
              </w:rPr>
            </w:pPr>
          </w:p>
          <w:p w:rsidR="00C543D2" w:rsidRDefault="00C543D2" w:rsidP="000C10D7">
            <w:pPr>
              <w:spacing w:before="0" w:after="0" w:line="240" w:lineRule="auto"/>
              <w:jc w:val="right"/>
              <w:rPr>
                <w:rFonts w:cs="Times New Roman"/>
                <w:sz w:val="18"/>
                <w:szCs w:val="18"/>
              </w:rPr>
            </w:pPr>
          </w:p>
          <w:p w:rsidR="00C543D2" w:rsidRPr="00944A44"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Default="00C543D2" w:rsidP="000C10D7">
            <w:pPr>
              <w:spacing w:before="0" w:after="0" w:line="240" w:lineRule="auto"/>
              <w:jc w:val="right"/>
              <w:rPr>
                <w:rFonts w:cs="Times New Roman"/>
                <w:sz w:val="18"/>
                <w:szCs w:val="18"/>
              </w:rPr>
            </w:pPr>
            <w:r w:rsidRPr="00944A44">
              <w:rPr>
                <w:rFonts w:cs="Times New Roman"/>
                <w:sz w:val="18"/>
                <w:szCs w:val="18"/>
              </w:rPr>
              <w:t>$</w:t>
            </w:r>
            <w:r w:rsidR="008926DF">
              <w:rPr>
                <w:rFonts w:cs="Times New Roman"/>
                <w:sz w:val="18"/>
                <w:szCs w:val="18"/>
              </w:rPr>
              <w:t>-</w:t>
            </w:r>
          </w:p>
          <w:p w:rsidR="00C543D2" w:rsidRPr="00944A44" w:rsidRDefault="00C543D2" w:rsidP="000C10D7">
            <w:pPr>
              <w:spacing w:before="0" w:after="0" w:line="240" w:lineRule="auto"/>
              <w:jc w:val="right"/>
              <w:rPr>
                <w:rFonts w:cs="Times New Roman"/>
                <w:sz w:val="18"/>
                <w:szCs w:val="18"/>
              </w:rPr>
            </w:pPr>
            <w:r>
              <w:rPr>
                <w:rFonts w:cs="Times New Roman"/>
                <w:sz w:val="18"/>
                <w:szCs w:val="18"/>
              </w:rPr>
              <w:t>$</w:t>
            </w:r>
            <w:r w:rsidR="008926DF">
              <w:rPr>
                <w:rFonts w:cs="Times New Roman"/>
                <w:sz w:val="18"/>
                <w:szCs w:val="18"/>
              </w:rPr>
              <w:t>-</w:t>
            </w:r>
          </w:p>
        </w:tc>
      </w:tr>
    </w:tbl>
    <w:p w:rsidR="005A386A" w:rsidRDefault="005A386A" w:rsidP="00340616">
      <w:pPr>
        <w:pStyle w:val="BodyText1"/>
      </w:pPr>
    </w:p>
    <w:p w:rsidR="004703B9" w:rsidRDefault="004703B9" w:rsidP="00340616">
      <w:pPr>
        <w:pStyle w:val="BodyText1"/>
        <w:sectPr w:rsidR="004703B9" w:rsidSect="00944A44">
          <w:pgSz w:w="16838" w:h="11906" w:orient="landscape" w:code="9"/>
          <w:pgMar w:top="720" w:right="720" w:bottom="720" w:left="720" w:header="567" w:footer="624" w:gutter="0"/>
          <w:cols w:space="708"/>
          <w:titlePg/>
          <w:docGrid w:linePitch="360"/>
        </w:sectPr>
      </w:pPr>
    </w:p>
    <w:p w:rsidR="004703B9" w:rsidRDefault="004703B9" w:rsidP="00340616">
      <w:pPr>
        <w:pStyle w:val="BodyText1"/>
      </w:pPr>
    </w:p>
    <w:p w:rsidR="004703B9" w:rsidRDefault="004703B9" w:rsidP="00340616">
      <w:pPr>
        <w:pStyle w:val="BodyText1"/>
      </w:pPr>
    </w:p>
    <w:p w:rsidR="004703B9" w:rsidRPr="004703B9" w:rsidRDefault="004703B9" w:rsidP="00D02419">
      <w:pPr>
        <w:pStyle w:val="Heading2"/>
        <w:spacing w:before="240"/>
        <w:ind w:left="360" w:hanging="360"/>
        <w:rPr>
          <w:sz w:val="40"/>
        </w:rPr>
      </w:pPr>
      <w:bookmarkStart w:id="113" w:name="_Toc514836312"/>
      <w:r w:rsidRPr="004703B9">
        <w:rPr>
          <w:sz w:val="40"/>
        </w:rPr>
        <w:t xml:space="preserve">Appendix D: </w:t>
      </w:r>
      <w:r>
        <w:rPr>
          <w:sz w:val="40"/>
        </w:rPr>
        <w:t>Annual Business Plan Template</w:t>
      </w:r>
      <w:bookmarkEnd w:id="113"/>
    </w:p>
    <w:p w:rsidR="004703B9" w:rsidRDefault="004703B9" w:rsidP="00340616">
      <w:pPr>
        <w:pStyle w:val="BodyText1"/>
      </w:pPr>
    </w:p>
    <w:p w:rsidR="004703B9" w:rsidRPr="00D43ABC" w:rsidRDefault="004703B9" w:rsidP="004703B9">
      <w:pPr>
        <w:spacing w:after="240" w:line="240" w:lineRule="auto"/>
        <w:rPr>
          <w:rFonts w:cs="Times New Roman"/>
        </w:rPr>
      </w:pPr>
      <w:r w:rsidRPr="00D43ABC">
        <w:rPr>
          <w:rFonts w:cs="Times New Roman"/>
        </w:rPr>
        <w:t xml:space="preserve">The purpose of the Annual Business Plan is to provide </w:t>
      </w:r>
      <w:r>
        <w:rPr>
          <w:rFonts w:cs="Times New Roman"/>
        </w:rPr>
        <w:t>a succinct summary</w:t>
      </w:r>
      <w:r w:rsidRPr="00D43ABC">
        <w:rPr>
          <w:rFonts w:cs="Times New Roman"/>
        </w:rPr>
        <w:t xml:space="preserve"> of </w:t>
      </w:r>
      <w:r>
        <w:rPr>
          <w:rFonts w:cs="Times New Roman"/>
        </w:rPr>
        <w:t>the activities for any given year. It is expected that the business plan will be no more than ten pages, not including attachments.</w:t>
      </w:r>
    </w:p>
    <w:p w:rsidR="004703B9" w:rsidRPr="00D43ABC" w:rsidRDefault="004703B9" w:rsidP="004703B9">
      <w:pPr>
        <w:spacing w:after="120" w:line="240" w:lineRule="auto"/>
        <w:rPr>
          <w:rFonts w:cs="Times New Roman"/>
        </w:rPr>
      </w:pPr>
      <w:r w:rsidRPr="00D43ABC">
        <w:rPr>
          <w:rFonts w:cs="Times New Roman"/>
        </w:rPr>
        <w:t>Each annual business plan must include:</w:t>
      </w:r>
    </w:p>
    <w:p w:rsidR="004703B9" w:rsidRDefault="004703B9" w:rsidP="004703B9">
      <w:pPr>
        <w:pStyle w:val="ScheduleL5"/>
        <w:spacing w:after="0" w:line="240" w:lineRule="auto"/>
        <w:rPr>
          <w:rFonts w:asciiTheme="minorHAnsi" w:hAnsiTheme="minorHAnsi" w:cs="Times New Roman"/>
        </w:rPr>
      </w:pPr>
      <w:r w:rsidRPr="00D43ABC">
        <w:rPr>
          <w:rFonts w:asciiTheme="minorHAnsi" w:hAnsiTheme="minorHAnsi" w:cs="Times New Roman"/>
        </w:rPr>
        <w:t>an outline of governance and management arrangements</w:t>
      </w:r>
    </w:p>
    <w:p w:rsidR="004703B9" w:rsidRDefault="004703B9" w:rsidP="004703B9">
      <w:pPr>
        <w:pStyle w:val="ScheduleL5"/>
        <w:spacing w:after="0" w:line="240" w:lineRule="auto"/>
        <w:rPr>
          <w:rFonts w:asciiTheme="minorHAnsi" w:hAnsiTheme="minorHAnsi" w:cs="Times New Roman"/>
        </w:rPr>
      </w:pPr>
      <w:r>
        <w:rPr>
          <w:rFonts w:asciiTheme="minorHAnsi" w:hAnsiTheme="minorHAnsi" w:cs="Times New Roman"/>
        </w:rPr>
        <w:t xml:space="preserve">an outline of the project’s strategic direction </w:t>
      </w:r>
    </w:p>
    <w:p w:rsidR="004703B9" w:rsidRDefault="004703B9" w:rsidP="004703B9">
      <w:pPr>
        <w:pStyle w:val="ScheduleL5"/>
        <w:spacing w:after="0" w:line="240" w:lineRule="auto"/>
        <w:rPr>
          <w:rFonts w:asciiTheme="minorHAnsi" w:hAnsiTheme="minorHAnsi" w:cs="Times New Roman"/>
        </w:rPr>
      </w:pPr>
      <w:r>
        <w:rPr>
          <w:rFonts w:asciiTheme="minorHAnsi" w:hAnsiTheme="minorHAnsi" w:cs="Times New Roman"/>
        </w:rPr>
        <w:t>proposed changes, and progress with agreed changes, to:</w:t>
      </w:r>
    </w:p>
    <w:p w:rsidR="004703B9" w:rsidRPr="001B4197" w:rsidRDefault="004703B9" w:rsidP="004703B9">
      <w:pPr>
        <w:pStyle w:val="ScheduleL5"/>
        <w:numPr>
          <w:ilvl w:val="0"/>
          <w:numId w:val="33"/>
        </w:numPr>
        <w:spacing w:after="0" w:line="240" w:lineRule="auto"/>
        <w:rPr>
          <w:rFonts w:asciiTheme="minorHAnsi" w:hAnsiTheme="minorHAnsi" w:cs="Times New Roman"/>
        </w:rPr>
      </w:pPr>
      <w:r w:rsidRPr="001B4197">
        <w:rPr>
          <w:rFonts w:asciiTheme="minorHAnsi" w:hAnsiTheme="minorHAnsi" w:cs="Times New Roman"/>
        </w:rPr>
        <w:t>better address the 2016 National Research Infrastructure Roadmap</w:t>
      </w:r>
    </w:p>
    <w:p w:rsidR="004703B9" w:rsidRPr="001B4197" w:rsidRDefault="004703B9" w:rsidP="004703B9">
      <w:pPr>
        <w:pStyle w:val="ScheduleL5"/>
        <w:numPr>
          <w:ilvl w:val="0"/>
          <w:numId w:val="33"/>
        </w:numPr>
        <w:spacing w:after="0" w:line="240" w:lineRule="auto"/>
        <w:rPr>
          <w:rFonts w:asciiTheme="minorHAnsi" w:hAnsiTheme="minorHAnsi" w:cs="Times New Roman"/>
        </w:rPr>
      </w:pPr>
      <w:r w:rsidRPr="001B4197">
        <w:rPr>
          <w:rFonts w:asciiTheme="minorHAnsi" w:hAnsiTheme="minorHAnsi" w:cs="Times New Roman"/>
        </w:rPr>
        <w:t>address other identified issues</w:t>
      </w:r>
    </w:p>
    <w:p w:rsidR="004703B9" w:rsidRPr="00D43ABC" w:rsidRDefault="004703B9" w:rsidP="004703B9">
      <w:pPr>
        <w:pStyle w:val="ScheduleL5"/>
        <w:spacing w:after="0" w:line="240" w:lineRule="auto"/>
        <w:rPr>
          <w:rFonts w:asciiTheme="minorHAnsi" w:hAnsiTheme="minorHAnsi" w:cs="Times New Roman"/>
        </w:rPr>
      </w:pPr>
      <w:r>
        <w:rPr>
          <w:rFonts w:asciiTheme="minorHAnsi" w:hAnsiTheme="minorHAnsi" w:cs="Times New Roman"/>
        </w:rPr>
        <w:t>other proposed changes</w:t>
      </w:r>
    </w:p>
    <w:p w:rsidR="004703B9" w:rsidRPr="00D43ABC" w:rsidRDefault="004703B9" w:rsidP="004703B9">
      <w:pPr>
        <w:pStyle w:val="ScheduleL5"/>
        <w:spacing w:after="0" w:line="240" w:lineRule="auto"/>
        <w:rPr>
          <w:rFonts w:asciiTheme="minorHAnsi" w:hAnsiTheme="minorHAnsi" w:cs="Times New Roman"/>
        </w:rPr>
      </w:pPr>
      <w:r w:rsidRPr="00D43ABC">
        <w:rPr>
          <w:rFonts w:asciiTheme="minorHAnsi" w:hAnsiTheme="minorHAnsi" w:cs="Times New Roman"/>
        </w:rPr>
        <w:t xml:space="preserve">descriptions of each of the project’s </w:t>
      </w:r>
      <w:r>
        <w:rPr>
          <w:rFonts w:asciiTheme="minorHAnsi" w:hAnsiTheme="minorHAnsi" w:cs="Times New Roman"/>
        </w:rPr>
        <w:t xml:space="preserve">major </w:t>
      </w:r>
      <w:r w:rsidRPr="00D43ABC">
        <w:rPr>
          <w:rFonts w:asciiTheme="minorHAnsi" w:hAnsiTheme="minorHAnsi" w:cs="Times New Roman"/>
        </w:rPr>
        <w:t xml:space="preserve">components </w:t>
      </w:r>
    </w:p>
    <w:p w:rsidR="004703B9" w:rsidRDefault="004703B9" w:rsidP="004703B9">
      <w:pPr>
        <w:pStyle w:val="ScheduleL5"/>
        <w:spacing w:after="0" w:line="240" w:lineRule="auto"/>
        <w:rPr>
          <w:rFonts w:asciiTheme="minorHAnsi" w:hAnsiTheme="minorHAnsi" w:cs="Times New Roman"/>
        </w:rPr>
      </w:pPr>
      <w:r>
        <w:rPr>
          <w:rFonts w:asciiTheme="minorHAnsi" w:hAnsiTheme="minorHAnsi" w:cs="Times New Roman"/>
        </w:rPr>
        <w:t>descriptions of linkages to other NCRIS projects and actual or planned mechanisms to increase coordinated delivery of services to researchers</w:t>
      </w:r>
    </w:p>
    <w:p w:rsidR="004703B9" w:rsidRDefault="004703B9" w:rsidP="004703B9">
      <w:pPr>
        <w:pStyle w:val="ScheduleL5"/>
        <w:spacing w:after="0" w:line="240" w:lineRule="auto"/>
        <w:rPr>
          <w:rFonts w:asciiTheme="minorHAnsi" w:hAnsiTheme="minorHAnsi" w:cs="Times New Roman"/>
        </w:rPr>
      </w:pPr>
      <w:r>
        <w:rPr>
          <w:rFonts w:asciiTheme="minorHAnsi" w:hAnsiTheme="minorHAnsi" w:cs="Times New Roman"/>
        </w:rPr>
        <w:t>a plan for industry and/ or other end user engagement</w:t>
      </w:r>
    </w:p>
    <w:p w:rsidR="004703B9" w:rsidRDefault="004703B9" w:rsidP="004703B9">
      <w:pPr>
        <w:pStyle w:val="ScheduleL5"/>
        <w:spacing w:after="0" w:line="240" w:lineRule="auto"/>
        <w:rPr>
          <w:rFonts w:asciiTheme="minorHAnsi" w:hAnsiTheme="minorHAnsi" w:cs="Times New Roman"/>
        </w:rPr>
      </w:pPr>
      <w:r w:rsidRPr="00D43ABC">
        <w:rPr>
          <w:rFonts w:asciiTheme="minorHAnsi" w:hAnsiTheme="minorHAnsi" w:cs="Times New Roman"/>
        </w:rPr>
        <w:t xml:space="preserve">a minimum of one target performance measure and </w:t>
      </w:r>
      <w:r>
        <w:rPr>
          <w:rFonts w:asciiTheme="minorHAnsi" w:hAnsiTheme="minorHAnsi" w:cs="Times New Roman"/>
        </w:rPr>
        <w:t xml:space="preserve">associated </w:t>
      </w:r>
      <w:r w:rsidRPr="00D43ABC">
        <w:rPr>
          <w:rFonts w:asciiTheme="minorHAnsi" w:hAnsiTheme="minorHAnsi" w:cs="Times New Roman"/>
        </w:rPr>
        <w:t>achievement level for each project component</w:t>
      </w:r>
    </w:p>
    <w:p w:rsidR="004703B9" w:rsidRPr="00D43ABC" w:rsidRDefault="004703B9" w:rsidP="004703B9">
      <w:pPr>
        <w:pStyle w:val="ScheduleL5"/>
        <w:spacing w:after="0" w:line="240" w:lineRule="auto"/>
        <w:rPr>
          <w:rFonts w:asciiTheme="minorHAnsi" w:hAnsiTheme="minorHAnsi" w:cs="Times New Roman"/>
        </w:rPr>
      </w:pPr>
      <w:r>
        <w:rPr>
          <w:rFonts w:asciiTheme="minorHAnsi" w:hAnsiTheme="minorHAnsi" w:cs="Times New Roman"/>
        </w:rPr>
        <w:t>a risk management strategy</w:t>
      </w:r>
    </w:p>
    <w:p w:rsidR="004703B9" w:rsidRDefault="004703B9" w:rsidP="004703B9">
      <w:pPr>
        <w:pStyle w:val="ScheduleL5"/>
        <w:spacing w:after="0" w:line="240" w:lineRule="auto"/>
        <w:rPr>
          <w:rFonts w:asciiTheme="minorHAnsi" w:hAnsiTheme="minorHAnsi" w:cs="Times New Roman"/>
        </w:rPr>
      </w:pPr>
      <w:r>
        <w:rPr>
          <w:rFonts w:asciiTheme="minorHAnsi" w:hAnsiTheme="minorHAnsi" w:cs="Times New Roman"/>
        </w:rPr>
        <w:t>a summary of</w:t>
      </w:r>
      <w:r w:rsidRPr="00D43ABC">
        <w:rPr>
          <w:rFonts w:asciiTheme="minorHAnsi" w:hAnsiTheme="minorHAnsi" w:cs="Times New Roman"/>
        </w:rPr>
        <w:t xml:space="preserve"> expected expenses for each</w:t>
      </w:r>
      <w:r>
        <w:rPr>
          <w:rFonts w:asciiTheme="minorHAnsi" w:hAnsiTheme="minorHAnsi" w:cs="Times New Roman"/>
        </w:rPr>
        <w:t xml:space="preserve"> major</w:t>
      </w:r>
      <w:r w:rsidRPr="00D43ABC">
        <w:rPr>
          <w:rFonts w:asciiTheme="minorHAnsi" w:hAnsiTheme="minorHAnsi" w:cs="Times New Roman"/>
        </w:rPr>
        <w:t xml:space="preserve"> </w:t>
      </w:r>
      <w:r>
        <w:rPr>
          <w:rFonts w:asciiTheme="minorHAnsi" w:hAnsiTheme="minorHAnsi" w:cs="Times New Roman"/>
        </w:rPr>
        <w:t>c</w:t>
      </w:r>
      <w:r w:rsidRPr="00D43ABC">
        <w:rPr>
          <w:rFonts w:asciiTheme="minorHAnsi" w:hAnsiTheme="minorHAnsi" w:cs="Times New Roman"/>
        </w:rPr>
        <w:t>omponent:</w:t>
      </w:r>
    </w:p>
    <w:p w:rsidR="004703B9"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operation, management and governance costs</w:t>
      </w:r>
    </w:p>
    <w:p w:rsidR="004703B9"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salaries and on-costs for technical staff</w:t>
      </w:r>
    </w:p>
    <w:p w:rsidR="004703B9"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infrastructure maintenance</w:t>
      </w:r>
    </w:p>
    <w:p w:rsidR="004703B9" w:rsidRDefault="004703B9" w:rsidP="004703B9">
      <w:pPr>
        <w:pStyle w:val="ScheduleL5"/>
        <w:numPr>
          <w:ilvl w:val="0"/>
          <w:numId w:val="33"/>
        </w:numPr>
        <w:spacing w:after="0" w:line="240" w:lineRule="auto"/>
        <w:rPr>
          <w:rFonts w:asciiTheme="minorHAnsi" w:hAnsiTheme="minorHAnsi" w:cs="Times New Roman"/>
        </w:rPr>
      </w:pPr>
      <w:r>
        <w:rPr>
          <w:rFonts w:asciiTheme="minorHAnsi" w:hAnsiTheme="minorHAnsi" w:cs="Times New Roman"/>
        </w:rPr>
        <w:t>infrastructure upgrades</w:t>
      </w:r>
    </w:p>
    <w:p w:rsidR="004703B9"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utilities</w:t>
      </w:r>
    </w:p>
    <w:p w:rsidR="004703B9"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rent</w:t>
      </w:r>
    </w:p>
    <w:p w:rsidR="004703B9" w:rsidRPr="00716446"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consumables</w:t>
      </w:r>
    </w:p>
    <w:p w:rsidR="004703B9"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international</w:t>
      </w:r>
      <w:r>
        <w:rPr>
          <w:rFonts w:asciiTheme="minorHAnsi" w:hAnsiTheme="minorHAnsi" w:cs="Times New Roman"/>
        </w:rPr>
        <w:t xml:space="preserve"> travel and engagement</w:t>
      </w:r>
    </w:p>
    <w:p w:rsidR="004703B9" w:rsidRPr="00716446" w:rsidRDefault="004703B9" w:rsidP="004703B9">
      <w:pPr>
        <w:pStyle w:val="ScheduleL5"/>
        <w:numPr>
          <w:ilvl w:val="0"/>
          <w:numId w:val="33"/>
        </w:numPr>
        <w:spacing w:after="0" w:line="240" w:lineRule="auto"/>
        <w:rPr>
          <w:rFonts w:asciiTheme="minorHAnsi" w:hAnsiTheme="minorHAnsi" w:cs="Times New Roman"/>
        </w:rPr>
      </w:pPr>
      <w:r>
        <w:rPr>
          <w:rFonts w:asciiTheme="minorHAnsi" w:hAnsiTheme="minorHAnsi" w:cs="Times New Roman"/>
        </w:rPr>
        <w:t>industry and end user</w:t>
      </w:r>
      <w:r w:rsidRPr="00D43ABC">
        <w:rPr>
          <w:rFonts w:asciiTheme="minorHAnsi" w:hAnsiTheme="minorHAnsi" w:cs="Times New Roman"/>
        </w:rPr>
        <w:t xml:space="preserve"> engagement</w:t>
      </w:r>
      <w:r>
        <w:rPr>
          <w:rFonts w:asciiTheme="minorHAnsi" w:hAnsiTheme="minorHAnsi" w:cs="Times New Roman"/>
        </w:rPr>
        <w:t>, outreach and earnings</w:t>
      </w:r>
    </w:p>
    <w:p w:rsidR="004703B9" w:rsidRPr="00D43ABC" w:rsidRDefault="004703B9" w:rsidP="004703B9">
      <w:pPr>
        <w:pStyle w:val="ScheduleL5"/>
        <w:numPr>
          <w:ilvl w:val="0"/>
          <w:numId w:val="33"/>
        </w:numPr>
        <w:spacing w:after="0" w:line="240" w:lineRule="auto"/>
        <w:rPr>
          <w:rFonts w:asciiTheme="minorHAnsi" w:hAnsiTheme="minorHAnsi" w:cs="Times New Roman"/>
        </w:rPr>
      </w:pPr>
      <w:r w:rsidRPr="00D43ABC">
        <w:rPr>
          <w:rFonts w:asciiTheme="minorHAnsi" w:hAnsiTheme="minorHAnsi" w:cs="Times New Roman"/>
        </w:rPr>
        <w:t>other</w:t>
      </w:r>
      <w:r>
        <w:rPr>
          <w:rFonts w:asciiTheme="minorHAnsi" w:hAnsiTheme="minorHAnsi" w:cs="Times New Roman"/>
        </w:rPr>
        <w:t xml:space="preserve"> (including a description).</w:t>
      </w:r>
    </w:p>
    <w:p w:rsidR="004703B9" w:rsidRDefault="004703B9" w:rsidP="004703B9">
      <w:pPr>
        <w:pStyle w:val="ScheduleL5"/>
        <w:spacing w:after="0" w:line="240" w:lineRule="auto"/>
        <w:rPr>
          <w:rFonts w:asciiTheme="minorHAnsi" w:hAnsiTheme="minorHAnsi" w:cs="Times New Roman"/>
        </w:rPr>
      </w:pPr>
      <w:r>
        <w:rPr>
          <w:rFonts w:asciiTheme="minorHAnsi" w:hAnsiTheme="minorHAnsi" w:cs="Times New Roman"/>
        </w:rPr>
        <w:t>an overall accounting for the total funding provided under NCRIS including interest, co-investment (cash and in-kind), and user fees/charges, showing the amounts to be used for major components and the amounts allocated to smaller projects.</w:t>
      </w:r>
    </w:p>
    <w:p w:rsidR="004703B9" w:rsidRDefault="004703B9" w:rsidP="004703B9">
      <w:pPr>
        <w:pStyle w:val="ScheduleL5"/>
        <w:spacing w:after="0" w:line="240" w:lineRule="auto"/>
        <w:rPr>
          <w:rFonts w:asciiTheme="minorHAnsi" w:hAnsiTheme="minorHAnsi" w:cs="Times New Roman"/>
        </w:rPr>
      </w:pPr>
      <w:r>
        <w:rPr>
          <w:rFonts w:asciiTheme="minorHAnsi" w:hAnsiTheme="minorHAnsi" w:cs="Times New Roman"/>
        </w:rPr>
        <w:t>a summary of future developments of research infrastructure relevant to the project, and how the project plans to engage with those developments.</w:t>
      </w:r>
    </w:p>
    <w:p w:rsidR="004703B9" w:rsidRDefault="004703B9" w:rsidP="004703B9">
      <w:pPr>
        <w:pStyle w:val="ScheduleL5"/>
        <w:numPr>
          <w:ilvl w:val="0"/>
          <w:numId w:val="0"/>
        </w:numPr>
        <w:spacing w:after="0" w:line="240" w:lineRule="auto"/>
        <w:rPr>
          <w:rFonts w:asciiTheme="minorHAnsi" w:hAnsiTheme="minorHAnsi" w:cs="Times New Roman"/>
        </w:rPr>
      </w:pPr>
    </w:p>
    <w:p w:rsidR="004703B9" w:rsidRPr="00D43ABC" w:rsidRDefault="004703B9" w:rsidP="004703B9">
      <w:pPr>
        <w:pStyle w:val="ScheduleL5"/>
        <w:numPr>
          <w:ilvl w:val="0"/>
          <w:numId w:val="0"/>
        </w:numPr>
        <w:spacing w:after="0" w:line="240" w:lineRule="auto"/>
        <w:rPr>
          <w:rFonts w:asciiTheme="minorHAnsi" w:hAnsiTheme="minorHAnsi" w:cs="Times New Roman"/>
        </w:rPr>
      </w:pPr>
      <w:r>
        <w:rPr>
          <w:rFonts w:asciiTheme="minorHAnsi" w:hAnsiTheme="minorHAnsi" w:cs="Times New Roman"/>
        </w:rPr>
        <w:t>If any confidential information is provided, it is</w:t>
      </w:r>
      <w:r w:rsidRPr="00D43ABC">
        <w:rPr>
          <w:rFonts w:asciiTheme="minorHAnsi" w:hAnsiTheme="minorHAnsi" w:cs="Times New Roman"/>
        </w:rPr>
        <w:t xml:space="preserve"> to be clearly identified as such and presented in a separate attachment.</w:t>
      </w:r>
    </w:p>
    <w:p w:rsidR="004703B9" w:rsidRPr="00D43ABC" w:rsidRDefault="004703B9" w:rsidP="004703B9">
      <w:pPr>
        <w:spacing w:after="120" w:line="240" w:lineRule="auto"/>
        <w:rPr>
          <w:rFonts w:cs="Times New Roman"/>
        </w:rPr>
      </w:pPr>
      <w:r w:rsidRPr="00D43ABC">
        <w:rPr>
          <w:rFonts w:cs="Times New Roman"/>
        </w:rPr>
        <w:t>DECLARATION</w:t>
      </w:r>
    </w:p>
    <w:p w:rsidR="004703B9" w:rsidRPr="00D43ABC" w:rsidRDefault="004703B9" w:rsidP="004703B9">
      <w:pPr>
        <w:spacing w:after="0" w:line="240" w:lineRule="auto"/>
        <w:rPr>
          <w:rFonts w:cs="Times New Roman"/>
        </w:rPr>
      </w:pPr>
      <w:r w:rsidRPr="00D43ABC">
        <w:rPr>
          <w:rFonts w:cs="Times New Roman"/>
        </w:rPr>
        <w:t>I confirm that the information in this report is true and correct to the best of my knowledge following due investigation.</w:t>
      </w:r>
    </w:p>
    <w:p w:rsidR="004703B9" w:rsidRPr="00D43ABC" w:rsidRDefault="004703B9" w:rsidP="004703B9">
      <w:pPr>
        <w:spacing w:after="0" w:line="240" w:lineRule="auto"/>
        <w:rPr>
          <w:rFonts w:cs="Times New Roman"/>
        </w:rPr>
      </w:pPr>
      <w:r w:rsidRPr="00D43ABC">
        <w:rPr>
          <w:rFonts w:cs="Times New Roman"/>
        </w:rPr>
        <w:t>…………………………………………</w:t>
      </w:r>
      <w:r w:rsidRPr="00D43ABC">
        <w:rPr>
          <w:rFonts w:cs="Times New Roman"/>
        </w:rPr>
        <w:tab/>
      </w:r>
      <w:r w:rsidRPr="00D43ABC">
        <w:rPr>
          <w:rFonts w:cs="Times New Roman"/>
        </w:rPr>
        <w:tab/>
      </w:r>
      <w:r>
        <w:rPr>
          <w:rFonts w:cs="Times New Roman"/>
        </w:rPr>
        <w:t xml:space="preserve">[Day] </w:t>
      </w:r>
      <w:r w:rsidRPr="00D43ABC">
        <w:rPr>
          <w:rFonts w:cs="Times New Roman"/>
        </w:rPr>
        <w:t>/</w:t>
      </w:r>
      <w:r>
        <w:rPr>
          <w:rFonts w:cs="Times New Roman"/>
        </w:rPr>
        <w:t xml:space="preserve"> [Month] </w:t>
      </w:r>
      <w:r w:rsidRPr="00D43ABC">
        <w:rPr>
          <w:rFonts w:cs="Times New Roman"/>
        </w:rPr>
        <w:t>/</w:t>
      </w:r>
      <w:r>
        <w:rPr>
          <w:rFonts w:cs="Times New Roman"/>
        </w:rPr>
        <w:t xml:space="preserve"> [Year]</w:t>
      </w:r>
    </w:p>
    <w:p w:rsidR="004703B9" w:rsidRPr="00D43ABC" w:rsidRDefault="004703B9" w:rsidP="004703B9">
      <w:pPr>
        <w:spacing w:after="0" w:line="240" w:lineRule="auto"/>
        <w:rPr>
          <w:rFonts w:cs="Times New Roman"/>
        </w:rPr>
      </w:pPr>
      <w:r w:rsidRPr="00D43ABC">
        <w:rPr>
          <w:rFonts w:cs="Times New Roman"/>
        </w:rPr>
        <w:t>Signed</w:t>
      </w:r>
    </w:p>
    <w:p w:rsidR="004703B9" w:rsidRPr="00D43ABC" w:rsidRDefault="004703B9" w:rsidP="004703B9">
      <w:pPr>
        <w:spacing w:after="0" w:line="240" w:lineRule="auto"/>
        <w:rPr>
          <w:rFonts w:cs="Times New Roman"/>
        </w:rPr>
      </w:pPr>
      <w:r w:rsidRPr="00D43ABC">
        <w:rPr>
          <w:rFonts w:cs="Times New Roman"/>
        </w:rPr>
        <w:t>…………………………………………</w:t>
      </w:r>
    </w:p>
    <w:p w:rsidR="004703B9" w:rsidRPr="00D43ABC" w:rsidRDefault="004703B9" w:rsidP="004703B9">
      <w:pPr>
        <w:spacing w:after="0" w:line="240" w:lineRule="auto"/>
        <w:rPr>
          <w:rFonts w:cs="Times New Roman"/>
        </w:rPr>
      </w:pPr>
      <w:r w:rsidRPr="00D43ABC">
        <w:rPr>
          <w:rFonts w:cs="Times New Roman"/>
        </w:rPr>
        <w:t>Name</w:t>
      </w:r>
    </w:p>
    <w:p w:rsidR="004703B9" w:rsidRPr="00D43ABC" w:rsidRDefault="004703B9" w:rsidP="004703B9">
      <w:pPr>
        <w:spacing w:after="0" w:line="240" w:lineRule="auto"/>
        <w:rPr>
          <w:rFonts w:cs="Times New Roman"/>
        </w:rPr>
      </w:pPr>
      <w:r w:rsidRPr="00D43ABC">
        <w:rPr>
          <w:rFonts w:cs="Times New Roman"/>
        </w:rPr>
        <w:t>…………………………………………</w:t>
      </w:r>
    </w:p>
    <w:p w:rsidR="004703B9" w:rsidRPr="00AF2050" w:rsidRDefault="004703B9" w:rsidP="006846B7">
      <w:pPr>
        <w:spacing w:after="0" w:line="240" w:lineRule="auto"/>
      </w:pPr>
      <w:r w:rsidRPr="00D43ABC">
        <w:rPr>
          <w:rFonts w:cs="Times New Roman"/>
        </w:rPr>
        <w:t>Position</w:t>
      </w:r>
    </w:p>
    <w:sectPr w:rsidR="004703B9" w:rsidRPr="00AF2050" w:rsidSect="004703B9">
      <w:pgSz w:w="11906" w:h="16838" w:code="9"/>
      <w:pgMar w:top="720" w:right="720" w:bottom="720" w:left="72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0DD" w:rsidRDefault="002A10DD" w:rsidP="00EF4574">
      <w:pPr>
        <w:spacing w:before="0" w:after="0" w:line="240" w:lineRule="auto"/>
      </w:pPr>
      <w:r>
        <w:separator/>
      </w:r>
    </w:p>
    <w:p w:rsidR="002A10DD" w:rsidRDefault="002A10DD"/>
  </w:endnote>
  <w:endnote w:type="continuationSeparator" w:id="0">
    <w:p w:rsidR="002A10DD" w:rsidRDefault="002A10DD" w:rsidP="00EF4574">
      <w:pPr>
        <w:spacing w:before="0" w:after="0" w:line="240" w:lineRule="auto"/>
      </w:pPr>
      <w:r>
        <w:continuationSeparator/>
      </w:r>
    </w:p>
    <w:p w:rsidR="002A10DD" w:rsidRDefault="002A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90" w:rsidRDefault="00BE5190" w:rsidP="005970EA">
    <w:pPr>
      <w:pStyle w:val="Footer"/>
      <w:rPr>
        <w:noProof/>
      </w:rPr>
    </w:pPr>
    <w:r>
      <w:t>May 2018</w:t>
    </w:r>
    <w:r>
      <w:tab/>
    </w:r>
    <w:r>
      <w:tab/>
    </w:r>
    <w:r>
      <w:fldChar w:fldCharType="begin"/>
    </w:r>
    <w:r>
      <w:instrText xml:space="preserve"> PAGE   \* MERGEFORMAT </w:instrText>
    </w:r>
    <w:r>
      <w:fldChar w:fldCharType="separate"/>
    </w:r>
    <w:r w:rsidR="00A81612">
      <w:rPr>
        <w:noProof/>
      </w:rPr>
      <w:t>2</w:t>
    </w:r>
    <w:r>
      <w:rPr>
        <w:noProof/>
      </w:rPr>
      <w:fldChar w:fldCharType="end"/>
    </w:r>
  </w:p>
  <w:p w:rsidR="00BE5190" w:rsidRDefault="00BE5190" w:rsidP="005970EA">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90" w:rsidRDefault="00BE5190">
    <w:pPr>
      <w:pStyle w:val="Footer"/>
    </w:pPr>
    <w:r>
      <w:rPr>
        <w:noProof/>
        <w:lang w:eastAsia="en-AU"/>
      </w:rPr>
      <mc:AlternateContent>
        <mc:Choice Requires="wps">
          <w:drawing>
            <wp:anchor distT="0" distB="0" distL="114300" distR="114300" simplePos="0" relativeHeight="251668480" behindDoc="0" locked="1" layoutInCell="0" allowOverlap="1" wp14:anchorId="3EB56EEE" wp14:editId="516D7DAC">
              <wp:simplePos x="0" y="0"/>
              <wp:positionH relativeFrom="margin">
                <wp:align>center</wp:align>
              </wp:positionH>
              <wp:positionV relativeFrom="page">
                <wp:align>bottom</wp:align>
              </wp:positionV>
              <wp:extent cx="2867025" cy="457200"/>
              <wp:effectExtent l="0" t="0" r="0" b="0"/>
              <wp:wrapNone/>
              <wp:docPr id="10" name="janusSEAL SC F_First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944A4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B56EEE" id="_x0000_t202" coordsize="21600,21600" o:spt="202" path="m,l,21600r21600,l21600,xe">
              <v:stroke joinstyle="miter"/>
              <v:path gradientshapeok="t" o:connecttype="rect"/>
            </v:shapetype>
            <v:shape id="janusSEAL SC F_FirstPage_S_2" o:spid="_x0000_s1034" type="#_x0000_t202" style="position:absolute;margin-left:0;margin-top:0;width:225.75pt;height:36pt;z-index:251668480;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" o:allowincell="f" filled="f" stroked="f" strokeweight=".5pt">
              <v:textbox>
                <w:txbxContent>
                  <w:p w:rsidR="00BE5190" w:rsidRPr="00934A29" w:rsidRDefault="00BE5190" w:rsidP="00944A44">
                    <w:pPr>
                      <w:jc w:val="center"/>
                      <w:rPr>
                        <w:rFonts w:ascii="Arial" w:hAnsi="Arial" w:cs="Arial"/>
                        <w:b/>
                        <w:color w:val="FF0000"/>
                        <w:sz w:val="24"/>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1312" behindDoc="0" locked="1" layoutInCell="0" allowOverlap="1" wp14:anchorId="707B07D2" wp14:editId="3AE80969">
              <wp:simplePos x="0" y="0"/>
              <wp:positionH relativeFrom="margin">
                <wp:align>center</wp:align>
              </wp:positionH>
              <wp:positionV relativeFrom="page">
                <wp:align>bottom</wp:align>
              </wp:positionV>
              <wp:extent cx="2867025" cy="457200"/>
              <wp:effectExtent l="0" t="0" r="0" b="0"/>
              <wp:wrapNone/>
              <wp:docPr id="3" name="janusSEAL SC F_FirstPage"/>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837FC6">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7B07D2" id="janusSEAL SC F_FirstPage" o:spid="_x0000_s1035" type="#_x0000_t202" style="position:absolute;margin-left:0;margin-top:0;width:225.75pt;height:36pt;z-index:251661312;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" o:allowincell="f" filled="f" stroked="f" strokeweight=".5pt">
              <v:textbox>
                <w:txbxContent>
                  <w:p w:rsidR="00BE5190" w:rsidRPr="00934A29" w:rsidRDefault="00BE5190" w:rsidP="00837FC6">
                    <w:pPr>
                      <w:jc w:val="center"/>
                      <w:rPr>
                        <w:rFonts w:ascii="Arial" w:hAnsi="Arial" w:cs="Arial"/>
                        <w:b/>
                        <w:color w:val="FF0000"/>
                        <w:sz w:val="24"/>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0DD" w:rsidRDefault="002A10DD" w:rsidP="0020122A">
      <w:pPr>
        <w:pStyle w:val="FootnoteSeparator"/>
      </w:pPr>
    </w:p>
  </w:footnote>
  <w:footnote w:type="continuationSeparator" w:id="0">
    <w:p w:rsidR="002A10DD" w:rsidRDefault="002A10DD" w:rsidP="00EF4574">
      <w:pPr>
        <w:spacing w:before="0" w:after="0" w:line="240" w:lineRule="auto"/>
      </w:pPr>
      <w:r>
        <w:continuationSeparator/>
      </w:r>
    </w:p>
    <w:p w:rsidR="002A10DD" w:rsidRDefault="002A10DD"/>
  </w:footnote>
  <w:footnote w:id="1">
    <w:p w:rsidR="00BE5190" w:rsidRDefault="00BE5190">
      <w:pPr>
        <w:pStyle w:val="FootnoteText"/>
      </w:pPr>
      <w:r>
        <w:rPr>
          <w:rStyle w:val="FootnoteReference"/>
        </w:rPr>
        <w:footnoteRef/>
      </w:r>
      <w:r>
        <w:t xml:space="preserve"> A number of projects supported through the 2006 Roadmap remain priorities.</w:t>
      </w:r>
    </w:p>
  </w:footnote>
  <w:footnote w:id="2">
    <w:p w:rsidR="00BE5190" w:rsidRDefault="00BE5190">
      <w:pPr>
        <w:pStyle w:val="FootnoteText"/>
      </w:pPr>
      <w:r>
        <w:rPr>
          <w:rStyle w:val="FootnoteReference"/>
        </w:rPr>
        <w:footnoteRef/>
      </w:r>
      <w:r>
        <w:t xml:space="preserve"> See also Section 2</w:t>
      </w:r>
    </w:p>
  </w:footnote>
  <w:footnote w:id="3">
    <w:p w:rsidR="00BE5190" w:rsidRDefault="00BE5190">
      <w:pPr>
        <w:pStyle w:val="FootnoteText"/>
      </w:pPr>
      <w:r>
        <w:rPr>
          <w:rStyle w:val="FootnoteReference"/>
        </w:rPr>
        <w:footnoteRef/>
      </w:r>
      <w:r>
        <w:t xml:space="preserve"> NCRIS Guidelines to support the operation of priority projects were issue in 2013, 2015, 2016 and 2017.</w:t>
      </w:r>
    </w:p>
  </w:footnote>
  <w:footnote w:id="4">
    <w:p w:rsidR="00BE5190" w:rsidRDefault="00BE5190" w:rsidP="00527152">
      <w:pPr>
        <w:pStyle w:val="FootnoteText"/>
      </w:pPr>
    </w:p>
  </w:footnote>
  <w:footnote w:id="5">
    <w:p w:rsidR="00BE5190" w:rsidRDefault="00BE5190" w:rsidP="00FA6936">
      <w:pPr>
        <w:pStyle w:val="FootnoteText"/>
      </w:pPr>
    </w:p>
  </w:footnote>
  <w:footnote w:id="6">
    <w:p w:rsidR="00BE5190" w:rsidRDefault="00BE5190">
      <w:pPr>
        <w:pStyle w:val="FootnoteText"/>
      </w:pPr>
      <w:r>
        <w:rPr>
          <w:rStyle w:val="FootnoteReference"/>
        </w:rPr>
        <w:footnoteRef/>
      </w:r>
      <w:r>
        <w:t xml:space="preserve"> See Section 1</w:t>
      </w:r>
    </w:p>
  </w:footnote>
  <w:footnote w:id="7">
    <w:p w:rsidR="00BE5190" w:rsidRPr="003F0C31" w:rsidRDefault="00BE5190" w:rsidP="00340616">
      <w:pPr>
        <w:pStyle w:val="FootnoteText"/>
      </w:pPr>
      <w:r>
        <w:rPr>
          <w:rStyle w:val="FootnoteReference"/>
        </w:rPr>
        <w:footnoteRef/>
      </w:r>
      <w:r>
        <w:t xml:space="preserve"> See glossary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90" w:rsidRPr="000A6A8B" w:rsidRDefault="00BE5190" w:rsidP="000A6A8B">
    <w:pPr>
      <w:pStyle w:val="Header"/>
      <w:jc w:val="center"/>
      <w:rPr>
        <w:rStyle w:val="Classification"/>
      </w:rPr>
    </w:pPr>
    <w:r w:rsidRPr="00944A44">
      <w:rPr>
        <w:b/>
        <w:caps/>
        <w:noProof/>
        <w:sz w:val="24"/>
        <w:lang w:eastAsia="en-AU"/>
      </w:rPr>
      <mc:AlternateContent>
        <mc:Choice Requires="wps">
          <w:drawing>
            <wp:anchor distT="0" distB="0" distL="114300" distR="114300" simplePos="0" relativeHeight="251665408" behindDoc="0" locked="1" layoutInCell="0" allowOverlap="1" wp14:anchorId="7B98A0BE" wp14:editId="295BA1C5">
              <wp:simplePos x="0" y="0"/>
              <wp:positionH relativeFrom="margin">
                <wp:align>center</wp:align>
              </wp:positionH>
              <wp:positionV relativeFrom="page">
                <wp:posOffset>457200</wp:posOffset>
              </wp:positionV>
              <wp:extent cx="2867025" cy="428625"/>
              <wp:effectExtent l="0" t="0" r="0" b="0"/>
              <wp:wrapNone/>
              <wp:docPr id="7" name="janusSEAL SC Header_S_3"/>
              <wp:cNvGraphicFramePr/>
              <a:graphic xmlns:a="http://schemas.openxmlformats.org/drawingml/2006/main">
                <a:graphicData uri="http://schemas.microsoft.com/office/word/2010/wordprocessingShape">
                  <wps:wsp>
                    <wps:cNvSpPr txBox="1"/>
                    <wps:spPr>
                      <a:xfrm>
                        <a:off x="0" y="0"/>
                        <a:ext cx="2867025" cy="4286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944A4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98A0BE" id="_x0000_t202" coordsize="21600,21600" o:spt="202" path="m,l,21600r21600,l21600,xe">
              <v:stroke joinstyle="miter"/>
              <v:path gradientshapeok="t" o:connecttype="rect"/>
            </v:shapetype>
            <v:shape id="janusSEAL SC Header_S_3" o:spid="_x0000_s1026" type="#_x0000_t202" style="position:absolute;left:0;text-align:left;margin-left:0;margin-top:36pt;width:225.75pt;height:33.75pt;z-index:25166540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" o:allowincell="f" filled="f" stroked="f" strokeweight=".5pt">
              <v:textbox style="mso-fit-shape-to-text:t">
                <w:txbxContent>
                  <w:p w:rsidR="00BE5190" w:rsidRPr="00934A29" w:rsidRDefault="00BE5190" w:rsidP="00944A44">
                    <w:pPr>
                      <w:jc w:val="center"/>
                      <w:rPr>
                        <w:rFonts w:ascii="Arial" w:hAnsi="Arial" w:cs="Arial"/>
                        <w:b/>
                        <w:color w:val="FF0000"/>
                        <w:sz w:val="24"/>
                      </w:rPr>
                    </w:pPr>
                  </w:p>
                </w:txbxContent>
              </v:textbox>
              <w10:wrap anchorx="margin" anchory="page"/>
              <w10:anchorlock/>
            </v:shape>
          </w:pict>
        </mc:Fallback>
      </mc:AlternateContent>
    </w:r>
    <w:r w:rsidRPr="00944A44">
      <w:rPr>
        <w:b/>
        <w:caps/>
        <w:noProof/>
        <w:sz w:val="24"/>
        <w:lang w:eastAsia="en-AU"/>
      </w:rPr>
      <mc:AlternateContent>
        <mc:Choice Requires="wps">
          <w:drawing>
            <wp:anchor distT="0" distB="0" distL="114300" distR="114300" simplePos="0" relativeHeight="251663360" behindDoc="0" locked="1" layoutInCell="0" allowOverlap="1" wp14:anchorId="3B59C913" wp14:editId="7E83B4D1">
              <wp:simplePos x="0" y="0"/>
              <wp:positionH relativeFrom="margin">
                <wp:align>center</wp:align>
              </wp:positionH>
              <wp:positionV relativeFrom="page">
                <wp:posOffset>457200</wp:posOffset>
              </wp:positionV>
              <wp:extent cx="2867025" cy="428625"/>
              <wp:effectExtent l="0" t="0" r="0" b="0"/>
              <wp:wrapNone/>
              <wp:docPr id="5" name="janusSEAL SC Header_S_2"/>
              <wp:cNvGraphicFramePr/>
              <a:graphic xmlns:a="http://schemas.openxmlformats.org/drawingml/2006/main">
                <a:graphicData uri="http://schemas.microsoft.com/office/word/2010/wordprocessingShape">
                  <wps:wsp>
                    <wps:cNvSpPr txBox="1"/>
                    <wps:spPr>
                      <a:xfrm>
                        <a:off x="0" y="0"/>
                        <a:ext cx="2867025" cy="4286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944A4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59C913" id="janusSEAL SC Header_S_2" o:spid="_x0000_s1027" type="#_x0000_t202" style="position:absolute;left:0;text-align:left;margin-left:0;margin-top:36pt;width:225.75pt;height:33.75pt;z-index:251663360;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" o:allowincell="f" filled="f" stroked="f" strokeweight=".5pt">
              <v:textbox style="mso-fit-shape-to-text:t">
                <w:txbxContent>
                  <w:p w:rsidR="00BE5190" w:rsidRPr="00934A29" w:rsidRDefault="00BE5190" w:rsidP="00944A44">
                    <w:pPr>
                      <w:jc w:val="center"/>
                      <w:rPr>
                        <w:rFonts w:ascii="Arial" w:hAnsi="Arial" w:cs="Arial"/>
                        <w:b/>
                        <w:color w:val="FF0000"/>
                        <w:sz w:val="24"/>
                      </w:rPr>
                    </w:pPr>
                  </w:p>
                </w:txbxContent>
              </v:textbox>
              <w10:wrap anchorx="margin" anchory="page"/>
              <w10:anchorlock/>
            </v:shape>
          </w:pict>
        </mc:Fallback>
      </mc:AlternateContent>
    </w:r>
    <w:r>
      <w:rPr>
        <w:b/>
        <w:caps/>
        <w:noProof/>
        <w:sz w:val="24"/>
        <w:lang w:eastAsia="en-AU"/>
      </w:rPr>
      <mc:AlternateContent>
        <mc:Choice Requires="wps">
          <w:drawing>
            <wp:anchor distT="0" distB="0" distL="114300" distR="114300" simplePos="0" relativeHeight="251660288" behindDoc="0" locked="1" layoutInCell="0" allowOverlap="1" wp14:anchorId="1DBCAABE" wp14:editId="69EEF564">
              <wp:simplePos x="0" y="0"/>
              <wp:positionH relativeFrom="margin">
                <wp:align>center</wp:align>
              </wp:positionH>
              <wp:positionV relativeFrom="page">
                <wp:align>bottom</wp:align>
              </wp:positionV>
              <wp:extent cx="2867025" cy="457200"/>
              <wp:effectExtent l="0" t="0" r="0" b="0"/>
              <wp:wrapNone/>
              <wp:docPr id="2" name="janusSEAL SC Footer"/>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837FC6">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CAABE" id="janusSEAL SC Footer" o:spid="_x0000_s1028" type="#_x0000_t202" style="position:absolute;left:0;text-align:left;margin-left:0;margin-top:0;width:225.75pt;height:36pt;z-index:25166028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" o:allowincell="f" filled="f" stroked="f" strokeweight=".5pt">
              <v:textbox>
                <w:txbxContent>
                  <w:p w:rsidR="00BE5190" w:rsidRPr="00934A29" w:rsidRDefault="00BE5190" w:rsidP="00837FC6">
                    <w:pPr>
                      <w:jc w:val="center"/>
                      <w:rPr>
                        <w:rFonts w:ascii="Arial" w:hAnsi="Arial" w:cs="Arial"/>
                        <w:b/>
                        <w:color w:val="FF0000"/>
                        <w:sz w:val="24"/>
                      </w:rPr>
                    </w:pPr>
                  </w:p>
                </w:txbxContent>
              </v:textbox>
              <w10:wrap anchorx="margin" anchory="page"/>
              <w10:anchorlock/>
            </v:shape>
          </w:pict>
        </mc:Fallback>
      </mc:AlternateContent>
    </w:r>
    <w:r>
      <w:rPr>
        <w:b/>
        <w:caps/>
        <w:noProof/>
        <w:sz w:val="24"/>
        <w:lang w:eastAsia="en-AU"/>
      </w:rPr>
      <mc:AlternateContent>
        <mc:Choice Requires="wps">
          <w:drawing>
            <wp:anchor distT="0" distB="0" distL="114300" distR="114300" simplePos="0" relativeHeight="251659264" behindDoc="0" locked="1" layoutInCell="0" allowOverlap="1" wp14:anchorId="0F48EA47" wp14:editId="7B505D50">
              <wp:simplePos x="0" y="0"/>
              <wp:positionH relativeFrom="margin">
                <wp:align>center</wp:align>
              </wp:positionH>
              <wp:positionV relativeFrom="page">
                <wp:posOffset>457200</wp:posOffset>
              </wp:positionV>
              <wp:extent cx="2867025" cy="45720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837FC6">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8EA47" id="janusSEAL SC Header" o:spid="_x0000_s1029" type="#_x0000_t202" style="position:absolute;left:0;text-align:left;margin-left:0;margin-top:36pt;width:225.75pt;height:36pt;z-index:25165926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" o:allowincell="f" filled="f" stroked="f" strokeweight=".5pt">
              <v:textbox>
                <w:txbxContent>
                  <w:p w:rsidR="00BE5190" w:rsidRPr="00934A29" w:rsidRDefault="00BE5190" w:rsidP="00837FC6">
                    <w:pPr>
                      <w:jc w:val="center"/>
                      <w:rPr>
                        <w:rFonts w:ascii="Arial" w:hAnsi="Arial" w:cs="Arial"/>
                        <w:b/>
                        <w:color w:val="FF0000"/>
                        <w:sz w:val="24"/>
                      </w:rPr>
                    </w:pP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90" w:rsidRDefault="00BE5190" w:rsidP="000A6A8B">
    <w:pPr>
      <w:pStyle w:val="Header"/>
      <w:jc w:val="center"/>
    </w:pPr>
    <w:r>
      <w:rPr>
        <w:noProof/>
        <w:lang w:eastAsia="en-AU"/>
      </w:rPr>
      <mc:AlternateContent>
        <mc:Choice Requires="wps">
          <w:drawing>
            <wp:anchor distT="0" distB="0" distL="114300" distR="114300" simplePos="0" relativeHeight="251670528" behindDoc="0" locked="1" layoutInCell="0" allowOverlap="1" wp14:anchorId="5518B6C1" wp14:editId="3027EB26">
              <wp:simplePos x="0" y="0"/>
              <wp:positionH relativeFrom="margin">
                <wp:align>center</wp:align>
              </wp:positionH>
              <wp:positionV relativeFrom="page">
                <wp:align>bottom</wp:align>
              </wp:positionV>
              <wp:extent cx="2867025" cy="457200"/>
              <wp:effectExtent l="0" t="0" r="0" b="0"/>
              <wp:wrapNone/>
              <wp:docPr id="12" name="janusSEAL SC F_First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944A4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18B6C1" id="_x0000_t202" coordsize="21600,21600" o:spt="202" path="m,l,21600r21600,l21600,xe">
              <v:stroke joinstyle="miter"/>
              <v:path gradientshapeok="t" o:connecttype="rect"/>
            </v:shapetype>
            <v:shape id="janusSEAL SC F_FirstPage_S_3" o:spid="_x0000_s1030" type="#_x0000_t202" style="position:absolute;left:0;text-align:left;margin-left:0;margin-top:0;width:225.75pt;height:36pt;z-index:25167052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" o:allowincell="f" filled="f" stroked="f" strokeweight=".5pt">
              <v:textbox>
                <w:txbxContent>
                  <w:p w:rsidR="00BE5190" w:rsidRPr="00934A29" w:rsidRDefault="00BE5190" w:rsidP="00944A44">
                    <w:pPr>
                      <w:jc w:val="center"/>
                      <w:rPr>
                        <w:rFonts w:ascii="Arial" w:hAnsi="Arial" w:cs="Arial"/>
                        <w:b/>
                        <w:color w:val="FF0000"/>
                        <w:sz w:val="24"/>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6432" behindDoc="0" locked="1" layoutInCell="0" allowOverlap="1" wp14:anchorId="0674CCE7" wp14:editId="49E560F5">
              <wp:simplePos x="0" y="0"/>
              <wp:positionH relativeFrom="margin">
                <wp:align>center</wp:align>
              </wp:positionH>
              <wp:positionV relativeFrom="page">
                <wp:posOffset>457200</wp:posOffset>
              </wp:positionV>
              <wp:extent cx="2867025" cy="457200"/>
              <wp:effectExtent l="0" t="0" r="0" b="0"/>
              <wp:wrapNone/>
              <wp:docPr id="8" name="janusSEAL SC H_First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944A4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74CCE7" id="janusSEAL SC H_FirstPage_S_3" o:spid="_x0000_s1031" type="#_x0000_t202" style="position:absolute;left:0;text-align:left;margin-left:0;margin-top:36pt;width:225.75pt;height:36pt;z-index:251666432;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" o:allowincell="f" filled="f" stroked="f" strokeweight=".5pt">
              <v:textbox>
                <w:txbxContent>
                  <w:p w:rsidR="00BE5190" w:rsidRPr="00934A29" w:rsidRDefault="00BE5190" w:rsidP="00944A44">
                    <w:pPr>
                      <w:jc w:val="center"/>
                      <w:rPr>
                        <w:rFonts w:ascii="Arial" w:hAnsi="Arial" w:cs="Arial"/>
                        <w:b/>
                        <w:color w:val="FF0000"/>
                        <w:sz w:val="24"/>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4384" behindDoc="0" locked="1" layoutInCell="0" allowOverlap="1" wp14:anchorId="7FC562D4" wp14:editId="526D5853">
              <wp:simplePos x="0" y="0"/>
              <wp:positionH relativeFrom="margin">
                <wp:align>center</wp:align>
              </wp:positionH>
              <wp:positionV relativeFrom="page">
                <wp:posOffset>457200</wp:posOffset>
              </wp:positionV>
              <wp:extent cx="2867025" cy="457200"/>
              <wp:effectExtent l="0" t="0" r="0" b="0"/>
              <wp:wrapNone/>
              <wp:docPr id="6" name="janusSEAL SC H_First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944A4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C562D4" id="janusSEAL SC H_FirstPage_S_2" o:spid="_x0000_s1032" type="#_x0000_t202" style="position:absolute;left:0;text-align:left;margin-left:0;margin-top:36pt;width:225.75pt;height:36pt;z-index:25166438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" o:allowincell="f" filled="f" stroked="f" strokeweight=".5pt">
              <v:textbox>
                <w:txbxContent>
                  <w:p w:rsidR="00BE5190" w:rsidRPr="00934A29" w:rsidRDefault="00BE5190" w:rsidP="00944A44">
                    <w:pPr>
                      <w:jc w:val="center"/>
                      <w:rPr>
                        <w:rFonts w:ascii="Arial" w:hAnsi="Arial" w:cs="Arial"/>
                        <w:b/>
                        <w:color w:val="FF0000"/>
                        <w:sz w:val="24"/>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2336" behindDoc="0" locked="1" layoutInCell="0" allowOverlap="1" wp14:anchorId="47E244FD" wp14:editId="4E7D79C6">
              <wp:simplePos x="0" y="0"/>
              <wp:positionH relativeFrom="margin">
                <wp:align>center</wp:align>
              </wp:positionH>
              <wp:positionV relativeFrom="page">
                <wp:posOffset>457200</wp:posOffset>
              </wp:positionV>
              <wp:extent cx="2867025" cy="457200"/>
              <wp:effectExtent l="0" t="0" r="0" b="0"/>
              <wp:wrapNone/>
              <wp:docPr id="4" name="janusSEAL SC H_FirstPage"/>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E5190" w:rsidRPr="00934A29" w:rsidRDefault="00BE5190" w:rsidP="004E29D6">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244FD" id="janusSEAL SC H_FirstPage" o:spid="_x0000_s1033" type="#_x0000_t202" style="position:absolute;left:0;text-align:left;margin-left:0;margin-top:36pt;width:225.75pt;height:36pt;z-index:251662336;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" o:allowincell="f" filled="f" stroked="f" strokeweight=".5pt">
              <v:textbox>
                <w:txbxContent>
                  <w:p w:rsidR="00BE5190" w:rsidRPr="00934A29" w:rsidRDefault="00BE5190" w:rsidP="004E29D6">
                    <w:pPr>
                      <w:jc w:val="center"/>
                      <w:rPr>
                        <w:rFonts w:ascii="Arial" w:hAnsi="Arial" w:cs="Arial"/>
                        <w:b/>
                        <w:color w:val="FF0000"/>
                        <w:sz w:val="24"/>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930"/>
    <w:multiLevelType w:val="hybridMultilevel"/>
    <w:tmpl w:val="FAF09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61A4C"/>
    <w:multiLevelType w:val="hybridMultilevel"/>
    <w:tmpl w:val="200A991E"/>
    <w:lvl w:ilvl="0" w:tplc="0C090001">
      <w:start w:val="1"/>
      <w:numFmt w:val="bullet"/>
      <w:lvlText w:val=""/>
      <w:lvlJc w:val="left"/>
      <w:pPr>
        <w:ind w:left="1607" w:hanging="360"/>
      </w:pPr>
      <w:rPr>
        <w:rFonts w:ascii="Symbol" w:hAnsi="Symbol" w:hint="default"/>
      </w:rPr>
    </w:lvl>
    <w:lvl w:ilvl="1" w:tplc="0C090003">
      <w:start w:val="1"/>
      <w:numFmt w:val="bullet"/>
      <w:lvlText w:val="o"/>
      <w:lvlJc w:val="left"/>
      <w:pPr>
        <w:ind w:left="2327" w:hanging="360"/>
      </w:pPr>
      <w:rPr>
        <w:rFonts w:ascii="Courier New" w:hAnsi="Courier New" w:cs="Courier New" w:hint="default"/>
      </w:rPr>
    </w:lvl>
    <w:lvl w:ilvl="2" w:tplc="0C090005" w:tentative="1">
      <w:start w:val="1"/>
      <w:numFmt w:val="bullet"/>
      <w:lvlText w:val=""/>
      <w:lvlJc w:val="left"/>
      <w:pPr>
        <w:ind w:left="3047" w:hanging="360"/>
      </w:pPr>
      <w:rPr>
        <w:rFonts w:ascii="Wingdings" w:hAnsi="Wingdings" w:hint="default"/>
      </w:rPr>
    </w:lvl>
    <w:lvl w:ilvl="3" w:tplc="0C090001" w:tentative="1">
      <w:start w:val="1"/>
      <w:numFmt w:val="bullet"/>
      <w:lvlText w:val=""/>
      <w:lvlJc w:val="left"/>
      <w:pPr>
        <w:ind w:left="3767" w:hanging="360"/>
      </w:pPr>
      <w:rPr>
        <w:rFonts w:ascii="Symbol" w:hAnsi="Symbol" w:hint="default"/>
      </w:rPr>
    </w:lvl>
    <w:lvl w:ilvl="4" w:tplc="0C090003" w:tentative="1">
      <w:start w:val="1"/>
      <w:numFmt w:val="bullet"/>
      <w:lvlText w:val="o"/>
      <w:lvlJc w:val="left"/>
      <w:pPr>
        <w:ind w:left="4487" w:hanging="360"/>
      </w:pPr>
      <w:rPr>
        <w:rFonts w:ascii="Courier New" w:hAnsi="Courier New" w:cs="Courier New" w:hint="default"/>
      </w:rPr>
    </w:lvl>
    <w:lvl w:ilvl="5" w:tplc="0C090005" w:tentative="1">
      <w:start w:val="1"/>
      <w:numFmt w:val="bullet"/>
      <w:lvlText w:val=""/>
      <w:lvlJc w:val="left"/>
      <w:pPr>
        <w:ind w:left="5207" w:hanging="360"/>
      </w:pPr>
      <w:rPr>
        <w:rFonts w:ascii="Wingdings" w:hAnsi="Wingdings" w:hint="default"/>
      </w:rPr>
    </w:lvl>
    <w:lvl w:ilvl="6" w:tplc="0C090001" w:tentative="1">
      <w:start w:val="1"/>
      <w:numFmt w:val="bullet"/>
      <w:lvlText w:val=""/>
      <w:lvlJc w:val="left"/>
      <w:pPr>
        <w:ind w:left="5927" w:hanging="360"/>
      </w:pPr>
      <w:rPr>
        <w:rFonts w:ascii="Symbol" w:hAnsi="Symbol" w:hint="default"/>
      </w:rPr>
    </w:lvl>
    <w:lvl w:ilvl="7" w:tplc="0C090003" w:tentative="1">
      <w:start w:val="1"/>
      <w:numFmt w:val="bullet"/>
      <w:lvlText w:val="o"/>
      <w:lvlJc w:val="left"/>
      <w:pPr>
        <w:ind w:left="6647" w:hanging="360"/>
      </w:pPr>
      <w:rPr>
        <w:rFonts w:ascii="Courier New" w:hAnsi="Courier New" w:cs="Courier New" w:hint="default"/>
      </w:rPr>
    </w:lvl>
    <w:lvl w:ilvl="8" w:tplc="0C090005" w:tentative="1">
      <w:start w:val="1"/>
      <w:numFmt w:val="bullet"/>
      <w:lvlText w:val=""/>
      <w:lvlJc w:val="left"/>
      <w:pPr>
        <w:ind w:left="7367" w:hanging="360"/>
      </w:pPr>
      <w:rPr>
        <w:rFonts w:ascii="Wingdings" w:hAnsi="Wingdings" w:hint="default"/>
      </w:rPr>
    </w:lvl>
  </w:abstractNum>
  <w:abstractNum w:abstractNumId="2" w15:restartNumberingAfterBreak="0">
    <w:nsid w:val="043A5AB5"/>
    <w:multiLevelType w:val="hybridMultilevel"/>
    <w:tmpl w:val="1F9886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0F1177"/>
    <w:multiLevelType w:val="hybridMultilevel"/>
    <w:tmpl w:val="8A2A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150DAA"/>
    <w:multiLevelType w:val="hybridMultilevel"/>
    <w:tmpl w:val="BDBC5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ADB2FC3"/>
    <w:multiLevelType w:val="hybridMultilevel"/>
    <w:tmpl w:val="EBA6E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815A20"/>
    <w:multiLevelType w:val="hybridMultilevel"/>
    <w:tmpl w:val="81087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062C20"/>
    <w:multiLevelType w:val="hybridMultilevel"/>
    <w:tmpl w:val="ED78B1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7F4372"/>
    <w:multiLevelType w:val="hybridMultilevel"/>
    <w:tmpl w:val="3D0A3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1" w15:restartNumberingAfterBreak="0">
    <w:nsid w:val="19BD12E7"/>
    <w:multiLevelType w:val="multilevel"/>
    <w:tmpl w:val="95D2349A"/>
    <w:lvl w:ilvl="0">
      <w:start w:val="1"/>
      <w:numFmt w:val="bullet"/>
      <w:pStyle w:val="List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C290B8E"/>
    <w:multiLevelType w:val="hybridMultilevel"/>
    <w:tmpl w:val="D67AB3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263FDC"/>
    <w:multiLevelType w:val="hybridMultilevel"/>
    <w:tmpl w:val="43E2A8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9849B5"/>
    <w:multiLevelType w:val="hybridMultilevel"/>
    <w:tmpl w:val="D45C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1B30EE"/>
    <w:multiLevelType w:val="hybridMultilevel"/>
    <w:tmpl w:val="BE08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1D611E"/>
    <w:multiLevelType w:val="hybridMultilevel"/>
    <w:tmpl w:val="12CA0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214C9"/>
    <w:multiLevelType w:val="multilevel"/>
    <w:tmpl w:val="CB4E17A4"/>
    <w:styleLink w:val="Bullets"/>
    <w:lvl w:ilvl="0">
      <w:start w:val="1"/>
      <w:numFmt w:val="bullet"/>
      <w:pStyle w:val="Bullets1stindent"/>
      <w:lvlText w:val=""/>
      <w:lvlJc w:val="left"/>
      <w:pPr>
        <w:ind w:left="360" w:hanging="360"/>
      </w:pPr>
      <w:rPr>
        <w:rFonts w:ascii="Symbol" w:hAnsi="Symbol" w:hint="default"/>
        <w:color w:val="14708E"/>
      </w:rPr>
    </w:lvl>
    <w:lvl w:ilvl="1">
      <w:start w:val="1"/>
      <w:numFmt w:val="bullet"/>
      <w:pStyle w:val="Bullets2ndindent"/>
      <w:lvlText w:val=""/>
      <w:lvlJc w:val="left"/>
      <w:pPr>
        <w:tabs>
          <w:tab w:val="num" w:pos="567"/>
        </w:tabs>
        <w:ind w:left="567" w:hanging="283"/>
      </w:pPr>
      <w:rPr>
        <w:rFonts w:ascii="Symbol" w:hAnsi="Symbol" w:hint="default"/>
        <w:color w:val="14708E"/>
      </w:rPr>
    </w:lvl>
    <w:lvl w:ilvl="2">
      <w:start w:val="1"/>
      <w:numFmt w:val="bullet"/>
      <w:pStyle w:val="Bulletslast1stindent"/>
      <w:lvlText w:val="•"/>
      <w:lvlJc w:val="left"/>
      <w:pPr>
        <w:tabs>
          <w:tab w:val="num" w:pos="284"/>
        </w:tabs>
        <w:ind w:left="284" w:hanging="284"/>
      </w:pPr>
      <w:rPr>
        <w:rFonts w:ascii="Cambria" w:hAnsi="Cambria" w:hint="default"/>
        <w:color w:val="5BC6E8"/>
      </w:rPr>
    </w:lvl>
    <w:lvl w:ilvl="3">
      <w:start w:val="1"/>
      <w:numFmt w:val="bullet"/>
      <w:pStyle w:val="Bulletslast2ndinden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96D6B5E"/>
    <w:multiLevelType w:val="hybridMultilevel"/>
    <w:tmpl w:val="6D1AD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664FA8"/>
    <w:multiLevelType w:val="hybridMultilevel"/>
    <w:tmpl w:val="67665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C88066D"/>
    <w:multiLevelType w:val="hybridMultilevel"/>
    <w:tmpl w:val="7F9AA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232C0C"/>
    <w:multiLevelType w:val="hybridMultilevel"/>
    <w:tmpl w:val="1674B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EEB28BD"/>
    <w:multiLevelType w:val="hybridMultilevel"/>
    <w:tmpl w:val="37B459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30CB1DC8"/>
    <w:multiLevelType w:val="hybridMultilevel"/>
    <w:tmpl w:val="67EC2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24B331C"/>
    <w:multiLevelType w:val="hybridMultilevel"/>
    <w:tmpl w:val="12689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185DDB"/>
    <w:multiLevelType w:val="hybridMultilevel"/>
    <w:tmpl w:val="A3B2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5B1A52"/>
    <w:multiLevelType w:val="hybridMultilevel"/>
    <w:tmpl w:val="ED9C3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E217D6"/>
    <w:multiLevelType w:val="hybridMultilevel"/>
    <w:tmpl w:val="2FAE7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F8C2B9C"/>
    <w:multiLevelType w:val="hybridMultilevel"/>
    <w:tmpl w:val="76DAF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1720183"/>
    <w:multiLevelType w:val="hybridMultilevel"/>
    <w:tmpl w:val="5C521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1A63CC4"/>
    <w:multiLevelType w:val="hybridMultilevel"/>
    <w:tmpl w:val="B39E2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45E10ED"/>
    <w:multiLevelType w:val="hybridMultilevel"/>
    <w:tmpl w:val="F0F47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207A5C"/>
    <w:multiLevelType w:val="hybridMultilevel"/>
    <w:tmpl w:val="6F4AD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1523F7"/>
    <w:multiLevelType w:val="multilevel"/>
    <w:tmpl w:val="6BC6F2D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pStyle w:val="Numberedpara1stindent"/>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pStyle w:val="Numberedpara3rdindent"/>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36" w15:restartNumberingAfterBreak="0">
    <w:nsid w:val="4F164480"/>
    <w:multiLevelType w:val="hybridMultilevel"/>
    <w:tmpl w:val="06B47378"/>
    <w:lvl w:ilvl="0" w:tplc="1F847220">
      <w:start w:val="1"/>
      <w:numFmt w:val="bullet"/>
      <w:pStyle w:val="Chrissi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1322F5"/>
    <w:multiLevelType w:val="hybridMultilevel"/>
    <w:tmpl w:val="81983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9F7391"/>
    <w:multiLevelType w:val="hybridMultilevel"/>
    <w:tmpl w:val="A1D86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7E40943"/>
    <w:multiLevelType w:val="hybridMultilevel"/>
    <w:tmpl w:val="E0F260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8ED37EA"/>
    <w:multiLevelType w:val="hybridMultilevel"/>
    <w:tmpl w:val="74E4D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1427E4"/>
    <w:multiLevelType w:val="hybridMultilevel"/>
    <w:tmpl w:val="FE161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3" w15:restartNumberingAfterBreak="0">
    <w:nsid w:val="5D1E1273"/>
    <w:multiLevelType w:val="hybridMultilevel"/>
    <w:tmpl w:val="7054E698"/>
    <w:lvl w:ilvl="0" w:tplc="6F8E23F2">
      <w:numFmt w:val="bullet"/>
      <w:lvlText w:val="·"/>
      <w:lvlJc w:val="left"/>
      <w:pPr>
        <w:ind w:left="855" w:hanging="49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5" w15:restartNumberingAfterBreak="0">
    <w:nsid w:val="605D29FE"/>
    <w:multiLevelType w:val="hybridMultilevel"/>
    <w:tmpl w:val="64BC119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3B677CA"/>
    <w:multiLevelType w:val="hybridMultilevel"/>
    <w:tmpl w:val="A28AF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7143530"/>
    <w:multiLevelType w:val="hybridMultilevel"/>
    <w:tmpl w:val="43F2E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8845812"/>
    <w:multiLevelType w:val="hybridMultilevel"/>
    <w:tmpl w:val="D2081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9F82ACB"/>
    <w:multiLevelType w:val="hybridMultilevel"/>
    <w:tmpl w:val="CBA87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B057438"/>
    <w:multiLevelType w:val="multilevel"/>
    <w:tmpl w:val="01740CA0"/>
    <w:lvl w:ilvl="0">
      <w:start w:val="1"/>
      <w:numFmt w:val="decimal"/>
      <w:pStyle w:val="ListNumber"/>
      <w:lvlText w:val="%1."/>
      <w:lvlJc w:val="left"/>
      <w:pPr>
        <w:ind w:left="714" w:hanging="357"/>
      </w:pPr>
      <w:rPr>
        <w:rFonts w:hint="default"/>
        <w:color w:val="auto"/>
      </w:rPr>
    </w:lvl>
    <w:lvl w:ilvl="1">
      <w:start w:val="1"/>
      <w:numFmt w:val="lowerLetter"/>
      <w:lvlText w:val="%2"/>
      <w:lvlJc w:val="left"/>
      <w:pPr>
        <w:ind w:left="1077" w:hanging="363"/>
      </w:pPr>
      <w:rPr>
        <w:rFonts w:hint="default"/>
      </w:rPr>
    </w:lvl>
    <w:lvl w:ilvl="2">
      <w:start w:val="1"/>
      <w:numFmt w:val="lowerRoman"/>
      <w:lvlText w:val="%3"/>
      <w:lvlJc w:val="left"/>
      <w:pPr>
        <w:ind w:left="1437" w:hanging="360"/>
      </w:pPr>
      <w:rPr>
        <w:rFonts w:hint="default"/>
      </w:rPr>
    </w:lvl>
    <w:lvl w:ilvl="3">
      <w:start w:val="1"/>
      <w:numFmt w:val="decimal"/>
      <w:lvlText w:val="%1.%2.%3.%4"/>
      <w:lvlJc w:val="left"/>
      <w:pPr>
        <w:ind w:left="1797" w:hanging="306"/>
      </w:pPr>
      <w:rPr>
        <w:rFonts w:hint="default"/>
        <w:b w:val="0"/>
        <w:i w:val="0"/>
        <w:color w:val="auto"/>
        <w:sz w:val="20"/>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51"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681"/>
        </w:tabs>
        <w:ind w:left="681" w:hanging="681"/>
      </w:pPr>
      <w:rPr>
        <w:rFonts w:hint="default"/>
      </w:rPr>
    </w:lvl>
    <w:lvl w:ilvl="4">
      <w:start w:val="1"/>
      <w:numFmt w:val="lowerRoman"/>
      <w:pStyle w:val="ScheduleL5"/>
      <w:lvlText w:val="(%5)"/>
      <w:lvlJc w:val="left"/>
      <w:pPr>
        <w:tabs>
          <w:tab w:val="num" w:pos="1247"/>
        </w:tabs>
        <w:ind w:left="1247"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2" w15:restartNumberingAfterBreak="0">
    <w:nsid w:val="6E84143F"/>
    <w:multiLevelType w:val="hybridMultilevel"/>
    <w:tmpl w:val="AD120B8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3" w15:restartNumberingAfterBreak="0">
    <w:nsid w:val="6FC7743D"/>
    <w:multiLevelType w:val="hybridMultilevel"/>
    <w:tmpl w:val="4022D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15054A1"/>
    <w:multiLevelType w:val="hybridMultilevel"/>
    <w:tmpl w:val="DE04E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236496C"/>
    <w:multiLevelType w:val="hybridMultilevel"/>
    <w:tmpl w:val="E56C0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7" w15:restartNumberingAfterBreak="0">
    <w:nsid w:val="759A76AB"/>
    <w:multiLevelType w:val="hybridMultilevel"/>
    <w:tmpl w:val="AEAEF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B082EE4"/>
    <w:multiLevelType w:val="hybridMultilevel"/>
    <w:tmpl w:val="26340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B8608EF"/>
    <w:multiLevelType w:val="hybridMultilevel"/>
    <w:tmpl w:val="65AE1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C620FD8"/>
    <w:multiLevelType w:val="hybridMultilevel"/>
    <w:tmpl w:val="F2567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6"/>
  </w:num>
  <w:num w:numId="2">
    <w:abstractNumId w:val="5"/>
  </w:num>
  <w:num w:numId="3">
    <w:abstractNumId w:val="21"/>
  </w:num>
  <w:num w:numId="4">
    <w:abstractNumId w:val="42"/>
  </w:num>
  <w:num w:numId="5">
    <w:abstractNumId w:val="44"/>
  </w:num>
  <w:num w:numId="6">
    <w:abstractNumId w:val="10"/>
  </w:num>
  <w:num w:numId="7">
    <w:abstractNumId w:val="12"/>
  </w:num>
  <w:num w:numId="8">
    <w:abstractNumId w:val="11"/>
  </w:num>
  <w:num w:numId="9">
    <w:abstractNumId w:val="17"/>
  </w:num>
  <w:num w:numId="10">
    <w:abstractNumId w:val="36"/>
  </w:num>
  <w:num w:numId="11">
    <w:abstractNumId w:val="50"/>
  </w:num>
  <w:num w:numId="12">
    <w:abstractNumId w:val="35"/>
    <w:lvlOverride w:ilvl="0">
      <w:lvl w:ilvl="0">
        <w:numFmt w:val="decimal"/>
        <w:lvlText w:val=""/>
        <w:lvlJc w:val="left"/>
      </w:lvl>
    </w:lvlOverride>
    <w:lvlOverride w:ilvl="1">
      <w:lvl w:ilvl="1">
        <w:start w:val="1"/>
        <w:numFmt w:val="decimal"/>
        <w:lvlText w:val="%1.%2"/>
        <w:lvlJc w:val="left"/>
        <w:pPr>
          <w:tabs>
            <w:tab w:val="num" w:pos="1134"/>
          </w:tabs>
          <w:ind w:left="1134" w:hanging="1134"/>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3">
    <w:abstractNumId w:val="18"/>
  </w:num>
  <w:num w:numId="14">
    <w:abstractNumId w:val="13"/>
  </w:num>
  <w:num w:numId="15">
    <w:abstractNumId w:val="3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32"/>
  </w:num>
  <w:num w:numId="19">
    <w:abstractNumId w:val="49"/>
  </w:num>
  <w:num w:numId="20">
    <w:abstractNumId w:val="16"/>
  </w:num>
  <w:num w:numId="21">
    <w:abstractNumId w:val="43"/>
  </w:num>
  <w:num w:numId="22">
    <w:abstractNumId w:val="8"/>
  </w:num>
  <w:num w:numId="23">
    <w:abstractNumId w:val="52"/>
  </w:num>
  <w:num w:numId="24">
    <w:abstractNumId w:val="26"/>
  </w:num>
  <w:num w:numId="25">
    <w:abstractNumId w:val="46"/>
  </w:num>
  <w:num w:numId="26">
    <w:abstractNumId w:val="59"/>
  </w:num>
  <w:num w:numId="27">
    <w:abstractNumId w:val="56"/>
  </w:num>
  <w:num w:numId="28">
    <w:abstractNumId w:val="56"/>
  </w:num>
  <w:num w:numId="29">
    <w:abstractNumId w:val="27"/>
  </w:num>
  <w:num w:numId="30">
    <w:abstractNumId w:val="4"/>
  </w:num>
  <w:num w:numId="31">
    <w:abstractNumId w:val="34"/>
  </w:num>
  <w:num w:numId="32">
    <w:abstractNumId w:val="51"/>
  </w:num>
  <w:num w:numId="33">
    <w:abstractNumId w:val="1"/>
  </w:num>
  <w:num w:numId="34">
    <w:abstractNumId w:val="56"/>
  </w:num>
  <w:num w:numId="35">
    <w:abstractNumId w:val="19"/>
  </w:num>
  <w:num w:numId="36">
    <w:abstractNumId w:val="56"/>
  </w:num>
  <w:num w:numId="37">
    <w:abstractNumId w:val="56"/>
  </w:num>
  <w:num w:numId="38">
    <w:abstractNumId w:val="56"/>
  </w:num>
  <w:num w:numId="39">
    <w:abstractNumId w:val="14"/>
  </w:num>
  <w:num w:numId="40">
    <w:abstractNumId w:val="58"/>
  </w:num>
  <w:num w:numId="41">
    <w:abstractNumId w:val="3"/>
  </w:num>
  <w:num w:numId="42">
    <w:abstractNumId w:val="56"/>
  </w:num>
  <w:num w:numId="43">
    <w:abstractNumId w:val="41"/>
  </w:num>
  <w:num w:numId="44">
    <w:abstractNumId w:val="56"/>
  </w:num>
  <w:num w:numId="45">
    <w:abstractNumId w:val="21"/>
  </w:num>
  <w:num w:numId="46">
    <w:abstractNumId w:val="21"/>
  </w:num>
  <w:num w:numId="47">
    <w:abstractNumId w:val="15"/>
  </w:num>
  <w:num w:numId="48">
    <w:abstractNumId w:val="60"/>
  </w:num>
  <w:num w:numId="49">
    <w:abstractNumId w:val="21"/>
  </w:num>
  <w:num w:numId="50">
    <w:abstractNumId w:val="24"/>
  </w:num>
  <w:num w:numId="51">
    <w:abstractNumId w:val="21"/>
  </w:num>
  <w:num w:numId="52">
    <w:abstractNumId w:val="37"/>
  </w:num>
  <w:num w:numId="53">
    <w:abstractNumId w:val="56"/>
  </w:num>
  <w:num w:numId="54">
    <w:abstractNumId w:val="40"/>
  </w:num>
  <w:num w:numId="55">
    <w:abstractNumId w:val="33"/>
  </w:num>
  <w:num w:numId="56">
    <w:abstractNumId w:val="22"/>
  </w:num>
  <w:num w:numId="57">
    <w:abstractNumId w:val="9"/>
  </w:num>
  <w:num w:numId="58">
    <w:abstractNumId w:val="55"/>
  </w:num>
  <w:num w:numId="59">
    <w:abstractNumId w:val="48"/>
  </w:num>
  <w:num w:numId="60">
    <w:abstractNumId w:val="7"/>
  </w:num>
  <w:num w:numId="61">
    <w:abstractNumId w:val="28"/>
  </w:num>
  <w:num w:numId="62">
    <w:abstractNumId w:val="6"/>
  </w:num>
  <w:num w:numId="63">
    <w:abstractNumId w:val="29"/>
  </w:num>
  <w:num w:numId="64">
    <w:abstractNumId w:val="20"/>
  </w:num>
  <w:num w:numId="65">
    <w:abstractNumId w:val="47"/>
  </w:num>
  <w:num w:numId="66">
    <w:abstractNumId w:val="0"/>
  </w:num>
  <w:num w:numId="67">
    <w:abstractNumId w:val="30"/>
  </w:num>
  <w:num w:numId="68">
    <w:abstractNumId w:val="54"/>
  </w:num>
  <w:num w:numId="69">
    <w:abstractNumId w:val="31"/>
  </w:num>
  <w:num w:numId="70">
    <w:abstractNumId w:val="2"/>
  </w:num>
  <w:num w:numId="71">
    <w:abstractNumId w:val="39"/>
  </w:num>
  <w:num w:numId="72">
    <w:abstractNumId w:val="25"/>
  </w:num>
  <w:num w:numId="73">
    <w:abstractNumId w:val="57"/>
  </w:num>
  <w:num w:numId="74">
    <w:abstractNumId w:val="53"/>
  </w:num>
  <w:num w:numId="75">
    <w:abstractNumId w:val="38"/>
  </w:num>
  <w:num w:numId="76">
    <w:abstractNumId w:val="23"/>
  </w:num>
  <w:num w:numId="77">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3894"/>
    <w:rsid w:val="00005234"/>
    <w:rsid w:val="0000606D"/>
    <w:rsid w:val="00020F4F"/>
    <w:rsid w:val="00021FBF"/>
    <w:rsid w:val="0002782F"/>
    <w:rsid w:val="00031FD1"/>
    <w:rsid w:val="00037782"/>
    <w:rsid w:val="00040BAA"/>
    <w:rsid w:val="00043D41"/>
    <w:rsid w:val="00045933"/>
    <w:rsid w:val="00050D65"/>
    <w:rsid w:val="00054E4D"/>
    <w:rsid w:val="00060073"/>
    <w:rsid w:val="00060327"/>
    <w:rsid w:val="000603C7"/>
    <w:rsid w:val="00061D55"/>
    <w:rsid w:val="00064E7B"/>
    <w:rsid w:val="000728E5"/>
    <w:rsid w:val="00075D2B"/>
    <w:rsid w:val="000829F4"/>
    <w:rsid w:val="000837D8"/>
    <w:rsid w:val="00091BDA"/>
    <w:rsid w:val="000926FB"/>
    <w:rsid w:val="0009505E"/>
    <w:rsid w:val="000A2548"/>
    <w:rsid w:val="000A271A"/>
    <w:rsid w:val="000A4B30"/>
    <w:rsid w:val="000A4DB9"/>
    <w:rsid w:val="000A6A8B"/>
    <w:rsid w:val="000B078D"/>
    <w:rsid w:val="000B4723"/>
    <w:rsid w:val="000C09BD"/>
    <w:rsid w:val="000C10D7"/>
    <w:rsid w:val="000C2A48"/>
    <w:rsid w:val="000C2AB9"/>
    <w:rsid w:val="000C5F75"/>
    <w:rsid w:val="000C74F1"/>
    <w:rsid w:val="000D3C14"/>
    <w:rsid w:val="000D60B1"/>
    <w:rsid w:val="000D60FC"/>
    <w:rsid w:val="000E0C46"/>
    <w:rsid w:val="000F016C"/>
    <w:rsid w:val="000F6E6F"/>
    <w:rsid w:val="00103A95"/>
    <w:rsid w:val="00104208"/>
    <w:rsid w:val="0010425A"/>
    <w:rsid w:val="00105A69"/>
    <w:rsid w:val="00110256"/>
    <w:rsid w:val="00111470"/>
    <w:rsid w:val="001116FF"/>
    <w:rsid w:val="001216D6"/>
    <w:rsid w:val="00121B5B"/>
    <w:rsid w:val="00134FD6"/>
    <w:rsid w:val="00135427"/>
    <w:rsid w:val="00136530"/>
    <w:rsid w:val="00142370"/>
    <w:rsid w:val="00142B12"/>
    <w:rsid w:val="001458E4"/>
    <w:rsid w:val="001541EA"/>
    <w:rsid w:val="00155903"/>
    <w:rsid w:val="001612A4"/>
    <w:rsid w:val="00171FA2"/>
    <w:rsid w:val="00173FA3"/>
    <w:rsid w:val="001744FA"/>
    <w:rsid w:val="00174768"/>
    <w:rsid w:val="00175605"/>
    <w:rsid w:val="00176D52"/>
    <w:rsid w:val="001777FE"/>
    <w:rsid w:val="00184D9B"/>
    <w:rsid w:val="00187435"/>
    <w:rsid w:val="00192CF5"/>
    <w:rsid w:val="00196B91"/>
    <w:rsid w:val="00196BE5"/>
    <w:rsid w:val="001B2C22"/>
    <w:rsid w:val="001B4689"/>
    <w:rsid w:val="001C3A4E"/>
    <w:rsid w:val="001D0392"/>
    <w:rsid w:val="001D7EB4"/>
    <w:rsid w:val="001E026F"/>
    <w:rsid w:val="001E1DC0"/>
    <w:rsid w:val="001F6504"/>
    <w:rsid w:val="00200637"/>
    <w:rsid w:val="0020122A"/>
    <w:rsid w:val="002165C7"/>
    <w:rsid w:val="00220C4F"/>
    <w:rsid w:val="00221C6E"/>
    <w:rsid w:val="00225096"/>
    <w:rsid w:val="00230480"/>
    <w:rsid w:val="00234155"/>
    <w:rsid w:val="00235C6C"/>
    <w:rsid w:val="00236226"/>
    <w:rsid w:val="0023740E"/>
    <w:rsid w:val="00240287"/>
    <w:rsid w:val="002417CF"/>
    <w:rsid w:val="00241945"/>
    <w:rsid w:val="00243176"/>
    <w:rsid w:val="0024649E"/>
    <w:rsid w:val="00251A80"/>
    <w:rsid w:val="0026275D"/>
    <w:rsid w:val="002634F9"/>
    <w:rsid w:val="0028602A"/>
    <w:rsid w:val="00290D3D"/>
    <w:rsid w:val="002918D2"/>
    <w:rsid w:val="0029246F"/>
    <w:rsid w:val="00297012"/>
    <w:rsid w:val="002A10DD"/>
    <w:rsid w:val="002A6308"/>
    <w:rsid w:val="002B0C2A"/>
    <w:rsid w:val="002B1E5A"/>
    <w:rsid w:val="002B2A5A"/>
    <w:rsid w:val="002C21B4"/>
    <w:rsid w:val="002C4CF0"/>
    <w:rsid w:val="002C5B39"/>
    <w:rsid w:val="002C7529"/>
    <w:rsid w:val="002C7BB1"/>
    <w:rsid w:val="002D0C7A"/>
    <w:rsid w:val="002D0F25"/>
    <w:rsid w:val="002E1A99"/>
    <w:rsid w:val="002E63B5"/>
    <w:rsid w:val="002F52BB"/>
    <w:rsid w:val="00301144"/>
    <w:rsid w:val="00306CAC"/>
    <w:rsid w:val="00310C34"/>
    <w:rsid w:val="003142DD"/>
    <w:rsid w:val="003148B7"/>
    <w:rsid w:val="003158C3"/>
    <w:rsid w:val="00317E12"/>
    <w:rsid w:val="003248AD"/>
    <w:rsid w:val="003274CD"/>
    <w:rsid w:val="003278B7"/>
    <w:rsid w:val="003328C0"/>
    <w:rsid w:val="00340616"/>
    <w:rsid w:val="00340DDB"/>
    <w:rsid w:val="0035119D"/>
    <w:rsid w:val="00361559"/>
    <w:rsid w:val="00366A8C"/>
    <w:rsid w:val="003767BB"/>
    <w:rsid w:val="003816BE"/>
    <w:rsid w:val="0039438E"/>
    <w:rsid w:val="003A1BBC"/>
    <w:rsid w:val="003A3076"/>
    <w:rsid w:val="003A6330"/>
    <w:rsid w:val="003A71C5"/>
    <w:rsid w:val="003B37CC"/>
    <w:rsid w:val="003B4F12"/>
    <w:rsid w:val="003E2CDF"/>
    <w:rsid w:val="003F0256"/>
    <w:rsid w:val="003F7D78"/>
    <w:rsid w:val="0040352C"/>
    <w:rsid w:val="004076C7"/>
    <w:rsid w:val="004077FB"/>
    <w:rsid w:val="00410F17"/>
    <w:rsid w:val="00421295"/>
    <w:rsid w:val="00422E12"/>
    <w:rsid w:val="00423F31"/>
    <w:rsid w:val="00431899"/>
    <w:rsid w:val="00433BCD"/>
    <w:rsid w:val="004344F2"/>
    <w:rsid w:val="00435962"/>
    <w:rsid w:val="004422AC"/>
    <w:rsid w:val="00445570"/>
    <w:rsid w:val="00447C0D"/>
    <w:rsid w:val="00453F01"/>
    <w:rsid w:val="00460F0C"/>
    <w:rsid w:val="00461299"/>
    <w:rsid w:val="004617DE"/>
    <w:rsid w:val="00463D4A"/>
    <w:rsid w:val="004703B9"/>
    <w:rsid w:val="0047231F"/>
    <w:rsid w:val="004766E3"/>
    <w:rsid w:val="00485902"/>
    <w:rsid w:val="00486804"/>
    <w:rsid w:val="004939E9"/>
    <w:rsid w:val="004B3775"/>
    <w:rsid w:val="004C2A06"/>
    <w:rsid w:val="004C6767"/>
    <w:rsid w:val="004E058F"/>
    <w:rsid w:val="004E1FC8"/>
    <w:rsid w:val="004E29D6"/>
    <w:rsid w:val="004E3B87"/>
    <w:rsid w:val="004E3FB7"/>
    <w:rsid w:val="00503E53"/>
    <w:rsid w:val="00510921"/>
    <w:rsid w:val="00510AD3"/>
    <w:rsid w:val="00513348"/>
    <w:rsid w:val="00513477"/>
    <w:rsid w:val="005203A5"/>
    <w:rsid w:val="00525478"/>
    <w:rsid w:val="00527152"/>
    <w:rsid w:val="00533B5D"/>
    <w:rsid w:val="00534FE9"/>
    <w:rsid w:val="0054078D"/>
    <w:rsid w:val="0054367B"/>
    <w:rsid w:val="0055140B"/>
    <w:rsid w:val="0055391B"/>
    <w:rsid w:val="005570E8"/>
    <w:rsid w:val="005640B5"/>
    <w:rsid w:val="0056435F"/>
    <w:rsid w:val="005771AD"/>
    <w:rsid w:val="005801AC"/>
    <w:rsid w:val="00591AF5"/>
    <w:rsid w:val="00595DE2"/>
    <w:rsid w:val="005970EA"/>
    <w:rsid w:val="005A386A"/>
    <w:rsid w:val="005A41E0"/>
    <w:rsid w:val="005A4A1B"/>
    <w:rsid w:val="005A4EA0"/>
    <w:rsid w:val="005A4F0B"/>
    <w:rsid w:val="005A5694"/>
    <w:rsid w:val="005B1CBE"/>
    <w:rsid w:val="005B22EF"/>
    <w:rsid w:val="005B6A11"/>
    <w:rsid w:val="005C025E"/>
    <w:rsid w:val="005C37F0"/>
    <w:rsid w:val="005D00E1"/>
    <w:rsid w:val="005D2D36"/>
    <w:rsid w:val="005D55A3"/>
    <w:rsid w:val="005D6D1A"/>
    <w:rsid w:val="005E0682"/>
    <w:rsid w:val="005E08DB"/>
    <w:rsid w:val="005F20E1"/>
    <w:rsid w:val="006048E9"/>
    <w:rsid w:val="00612FDC"/>
    <w:rsid w:val="0062365B"/>
    <w:rsid w:val="00623BA1"/>
    <w:rsid w:val="006267EC"/>
    <w:rsid w:val="006317BC"/>
    <w:rsid w:val="00633874"/>
    <w:rsid w:val="006346BC"/>
    <w:rsid w:val="006539C9"/>
    <w:rsid w:val="00661E1D"/>
    <w:rsid w:val="00664701"/>
    <w:rsid w:val="00666291"/>
    <w:rsid w:val="0066652A"/>
    <w:rsid w:val="00673AA3"/>
    <w:rsid w:val="00674817"/>
    <w:rsid w:val="00682167"/>
    <w:rsid w:val="006846B7"/>
    <w:rsid w:val="00687C34"/>
    <w:rsid w:val="006949A5"/>
    <w:rsid w:val="00694DF9"/>
    <w:rsid w:val="00695039"/>
    <w:rsid w:val="00696E1E"/>
    <w:rsid w:val="006A0E94"/>
    <w:rsid w:val="006A438F"/>
    <w:rsid w:val="006B6F16"/>
    <w:rsid w:val="006C42AF"/>
    <w:rsid w:val="006C4DD1"/>
    <w:rsid w:val="006D43FC"/>
    <w:rsid w:val="006E16CC"/>
    <w:rsid w:val="006E7375"/>
    <w:rsid w:val="006F3C70"/>
    <w:rsid w:val="006F3EC2"/>
    <w:rsid w:val="006F65C2"/>
    <w:rsid w:val="007006BF"/>
    <w:rsid w:val="00711D8E"/>
    <w:rsid w:val="00712672"/>
    <w:rsid w:val="00715EF7"/>
    <w:rsid w:val="00726710"/>
    <w:rsid w:val="007272EB"/>
    <w:rsid w:val="00727628"/>
    <w:rsid w:val="00732750"/>
    <w:rsid w:val="00734E3F"/>
    <w:rsid w:val="00735720"/>
    <w:rsid w:val="00736985"/>
    <w:rsid w:val="00737A13"/>
    <w:rsid w:val="00743A86"/>
    <w:rsid w:val="0076460B"/>
    <w:rsid w:val="00764D4B"/>
    <w:rsid w:val="00764FC8"/>
    <w:rsid w:val="0077054B"/>
    <w:rsid w:val="007735A2"/>
    <w:rsid w:val="007760FD"/>
    <w:rsid w:val="007916AC"/>
    <w:rsid w:val="00794773"/>
    <w:rsid w:val="00796249"/>
    <w:rsid w:val="007A0608"/>
    <w:rsid w:val="007A25F0"/>
    <w:rsid w:val="007B16F5"/>
    <w:rsid w:val="007B2883"/>
    <w:rsid w:val="007B6200"/>
    <w:rsid w:val="007C23F3"/>
    <w:rsid w:val="007C41EA"/>
    <w:rsid w:val="007D1AA6"/>
    <w:rsid w:val="007D44A1"/>
    <w:rsid w:val="007E04FF"/>
    <w:rsid w:val="007E4634"/>
    <w:rsid w:val="007E7C88"/>
    <w:rsid w:val="007F19FE"/>
    <w:rsid w:val="008005B1"/>
    <w:rsid w:val="00801B9F"/>
    <w:rsid w:val="00804128"/>
    <w:rsid w:val="008221DA"/>
    <w:rsid w:val="00827D65"/>
    <w:rsid w:val="00837FC6"/>
    <w:rsid w:val="00856A1A"/>
    <w:rsid w:val="00865B98"/>
    <w:rsid w:val="00871E09"/>
    <w:rsid w:val="00876AD6"/>
    <w:rsid w:val="00880393"/>
    <w:rsid w:val="0088053A"/>
    <w:rsid w:val="00880B3F"/>
    <w:rsid w:val="00884AF1"/>
    <w:rsid w:val="00891F52"/>
    <w:rsid w:val="008926DF"/>
    <w:rsid w:val="00893CD4"/>
    <w:rsid w:val="008A4D3F"/>
    <w:rsid w:val="008B62C7"/>
    <w:rsid w:val="008C1C6B"/>
    <w:rsid w:val="008C2984"/>
    <w:rsid w:val="008D32E8"/>
    <w:rsid w:val="008D4A99"/>
    <w:rsid w:val="008D71EB"/>
    <w:rsid w:val="008E2331"/>
    <w:rsid w:val="008E3752"/>
    <w:rsid w:val="008E791C"/>
    <w:rsid w:val="008F06E8"/>
    <w:rsid w:val="00902E47"/>
    <w:rsid w:val="00933784"/>
    <w:rsid w:val="00934587"/>
    <w:rsid w:val="00934A29"/>
    <w:rsid w:val="00943028"/>
    <w:rsid w:val="00944A44"/>
    <w:rsid w:val="00946EFB"/>
    <w:rsid w:val="009525F4"/>
    <w:rsid w:val="00970264"/>
    <w:rsid w:val="00980994"/>
    <w:rsid w:val="009821D6"/>
    <w:rsid w:val="00992487"/>
    <w:rsid w:val="00994193"/>
    <w:rsid w:val="009968DB"/>
    <w:rsid w:val="009A2DA7"/>
    <w:rsid w:val="009A7640"/>
    <w:rsid w:val="009B4D3B"/>
    <w:rsid w:val="009C05D1"/>
    <w:rsid w:val="009C7FCB"/>
    <w:rsid w:val="009D2C95"/>
    <w:rsid w:val="009D7407"/>
    <w:rsid w:val="009E0866"/>
    <w:rsid w:val="009E1962"/>
    <w:rsid w:val="009F1432"/>
    <w:rsid w:val="00A056DB"/>
    <w:rsid w:val="00A05D35"/>
    <w:rsid w:val="00A102C8"/>
    <w:rsid w:val="00A20E8E"/>
    <w:rsid w:val="00A22096"/>
    <w:rsid w:val="00A247F3"/>
    <w:rsid w:val="00A24A62"/>
    <w:rsid w:val="00A31533"/>
    <w:rsid w:val="00A31C9F"/>
    <w:rsid w:val="00A35B18"/>
    <w:rsid w:val="00A37926"/>
    <w:rsid w:val="00A4390F"/>
    <w:rsid w:val="00A505BC"/>
    <w:rsid w:val="00A57760"/>
    <w:rsid w:val="00A632E3"/>
    <w:rsid w:val="00A668C8"/>
    <w:rsid w:val="00A66A8F"/>
    <w:rsid w:val="00A80EAC"/>
    <w:rsid w:val="00A81612"/>
    <w:rsid w:val="00A8263D"/>
    <w:rsid w:val="00A8579C"/>
    <w:rsid w:val="00A85DA3"/>
    <w:rsid w:val="00A97C9C"/>
    <w:rsid w:val="00AA2F02"/>
    <w:rsid w:val="00AB19CF"/>
    <w:rsid w:val="00AB2F67"/>
    <w:rsid w:val="00AC0C45"/>
    <w:rsid w:val="00AC164A"/>
    <w:rsid w:val="00AC6D13"/>
    <w:rsid w:val="00AC6DFE"/>
    <w:rsid w:val="00AD4160"/>
    <w:rsid w:val="00AE082D"/>
    <w:rsid w:val="00AE2D78"/>
    <w:rsid w:val="00AE33DD"/>
    <w:rsid w:val="00AE3EC9"/>
    <w:rsid w:val="00AF0747"/>
    <w:rsid w:val="00AF2050"/>
    <w:rsid w:val="00B21077"/>
    <w:rsid w:val="00B21114"/>
    <w:rsid w:val="00B22728"/>
    <w:rsid w:val="00B4052F"/>
    <w:rsid w:val="00B43CB7"/>
    <w:rsid w:val="00B45547"/>
    <w:rsid w:val="00B5479D"/>
    <w:rsid w:val="00B55081"/>
    <w:rsid w:val="00B55AEC"/>
    <w:rsid w:val="00B56EAC"/>
    <w:rsid w:val="00B627D6"/>
    <w:rsid w:val="00B704D9"/>
    <w:rsid w:val="00B71994"/>
    <w:rsid w:val="00B727C6"/>
    <w:rsid w:val="00B823FF"/>
    <w:rsid w:val="00B85F4A"/>
    <w:rsid w:val="00B93FD7"/>
    <w:rsid w:val="00B94FE2"/>
    <w:rsid w:val="00B97E5D"/>
    <w:rsid w:val="00BB26C5"/>
    <w:rsid w:val="00BB7C9D"/>
    <w:rsid w:val="00BC4938"/>
    <w:rsid w:val="00BE0F17"/>
    <w:rsid w:val="00BE3511"/>
    <w:rsid w:val="00BE5190"/>
    <w:rsid w:val="00BE55F7"/>
    <w:rsid w:val="00BE6BAC"/>
    <w:rsid w:val="00BE7B41"/>
    <w:rsid w:val="00BF0722"/>
    <w:rsid w:val="00BF4DE6"/>
    <w:rsid w:val="00BF4EDF"/>
    <w:rsid w:val="00BF7AD8"/>
    <w:rsid w:val="00C006F3"/>
    <w:rsid w:val="00C04FC9"/>
    <w:rsid w:val="00C21AAA"/>
    <w:rsid w:val="00C3587F"/>
    <w:rsid w:val="00C35F59"/>
    <w:rsid w:val="00C42CDE"/>
    <w:rsid w:val="00C47C12"/>
    <w:rsid w:val="00C543D2"/>
    <w:rsid w:val="00C55759"/>
    <w:rsid w:val="00C64C22"/>
    <w:rsid w:val="00C74B7D"/>
    <w:rsid w:val="00C80A57"/>
    <w:rsid w:val="00C818D8"/>
    <w:rsid w:val="00C81D2C"/>
    <w:rsid w:val="00C82D79"/>
    <w:rsid w:val="00C836BC"/>
    <w:rsid w:val="00C85F69"/>
    <w:rsid w:val="00C9311C"/>
    <w:rsid w:val="00C9537E"/>
    <w:rsid w:val="00C95A3A"/>
    <w:rsid w:val="00C966CD"/>
    <w:rsid w:val="00CA37B1"/>
    <w:rsid w:val="00CA4DA5"/>
    <w:rsid w:val="00CB1932"/>
    <w:rsid w:val="00CB1959"/>
    <w:rsid w:val="00CB46B0"/>
    <w:rsid w:val="00CB5EFF"/>
    <w:rsid w:val="00CC07F5"/>
    <w:rsid w:val="00CC0986"/>
    <w:rsid w:val="00CC2AA4"/>
    <w:rsid w:val="00CC4612"/>
    <w:rsid w:val="00CE7E05"/>
    <w:rsid w:val="00CF1E9E"/>
    <w:rsid w:val="00D02419"/>
    <w:rsid w:val="00D0296C"/>
    <w:rsid w:val="00D03036"/>
    <w:rsid w:val="00D03DFD"/>
    <w:rsid w:val="00D12F23"/>
    <w:rsid w:val="00D16F57"/>
    <w:rsid w:val="00D22869"/>
    <w:rsid w:val="00D3568F"/>
    <w:rsid w:val="00D404D9"/>
    <w:rsid w:val="00D41122"/>
    <w:rsid w:val="00D41CAB"/>
    <w:rsid w:val="00D41F15"/>
    <w:rsid w:val="00D44A62"/>
    <w:rsid w:val="00D46D82"/>
    <w:rsid w:val="00D47BAF"/>
    <w:rsid w:val="00D532F9"/>
    <w:rsid w:val="00D652B8"/>
    <w:rsid w:val="00D707DD"/>
    <w:rsid w:val="00D91435"/>
    <w:rsid w:val="00D94B14"/>
    <w:rsid w:val="00D95E98"/>
    <w:rsid w:val="00DA1D3A"/>
    <w:rsid w:val="00DA38FF"/>
    <w:rsid w:val="00DB0937"/>
    <w:rsid w:val="00DB4FCD"/>
    <w:rsid w:val="00DB5F2D"/>
    <w:rsid w:val="00DB6D69"/>
    <w:rsid w:val="00DC430B"/>
    <w:rsid w:val="00DD234A"/>
    <w:rsid w:val="00DE3434"/>
    <w:rsid w:val="00DE3E90"/>
    <w:rsid w:val="00DF160C"/>
    <w:rsid w:val="00DF25F7"/>
    <w:rsid w:val="00DF47C2"/>
    <w:rsid w:val="00DF542E"/>
    <w:rsid w:val="00E009D0"/>
    <w:rsid w:val="00E04788"/>
    <w:rsid w:val="00E0495E"/>
    <w:rsid w:val="00E072DE"/>
    <w:rsid w:val="00E2254B"/>
    <w:rsid w:val="00E331E0"/>
    <w:rsid w:val="00E357B7"/>
    <w:rsid w:val="00E44E21"/>
    <w:rsid w:val="00E53800"/>
    <w:rsid w:val="00E6081F"/>
    <w:rsid w:val="00E6371A"/>
    <w:rsid w:val="00E66EAD"/>
    <w:rsid w:val="00E70C10"/>
    <w:rsid w:val="00E71B07"/>
    <w:rsid w:val="00E861D0"/>
    <w:rsid w:val="00E950A8"/>
    <w:rsid w:val="00EA04B2"/>
    <w:rsid w:val="00EA20F3"/>
    <w:rsid w:val="00EA4635"/>
    <w:rsid w:val="00EB2CA3"/>
    <w:rsid w:val="00EB3024"/>
    <w:rsid w:val="00EB393C"/>
    <w:rsid w:val="00EC1889"/>
    <w:rsid w:val="00EC1E9C"/>
    <w:rsid w:val="00EC75A2"/>
    <w:rsid w:val="00EC7D6C"/>
    <w:rsid w:val="00ED3365"/>
    <w:rsid w:val="00ED43D1"/>
    <w:rsid w:val="00ED485E"/>
    <w:rsid w:val="00EE1C01"/>
    <w:rsid w:val="00EE2B1C"/>
    <w:rsid w:val="00EE4964"/>
    <w:rsid w:val="00EE4EE1"/>
    <w:rsid w:val="00EE4FC3"/>
    <w:rsid w:val="00EE64B5"/>
    <w:rsid w:val="00EE7601"/>
    <w:rsid w:val="00EF153C"/>
    <w:rsid w:val="00EF3708"/>
    <w:rsid w:val="00EF3990"/>
    <w:rsid w:val="00EF4574"/>
    <w:rsid w:val="00EF4F59"/>
    <w:rsid w:val="00F2684E"/>
    <w:rsid w:val="00F35B91"/>
    <w:rsid w:val="00F43EFC"/>
    <w:rsid w:val="00F611D9"/>
    <w:rsid w:val="00F61587"/>
    <w:rsid w:val="00F61C84"/>
    <w:rsid w:val="00F67771"/>
    <w:rsid w:val="00F729EF"/>
    <w:rsid w:val="00F772E4"/>
    <w:rsid w:val="00F77CAE"/>
    <w:rsid w:val="00F8487A"/>
    <w:rsid w:val="00F8492D"/>
    <w:rsid w:val="00F92E21"/>
    <w:rsid w:val="00F96BB9"/>
    <w:rsid w:val="00F9771A"/>
    <w:rsid w:val="00FA53F8"/>
    <w:rsid w:val="00FA6936"/>
    <w:rsid w:val="00FB15DD"/>
    <w:rsid w:val="00FB415F"/>
    <w:rsid w:val="00FB44AA"/>
    <w:rsid w:val="00FB7D01"/>
    <w:rsid w:val="00FB7DBB"/>
    <w:rsid w:val="00FC2FE8"/>
    <w:rsid w:val="00FD0864"/>
    <w:rsid w:val="00FD2FE7"/>
    <w:rsid w:val="00FD5809"/>
    <w:rsid w:val="00FE5600"/>
    <w:rsid w:val="00FE5AEA"/>
    <w:rsid w:val="00FE6D51"/>
    <w:rsid w:val="00FE7459"/>
    <w:rsid w:val="00FF2261"/>
    <w:rsid w:val="00FF34D7"/>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FA2E31-5508-494A-BA2F-C406F58D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FFE827"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C3AE00"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9"/>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B44AA"/>
    <w:pPr>
      <w:numPr>
        <w:numId w:val="2"/>
      </w:numPr>
    </w:pPr>
  </w:style>
  <w:style w:type="paragraph" w:customStyle="1" w:styleId="NumberedList2">
    <w:name w:val="Numbered List 2"/>
    <w:basedOn w:val="NumberedList1"/>
    <w:qFormat/>
    <w:rsid w:val="00FB44AA"/>
    <w:pPr>
      <w:numPr>
        <w:ilvl w:val="1"/>
      </w:numPr>
      <w:spacing w:before="120"/>
    </w:pPr>
  </w:style>
  <w:style w:type="paragraph" w:customStyle="1" w:styleId="NumberedList3">
    <w:name w:val="Numbered List 3"/>
    <w:basedOn w:val="NumberedList2"/>
    <w:qFormat/>
    <w:rsid w:val="00FB44AA"/>
    <w:pPr>
      <w:numPr>
        <w:ilvl w:val="2"/>
      </w:numPr>
      <w:ind w:left="851"/>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D46D82"/>
    <w:pPr>
      <w:numPr>
        <w:ilvl w:val="1"/>
        <w:numId w:val="3"/>
      </w:numPr>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9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FFF38A"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FFE827"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C3AE00"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C3AE00" w:themeColor="accent1" w:themeShade="7F"/>
      <w:szCs w:val="26"/>
    </w:rPr>
  </w:style>
  <w:style w:type="character" w:customStyle="1" w:styleId="Heading8Char">
    <w:name w:val="Heading 8 Char"/>
    <w:basedOn w:val="DefaultParagraphFont"/>
    <w:link w:val="Heading8"/>
    <w:uiPriority w:val="99"/>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FFCE7" w:themeColor="accent1" w:themeTint="33"/>
        <w:left w:val="single" w:sz="4" w:space="14" w:color="FFFCE7" w:themeColor="accent1" w:themeTint="33"/>
        <w:bottom w:val="single" w:sz="4" w:space="14" w:color="FFFCE7" w:themeColor="accent1" w:themeTint="33"/>
        <w:right w:val="single" w:sz="4" w:space="14" w:color="FFFCE7" w:themeColor="accent1" w:themeTint="33"/>
      </w:pBdr>
      <w:shd w:val="clear" w:color="auto" w:fill="FFFCE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FFF38A" w:themeColor="accent1"/>
        <w:left w:val="single" w:sz="4" w:space="14" w:color="FFF38A" w:themeColor="accent1"/>
        <w:bottom w:val="single" w:sz="4" w:space="14" w:color="FFF38A" w:themeColor="accent1"/>
        <w:right w:val="single" w:sz="4" w:space="14" w:color="FFF38A" w:themeColor="accent1"/>
      </w:pBdr>
      <w:shd w:val="clear" w:color="auto" w:fill="FFF38A"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customStyle="1" w:styleId="TableGridLight1">
    <w:name w:val="Table Grid Light1"/>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inputcomment">
    <w:name w:val="input comment"/>
    <w:basedOn w:val="Normal"/>
    <w:qFormat/>
    <w:rsid w:val="002C7BB1"/>
    <w:pPr>
      <w:spacing w:line="240" w:lineRule="auto"/>
    </w:pPr>
    <w:rPr>
      <w:b/>
      <w:color w:val="AD8800" w:themeColor="accent3" w:themeShade="BF"/>
    </w:rPr>
  </w:style>
  <w:style w:type="paragraph" w:styleId="ListParagraph">
    <w:name w:val="List Paragraph"/>
    <w:aliases w:val="Recommendation,List Paragraph1,List Paragraph11"/>
    <w:basedOn w:val="Normal"/>
    <w:link w:val="ListParagraphChar"/>
    <w:uiPriority w:val="34"/>
    <w:qFormat/>
    <w:rsid w:val="007A25F0"/>
    <w:pPr>
      <w:suppressAutoHyphens w:val="0"/>
      <w:spacing w:before="0" w:after="200" w:line="276" w:lineRule="auto"/>
      <w:ind w:left="720"/>
    </w:pPr>
    <w:rPr>
      <w:rFonts w:ascii="Calibri" w:eastAsia="Times New Roman" w:hAnsi="Calibri" w:cs="Times New Roman"/>
    </w:rPr>
  </w:style>
  <w:style w:type="character" w:customStyle="1" w:styleId="ListParagraphChar">
    <w:name w:val="List Paragraph Char"/>
    <w:aliases w:val="Recommendation Char,List Paragraph1 Char,List Paragraph11 Char"/>
    <w:basedOn w:val="DefaultParagraphFont"/>
    <w:link w:val="ListParagraph"/>
    <w:uiPriority w:val="34"/>
    <w:locked/>
    <w:rsid w:val="007A25F0"/>
    <w:rPr>
      <w:rFonts w:ascii="Calibri" w:eastAsia="Times New Roman" w:hAnsi="Calibri" w:cs="Times New Roman"/>
    </w:rPr>
  </w:style>
  <w:style w:type="paragraph" w:customStyle="1" w:styleId="BodyText1">
    <w:name w:val="Body Text1"/>
    <w:basedOn w:val="Normal"/>
    <w:qFormat/>
    <w:rsid w:val="007A25F0"/>
    <w:pPr>
      <w:suppressAutoHyphens w:val="0"/>
      <w:spacing w:before="0" w:after="120" w:line="240" w:lineRule="auto"/>
    </w:pPr>
    <w:rPr>
      <w:rFonts w:ascii="Cambria" w:eastAsia="Times New Roman" w:hAnsi="Cambria" w:cs="Times New Roman"/>
      <w:szCs w:val="24"/>
    </w:rPr>
  </w:style>
  <w:style w:type="paragraph" w:customStyle="1" w:styleId="highlightedtext">
    <w:name w:val="highlighted text"/>
    <w:basedOn w:val="Normal"/>
    <w:link w:val="highlightedtextChar"/>
    <w:qFormat/>
    <w:rsid w:val="00EE2B1C"/>
    <w:pPr>
      <w:pBdr>
        <w:top w:val="single" w:sz="4" w:space="1" w:color="auto"/>
        <w:left w:val="single" w:sz="4" w:space="4" w:color="auto"/>
        <w:bottom w:val="single" w:sz="4" w:space="1" w:color="auto"/>
        <w:right w:val="single" w:sz="4" w:space="4" w:color="auto"/>
      </w:pBdr>
      <w:spacing w:after="0"/>
      <w:jc w:val="center"/>
    </w:pPr>
    <w:rPr>
      <w:b/>
      <w:color w:val="745B00" w:themeColor="accent3" w:themeShade="80"/>
    </w:rPr>
  </w:style>
  <w:style w:type="paragraph" w:styleId="NoSpacing">
    <w:name w:val="No Spacing"/>
    <w:link w:val="NoSpacingChar"/>
    <w:uiPriority w:val="1"/>
    <w:qFormat/>
    <w:rsid w:val="00045933"/>
    <w:pPr>
      <w:spacing w:after="0" w:line="240" w:lineRule="auto"/>
    </w:pPr>
    <w:rPr>
      <w:rFonts w:ascii="Calibri" w:eastAsia="Times New Roman" w:hAnsi="Calibri" w:cs="Times New Roman"/>
    </w:rPr>
  </w:style>
  <w:style w:type="character" w:customStyle="1" w:styleId="highlightedtextChar">
    <w:name w:val="highlighted text Char"/>
    <w:basedOn w:val="DefaultParagraphFont"/>
    <w:link w:val="highlightedtext"/>
    <w:rsid w:val="00EE2B1C"/>
    <w:rPr>
      <w:b/>
      <w:color w:val="745B00" w:themeColor="accent3" w:themeShade="80"/>
    </w:rPr>
  </w:style>
  <w:style w:type="character" w:customStyle="1" w:styleId="NoSpacingChar">
    <w:name w:val="No Spacing Char"/>
    <w:basedOn w:val="DefaultParagraphFont"/>
    <w:link w:val="NoSpacing"/>
    <w:uiPriority w:val="1"/>
    <w:rsid w:val="00045933"/>
    <w:rPr>
      <w:rFonts w:ascii="Calibri" w:eastAsia="Times New Roman" w:hAnsi="Calibri" w:cs="Times New Roman"/>
    </w:rPr>
  </w:style>
  <w:style w:type="paragraph" w:styleId="BalloonText">
    <w:name w:val="Balloon Text"/>
    <w:basedOn w:val="Normal"/>
    <w:link w:val="BalloonTextChar"/>
    <w:uiPriority w:val="99"/>
    <w:semiHidden/>
    <w:rsid w:val="00340616"/>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40616"/>
    <w:rPr>
      <w:rFonts w:ascii="Tahoma" w:eastAsia="Times New Roman" w:hAnsi="Tahoma" w:cs="Tahoma"/>
      <w:sz w:val="16"/>
      <w:szCs w:val="16"/>
    </w:rPr>
  </w:style>
  <w:style w:type="paragraph" w:customStyle="1" w:styleId="FCHeader">
    <w:name w:val="FC_Header"/>
    <w:basedOn w:val="Heading8"/>
    <w:uiPriority w:val="99"/>
    <w:rsid w:val="00340616"/>
    <w:pPr>
      <w:keepLines w:val="0"/>
      <w:numPr>
        <w:ilvl w:val="7"/>
      </w:numPr>
      <w:tabs>
        <w:tab w:val="num" w:pos="1440"/>
      </w:tabs>
      <w:suppressAutoHyphens w:val="0"/>
      <w:spacing w:before="240" w:after="360" w:line="240" w:lineRule="auto"/>
      <w:ind w:left="1440" w:hanging="432"/>
      <w:contextualSpacing w:val="0"/>
    </w:pPr>
    <w:rPr>
      <w:rFonts w:ascii="Arial" w:eastAsia="Times New Roman" w:hAnsi="Arial" w:cs="Times New Roman"/>
      <w:b/>
      <w:color w:val="auto"/>
      <w:spacing w:val="-5"/>
      <w:sz w:val="36"/>
      <w:szCs w:val="20"/>
      <w:lang w:val="en-US"/>
    </w:rPr>
  </w:style>
  <w:style w:type="paragraph" w:styleId="CommentText">
    <w:name w:val="annotation text"/>
    <w:basedOn w:val="Normal"/>
    <w:link w:val="CommentTextChar"/>
    <w:uiPriority w:val="99"/>
    <w:rsid w:val="00340616"/>
    <w:pPr>
      <w:suppressAutoHyphens w:val="0"/>
      <w:spacing w:before="0"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40616"/>
    <w:rPr>
      <w:rFonts w:ascii="Calibri" w:eastAsia="Times New Roman" w:hAnsi="Calibri" w:cs="Times New Roman"/>
      <w:sz w:val="20"/>
      <w:szCs w:val="20"/>
    </w:rPr>
  </w:style>
  <w:style w:type="paragraph" w:customStyle="1" w:styleId="notetext">
    <w:name w:val="notetext"/>
    <w:basedOn w:val="Normal"/>
    <w:uiPriority w:val="99"/>
    <w:rsid w:val="00340616"/>
    <w:pPr>
      <w:suppressAutoHyphens w:val="0"/>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340616"/>
    <w:pPr>
      <w:suppressAutoHyphens w:val="0"/>
      <w:spacing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340616"/>
    <w:pPr>
      <w:suppressAutoHyphens w:val="0"/>
      <w:spacing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340616"/>
    <w:pPr>
      <w:tabs>
        <w:tab w:val="clear" w:pos="4513"/>
        <w:tab w:val="clear" w:pos="9026"/>
      </w:tabs>
      <w:suppressAutoHyphens w:val="0"/>
      <w:spacing w:before="60" w:after="60" w:line="240" w:lineRule="auto"/>
      <w:jc w:val="left"/>
    </w:pPr>
    <w:rPr>
      <w:rFonts w:ascii="Times New Roman" w:eastAsia="Times New Roman" w:hAnsi="Times New Roman" w:cs="Times New Roman"/>
      <w:sz w:val="24"/>
      <w:szCs w:val="24"/>
    </w:rPr>
  </w:style>
  <w:style w:type="paragraph" w:customStyle="1" w:styleId="FCTitle">
    <w:name w:val="FC_Title"/>
    <w:basedOn w:val="Normal"/>
    <w:uiPriority w:val="99"/>
    <w:rsid w:val="00340616"/>
    <w:pPr>
      <w:suppressAutoHyphens w:val="0"/>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340616"/>
    <w:pPr>
      <w:suppressAutoHyphens w:val="0"/>
      <w:spacing w:before="0"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340616"/>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rsid w:val="00340616"/>
    <w:rPr>
      <w:rFonts w:cs="Times New Roman"/>
      <w:color w:val="800080"/>
      <w:u w:val="single"/>
    </w:rPr>
  </w:style>
  <w:style w:type="character" w:styleId="CommentReference">
    <w:name w:val="annotation reference"/>
    <w:basedOn w:val="DefaultParagraphFont"/>
    <w:uiPriority w:val="99"/>
    <w:rsid w:val="00340616"/>
    <w:rPr>
      <w:rFonts w:cs="Times New Roman"/>
      <w:sz w:val="16"/>
      <w:szCs w:val="16"/>
    </w:rPr>
  </w:style>
  <w:style w:type="paragraph" w:styleId="CommentSubject">
    <w:name w:val="annotation subject"/>
    <w:basedOn w:val="CommentText"/>
    <w:next w:val="CommentText"/>
    <w:link w:val="CommentSubjectChar"/>
    <w:uiPriority w:val="99"/>
    <w:semiHidden/>
    <w:rsid w:val="00340616"/>
    <w:rPr>
      <w:b/>
      <w:bCs/>
    </w:rPr>
  </w:style>
  <w:style w:type="character" w:customStyle="1" w:styleId="CommentSubjectChar">
    <w:name w:val="Comment Subject Char"/>
    <w:basedOn w:val="CommentTextChar"/>
    <w:link w:val="CommentSubject"/>
    <w:uiPriority w:val="99"/>
    <w:semiHidden/>
    <w:rsid w:val="00340616"/>
    <w:rPr>
      <w:rFonts w:ascii="Calibri" w:eastAsia="Times New Roman" w:hAnsi="Calibri" w:cs="Times New Roman"/>
      <w:b/>
      <w:bCs/>
      <w:sz w:val="20"/>
      <w:szCs w:val="20"/>
    </w:rPr>
  </w:style>
  <w:style w:type="paragraph" w:styleId="Revision">
    <w:name w:val="Revision"/>
    <w:hidden/>
    <w:uiPriority w:val="99"/>
    <w:semiHidden/>
    <w:rsid w:val="00340616"/>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340616"/>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340616"/>
    <w:rPr>
      <w:rFonts w:ascii="Symbol" w:hAnsi="Symbol"/>
      <w:w w:val="100"/>
    </w:rPr>
  </w:style>
  <w:style w:type="paragraph" w:customStyle="1" w:styleId="Guidelinesbodytext">
    <w:name w:val="Guidelines body text"/>
    <w:basedOn w:val="NoSpacing"/>
    <w:qFormat/>
    <w:rsid w:val="00340616"/>
    <w:rPr>
      <w:color w:val="000000"/>
      <w:szCs w:val="20"/>
      <w:lang w:val="en-US" w:bidi="en-US"/>
    </w:rPr>
  </w:style>
  <w:style w:type="paragraph" w:styleId="ListBullet">
    <w:name w:val="List Bullet"/>
    <w:basedOn w:val="Normal"/>
    <w:uiPriority w:val="99"/>
    <w:rsid w:val="00340616"/>
    <w:pPr>
      <w:numPr>
        <w:numId w:val="8"/>
      </w:numPr>
      <w:suppressAutoHyphens w:val="0"/>
      <w:spacing w:before="200" w:after="200" w:line="276" w:lineRule="auto"/>
      <w:contextualSpacing/>
    </w:pPr>
    <w:rPr>
      <w:rFonts w:ascii="Calibri" w:eastAsia="Times New Roman" w:hAnsi="Calibri" w:cs="Times New Roman"/>
      <w:sz w:val="20"/>
      <w:szCs w:val="20"/>
      <w:lang w:val="en-US" w:bidi="en-US"/>
    </w:rPr>
  </w:style>
  <w:style w:type="paragraph" w:customStyle="1" w:styleId="GuidelinesInstructions">
    <w:name w:val="Guidelines Instructions"/>
    <w:basedOn w:val="NoSpacing"/>
    <w:autoRedefine/>
    <w:qFormat/>
    <w:rsid w:val="00340616"/>
    <w:rPr>
      <w:i/>
      <w:color w:val="FF0000"/>
      <w:sz w:val="20"/>
      <w:szCs w:val="20"/>
      <w:lang w:val="en-US" w:bidi="en-US"/>
    </w:rPr>
  </w:style>
  <w:style w:type="paragraph" w:customStyle="1" w:styleId="Default">
    <w:name w:val="Default"/>
    <w:rsid w:val="00340616"/>
    <w:pPr>
      <w:autoSpaceDE w:val="0"/>
      <w:autoSpaceDN w:val="0"/>
      <w:adjustRightInd w:val="0"/>
      <w:spacing w:after="0" w:line="240" w:lineRule="auto"/>
    </w:pPr>
    <w:rPr>
      <w:rFonts w:ascii="Arial" w:eastAsia="Calibri" w:hAnsi="Arial" w:cs="Arial"/>
      <w:color w:val="000000"/>
      <w:sz w:val="24"/>
      <w:szCs w:val="24"/>
    </w:rPr>
  </w:style>
  <w:style w:type="numbering" w:customStyle="1" w:styleId="Bulletlist">
    <w:name w:val="Bullet list"/>
    <w:uiPriority w:val="99"/>
    <w:rsid w:val="00340616"/>
    <w:pPr>
      <w:numPr>
        <w:numId w:val="6"/>
      </w:numPr>
    </w:pPr>
  </w:style>
  <w:style w:type="paragraph" w:customStyle="1" w:styleId="Bullet">
    <w:name w:val="Bullet"/>
    <w:aliases w:val="b"/>
    <w:basedOn w:val="Normal"/>
    <w:qFormat/>
    <w:rsid w:val="00340616"/>
    <w:pPr>
      <w:tabs>
        <w:tab w:val="num" w:pos="284"/>
      </w:tabs>
      <w:suppressAutoHyphens w:val="0"/>
      <w:spacing w:before="240" w:after="120" w:line="240" w:lineRule="auto"/>
      <w:ind w:left="284" w:hanging="284"/>
      <w:jc w:val="both"/>
    </w:pPr>
    <w:rPr>
      <w:rFonts w:ascii="Arial" w:eastAsia="Calibri" w:hAnsi="Arial" w:cs="Arial"/>
    </w:rPr>
  </w:style>
  <w:style w:type="paragraph" w:customStyle="1" w:styleId="GuidelinesSubheading">
    <w:name w:val="Guidelines Subheading"/>
    <w:basedOn w:val="NoSpacing"/>
    <w:autoRedefine/>
    <w:qFormat/>
    <w:rsid w:val="00340616"/>
    <w:pPr>
      <w:pBdr>
        <w:bottom w:val="single" w:sz="8" w:space="1" w:color="000000"/>
      </w:pBdr>
      <w:spacing w:before="107"/>
      <w:ind w:right="-74"/>
      <w:textboxTightWrap w:val="allLines"/>
      <w:outlineLvl w:val="1"/>
    </w:pPr>
    <w:rPr>
      <w:rFonts w:ascii="Arial" w:hAnsi="Arial" w:cs="Arial"/>
      <w:b/>
      <w:color w:val="000000"/>
      <w:szCs w:val="24"/>
      <w:u w:color="000000"/>
      <w:lang w:val="en-US" w:bidi="en-US"/>
    </w:rPr>
  </w:style>
  <w:style w:type="paragraph" w:customStyle="1" w:styleId="footnote">
    <w:name w:val="footnote"/>
    <w:basedOn w:val="Normal"/>
    <w:uiPriority w:val="99"/>
    <w:rsid w:val="00340616"/>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rsid w:val="00340616"/>
  </w:style>
  <w:style w:type="paragraph" w:customStyle="1" w:styleId="Heading2flowchart">
    <w:name w:val="Heading 2 flowchart"/>
    <w:basedOn w:val="Normal"/>
    <w:qFormat/>
    <w:rsid w:val="00340616"/>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ascii="Arial" w:eastAsia="Times New Roman" w:hAnsi="Arial" w:cstheme="minorHAnsi"/>
      <w:b/>
      <w:bCs/>
      <w:sz w:val="20"/>
      <w:szCs w:val="32"/>
    </w:rPr>
  </w:style>
  <w:style w:type="numbering" w:customStyle="1" w:styleId="Headings">
    <w:name w:val="Headings"/>
    <w:uiPriority w:val="99"/>
    <w:rsid w:val="00340616"/>
    <w:pPr>
      <w:numPr>
        <w:numId w:val="9"/>
      </w:numPr>
    </w:pPr>
  </w:style>
  <w:style w:type="paragraph" w:customStyle="1" w:styleId="Tabletext0">
    <w:name w:val="Tabletext"/>
    <w:aliases w:val="tt"/>
    <w:basedOn w:val="Normal"/>
    <w:uiPriority w:val="99"/>
    <w:rsid w:val="00340616"/>
    <w:pPr>
      <w:suppressAutoHyphens w:val="0"/>
      <w:spacing w:before="60" w:after="0" w:line="240" w:lineRule="atLeast"/>
    </w:pPr>
    <w:rPr>
      <w:rFonts w:ascii="Times New Roman" w:hAnsi="Times New Roman" w:cs="Times New Roman"/>
      <w:sz w:val="20"/>
      <w:szCs w:val="20"/>
      <w:lang w:eastAsia="en-AU"/>
    </w:rPr>
  </w:style>
  <w:style w:type="paragraph" w:customStyle="1" w:styleId="Chrissie1">
    <w:name w:val="Chrissie1"/>
    <w:basedOn w:val="ListParagraph"/>
    <w:link w:val="Chrissie1Char"/>
    <w:qFormat/>
    <w:rsid w:val="00340616"/>
    <w:pPr>
      <w:numPr>
        <w:numId w:val="10"/>
      </w:numPr>
      <w:spacing w:after="0" w:line="240" w:lineRule="auto"/>
      <w:ind w:left="567" w:hanging="357"/>
      <w:contextualSpacing/>
    </w:pPr>
    <w:rPr>
      <w:rFonts w:ascii="Arial" w:eastAsia="Calibri" w:hAnsi="Arial" w:cs="Arial"/>
      <w:sz w:val="20"/>
    </w:rPr>
  </w:style>
  <w:style w:type="character" w:customStyle="1" w:styleId="Chrissie1Char">
    <w:name w:val="Chrissie1 Char"/>
    <w:basedOn w:val="ListParagraphChar"/>
    <w:link w:val="Chrissie1"/>
    <w:rsid w:val="00340616"/>
    <w:rPr>
      <w:rFonts w:ascii="Arial" w:eastAsia="Calibri" w:hAnsi="Arial" w:cs="Arial"/>
      <w:sz w:val="20"/>
    </w:rPr>
  </w:style>
  <w:style w:type="paragraph" w:styleId="ListNumber">
    <w:name w:val="List Number"/>
    <w:basedOn w:val="Normal"/>
    <w:rsid w:val="00340616"/>
    <w:pPr>
      <w:numPr>
        <w:numId w:val="11"/>
      </w:numPr>
      <w:suppressAutoHyphens w:val="0"/>
      <w:spacing w:before="40" w:after="120"/>
    </w:pPr>
    <w:rPr>
      <w:rFonts w:ascii="Arial" w:eastAsia="Times New Roman" w:hAnsi="Arial" w:cs="Times New Roman"/>
      <w:iCs/>
      <w:sz w:val="20"/>
      <w:szCs w:val="24"/>
    </w:rPr>
  </w:style>
  <w:style w:type="paragraph" w:customStyle="1" w:styleId="Bullets1stindent">
    <w:name w:val="Bullets (1st indent)"/>
    <w:basedOn w:val="BodyText1"/>
    <w:rsid w:val="00340616"/>
    <w:pPr>
      <w:numPr>
        <w:numId w:val="13"/>
      </w:numPr>
    </w:pPr>
  </w:style>
  <w:style w:type="paragraph" w:customStyle="1" w:styleId="Bullets2ndindent">
    <w:name w:val="Bullets (2nd indent)"/>
    <w:basedOn w:val="BodyText1"/>
    <w:rsid w:val="00340616"/>
    <w:pPr>
      <w:numPr>
        <w:ilvl w:val="1"/>
        <w:numId w:val="13"/>
      </w:numPr>
    </w:pPr>
  </w:style>
  <w:style w:type="numbering" w:customStyle="1" w:styleId="Bullets">
    <w:name w:val="Bullets"/>
    <w:basedOn w:val="NoList"/>
    <w:uiPriority w:val="99"/>
    <w:rsid w:val="00340616"/>
    <w:pPr>
      <w:numPr>
        <w:numId w:val="13"/>
      </w:numPr>
    </w:pPr>
  </w:style>
  <w:style w:type="paragraph" w:customStyle="1" w:styleId="Figuretitle">
    <w:name w:val="Figure title"/>
    <w:basedOn w:val="Heading2"/>
    <w:next w:val="BodyText1"/>
    <w:rsid w:val="00340616"/>
    <w:pPr>
      <w:keepNext w:val="0"/>
      <w:keepLines w:val="0"/>
      <w:numPr>
        <w:ilvl w:val="6"/>
        <w:numId w:val="12"/>
      </w:numPr>
      <w:suppressAutoHyphens w:val="0"/>
      <w:spacing w:before="0" w:line="240" w:lineRule="auto"/>
      <w:contextualSpacing w:val="0"/>
    </w:pPr>
    <w:rPr>
      <w:rFonts w:ascii="Arial" w:eastAsia="Times New Roman" w:hAnsi="Arial" w:cs="Times New Roman"/>
      <w:b/>
      <w:color w:val="auto"/>
      <w:spacing w:val="-6"/>
      <w:sz w:val="26"/>
      <w:szCs w:val="24"/>
    </w:rPr>
  </w:style>
  <w:style w:type="paragraph" w:customStyle="1" w:styleId="Bulletslast1stindent">
    <w:name w:val="Bullets last (1st indent)"/>
    <w:basedOn w:val="BodyText1"/>
    <w:rsid w:val="00340616"/>
    <w:pPr>
      <w:numPr>
        <w:ilvl w:val="2"/>
        <w:numId w:val="13"/>
      </w:numPr>
    </w:pPr>
  </w:style>
  <w:style w:type="numbering" w:customStyle="1" w:styleId="Numbers">
    <w:name w:val="Numbers"/>
    <w:basedOn w:val="NoList"/>
    <w:rsid w:val="00340616"/>
    <w:pPr>
      <w:numPr>
        <w:numId w:val="15"/>
      </w:numPr>
    </w:pPr>
  </w:style>
  <w:style w:type="paragraph" w:customStyle="1" w:styleId="Bulletslast2ndindent">
    <w:name w:val="Bullets last (2nd indent)"/>
    <w:basedOn w:val="BodyText1"/>
    <w:rsid w:val="00340616"/>
    <w:pPr>
      <w:numPr>
        <w:ilvl w:val="3"/>
        <w:numId w:val="13"/>
      </w:numPr>
      <w:spacing w:after="57"/>
    </w:pPr>
  </w:style>
  <w:style w:type="paragraph" w:customStyle="1" w:styleId="Tablebodytext">
    <w:name w:val="Table body text"/>
    <w:qFormat/>
    <w:rsid w:val="00340616"/>
    <w:pPr>
      <w:spacing w:before="57" w:after="57" w:line="220" w:lineRule="atLeast"/>
      <w:ind w:left="96" w:right="96"/>
    </w:pPr>
    <w:rPr>
      <w:rFonts w:ascii="Arial" w:eastAsia="Times New Roman" w:hAnsi="Arial" w:cs="Times New Roman"/>
      <w:sz w:val="17"/>
      <w:szCs w:val="24"/>
    </w:rPr>
  </w:style>
  <w:style w:type="paragraph" w:customStyle="1" w:styleId="Tablebullets2ndindent">
    <w:name w:val="Table bullets (2nd indent)"/>
    <w:basedOn w:val="Tablebodytext"/>
    <w:qFormat/>
    <w:rsid w:val="00340616"/>
    <w:pPr>
      <w:numPr>
        <w:ilvl w:val="6"/>
        <w:numId w:val="13"/>
      </w:numPr>
    </w:pPr>
  </w:style>
  <w:style w:type="paragraph" w:customStyle="1" w:styleId="Tablebullets1stindent">
    <w:name w:val="Table bullets (1st indent)"/>
    <w:basedOn w:val="Tablebodytext"/>
    <w:qFormat/>
    <w:rsid w:val="00340616"/>
    <w:pPr>
      <w:numPr>
        <w:ilvl w:val="5"/>
        <w:numId w:val="13"/>
      </w:numPr>
    </w:pPr>
  </w:style>
  <w:style w:type="paragraph" w:customStyle="1" w:styleId="Tablecolumnheading">
    <w:name w:val="Table column heading"/>
    <w:basedOn w:val="Tablebodytext"/>
    <w:qFormat/>
    <w:rsid w:val="00340616"/>
    <w:pPr>
      <w:keepNext/>
    </w:pPr>
    <w:rPr>
      <w:b/>
    </w:rPr>
  </w:style>
  <w:style w:type="paragraph" w:customStyle="1" w:styleId="Tabletitle">
    <w:name w:val="Table title"/>
    <w:basedOn w:val="Heading2"/>
    <w:next w:val="BodyText1"/>
    <w:rsid w:val="00340616"/>
    <w:pPr>
      <w:keepNext w:val="0"/>
      <w:keepLines w:val="0"/>
      <w:numPr>
        <w:ilvl w:val="8"/>
        <w:numId w:val="12"/>
      </w:numPr>
      <w:suppressAutoHyphens w:val="0"/>
      <w:spacing w:before="0" w:line="240" w:lineRule="auto"/>
      <w:contextualSpacing w:val="0"/>
    </w:pPr>
    <w:rPr>
      <w:rFonts w:ascii="Arial" w:eastAsia="Times New Roman" w:hAnsi="Arial" w:cs="Times New Roman"/>
      <w:b/>
      <w:color w:val="auto"/>
      <w:spacing w:val="-6"/>
      <w:sz w:val="26"/>
      <w:szCs w:val="24"/>
    </w:rPr>
  </w:style>
  <w:style w:type="paragraph" w:customStyle="1" w:styleId="Notetitle">
    <w:name w:val="Note title"/>
    <w:basedOn w:val="Heading2"/>
    <w:rsid w:val="00340616"/>
    <w:pPr>
      <w:keepNext w:val="0"/>
      <w:keepLines w:val="0"/>
      <w:numPr>
        <w:ilvl w:val="7"/>
        <w:numId w:val="12"/>
      </w:numPr>
      <w:suppressAutoHyphens w:val="0"/>
      <w:spacing w:before="0" w:line="240" w:lineRule="auto"/>
      <w:contextualSpacing w:val="0"/>
    </w:pPr>
    <w:rPr>
      <w:rFonts w:ascii="Arial" w:eastAsia="Times New Roman" w:hAnsi="Arial" w:cs="Times New Roman"/>
      <w:b/>
      <w:color w:val="auto"/>
      <w:spacing w:val="-6"/>
      <w:sz w:val="26"/>
    </w:rPr>
  </w:style>
  <w:style w:type="paragraph" w:customStyle="1" w:styleId="Numberedpara1stindent">
    <w:name w:val="Numbered para (1st indent)"/>
    <w:basedOn w:val="BodyText1"/>
    <w:rsid w:val="00340616"/>
    <w:pPr>
      <w:numPr>
        <w:ilvl w:val="3"/>
        <w:numId w:val="12"/>
      </w:numPr>
    </w:pPr>
  </w:style>
  <w:style w:type="paragraph" w:customStyle="1" w:styleId="Numberedpara2ndindent">
    <w:name w:val="Numbered para (2nd indent)"/>
    <w:basedOn w:val="BodyText1"/>
    <w:rsid w:val="00340616"/>
    <w:pPr>
      <w:numPr>
        <w:ilvl w:val="4"/>
        <w:numId w:val="12"/>
      </w:numPr>
    </w:pPr>
  </w:style>
  <w:style w:type="paragraph" w:customStyle="1" w:styleId="Numberedpara3rdindent">
    <w:name w:val="Numbered para (3rd indent)"/>
    <w:basedOn w:val="BodyText1"/>
    <w:rsid w:val="00340616"/>
    <w:pPr>
      <w:numPr>
        <w:ilvl w:val="5"/>
        <w:numId w:val="12"/>
      </w:numPr>
    </w:pPr>
  </w:style>
  <w:style w:type="paragraph" w:customStyle="1" w:styleId="Sourcenotetext">
    <w:name w:val="Source/note text"/>
    <w:qFormat/>
    <w:rsid w:val="00340616"/>
    <w:pPr>
      <w:spacing w:before="85" w:after="85" w:line="240" w:lineRule="auto"/>
    </w:pPr>
    <w:rPr>
      <w:rFonts w:ascii="Arial" w:eastAsia="Times New Roman" w:hAnsi="Arial" w:cs="Arial"/>
      <w:i/>
      <w:sz w:val="12"/>
      <w:szCs w:val="12"/>
    </w:rPr>
  </w:style>
  <w:style w:type="paragraph" w:customStyle="1" w:styleId="ScheduleL1">
    <w:name w:val="Schedule L1"/>
    <w:basedOn w:val="Normal"/>
    <w:next w:val="Normal"/>
    <w:rsid w:val="005C025E"/>
    <w:pPr>
      <w:numPr>
        <w:numId w:val="32"/>
      </w:numPr>
      <w:pBdr>
        <w:bottom w:val="single" w:sz="4" w:space="1" w:color="auto"/>
      </w:pBdr>
      <w:suppressAutoHyphens w:val="0"/>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5C025E"/>
    <w:pPr>
      <w:keepNext/>
      <w:numPr>
        <w:ilvl w:val="1"/>
        <w:numId w:val="32"/>
      </w:numPr>
      <w:suppressAutoHyphens w:val="0"/>
      <w:spacing w:before="280" w:after="140"/>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5C025E"/>
    <w:pPr>
      <w:keepNext/>
      <w:numPr>
        <w:ilvl w:val="2"/>
        <w:numId w:val="32"/>
      </w:numPr>
      <w:suppressAutoHyphens w:val="0"/>
      <w:spacing w:before="60"/>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5C025E"/>
    <w:pPr>
      <w:numPr>
        <w:ilvl w:val="3"/>
        <w:numId w:val="32"/>
      </w:numPr>
      <w:suppressAutoHyphens w:val="0"/>
      <w:spacing w:before="0" w:after="140"/>
      <w:outlineLvl w:val="3"/>
    </w:pPr>
    <w:rPr>
      <w:rFonts w:ascii="Times New Roman" w:eastAsia="Times New Roman" w:hAnsi="Times New Roman" w:cs="Angsana New"/>
      <w:lang w:eastAsia="zh-CN" w:bidi="th-TH"/>
    </w:rPr>
  </w:style>
  <w:style w:type="paragraph" w:customStyle="1" w:styleId="ScheduleL5">
    <w:name w:val="Schedule L5"/>
    <w:basedOn w:val="Normal"/>
    <w:rsid w:val="005C025E"/>
    <w:pPr>
      <w:numPr>
        <w:ilvl w:val="4"/>
        <w:numId w:val="32"/>
      </w:numPr>
      <w:suppressAutoHyphens w:val="0"/>
      <w:spacing w:before="0" w:after="140"/>
      <w:outlineLvl w:val="4"/>
    </w:pPr>
    <w:rPr>
      <w:rFonts w:ascii="Times New Roman" w:eastAsia="Times New Roman" w:hAnsi="Times New Roman" w:cs="Angsana New"/>
      <w:lang w:eastAsia="zh-CN" w:bidi="th-TH"/>
    </w:rPr>
  </w:style>
  <w:style w:type="paragraph" w:customStyle="1" w:styleId="ScheduleL6">
    <w:name w:val="Schedule L6"/>
    <w:basedOn w:val="Normal"/>
    <w:rsid w:val="005C025E"/>
    <w:pPr>
      <w:numPr>
        <w:ilvl w:val="5"/>
        <w:numId w:val="32"/>
      </w:numPr>
      <w:suppressAutoHyphens w:val="0"/>
      <w:spacing w:before="0" w:after="140"/>
      <w:outlineLvl w:val="5"/>
    </w:pPr>
    <w:rPr>
      <w:rFonts w:ascii="Times New Roman" w:eastAsia="Times New Roman" w:hAnsi="Times New Roman" w:cs="Angsana New"/>
      <w:lang w:eastAsia="zh-CN" w:bidi="th-TH"/>
    </w:rPr>
  </w:style>
  <w:style w:type="paragraph" w:styleId="NormalWeb">
    <w:name w:val="Normal (Web)"/>
    <w:basedOn w:val="Normal"/>
    <w:uiPriority w:val="99"/>
    <w:unhideWhenUsed/>
    <w:rsid w:val="00EC1E9C"/>
    <w:pPr>
      <w:suppressAutoHyphens w:val="0"/>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8537">
      <w:bodyDiv w:val="1"/>
      <w:marLeft w:val="0"/>
      <w:marRight w:val="0"/>
      <w:marTop w:val="0"/>
      <w:marBottom w:val="0"/>
      <w:divBdr>
        <w:top w:val="none" w:sz="0" w:space="0" w:color="auto"/>
        <w:left w:val="none" w:sz="0" w:space="0" w:color="auto"/>
        <w:bottom w:val="none" w:sz="0" w:space="0" w:color="auto"/>
        <w:right w:val="none" w:sz="0" w:space="0" w:color="auto"/>
      </w:divBdr>
    </w:div>
    <w:div w:id="250552718">
      <w:bodyDiv w:val="1"/>
      <w:marLeft w:val="0"/>
      <w:marRight w:val="0"/>
      <w:marTop w:val="0"/>
      <w:marBottom w:val="0"/>
      <w:divBdr>
        <w:top w:val="none" w:sz="0" w:space="0" w:color="auto"/>
        <w:left w:val="none" w:sz="0" w:space="0" w:color="auto"/>
        <w:bottom w:val="none" w:sz="0" w:space="0" w:color="auto"/>
        <w:right w:val="none" w:sz="0" w:space="0" w:color="auto"/>
      </w:divBdr>
    </w:div>
    <w:div w:id="533152757">
      <w:bodyDiv w:val="1"/>
      <w:marLeft w:val="0"/>
      <w:marRight w:val="0"/>
      <w:marTop w:val="0"/>
      <w:marBottom w:val="0"/>
      <w:divBdr>
        <w:top w:val="none" w:sz="0" w:space="0" w:color="auto"/>
        <w:left w:val="none" w:sz="0" w:space="0" w:color="auto"/>
        <w:bottom w:val="none" w:sz="0" w:space="0" w:color="auto"/>
        <w:right w:val="none" w:sz="0" w:space="0" w:color="auto"/>
      </w:divBdr>
    </w:div>
    <w:div w:id="549003781">
      <w:bodyDiv w:val="1"/>
      <w:marLeft w:val="0"/>
      <w:marRight w:val="0"/>
      <w:marTop w:val="0"/>
      <w:marBottom w:val="0"/>
      <w:divBdr>
        <w:top w:val="none" w:sz="0" w:space="0" w:color="auto"/>
        <w:left w:val="none" w:sz="0" w:space="0" w:color="auto"/>
        <w:bottom w:val="none" w:sz="0" w:space="0" w:color="auto"/>
        <w:right w:val="none" w:sz="0" w:space="0" w:color="auto"/>
      </w:divBdr>
    </w:div>
    <w:div w:id="809516938">
      <w:bodyDiv w:val="1"/>
      <w:marLeft w:val="0"/>
      <w:marRight w:val="0"/>
      <w:marTop w:val="0"/>
      <w:marBottom w:val="0"/>
      <w:divBdr>
        <w:top w:val="none" w:sz="0" w:space="0" w:color="auto"/>
        <w:left w:val="none" w:sz="0" w:space="0" w:color="auto"/>
        <w:bottom w:val="none" w:sz="0" w:space="0" w:color="auto"/>
        <w:right w:val="none" w:sz="0" w:space="0" w:color="auto"/>
      </w:divBdr>
    </w:div>
    <w:div w:id="1296450820">
      <w:bodyDiv w:val="1"/>
      <w:marLeft w:val="0"/>
      <w:marRight w:val="0"/>
      <w:marTop w:val="0"/>
      <w:marBottom w:val="0"/>
      <w:divBdr>
        <w:top w:val="none" w:sz="0" w:space="0" w:color="auto"/>
        <w:left w:val="none" w:sz="0" w:space="0" w:color="auto"/>
        <w:bottom w:val="none" w:sz="0" w:space="0" w:color="auto"/>
        <w:right w:val="none" w:sz="0" w:space="0" w:color="auto"/>
      </w:divBdr>
    </w:div>
    <w:div w:id="1975210995">
      <w:bodyDiv w:val="1"/>
      <w:marLeft w:val="0"/>
      <w:marRight w:val="0"/>
      <w:marTop w:val="0"/>
      <w:marBottom w:val="0"/>
      <w:divBdr>
        <w:top w:val="none" w:sz="0" w:space="0" w:color="auto"/>
        <w:left w:val="none" w:sz="0" w:space="0" w:color="auto"/>
        <w:bottom w:val="none" w:sz="0" w:space="0" w:color="auto"/>
        <w:right w:val="none" w:sz="0" w:space="0" w:color="auto"/>
      </w:divBdr>
    </w:div>
    <w:div w:id="1993212032">
      <w:bodyDiv w:val="1"/>
      <w:marLeft w:val="0"/>
      <w:marRight w:val="0"/>
      <w:marTop w:val="0"/>
      <w:marBottom w:val="0"/>
      <w:divBdr>
        <w:top w:val="none" w:sz="0" w:space="0" w:color="auto"/>
        <w:left w:val="none" w:sz="0" w:space="0" w:color="auto"/>
        <w:bottom w:val="none" w:sz="0" w:space="0" w:color="auto"/>
        <w:right w:val="none" w:sz="0" w:space="0" w:color="auto"/>
      </w:divBdr>
    </w:div>
    <w:div w:id="2080246816">
      <w:bodyDiv w:val="1"/>
      <w:marLeft w:val="0"/>
      <w:marRight w:val="0"/>
      <w:marTop w:val="0"/>
      <w:marBottom w:val="0"/>
      <w:divBdr>
        <w:top w:val="none" w:sz="0" w:space="0" w:color="auto"/>
        <w:left w:val="none" w:sz="0" w:space="0" w:color="auto"/>
        <w:bottom w:val="none" w:sz="0" w:space="0" w:color="auto"/>
        <w:right w:val="none" w:sz="0" w:space="0" w:color="auto"/>
      </w:divBdr>
    </w:div>
    <w:div w:id="21086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7L01097" TargetMode="External"/><Relationship Id="rId18" Type="http://schemas.openxmlformats.org/officeDocument/2006/relationships/hyperlink" Target="http://www.ato.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apsc.gov.au/publications-and-media/current-publications/aps-values-and-code-of-conduct-in-practice/conflict-of-interest" TargetMode="External"/><Relationship Id="rId7" Type="http://schemas.openxmlformats.org/officeDocument/2006/relationships/settings" Target="settings.xml"/><Relationship Id="rId12" Type="http://schemas.openxmlformats.org/officeDocument/2006/relationships/hyperlink" Target="mailto:NCRIS@education.gov.au" TargetMode="External"/><Relationship Id="rId17" Type="http://schemas.openxmlformats.org/officeDocument/2006/relationships/hyperlink" Target="file://prod.protected.ind/User/user03/LLau2/insert%20link%20he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CRIS@education.gov.au" TargetMode="External"/><Relationship Id="rId20" Type="http://schemas.openxmlformats.org/officeDocument/2006/relationships/hyperlink" Target="http://www.ombudsman.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rants.gov.au/?event=public.documentLibrary.list" TargetMode="External"/><Relationship Id="rId23" Type="http://schemas.openxmlformats.org/officeDocument/2006/relationships/hyperlink" Target="mailto:FOI@education.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mbudsman@ombudsma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ance.gov.au/financial-framework/financial-management-policy-guidance/grants/grant-agreement-template-project.html" TargetMode="External"/><Relationship Id="rId22" Type="http://schemas.openxmlformats.org/officeDocument/2006/relationships/hyperlink" Target="http://www.comlaw.gov.au/Details/C2014C00757" TargetMode="External"/><Relationship Id="rId27" Type="http://schemas.openxmlformats.org/officeDocument/2006/relationships/footer" Target="footer2.xml"/></Relationships>
</file>

<file path=word/theme/theme1.xml><?xml version="1.0" encoding="utf-8"?>
<a:theme xmlns:a="http://schemas.openxmlformats.org/drawingml/2006/main" name="Finance 3 Yellow">
  <a:themeElements>
    <a:clrScheme name="Finance - Yellow">
      <a:dk1>
        <a:sysClr val="windowText" lastClr="000000"/>
      </a:dk1>
      <a:lt1>
        <a:sysClr val="window" lastClr="FFFFFF"/>
      </a:lt1>
      <a:dk2>
        <a:srgbClr val="1C1C1C"/>
      </a:dk2>
      <a:lt2>
        <a:srgbClr val="E2E3E2"/>
      </a:lt2>
      <a:accent1>
        <a:srgbClr val="FFF38A"/>
      </a:accent1>
      <a:accent2>
        <a:srgbClr val="F8DD00"/>
      </a:accent2>
      <a:accent3>
        <a:srgbClr val="E8B600"/>
      </a:accent3>
      <a:accent4>
        <a:srgbClr val="19806D"/>
      </a:accent4>
      <a:accent5>
        <a:srgbClr val="C94A2C"/>
      </a:accent5>
      <a:accent6>
        <a:srgbClr val="645493"/>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3 Yellow" id="{B9EA25B3-17DD-4FD3-A0D3-E4911F1B5539}" vid="{0B6E4290-9791-402B-A8FB-3646B0021F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5678767-D645-4CBD-9E1A-6379356DFE4A" xsi:nil="true"/>
    <pdms_SecurityClassification xmlns="75678767-D645-4CBD-9E1A-6379356DFE4A" xsi:nil="true"/>
    <pdms_Reason xmlns="75678767-D645-4CBD-9E1A-6379356DFE4A" xsi:nil="true"/>
    <pdms_AttachedBy xmlns="75678767-D645-4CBD-9E1A-6379356DFE4A" xsi:nil="true"/>
    <pdms_DocumentType xmlns="75678767-D645-4CBD-9E1A-6379356DF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636880B58F56245B3F76F1F15FF49D3" ma:contentTypeVersion="" ma:contentTypeDescription="PDMS Documentation Content Type" ma:contentTypeScope="" ma:versionID="e7e3ad4be74c3afe5c2a713fab4977da">
  <xsd:schema xmlns:xsd="http://www.w3.org/2001/XMLSchema" xmlns:xs="http://www.w3.org/2001/XMLSchema" xmlns:p="http://schemas.microsoft.com/office/2006/metadata/properties" xmlns:ns2="75678767-D645-4CBD-9E1A-6379356DFE4A" targetNamespace="http://schemas.microsoft.com/office/2006/metadata/properties" ma:root="true" ma:fieldsID="f4184eddb9a8997d5d860def7cee8a4e" ns2:_="">
    <xsd:import namespace="75678767-D645-4CBD-9E1A-6379356DFE4A"/>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8767-D645-4CBD-9E1A-6379356DFE4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B6EE-0F7B-46FE-AFCA-E1A75B124ACE}">
  <ds:schemaRefs>
    <ds:schemaRef ds:uri="http://purl.org/dc/dcmitype/"/>
    <ds:schemaRef ds:uri="http://schemas.microsoft.com/office/infopath/2007/PartnerControls"/>
    <ds:schemaRef ds:uri="75678767-D645-4CBD-9E1A-6379356DFE4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B659C2-2A27-45A3-83F4-862D2C395AB3}">
  <ds:schemaRefs>
    <ds:schemaRef ds:uri="http://schemas.microsoft.com/sharepoint/v3/contenttype/forms"/>
  </ds:schemaRefs>
</ds:datastoreItem>
</file>

<file path=customXml/itemProps3.xml><?xml version="1.0" encoding="utf-8"?>
<ds:datastoreItem xmlns:ds="http://schemas.openxmlformats.org/officeDocument/2006/customXml" ds:itemID="{388F41B2-5DAE-494F-B9B7-E224698A3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78767-D645-4CBD-9E1A-6379356DF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64DB3-0395-40A9-B25F-2E6FC66F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50925988.dotm</Template>
  <TotalTime>1</TotalTime>
  <Pages>31</Pages>
  <Words>8075</Words>
  <Characters>46033</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keywords>[SEC=UNCLASSIFIED:For-Official-Use-Only]</cp:keywords>
  <cp:lastModifiedBy>Tony ROTHNIE</cp:lastModifiedBy>
  <cp:revision>2</cp:revision>
  <cp:lastPrinted>2018-06-25T02:22:00Z</cp:lastPrinted>
  <dcterms:created xsi:type="dcterms:W3CDTF">2018-06-25T03:26:00Z</dcterms:created>
  <dcterms:modified xsi:type="dcterms:W3CDTF">2018-06-25T03:26:00Z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Originator_Hash_SHA1">
    <vt:lpwstr>593F5BE762250CD5F9A4E178305D74A322E41E54</vt:lpwstr>
  </property>
  <property fmtid="{D5CDD505-2E9C-101B-9397-08002B2CF9AE}" pid="4" name="PM_SecurityClassification">
    <vt:lpwstr>UNCLASSIFIED</vt:lpwstr>
  </property>
  <property fmtid="{D5CDD505-2E9C-101B-9397-08002B2CF9AE}" pid="5" name="PM_DisplayValueSecClassificationWithQualifier">
    <vt:lpwstr>UNCLASSIFIED For Official Use Only</vt:lpwstr>
  </property>
  <property fmtid="{D5CDD505-2E9C-101B-9397-08002B2CF9AE}" pid="6" name="PM_Qualifier">
    <vt:lpwstr>For-Official-Use-Only</vt:lpwstr>
  </property>
  <property fmtid="{D5CDD505-2E9C-101B-9397-08002B2CF9AE}" pid="7" name="PM_InsertionValue">
    <vt:lpwstr>UNCLASSIFIED\r\nFor Official Use Only</vt:lpwstr>
  </property>
  <property fmtid="{D5CDD505-2E9C-101B-9397-08002B2CF9AE}" pid="8" name="PM_Hash_Salt">
    <vt:lpwstr>296313919CCB2AFE7B0B900B791EBAC8</vt:lpwstr>
  </property>
  <property fmtid="{D5CDD505-2E9C-101B-9397-08002B2CF9AE}" pid="9" name="PM_Hash_Version">
    <vt:lpwstr>2014.2</vt:lpwstr>
  </property>
  <property fmtid="{D5CDD505-2E9C-101B-9397-08002B2CF9AE}" pid="10" name="PM_Hash_Salt_Prev">
    <vt:lpwstr>48F55817497388669633830EBB2B4C94</vt:lpwstr>
  </property>
  <property fmtid="{D5CDD505-2E9C-101B-9397-08002B2CF9AE}" pid="11" name="PM_Hash_SHA1">
    <vt:lpwstr>F6C6969BC88E7C1324A4841E9C8C79C0CF33ECDD</vt:lpwstr>
  </property>
  <property fmtid="{D5CDD505-2E9C-101B-9397-08002B2CF9AE}" pid="12" name="PM_SecurityClassification_Prev">
    <vt:lpwstr>UNCLASSIFIED</vt:lpwstr>
  </property>
  <property fmtid="{D5CDD505-2E9C-101B-9397-08002B2CF9AE}" pid="13" name="PM_Qualifier_Prev">
    <vt:lpwstr>For-Official-Use-Only</vt:lpwstr>
  </property>
  <property fmtid="{D5CDD505-2E9C-101B-9397-08002B2CF9AE}" pid="14" name="ContentTypeId">
    <vt:lpwstr>0x010100266966F133664895A6EE3632470D45F501006636880B58F56245B3F76F1F15FF49D3</vt:lpwstr>
  </property>
</Properties>
</file>