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8E" w:rsidRDefault="00D80A20" w:rsidP="00AA615C">
      <w:pPr>
        <w:spacing w:after="0"/>
        <w:sectPr w:rsidR="0019508E" w:rsidSect="00DB6C39">
          <w:footerReference w:type="default" r:id="rId12"/>
          <w:pgSz w:w="11907" w:h="16839" w:code="9"/>
          <w:pgMar w:top="0" w:right="1304" w:bottom="1440" w:left="0" w:header="0" w:footer="1191" w:gutter="0"/>
          <w:cols w:space="708"/>
          <w:docGrid w:linePitch="360"/>
        </w:sectPr>
      </w:pPr>
      <w:permStart w:id="1590757945" w:edGrp="everyone"/>
      <w:r>
        <w:rPr>
          <w:lang w:eastAsia="en-AU"/>
        </w:rPr>
        <w:drawing>
          <wp:inline distT="0" distB="0" distL="0" distR="0" wp14:anchorId="32FB751F" wp14:editId="73C8F037">
            <wp:extent cx="7628400" cy="1468800"/>
            <wp:effectExtent l="0" t="0" r="0" b="0"/>
            <wp:docPr id="1" name="Picture 1" descr="Australian Government. 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ork in Progress\_Education\ED16-0222 - 815068 - VET Student Loan Factsheets\links\ED16-0222 - 815068 - VET Student Loan Factsheets_Header Blue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8400" cy="1468800"/>
                    </a:xfrm>
                    <a:prstGeom prst="rect">
                      <a:avLst/>
                    </a:prstGeom>
                    <a:noFill/>
                    <a:ln>
                      <a:noFill/>
                    </a:ln>
                  </pic:spPr>
                </pic:pic>
              </a:graphicData>
            </a:graphic>
          </wp:inline>
        </w:drawing>
      </w:r>
      <w:permEnd w:id="1590757945"/>
    </w:p>
    <w:p w:rsidR="003C6FE2" w:rsidRDefault="00672C8F" w:rsidP="00357954">
      <w:pPr>
        <w:pStyle w:val="Title"/>
        <w:spacing w:before="360"/>
      </w:pPr>
      <w:r>
        <w:lastRenderedPageBreak/>
        <w:t xml:space="preserve">Student </w:t>
      </w:r>
      <w:r w:rsidR="000A5E7F">
        <w:t>affected by the</w:t>
      </w:r>
      <w:r w:rsidR="002554C8">
        <w:t xml:space="preserve"> VET Student Loans formal </w:t>
      </w:r>
      <w:r w:rsidR="00E36F41">
        <w:t xml:space="preserve">provider </w:t>
      </w:r>
      <w:r w:rsidR="002554C8">
        <w:t>approval process</w:t>
      </w:r>
    </w:p>
    <w:p w:rsidR="00E012FD" w:rsidRDefault="00EC5F91" w:rsidP="008E4312">
      <w:pPr>
        <w:rPr>
          <w:sz w:val="24"/>
        </w:rPr>
      </w:pPr>
      <w:r w:rsidRPr="00DB63E0">
        <w:rPr>
          <w:sz w:val="24"/>
        </w:rPr>
        <w:t xml:space="preserve">The Department </w:t>
      </w:r>
      <w:r w:rsidR="008E4312" w:rsidRPr="00DB63E0">
        <w:rPr>
          <w:sz w:val="24"/>
        </w:rPr>
        <w:t xml:space="preserve">recently </w:t>
      </w:r>
      <w:r w:rsidRPr="00DB63E0">
        <w:rPr>
          <w:sz w:val="24"/>
        </w:rPr>
        <w:t xml:space="preserve">completed a comprehensive assessment of the eligibility of training providers </w:t>
      </w:r>
      <w:r w:rsidR="00E012FD">
        <w:rPr>
          <w:sz w:val="24"/>
        </w:rPr>
        <w:t xml:space="preserve">able to offer VET Student Loans </w:t>
      </w:r>
      <w:r w:rsidR="000A5E7F">
        <w:rPr>
          <w:sz w:val="24"/>
        </w:rPr>
        <w:t>after</w:t>
      </w:r>
      <w:r w:rsidR="00E012FD">
        <w:rPr>
          <w:sz w:val="24"/>
        </w:rPr>
        <w:t xml:space="preserve"> the </w:t>
      </w:r>
      <w:r w:rsidR="008E4312" w:rsidRPr="00DB63E0">
        <w:rPr>
          <w:sz w:val="24"/>
        </w:rPr>
        <w:t xml:space="preserve">transitional period </w:t>
      </w:r>
      <w:r w:rsidR="000A5E7F">
        <w:rPr>
          <w:sz w:val="24"/>
        </w:rPr>
        <w:t>of</w:t>
      </w:r>
      <w:r w:rsidR="008E4312" w:rsidRPr="00DB63E0">
        <w:rPr>
          <w:sz w:val="24"/>
        </w:rPr>
        <w:t xml:space="preserve"> 1 January 2017 to 30 June 2017</w:t>
      </w:r>
      <w:r w:rsidR="00E012FD">
        <w:rPr>
          <w:sz w:val="24"/>
        </w:rPr>
        <w:t xml:space="preserve">. </w:t>
      </w:r>
      <w:r w:rsidR="00E012FD" w:rsidRPr="00E012FD">
        <w:rPr>
          <w:sz w:val="24"/>
        </w:rPr>
        <w:t xml:space="preserve">Of those providers who were transitionally approved, some have not been </w:t>
      </w:r>
      <w:r w:rsidR="000A5E7F">
        <w:rPr>
          <w:sz w:val="24"/>
        </w:rPr>
        <w:t>approved to off</w:t>
      </w:r>
      <w:r w:rsidR="00E012FD" w:rsidRPr="00E012FD">
        <w:rPr>
          <w:sz w:val="24"/>
        </w:rPr>
        <w:t>er VET Student Loans after 30 June 2017.</w:t>
      </w:r>
    </w:p>
    <w:p w:rsidR="008E4312" w:rsidRDefault="008E4312" w:rsidP="008E4312">
      <w:pPr>
        <w:rPr>
          <w:sz w:val="24"/>
        </w:rPr>
      </w:pPr>
      <w:r w:rsidRPr="00DB63E0">
        <w:rPr>
          <w:sz w:val="24"/>
        </w:rPr>
        <w:t>Students should contact their current VET Student Loans provider in the first instance to discuss how this affects them, and for information about their options for study in the future.</w:t>
      </w:r>
    </w:p>
    <w:p w:rsidR="00C64D66" w:rsidRPr="00DB63E0" w:rsidRDefault="00C64D66" w:rsidP="008E4312">
      <w:pPr>
        <w:rPr>
          <w:sz w:val="24"/>
        </w:rPr>
      </w:pPr>
      <w:r>
        <w:rPr>
          <w:sz w:val="24"/>
        </w:rPr>
        <w:t>The following questions and answers may assist you:</w:t>
      </w:r>
    </w:p>
    <w:p w:rsidR="00283336" w:rsidRDefault="00283336" w:rsidP="0030425D">
      <w:pPr>
        <w:pStyle w:val="Heading1"/>
        <w:rPr>
          <w:sz w:val="28"/>
          <w:szCs w:val="26"/>
        </w:rPr>
      </w:pPr>
      <w:r>
        <w:rPr>
          <w:sz w:val="28"/>
          <w:szCs w:val="26"/>
        </w:rPr>
        <w:t>Can I continue to study with my current provider although they were not approved to offer VET Student Loans after 30 June 2017?</w:t>
      </w:r>
    </w:p>
    <w:p w:rsidR="00283336" w:rsidRPr="00B746A6" w:rsidRDefault="00283336" w:rsidP="00283336">
      <w:pPr>
        <w:rPr>
          <w:sz w:val="24"/>
        </w:rPr>
      </w:pPr>
      <w:r w:rsidRPr="00B746A6">
        <w:rPr>
          <w:sz w:val="24"/>
        </w:rPr>
        <w:t>Yes</w:t>
      </w:r>
      <w:r w:rsidR="00D05D4E" w:rsidRPr="00B746A6">
        <w:rPr>
          <w:sz w:val="24"/>
        </w:rPr>
        <w:t xml:space="preserve">, </w:t>
      </w:r>
      <w:r w:rsidRPr="00B746A6">
        <w:rPr>
          <w:sz w:val="24"/>
        </w:rPr>
        <w:t>you can continue your studies</w:t>
      </w:r>
      <w:r w:rsidR="00D05D4E" w:rsidRPr="00B746A6">
        <w:rPr>
          <w:sz w:val="24"/>
        </w:rPr>
        <w:t xml:space="preserve"> </w:t>
      </w:r>
      <w:r w:rsidR="00C64D66">
        <w:rPr>
          <w:sz w:val="24"/>
        </w:rPr>
        <w:t>with your provider. Although your provider has not applied or was not approved to offer VET Student Loans after 1 July 2017,</w:t>
      </w:r>
      <w:r w:rsidR="000A5E7F">
        <w:rPr>
          <w:sz w:val="24"/>
        </w:rPr>
        <w:t xml:space="preserve"> this</w:t>
      </w:r>
      <w:r w:rsidR="00C64D66">
        <w:rPr>
          <w:sz w:val="24"/>
        </w:rPr>
        <w:t xml:space="preserve"> has </w:t>
      </w:r>
      <w:r w:rsidRPr="00B746A6">
        <w:rPr>
          <w:sz w:val="24"/>
        </w:rPr>
        <w:t>no impact on your provider’s registration as a training provider and their ability to deliver courses.</w:t>
      </w:r>
    </w:p>
    <w:p w:rsidR="00283336" w:rsidRPr="00B746A6" w:rsidRDefault="00C64D66" w:rsidP="00283336">
      <w:pPr>
        <w:rPr>
          <w:sz w:val="24"/>
        </w:rPr>
      </w:pPr>
      <w:r>
        <w:rPr>
          <w:sz w:val="24"/>
        </w:rPr>
        <w:t>Student</w:t>
      </w:r>
      <w:r w:rsidR="000A5E7F">
        <w:rPr>
          <w:sz w:val="24"/>
        </w:rPr>
        <w:t>s</w:t>
      </w:r>
      <w:r>
        <w:rPr>
          <w:sz w:val="24"/>
        </w:rPr>
        <w:t xml:space="preserve"> should note,</w:t>
      </w:r>
      <w:r w:rsidR="00283336" w:rsidRPr="00B746A6">
        <w:rPr>
          <w:sz w:val="24"/>
        </w:rPr>
        <w:t xml:space="preserve"> if you choose to remain with your current provider, you will not be eligible to access any further VET Student Loans for remaining units of your course with census dates after 1 July 2017 and will need to arrange alternative payment of your tuition fees.</w:t>
      </w:r>
    </w:p>
    <w:p w:rsidR="0083311A" w:rsidRPr="00CA071D" w:rsidRDefault="0080256D" w:rsidP="0030425D">
      <w:pPr>
        <w:pStyle w:val="Heading1"/>
        <w:rPr>
          <w:sz w:val="28"/>
          <w:szCs w:val="26"/>
        </w:rPr>
      </w:pPr>
      <w:r w:rsidRPr="00CA071D">
        <w:rPr>
          <w:sz w:val="28"/>
          <w:szCs w:val="26"/>
        </w:rPr>
        <w:t xml:space="preserve">I plan to enrol/have enrolled with a provider </w:t>
      </w:r>
      <w:r w:rsidR="00672C8F">
        <w:rPr>
          <w:sz w:val="28"/>
          <w:szCs w:val="26"/>
        </w:rPr>
        <w:t xml:space="preserve">that is transitionally </w:t>
      </w:r>
      <w:r w:rsidRPr="00CA071D">
        <w:rPr>
          <w:sz w:val="28"/>
          <w:szCs w:val="26"/>
        </w:rPr>
        <w:t>approved for VET Student Loans until 30 June 2017 but is not approved to deliver VET Student Loans from 1 July 2017.  How does that impact me now? What happens after 30 June 2017?</w:t>
      </w:r>
    </w:p>
    <w:p w:rsidR="0080256D" w:rsidRPr="00B746A6" w:rsidRDefault="0080256D" w:rsidP="0080256D">
      <w:pPr>
        <w:rPr>
          <w:sz w:val="24"/>
        </w:rPr>
      </w:pPr>
      <w:r w:rsidRPr="00B746A6">
        <w:rPr>
          <w:sz w:val="24"/>
        </w:rPr>
        <w:t>Students should consider the impacts of committing to studying with a provider who will not be able to continue to offer VET Student Loans from 1 July 2017.</w:t>
      </w:r>
    </w:p>
    <w:p w:rsidR="00B746A6" w:rsidRPr="00B746A6" w:rsidRDefault="0080256D" w:rsidP="0080256D">
      <w:pPr>
        <w:rPr>
          <w:sz w:val="24"/>
        </w:rPr>
      </w:pPr>
      <w:r w:rsidRPr="00B746A6">
        <w:rPr>
          <w:sz w:val="24"/>
        </w:rPr>
        <w:t xml:space="preserve">Where a student has commenced with a provider who was transitionally approved, they can continue to access VET Student Loans whilst with their current provider and complete </w:t>
      </w:r>
      <w:r w:rsidR="00D05D4E" w:rsidRPr="00B746A6">
        <w:rPr>
          <w:sz w:val="24"/>
        </w:rPr>
        <w:t xml:space="preserve">any units of study </w:t>
      </w:r>
      <w:r w:rsidRPr="00E012FD">
        <w:rPr>
          <w:b/>
          <w:sz w:val="24"/>
        </w:rPr>
        <w:t>with census dates that fall on or before 30 June 2017</w:t>
      </w:r>
      <w:r w:rsidRPr="00B746A6">
        <w:rPr>
          <w:sz w:val="24"/>
        </w:rPr>
        <w:t xml:space="preserve">. Students then wishing to continue accessing VET Student Loans to complete their course </w:t>
      </w:r>
      <w:r w:rsidR="00E012FD">
        <w:rPr>
          <w:sz w:val="24"/>
        </w:rPr>
        <w:t>can</w:t>
      </w:r>
      <w:r w:rsidRPr="00B746A6">
        <w:rPr>
          <w:sz w:val="24"/>
        </w:rPr>
        <w:t xml:space="preserve"> be assisted to move to a new provider through tuition assurance arrangements.  Some students may need to be studying concurrently with two providers during this period. </w:t>
      </w:r>
    </w:p>
    <w:p w:rsidR="0080256D" w:rsidRPr="00B746A6" w:rsidRDefault="00D05D4E" w:rsidP="0080256D">
      <w:pPr>
        <w:rPr>
          <w:sz w:val="24"/>
        </w:rPr>
      </w:pPr>
      <w:r w:rsidRPr="00B746A6">
        <w:rPr>
          <w:sz w:val="24"/>
        </w:rPr>
        <w:t>For students who have commenced with a tran</w:t>
      </w:r>
      <w:r w:rsidR="000A5E7F">
        <w:rPr>
          <w:sz w:val="24"/>
        </w:rPr>
        <w:t>sit</w:t>
      </w:r>
      <w:r w:rsidRPr="00B746A6">
        <w:rPr>
          <w:sz w:val="24"/>
        </w:rPr>
        <w:t>ionally approv</w:t>
      </w:r>
      <w:r w:rsidR="000A5E7F">
        <w:rPr>
          <w:sz w:val="24"/>
        </w:rPr>
        <w:t>ed</w:t>
      </w:r>
      <w:r w:rsidRPr="00B746A6">
        <w:rPr>
          <w:sz w:val="24"/>
        </w:rPr>
        <w:t xml:space="preserve"> VET Student Loans provider and their census date is not until after 1 July 2017, they </w:t>
      </w:r>
      <w:r w:rsidR="00B746A6" w:rsidRPr="00B746A6">
        <w:rPr>
          <w:sz w:val="24"/>
        </w:rPr>
        <w:t xml:space="preserve">should talk to their provider about alternative payment of your tuition fees. Alternatively, if a student want to access VET Student </w:t>
      </w:r>
      <w:r w:rsidR="00B746A6" w:rsidRPr="00B746A6">
        <w:rPr>
          <w:sz w:val="24"/>
        </w:rPr>
        <w:lastRenderedPageBreak/>
        <w:t>Loans, they should ensure they formally withdraw from their provider  before the census date</w:t>
      </w:r>
      <w:r w:rsidR="00B746A6">
        <w:rPr>
          <w:sz w:val="24"/>
        </w:rPr>
        <w:t xml:space="preserve"> by following their providers withdrawal requirements.</w:t>
      </w:r>
      <w:r w:rsidR="00B746A6" w:rsidRPr="00B746A6">
        <w:rPr>
          <w:sz w:val="24"/>
        </w:rPr>
        <w:t xml:space="preserve"> </w:t>
      </w:r>
    </w:p>
    <w:p w:rsidR="00E02F67" w:rsidRPr="00E02F67" w:rsidRDefault="00E02F67" w:rsidP="00E02F67">
      <w:pPr>
        <w:pStyle w:val="Heading1"/>
        <w:rPr>
          <w:sz w:val="28"/>
          <w:szCs w:val="26"/>
        </w:rPr>
      </w:pPr>
      <w:r w:rsidRPr="00E02F67">
        <w:rPr>
          <w:sz w:val="28"/>
          <w:szCs w:val="26"/>
        </w:rPr>
        <w:t xml:space="preserve">I am enrolled with a </w:t>
      </w:r>
      <w:r w:rsidR="00672C8F">
        <w:rPr>
          <w:sz w:val="28"/>
          <w:szCs w:val="26"/>
        </w:rPr>
        <w:t xml:space="preserve">provider that is transitionally </w:t>
      </w:r>
      <w:r w:rsidRPr="00E02F67">
        <w:rPr>
          <w:sz w:val="28"/>
          <w:szCs w:val="26"/>
        </w:rPr>
        <w:t xml:space="preserve">approved for VET Student Loans </w:t>
      </w:r>
      <w:r w:rsidR="00466F2D">
        <w:rPr>
          <w:sz w:val="28"/>
          <w:szCs w:val="26"/>
        </w:rPr>
        <w:t xml:space="preserve">(VSL) </w:t>
      </w:r>
      <w:r w:rsidRPr="00E02F67">
        <w:rPr>
          <w:sz w:val="28"/>
          <w:szCs w:val="26"/>
        </w:rPr>
        <w:t>until 30 June 2017 but is not appr</w:t>
      </w:r>
      <w:r w:rsidR="00B746A6">
        <w:rPr>
          <w:sz w:val="28"/>
          <w:szCs w:val="26"/>
        </w:rPr>
        <w:t>oved to deliver VSL from 1 July </w:t>
      </w:r>
      <w:r w:rsidRPr="00E02F67">
        <w:rPr>
          <w:sz w:val="28"/>
          <w:szCs w:val="26"/>
        </w:rPr>
        <w:t>2017. If I want to transfer before the end of June to another provider who has received approval to deliver VSL from 1 July 2017, can I?</w:t>
      </w:r>
    </w:p>
    <w:p w:rsidR="00E02F67" w:rsidRPr="00B746A6" w:rsidRDefault="00E02F67" w:rsidP="00E02F67">
      <w:pPr>
        <w:rPr>
          <w:sz w:val="24"/>
        </w:rPr>
      </w:pPr>
      <w:r w:rsidRPr="00B746A6">
        <w:rPr>
          <w:sz w:val="24"/>
        </w:rPr>
        <w:t>A student may decide not to remain with their current provisionally approved VSL provider to complete their units of study that have census dates falling on or before 30 June 2017, but it is important to note that students will have incurred a VET Student Loan debt for any of units of study which they do not formally withdraw from on or before the census date. Students moving providers prior to 30 June 2017 would not be eligible for assistance with transferring through tuition assurance arrangements (read FAQ above). Students moving providers would need to re-apply for VE</w:t>
      </w:r>
      <w:r w:rsidR="00E012FD">
        <w:rPr>
          <w:sz w:val="24"/>
        </w:rPr>
        <w:t xml:space="preserve">T Student Loans with their new </w:t>
      </w:r>
      <w:r w:rsidRPr="00B746A6">
        <w:rPr>
          <w:sz w:val="24"/>
        </w:rPr>
        <w:t>provider</w:t>
      </w:r>
      <w:r w:rsidR="00E012FD" w:rsidRPr="00E012FD">
        <w:rPr>
          <w:sz w:val="24"/>
        </w:rPr>
        <w:t>, who has been approved to provide VET Students Loans from 1 July 2017</w:t>
      </w:r>
      <w:r w:rsidRPr="00B746A6">
        <w:rPr>
          <w:sz w:val="24"/>
        </w:rPr>
        <w:t>. Students are advised to carefully consider their options, including course costs and ensuring that the provider they wish to move to is an approved provider, able to offer their particular VET Student Loans course.</w:t>
      </w:r>
    </w:p>
    <w:p w:rsidR="00E02F67" w:rsidRPr="00B746A6" w:rsidRDefault="00E02F67" w:rsidP="00E02F67">
      <w:pPr>
        <w:rPr>
          <w:sz w:val="24"/>
        </w:rPr>
      </w:pPr>
      <w:r w:rsidRPr="00B746A6">
        <w:rPr>
          <w:sz w:val="24"/>
        </w:rPr>
        <w:t xml:space="preserve">Information on approved courses, relevant caps, and approved providers can be located at </w:t>
      </w:r>
      <w:hyperlink r:id="rId14" w:history="1">
        <w:r w:rsidRPr="00B746A6">
          <w:rPr>
            <w:rStyle w:val="Hyperlink"/>
            <w:sz w:val="24"/>
          </w:rPr>
          <w:t>www.education.gov.au/vet-student-loans</w:t>
        </w:r>
      </w:hyperlink>
      <w:r w:rsidRPr="00B746A6">
        <w:rPr>
          <w:sz w:val="24"/>
        </w:rPr>
        <w:t xml:space="preserve">. Further information which will assist with researching your options can be found on the MySkills website at </w:t>
      </w:r>
      <w:hyperlink r:id="rId15" w:history="1">
        <w:r w:rsidRPr="00B746A6">
          <w:rPr>
            <w:rStyle w:val="Hyperlink"/>
            <w:sz w:val="24"/>
          </w:rPr>
          <w:t>www.myskills.gov.au</w:t>
        </w:r>
      </w:hyperlink>
      <w:r w:rsidRPr="00B746A6">
        <w:rPr>
          <w:sz w:val="24"/>
        </w:rPr>
        <w:t xml:space="preserve">. </w:t>
      </w:r>
    </w:p>
    <w:p w:rsidR="00E02F67" w:rsidRPr="00E02F67" w:rsidRDefault="00E02F67" w:rsidP="00E02F67">
      <w:pPr>
        <w:rPr>
          <w:rFonts w:eastAsiaTheme="majorEastAsia" w:cstheme="majorBidi"/>
          <w:b/>
          <w:bCs/>
          <w:color w:val="24206C"/>
          <w:sz w:val="28"/>
          <w:szCs w:val="26"/>
        </w:rPr>
      </w:pPr>
      <w:r w:rsidRPr="00E02F67">
        <w:rPr>
          <w:rFonts w:eastAsiaTheme="majorEastAsia" w:cstheme="majorBidi"/>
          <w:b/>
          <w:bCs/>
          <w:color w:val="24206C"/>
          <w:sz w:val="28"/>
          <w:szCs w:val="26"/>
        </w:rPr>
        <w:t>Is it possible to continue studying with my current provider even if they have not been approved to deliver VET Student Loans from 1 July 2017?</w:t>
      </w:r>
    </w:p>
    <w:p w:rsidR="00E02F67" w:rsidRPr="00C64B50" w:rsidRDefault="00E02F67" w:rsidP="00E02F67">
      <w:r w:rsidRPr="00C64B50">
        <w:t xml:space="preserve">If a student wishes to continue with their current provider who has not </w:t>
      </w:r>
      <w:r>
        <w:t xml:space="preserve">received </w:t>
      </w:r>
      <w:r w:rsidRPr="00C64B50">
        <w:t>approv</w:t>
      </w:r>
      <w:r>
        <w:t>al</w:t>
      </w:r>
      <w:r w:rsidRPr="00C64B50">
        <w:t xml:space="preserve"> to</w:t>
      </w:r>
      <w:r>
        <w:t xml:space="preserve"> </w:t>
      </w:r>
      <w:r w:rsidRPr="00C64B50">
        <w:t>offer V</w:t>
      </w:r>
      <w:r>
        <w:t>ET Student Loans</w:t>
      </w:r>
      <w:r w:rsidRPr="00C64B50">
        <w:t xml:space="preserve"> </w:t>
      </w:r>
      <w:r>
        <w:t>from</w:t>
      </w:r>
      <w:r w:rsidRPr="00C64B50">
        <w:t xml:space="preserve"> 1 July 2017, they may do so</w:t>
      </w:r>
      <w:r>
        <w:t xml:space="preserve">. However, as students will not be able to access </w:t>
      </w:r>
      <w:r w:rsidR="00E012FD">
        <w:t xml:space="preserve">a </w:t>
      </w:r>
      <w:r>
        <w:t xml:space="preserve">VET </w:t>
      </w:r>
      <w:r w:rsidR="000A5E7F">
        <w:t>S</w:t>
      </w:r>
      <w:r>
        <w:t xml:space="preserve">tudent </w:t>
      </w:r>
      <w:r w:rsidR="000A5E7F">
        <w:t>Lo</w:t>
      </w:r>
      <w:r>
        <w:t xml:space="preserve">an for units of study with census dates after 30 June 2017 (see above FAQ), they  will need to </w:t>
      </w:r>
      <w:r w:rsidRPr="00C64B50">
        <w:t xml:space="preserve"> make</w:t>
      </w:r>
      <w:r>
        <w:t xml:space="preserve"> alternative payment </w:t>
      </w:r>
      <w:r w:rsidRPr="00C64B50">
        <w:t>arrangement</w:t>
      </w:r>
      <w:r>
        <w:t>s</w:t>
      </w:r>
      <w:r w:rsidRPr="00C64B50">
        <w:t xml:space="preserve"> with their provider to </w:t>
      </w:r>
      <w:r>
        <w:t xml:space="preserve">cover tuition fees for any remaining units of study to be completed. </w:t>
      </w:r>
    </w:p>
    <w:p w:rsidR="00E02F67" w:rsidRPr="00E02F67" w:rsidRDefault="00E02F67" w:rsidP="00E02F67">
      <w:pPr>
        <w:rPr>
          <w:rFonts w:eastAsiaTheme="majorEastAsia" w:cstheme="majorBidi"/>
          <w:b/>
          <w:bCs/>
          <w:color w:val="24206C"/>
          <w:sz w:val="28"/>
          <w:szCs w:val="26"/>
        </w:rPr>
      </w:pPr>
      <w:r w:rsidRPr="00E02F67">
        <w:rPr>
          <w:rFonts w:eastAsiaTheme="majorEastAsia" w:cstheme="majorBidi"/>
          <w:b/>
          <w:bCs/>
          <w:color w:val="24206C"/>
          <w:sz w:val="28"/>
          <w:szCs w:val="26"/>
        </w:rPr>
        <w:t xml:space="preserve">I am enrolled with a </w:t>
      </w:r>
      <w:r w:rsidR="00B746A6">
        <w:rPr>
          <w:rFonts w:eastAsiaTheme="majorEastAsia" w:cstheme="majorBidi"/>
          <w:b/>
          <w:bCs/>
          <w:color w:val="24206C"/>
          <w:sz w:val="28"/>
          <w:szCs w:val="26"/>
        </w:rPr>
        <w:t xml:space="preserve">provider that is transitionally </w:t>
      </w:r>
      <w:r w:rsidRPr="00E02F67">
        <w:rPr>
          <w:rFonts w:eastAsiaTheme="majorEastAsia" w:cstheme="majorBidi"/>
          <w:b/>
          <w:bCs/>
          <w:color w:val="24206C"/>
          <w:sz w:val="28"/>
          <w:szCs w:val="26"/>
        </w:rPr>
        <w:t>approved for VET Student Loans until 30 June 2017 but is not approved to deliver VSL from 1 July 2017.  What happens if my provider ceases to teach my course on or before 30 June 2017?</w:t>
      </w:r>
    </w:p>
    <w:p w:rsidR="00E02F67" w:rsidRPr="00B746A6" w:rsidRDefault="00E02F67" w:rsidP="00E02F67">
      <w:pPr>
        <w:rPr>
          <w:sz w:val="24"/>
        </w:rPr>
      </w:pPr>
      <w:r w:rsidRPr="00B746A6">
        <w:rPr>
          <w:sz w:val="24"/>
        </w:rPr>
        <w:t xml:space="preserve">All providers are required, through the </w:t>
      </w:r>
      <w:r w:rsidRPr="00B746A6">
        <w:rPr>
          <w:i/>
          <w:sz w:val="24"/>
        </w:rPr>
        <w:t>VET Student Loans Act 2016</w:t>
      </w:r>
      <w:r w:rsidRPr="00B746A6">
        <w:rPr>
          <w:sz w:val="24"/>
        </w:rPr>
        <w:t>, to have adequate tuition assurance to cover their student</w:t>
      </w:r>
      <w:r w:rsidR="000A5E7F">
        <w:rPr>
          <w:sz w:val="24"/>
        </w:rPr>
        <w:t>s</w:t>
      </w:r>
      <w:r w:rsidRPr="00B746A6">
        <w:rPr>
          <w:sz w:val="24"/>
        </w:rPr>
        <w:t xml:space="preserve">.  Most VET providers meet their tuition assurance requirements through membership </w:t>
      </w:r>
      <w:r w:rsidR="000A5E7F">
        <w:rPr>
          <w:sz w:val="24"/>
        </w:rPr>
        <w:t>with</w:t>
      </w:r>
      <w:r w:rsidRPr="00B746A6">
        <w:rPr>
          <w:sz w:val="24"/>
        </w:rPr>
        <w:t xml:space="preserve"> a tuition assurance scheme operator.  The Australian Council for Private Education and Training (ACPET) and TAFE Directors Australia (TDA) are the two approved tuition assurance </w:t>
      </w:r>
      <w:r w:rsidR="00E012FD">
        <w:rPr>
          <w:sz w:val="24"/>
        </w:rPr>
        <w:t xml:space="preserve">scheme </w:t>
      </w:r>
      <w:r w:rsidRPr="00B746A6">
        <w:rPr>
          <w:sz w:val="24"/>
        </w:rPr>
        <w:t xml:space="preserve">operators. </w:t>
      </w:r>
    </w:p>
    <w:p w:rsidR="00E02F67" w:rsidRPr="00B746A6" w:rsidRDefault="00E02F67" w:rsidP="00E02F67">
      <w:pPr>
        <w:rPr>
          <w:sz w:val="24"/>
        </w:rPr>
      </w:pPr>
      <w:r w:rsidRPr="00B746A6">
        <w:rPr>
          <w:sz w:val="24"/>
        </w:rPr>
        <w:t>The tuition assurance arrangements support VSL students in the event that their provider ceases to offer  a course after it starts but before it is completed – for example, because the provider shuts down or ceases to teach a particular course.</w:t>
      </w:r>
    </w:p>
    <w:p w:rsidR="00E02F67" w:rsidRPr="00B746A6" w:rsidRDefault="00E02F67" w:rsidP="00E02F67">
      <w:pPr>
        <w:rPr>
          <w:sz w:val="24"/>
        </w:rPr>
      </w:pPr>
      <w:r w:rsidRPr="00B746A6">
        <w:rPr>
          <w:sz w:val="24"/>
        </w:rPr>
        <w:t xml:space="preserve">If this happens, the tuition assurance operator will seek to match and offer students a similar, replacement course with an alternative approved VET Student Loans provider. </w:t>
      </w:r>
    </w:p>
    <w:p w:rsidR="00E02F67" w:rsidRPr="00B746A6" w:rsidRDefault="00E02F67" w:rsidP="00E02F67">
      <w:pPr>
        <w:rPr>
          <w:sz w:val="24"/>
        </w:rPr>
      </w:pPr>
      <w:r w:rsidRPr="00B746A6">
        <w:rPr>
          <w:sz w:val="24"/>
        </w:rPr>
        <w:lastRenderedPageBreak/>
        <w:t xml:space="preserve">If there is no similar course or provider available, the student may be eligible for fee-repayment.  The student may have their VSL debt re-credited for any parts of the course </w:t>
      </w:r>
      <w:r w:rsidRPr="00E012FD">
        <w:rPr>
          <w:sz w:val="24"/>
          <w:u w:val="single"/>
        </w:rPr>
        <w:t>commenced but not complete</w:t>
      </w:r>
      <w:r w:rsidRPr="00B746A6">
        <w:rPr>
          <w:sz w:val="24"/>
        </w:rPr>
        <w:t>.</w:t>
      </w:r>
    </w:p>
    <w:p w:rsidR="00E02F67" w:rsidRPr="00B746A6" w:rsidRDefault="00E02F67" w:rsidP="00E02F67">
      <w:pPr>
        <w:rPr>
          <w:sz w:val="24"/>
        </w:rPr>
      </w:pPr>
      <w:r w:rsidRPr="00B746A6">
        <w:rPr>
          <w:sz w:val="24"/>
        </w:rPr>
        <w:t>Students impacted by a tuition assurance event will be directly notified</w:t>
      </w:r>
      <w:r w:rsidR="00E012FD">
        <w:rPr>
          <w:sz w:val="24"/>
        </w:rPr>
        <w:t xml:space="preserve"> </w:t>
      </w:r>
      <w:r w:rsidR="00E012FD" w:rsidRPr="00E012FD">
        <w:rPr>
          <w:sz w:val="24"/>
        </w:rPr>
        <w:t>by the relevant tuition assurance scheme operator.</w:t>
      </w:r>
      <w:r w:rsidRPr="00B746A6">
        <w:rPr>
          <w:sz w:val="24"/>
        </w:rPr>
        <w:t xml:space="preserve"> </w:t>
      </w:r>
    </w:p>
    <w:p w:rsidR="00E02F67" w:rsidRPr="00B746A6" w:rsidRDefault="00E02F67" w:rsidP="00E02F67">
      <w:pPr>
        <w:rPr>
          <w:sz w:val="24"/>
        </w:rPr>
      </w:pPr>
      <w:r w:rsidRPr="00B746A6">
        <w:rPr>
          <w:sz w:val="24"/>
        </w:rPr>
        <w:t xml:space="preserve">Note: Where a provider remains open and has not ceased offering a VET Student Loans approved course, a student not wanting to complete their studies with that provider MUST  follow their provider’s withdrawal procedures to formally withdraw from their course.  </w:t>
      </w:r>
    </w:p>
    <w:p w:rsidR="00E02F67" w:rsidRPr="00B746A6" w:rsidRDefault="00E02F67" w:rsidP="00E02F67">
      <w:pPr>
        <w:rPr>
          <w:sz w:val="24"/>
        </w:rPr>
      </w:pPr>
      <w:r w:rsidRPr="00B746A6">
        <w:rPr>
          <w:sz w:val="24"/>
        </w:rPr>
        <w:t>More information on tuition assuran</w:t>
      </w:r>
      <w:r w:rsidR="00E012FD">
        <w:rPr>
          <w:sz w:val="24"/>
        </w:rPr>
        <w:t>ce can be found in the Tuition a</w:t>
      </w:r>
      <w:r w:rsidRPr="00B746A6">
        <w:rPr>
          <w:sz w:val="24"/>
        </w:rPr>
        <w:t>ssurance factsheet</w:t>
      </w:r>
      <w:r w:rsidR="00E012FD">
        <w:rPr>
          <w:sz w:val="24"/>
        </w:rPr>
        <w:t>.</w:t>
      </w:r>
    </w:p>
    <w:p w:rsidR="00E02F67" w:rsidRPr="00B746A6" w:rsidRDefault="00E02F67" w:rsidP="00E02F67">
      <w:pPr>
        <w:rPr>
          <w:rFonts w:eastAsiaTheme="majorEastAsia" w:cstheme="majorBidi"/>
          <w:b/>
          <w:bCs/>
          <w:color w:val="24206C"/>
          <w:sz w:val="28"/>
          <w:szCs w:val="26"/>
        </w:rPr>
      </w:pPr>
      <w:r w:rsidRPr="00B746A6">
        <w:rPr>
          <w:rFonts w:eastAsiaTheme="majorEastAsia" w:cstheme="majorBidi"/>
          <w:b/>
          <w:bCs/>
          <w:color w:val="24206C"/>
          <w:sz w:val="28"/>
          <w:szCs w:val="26"/>
        </w:rPr>
        <w:t>What happens if I want to just stop studying my course now? Will I be able to get reimbursed for my course?</w:t>
      </w:r>
    </w:p>
    <w:p w:rsidR="00E02F67" w:rsidRPr="00B746A6" w:rsidRDefault="00E02F67" w:rsidP="00E02F67">
      <w:pPr>
        <w:rPr>
          <w:sz w:val="24"/>
        </w:rPr>
      </w:pPr>
      <w:r w:rsidRPr="00B746A6">
        <w:rPr>
          <w:sz w:val="24"/>
        </w:rPr>
        <w:t>A student remains liable for any parts of a course where a census date has passed.  If a student no longer wishes to study, they should notify their provider immediately, or in advance of any future census dates and follow the provider’s student withdrawal procedures.</w:t>
      </w:r>
    </w:p>
    <w:p w:rsidR="00672C8F" w:rsidRPr="00E02F67" w:rsidRDefault="00672C8F" w:rsidP="00672C8F">
      <w:pPr>
        <w:pStyle w:val="Heading1"/>
        <w:rPr>
          <w:sz w:val="28"/>
          <w:szCs w:val="26"/>
        </w:rPr>
      </w:pPr>
      <w:r w:rsidRPr="00E02F67">
        <w:rPr>
          <w:sz w:val="28"/>
          <w:szCs w:val="26"/>
        </w:rPr>
        <w:t xml:space="preserve">How do I </w:t>
      </w:r>
      <w:r>
        <w:rPr>
          <w:sz w:val="28"/>
          <w:szCs w:val="26"/>
        </w:rPr>
        <w:t>find out who my VET Student Loans provider maintains t</w:t>
      </w:r>
      <w:r w:rsidRPr="00E02F67">
        <w:rPr>
          <w:sz w:val="28"/>
          <w:szCs w:val="26"/>
        </w:rPr>
        <w:t xml:space="preserve">uition </w:t>
      </w:r>
      <w:r>
        <w:rPr>
          <w:sz w:val="28"/>
          <w:szCs w:val="26"/>
        </w:rPr>
        <w:t>a</w:t>
      </w:r>
      <w:r w:rsidRPr="00E02F67">
        <w:rPr>
          <w:sz w:val="28"/>
          <w:szCs w:val="26"/>
        </w:rPr>
        <w:t>ssurance arrangements with?</w:t>
      </w:r>
    </w:p>
    <w:p w:rsidR="00672C8F" w:rsidRDefault="00672C8F" w:rsidP="00672C8F">
      <w:pPr>
        <w:rPr>
          <w:sz w:val="24"/>
        </w:rPr>
      </w:pPr>
      <w:r w:rsidRPr="00B746A6">
        <w:rPr>
          <w:sz w:val="24"/>
        </w:rPr>
        <w:t xml:space="preserve">Students </w:t>
      </w:r>
      <w:r>
        <w:rPr>
          <w:sz w:val="24"/>
        </w:rPr>
        <w:t xml:space="preserve">with providers who are not approved to offer VET Student Loans after 1 July 2017 </w:t>
      </w:r>
      <w:r w:rsidRPr="00B746A6">
        <w:rPr>
          <w:sz w:val="24"/>
        </w:rPr>
        <w:t xml:space="preserve">will receive an email from the department that will </w:t>
      </w:r>
      <w:r>
        <w:rPr>
          <w:sz w:val="24"/>
        </w:rPr>
        <w:t>include details of the t</w:t>
      </w:r>
      <w:r w:rsidRPr="00B746A6">
        <w:rPr>
          <w:sz w:val="24"/>
        </w:rPr>
        <w:t xml:space="preserve">uition assurance </w:t>
      </w:r>
      <w:r>
        <w:rPr>
          <w:sz w:val="24"/>
        </w:rPr>
        <w:t xml:space="preserve">provider applicable. </w:t>
      </w:r>
      <w:r w:rsidRPr="00B746A6">
        <w:rPr>
          <w:sz w:val="24"/>
        </w:rPr>
        <w:t xml:space="preserve"> Alternatively, </w:t>
      </w:r>
      <w:r>
        <w:rPr>
          <w:sz w:val="24"/>
        </w:rPr>
        <w:t xml:space="preserve">students can contact their provider or check on </w:t>
      </w:r>
      <w:r w:rsidRPr="00B746A6">
        <w:rPr>
          <w:sz w:val="24"/>
        </w:rPr>
        <w:t>your provider</w:t>
      </w:r>
      <w:r>
        <w:rPr>
          <w:sz w:val="24"/>
        </w:rPr>
        <w:t>s</w:t>
      </w:r>
      <w:r w:rsidRPr="00B746A6">
        <w:rPr>
          <w:sz w:val="24"/>
        </w:rPr>
        <w:t xml:space="preserve"> website.  </w:t>
      </w:r>
    </w:p>
    <w:p w:rsidR="00672C8F" w:rsidRPr="00B746A6" w:rsidRDefault="00672C8F" w:rsidP="00672C8F">
      <w:pPr>
        <w:rPr>
          <w:sz w:val="24"/>
        </w:rPr>
      </w:pPr>
      <w:r w:rsidRPr="00B746A6">
        <w:rPr>
          <w:sz w:val="24"/>
        </w:rPr>
        <w:t xml:space="preserve">For more information on tuition assurance, please refer to the Tuition Assurance fact sheet on </w:t>
      </w:r>
      <w:hyperlink r:id="rId16" w:history="1">
        <w:r w:rsidRPr="00B746A6">
          <w:rPr>
            <w:rStyle w:val="Hyperlink"/>
            <w:sz w:val="24"/>
          </w:rPr>
          <w:t>www.education.gov.au/vet-student-loans</w:t>
        </w:r>
      </w:hyperlink>
      <w:r w:rsidRPr="00B746A6">
        <w:rPr>
          <w:sz w:val="24"/>
        </w:rPr>
        <w:t xml:space="preserve">. </w:t>
      </w:r>
    </w:p>
    <w:p w:rsidR="00E02F67" w:rsidRPr="00E02F67" w:rsidRDefault="00E02F67" w:rsidP="00E02F67">
      <w:pPr>
        <w:rPr>
          <w:rFonts w:eastAsiaTheme="majorEastAsia" w:cstheme="majorBidi"/>
          <w:b/>
          <w:bCs/>
          <w:color w:val="24206C"/>
          <w:sz w:val="28"/>
          <w:szCs w:val="26"/>
        </w:rPr>
      </w:pPr>
      <w:r w:rsidRPr="00E02F67">
        <w:rPr>
          <w:rFonts w:eastAsiaTheme="majorEastAsia" w:cstheme="majorBidi"/>
          <w:b/>
          <w:bCs/>
          <w:color w:val="24206C"/>
          <w:sz w:val="28"/>
          <w:szCs w:val="26"/>
        </w:rPr>
        <w:t>Is there anything I can do to make the transition to a new provider easier where I want to continue studying with another provider?</w:t>
      </w:r>
    </w:p>
    <w:p w:rsidR="00E02F67" w:rsidRPr="006B5A62" w:rsidRDefault="00E02F67" w:rsidP="00E02F67">
      <w:r w:rsidRPr="006B5A62">
        <w:t>Students are encouraged to gather any personal records such as:</w:t>
      </w:r>
    </w:p>
    <w:p w:rsidR="00E02F67" w:rsidRPr="006B5A62" w:rsidRDefault="00E02F67" w:rsidP="00672C8F">
      <w:pPr>
        <w:numPr>
          <w:ilvl w:val="0"/>
          <w:numId w:val="5"/>
        </w:numPr>
        <w:spacing w:after="200" w:line="276" w:lineRule="auto"/>
      </w:pPr>
      <w:r w:rsidRPr="006B5A62">
        <w:t>Emails and correspondence from the Department of Education and Training which would include confirmation of your electronic Commonwealth Assistance Form (eCAF).</w:t>
      </w:r>
    </w:p>
    <w:p w:rsidR="00E02F67" w:rsidRPr="00FE035E" w:rsidRDefault="00E02F67" w:rsidP="00672C8F">
      <w:pPr>
        <w:numPr>
          <w:ilvl w:val="0"/>
          <w:numId w:val="5"/>
        </w:numPr>
        <w:spacing w:after="200" w:line="276" w:lineRule="auto"/>
      </w:pPr>
      <w:r w:rsidRPr="006B5A62">
        <w:t xml:space="preserve">Emails and correspondence from their provider including documents such as any statements of attainments for any units completed, your Commonwealth Assistance Notice (CAN), your invoice issued to you from your provider, </w:t>
      </w:r>
      <w:r w:rsidR="006C3A2C">
        <w:t xml:space="preserve">and </w:t>
      </w:r>
      <w:r w:rsidRPr="006B5A62">
        <w:t>your Commonwealth Higher Education Student Support Number (CHESSN).</w:t>
      </w:r>
    </w:p>
    <w:p w:rsidR="00E02F67" w:rsidRPr="00E02F67" w:rsidRDefault="00E02F67" w:rsidP="00E02F67">
      <w:pPr>
        <w:rPr>
          <w:rFonts w:eastAsiaTheme="majorEastAsia" w:cstheme="majorBidi"/>
          <w:b/>
          <w:bCs/>
          <w:color w:val="24206C"/>
          <w:sz w:val="28"/>
          <w:szCs w:val="26"/>
        </w:rPr>
      </w:pPr>
      <w:r w:rsidRPr="00E02F67">
        <w:rPr>
          <w:rFonts w:eastAsiaTheme="majorEastAsia" w:cstheme="majorBidi"/>
          <w:b/>
          <w:bCs/>
          <w:color w:val="24206C"/>
          <w:sz w:val="28"/>
          <w:szCs w:val="26"/>
        </w:rPr>
        <w:t>My provider has closed and I would like to get my academic record/certificate of attainment.</w:t>
      </w:r>
    </w:p>
    <w:p w:rsidR="006C3A2C" w:rsidRPr="006C3A2C" w:rsidRDefault="006C3A2C" w:rsidP="006C3A2C">
      <w:pPr>
        <w:rPr>
          <w:sz w:val="24"/>
        </w:rPr>
      </w:pPr>
      <w:r w:rsidRPr="006C3A2C">
        <w:rPr>
          <w:sz w:val="24"/>
        </w:rPr>
        <w:t>When a training provider closes, and has not given you your transcripts, the Australian Skills Quality Authority (ASQA) may obtain a copy of student records. Unfortunately, while this is a requirement for a VET training provider, there are instances where former-providers don’t comply with these requirements.</w:t>
      </w:r>
    </w:p>
    <w:p w:rsidR="006C3A2C" w:rsidRPr="006C3A2C" w:rsidRDefault="006C3A2C" w:rsidP="006C3A2C">
      <w:pPr>
        <w:rPr>
          <w:sz w:val="24"/>
        </w:rPr>
      </w:pPr>
      <w:r w:rsidRPr="006C3A2C">
        <w:rPr>
          <w:sz w:val="24"/>
        </w:rPr>
        <w:t>If a VET training provider has closed, and has provided ASQA with your records, ASQA can issue the results to you.</w:t>
      </w:r>
    </w:p>
    <w:p w:rsidR="006C3A2C" w:rsidRPr="006C3A2C" w:rsidRDefault="006C3A2C" w:rsidP="006C3A2C">
      <w:pPr>
        <w:rPr>
          <w:sz w:val="24"/>
        </w:rPr>
      </w:pPr>
      <w:r w:rsidRPr="006C3A2C">
        <w:rPr>
          <w:sz w:val="24"/>
        </w:rPr>
        <w:lastRenderedPageBreak/>
        <w:t xml:space="preserve">ASQA </w:t>
      </w:r>
      <w:r w:rsidRPr="006C3A2C">
        <w:rPr>
          <w:b/>
          <w:sz w:val="24"/>
        </w:rPr>
        <w:t>does not</w:t>
      </w:r>
      <w:r w:rsidRPr="006C3A2C">
        <w:rPr>
          <w:sz w:val="24"/>
        </w:rPr>
        <w:t xml:space="preserve"> issue statements of attainment or qualifications on behalf of a closed training provider, however it can issue a verified record of a student’s assessment results.</w:t>
      </w:r>
    </w:p>
    <w:p w:rsidR="006C3A2C" w:rsidRPr="006C3A2C" w:rsidRDefault="006C3A2C" w:rsidP="006C3A2C">
      <w:pPr>
        <w:rPr>
          <w:sz w:val="24"/>
        </w:rPr>
      </w:pPr>
      <w:r w:rsidRPr="006C3A2C">
        <w:rPr>
          <w:sz w:val="24"/>
        </w:rPr>
        <w:t xml:space="preserve">You can request a copy of your student record at: </w:t>
      </w:r>
      <w:hyperlink r:id="rId17" w:history="1">
        <w:r w:rsidRPr="006C3A2C">
          <w:rPr>
            <w:rStyle w:val="Hyperlink"/>
            <w:sz w:val="24"/>
          </w:rPr>
          <w:t>https://www.asqa.gov.au/students/applying-copy-student-records</w:t>
        </w:r>
      </w:hyperlink>
      <w:r w:rsidRPr="006C3A2C">
        <w:rPr>
          <w:sz w:val="24"/>
        </w:rPr>
        <w:t xml:space="preserve"> </w:t>
      </w:r>
    </w:p>
    <w:p w:rsidR="006C3A2C" w:rsidRPr="006C3A2C" w:rsidRDefault="006C3A2C" w:rsidP="006C3A2C">
      <w:pPr>
        <w:rPr>
          <w:sz w:val="24"/>
        </w:rPr>
      </w:pPr>
      <w:r w:rsidRPr="006C3A2C">
        <w:rPr>
          <w:sz w:val="24"/>
        </w:rPr>
        <w:t xml:space="preserve">You should include all the details of the units you have completed (include details of payments, assessments, etc) in your application to ASQA, including any evidence you may have to substantiate your progression. </w:t>
      </w:r>
    </w:p>
    <w:p w:rsidR="006C3A2C" w:rsidRDefault="006C3A2C" w:rsidP="006C3A2C">
      <w:pPr>
        <w:rPr>
          <w:sz w:val="24"/>
        </w:rPr>
      </w:pPr>
      <w:r w:rsidRPr="006C3A2C">
        <w:rPr>
          <w:sz w:val="24"/>
        </w:rPr>
        <w:t>If you have any other questions in relation to your statement of attainment, you can contact the ASQA info line on 1300 701 801 between 9.00 am and 7.00 pm Eastern Standard Time (EST), Monday to Friday. The info line is able to assist in these matters.</w:t>
      </w:r>
    </w:p>
    <w:p w:rsidR="006C3A2C" w:rsidRPr="006C3A2C" w:rsidRDefault="006C3A2C" w:rsidP="006C3A2C">
      <w:pPr>
        <w:rPr>
          <w:sz w:val="24"/>
        </w:rPr>
      </w:pPr>
      <w:r w:rsidRPr="006C3A2C">
        <w:rPr>
          <w:sz w:val="24"/>
        </w:rPr>
        <w:t>While the Department of Education and Training acknowledges that delays to transcripts can be frustrating for students, please be aware that the Department does not hold any student academic records.</w:t>
      </w:r>
    </w:p>
    <w:p w:rsidR="00E02F67" w:rsidRPr="00E02F67" w:rsidRDefault="00E02F67" w:rsidP="00E02F67">
      <w:pPr>
        <w:rPr>
          <w:rFonts w:eastAsiaTheme="majorEastAsia" w:cstheme="majorBidi"/>
          <w:b/>
          <w:bCs/>
          <w:color w:val="24206C"/>
          <w:sz w:val="28"/>
          <w:szCs w:val="26"/>
        </w:rPr>
      </w:pPr>
      <w:r w:rsidRPr="00E02F67">
        <w:rPr>
          <w:rFonts w:eastAsiaTheme="majorEastAsia" w:cstheme="majorBidi"/>
          <w:b/>
          <w:bCs/>
          <w:color w:val="24206C"/>
          <w:sz w:val="28"/>
          <w:szCs w:val="26"/>
        </w:rPr>
        <w:t>My provider was not approved for V</w:t>
      </w:r>
      <w:r w:rsidR="00E012FD">
        <w:rPr>
          <w:rFonts w:eastAsiaTheme="majorEastAsia" w:cstheme="majorBidi"/>
          <w:b/>
          <w:bCs/>
          <w:color w:val="24206C"/>
          <w:sz w:val="28"/>
          <w:szCs w:val="26"/>
        </w:rPr>
        <w:t xml:space="preserve">ET </w:t>
      </w:r>
      <w:r w:rsidRPr="00E02F67">
        <w:rPr>
          <w:rFonts w:eastAsiaTheme="majorEastAsia" w:cstheme="majorBidi"/>
          <w:b/>
          <w:bCs/>
          <w:color w:val="24206C"/>
          <w:sz w:val="28"/>
          <w:szCs w:val="26"/>
        </w:rPr>
        <w:t>S</w:t>
      </w:r>
      <w:r w:rsidR="00E012FD">
        <w:rPr>
          <w:rFonts w:eastAsiaTheme="majorEastAsia" w:cstheme="majorBidi"/>
          <w:b/>
          <w:bCs/>
          <w:color w:val="24206C"/>
          <w:sz w:val="28"/>
          <w:szCs w:val="26"/>
        </w:rPr>
        <w:t xml:space="preserve">tudent </w:t>
      </w:r>
      <w:r w:rsidRPr="00E02F67">
        <w:rPr>
          <w:rFonts w:eastAsiaTheme="majorEastAsia" w:cstheme="majorBidi"/>
          <w:b/>
          <w:bCs/>
          <w:color w:val="24206C"/>
          <w:sz w:val="28"/>
          <w:szCs w:val="26"/>
        </w:rPr>
        <w:t>L</w:t>
      </w:r>
      <w:r w:rsidR="00E012FD">
        <w:rPr>
          <w:rFonts w:eastAsiaTheme="majorEastAsia" w:cstheme="majorBidi"/>
          <w:b/>
          <w:bCs/>
          <w:color w:val="24206C"/>
          <w:sz w:val="28"/>
          <w:szCs w:val="26"/>
        </w:rPr>
        <w:t>oans</w:t>
      </w:r>
      <w:r w:rsidRPr="00E02F67">
        <w:rPr>
          <w:rFonts w:eastAsiaTheme="majorEastAsia" w:cstheme="majorBidi"/>
          <w:b/>
          <w:bCs/>
          <w:color w:val="24206C"/>
          <w:sz w:val="28"/>
          <w:szCs w:val="26"/>
        </w:rPr>
        <w:t xml:space="preserve"> from 1 July 2017.  Why?</w:t>
      </w:r>
    </w:p>
    <w:p w:rsidR="00E02F67" w:rsidRPr="00672C8F" w:rsidRDefault="00E02F67" w:rsidP="00E02F67">
      <w:pPr>
        <w:rPr>
          <w:sz w:val="24"/>
        </w:rPr>
      </w:pPr>
      <w:r w:rsidRPr="00672C8F">
        <w:rPr>
          <w:sz w:val="24"/>
        </w:rPr>
        <w:t xml:space="preserve">The Australian Government has designed the new VET Student Loans program to provide sustainable and affordable opportunities for students to undertake higher level VET courses. The program aligns to industry needs and employment outcomes, to provide students with the skills required by employers and industry.  </w:t>
      </w:r>
    </w:p>
    <w:p w:rsidR="00E02F67" w:rsidRPr="00672C8F" w:rsidRDefault="00E02F67" w:rsidP="00E02F67">
      <w:pPr>
        <w:rPr>
          <w:sz w:val="24"/>
        </w:rPr>
      </w:pPr>
      <w:r w:rsidRPr="00672C8F">
        <w:rPr>
          <w:sz w:val="24"/>
        </w:rPr>
        <w:t xml:space="preserve">As part of the new design of VET Student Loans, a strict application process was </w:t>
      </w:r>
      <w:r w:rsidR="000A5E7F">
        <w:rPr>
          <w:sz w:val="24"/>
        </w:rPr>
        <w:t>undertaken</w:t>
      </w:r>
      <w:r w:rsidRPr="00672C8F">
        <w:rPr>
          <w:sz w:val="24"/>
        </w:rPr>
        <w:t xml:space="preserve"> to ensure that only providers meeting the criteria were approved. </w:t>
      </w:r>
    </w:p>
    <w:p w:rsidR="00E02F67" w:rsidRPr="00103164" w:rsidRDefault="00E02F67" w:rsidP="00E02F67">
      <w:pPr>
        <w:rPr>
          <w:b/>
        </w:rPr>
      </w:pPr>
      <w:r w:rsidRPr="00E02F67">
        <w:rPr>
          <w:rFonts w:eastAsiaTheme="majorEastAsia" w:cstheme="majorBidi"/>
          <w:b/>
          <w:bCs/>
          <w:color w:val="24206C"/>
          <w:sz w:val="28"/>
          <w:szCs w:val="26"/>
        </w:rPr>
        <w:t xml:space="preserve">When will I receive notification about who my new provider would be? </w:t>
      </w:r>
    </w:p>
    <w:p w:rsidR="00672C8F" w:rsidRDefault="006C3A2C">
      <w:pPr>
        <w:spacing w:after="200" w:line="276" w:lineRule="auto"/>
        <w:rPr>
          <w:rFonts w:eastAsiaTheme="majorEastAsia" w:cstheme="majorBidi"/>
          <w:b/>
          <w:bCs/>
          <w:color w:val="24206C"/>
          <w:sz w:val="28"/>
          <w:szCs w:val="26"/>
        </w:rPr>
      </w:pPr>
      <w:r w:rsidRPr="006C3A2C">
        <w:rPr>
          <w:sz w:val="24"/>
        </w:rPr>
        <w:t xml:space="preserve">You will be contacted by the relevant tuition assurance operator as soon as your current provider ceases to deliver the course, or if they close their business.  Students may wish to talk to their provider in the first instance to discuss their options.  Where a provider has closed down, students will be assisted by the tuition assurance provider (in most cases, either the Australian Council for Private Education and Training or the TAFE Directors Australia) to find a new provider who is approved to offer VET Student Loans from 1 July 2017. </w:t>
      </w:r>
      <w:r w:rsidR="00672C8F">
        <w:rPr>
          <w:rFonts w:eastAsiaTheme="majorEastAsia" w:cstheme="majorBidi"/>
          <w:b/>
          <w:bCs/>
          <w:color w:val="24206C"/>
          <w:sz w:val="28"/>
          <w:szCs w:val="26"/>
        </w:rPr>
        <w:br w:type="page"/>
      </w:r>
    </w:p>
    <w:p w:rsidR="00E02F67" w:rsidRDefault="00E02F67" w:rsidP="00E02F67">
      <w:pPr>
        <w:rPr>
          <w:rFonts w:eastAsiaTheme="majorEastAsia" w:cstheme="majorBidi"/>
          <w:b/>
          <w:bCs/>
          <w:color w:val="24206C"/>
          <w:sz w:val="28"/>
          <w:szCs w:val="26"/>
        </w:rPr>
      </w:pPr>
      <w:r w:rsidRPr="00E02F67">
        <w:rPr>
          <w:rFonts w:eastAsiaTheme="majorEastAsia" w:cstheme="majorBidi"/>
          <w:b/>
          <w:bCs/>
          <w:color w:val="24206C"/>
          <w:sz w:val="28"/>
          <w:szCs w:val="26"/>
        </w:rPr>
        <w:lastRenderedPageBreak/>
        <w:t>Student</w:t>
      </w:r>
      <w:r>
        <w:rPr>
          <w:rFonts w:eastAsiaTheme="majorEastAsia" w:cstheme="majorBidi"/>
          <w:b/>
          <w:bCs/>
          <w:color w:val="24206C"/>
          <w:sz w:val="28"/>
          <w:szCs w:val="26"/>
        </w:rPr>
        <w:t xml:space="preserve"> Options</w:t>
      </w:r>
    </w:p>
    <w:tbl>
      <w:tblPr>
        <w:tblStyle w:val="TableGrid"/>
        <w:tblW w:w="0" w:type="auto"/>
        <w:tblLook w:val="04A0" w:firstRow="1" w:lastRow="0" w:firstColumn="1" w:lastColumn="0" w:noHBand="0" w:noVBand="1"/>
        <w:tblCaption w:val="Student Options"/>
        <w:tblDescription w:val="This table sets out the different options a student may choose to do now their current VSL transitional provider is no longer able to offer VSL after 1 July 2017."/>
      </w:tblPr>
      <w:tblGrid>
        <w:gridCol w:w="2943"/>
        <w:gridCol w:w="6572"/>
      </w:tblGrid>
      <w:tr w:rsidR="00E02F67" w:rsidTr="00E02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E02F67" w:rsidRPr="00DB63E0" w:rsidRDefault="00DB63E0" w:rsidP="00DB63E0">
            <w:pPr>
              <w:jc w:val="center"/>
              <w:rPr>
                <w:rFonts w:eastAsiaTheme="majorEastAsia" w:cstheme="majorBidi"/>
                <w:bCs/>
                <w:sz w:val="28"/>
                <w:szCs w:val="26"/>
              </w:rPr>
            </w:pPr>
            <w:r w:rsidRPr="00DB63E0">
              <w:rPr>
                <w:rFonts w:eastAsiaTheme="majorEastAsia" w:cstheme="majorBidi"/>
                <w:bCs/>
                <w:sz w:val="28"/>
                <w:szCs w:val="26"/>
              </w:rPr>
              <w:t>Situation</w:t>
            </w:r>
          </w:p>
        </w:tc>
        <w:tc>
          <w:tcPr>
            <w:tcW w:w="6572" w:type="dxa"/>
          </w:tcPr>
          <w:p w:rsidR="00E02F67" w:rsidRPr="00DB63E0" w:rsidRDefault="00DB63E0" w:rsidP="00DB63E0">
            <w:pPr>
              <w:jc w:val="center"/>
              <w:cnfStyle w:val="100000000000" w:firstRow="1" w:lastRow="0" w:firstColumn="0" w:lastColumn="0" w:oddVBand="0" w:evenVBand="0" w:oddHBand="0" w:evenHBand="0" w:firstRowFirstColumn="0" w:firstRowLastColumn="0" w:lastRowFirstColumn="0" w:lastRowLastColumn="0"/>
              <w:rPr>
                <w:rFonts w:eastAsiaTheme="majorEastAsia" w:cstheme="majorBidi"/>
                <w:bCs/>
                <w:sz w:val="28"/>
                <w:szCs w:val="26"/>
              </w:rPr>
            </w:pPr>
            <w:r w:rsidRPr="00DB63E0">
              <w:rPr>
                <w:rFonts w:eastAsiaTheme="majorEastAsia" w:cstheme="majorBidi"/>
                <w:bCs/>
                <w:sz w:val="28"/>
                <w:szCs w:val="26"/>
              </w:rPr>
              <w:t>Result</w:t>
            </w:r>
          </w:p>
        </w:tc>
      </w:tr>
      <w:tr w:rsidR="00E02F67" w:rsidTr="00DB63E0">
        <w:tc>
          <w:tcPr>
            <w:cnfStyle w:val="001000000000" w:firstRow="0" w:lastRow="0" w:firstColumn="1" w:lastColumn="0" w:oddVBand="0" w:evenVBand="0" w:oddHBand="0" w:evenHBand="0" w:firstRowFirstColumn="0" w:firstRowLastColumn="0" w:lastRowFirstColumn="0" w:lastRowLastColumn="0"/>
            <w:tcW w:w="2943" w:type="dxa"/>
          </w:tcPr>
          <w:p w:rsidR="008E77F9" w:rsidRPr="00DB63E0" w:rsidRDefault="002554C8" w:rsidP="00DB63E0">
            <w:pPr>
              <w:jc w:val="center"/>
              <w:rPr>
                <w:rFonts w:eastAsiaTheme="majorEastAsia" w:cstheme="majorBidi"/>
                <w:b/>
                <w:bCs/>
                <w:color w:val="24206C"/>
                <w:sz w:val="24"/>
                <w:szCs w:val="26"/>
              </w:rPr>
            </w:pPr>
            <w:r w:rsidRPr="00DB63E0">
              <w:rPr>
                <w:rFonts w:eastAsiaTheme="majorEastAsia" w:cstheme="majorBidi"/>
                <w:b/>
                <w:bCs/>
                <w:color w:val="24206C"/>
                <w:sz w:val="24"/>
                <w:szCs w:val="26"/>
              </w:rPr>
              <w:t>Student stays with VSL Transitional Provider</w:t>
            </w:r>
          </w:p>
          <w:p w:rsidR="00E02F67" w:rsidRPr="00DB63E0" w:rsidRDefault="00E02F67" w:rsidP="00DB63E0">
            <w:pPr>
              <w:jc w:val="center"/>
              <w:rPr>
                <w:rFonts w:eastAsiaTheme="majorEastAsia" w:cstheme="majorBidi"/>
                <w:b/>
                <w:bCs/>
                <w:color w:val="24206C"/>
                <w:sz w:val="24"/>
                <w:szCs w:val="26"/>
              </w:rPr>
            </w:pPr>
          </w:p>
        </w:tc>
        <w:tc>
          <w:tcPr>
            <w:tcW w:w="6572" w:type="dxa"/>
          </w:tcPr>
          <w:p w:rsidR="008E77F9" w:rsidRPr="00DB63E0" w:rsidRDefault="002554C8" w:rsidP="00672C8F">
            <w:pPr>
              <w:numPr>
                <w:ilvl w:val="0"/>
                <w:numId w:val="6"/>
              </w:numPr>
              <w:tabs>
                <w:tab w:val="clear" w:pos="720"/>
                <w:tab w:val="num" w:pos="459"/>
              </w:tabs>
              <w:ind w:hanging="402"/>
              <w:cnfStyle w:val="000000000000" w:firstRow="0" w:lastRow="0" w:firstColumn="0" w:lastColumn="0" w:oddVBand="0" w:evenVBand="0" w:oddHBand="0" w:evenHBand="0" w:firstRowFirstColumn="0" w:firstRowLastColumn="0" w:lastRowFirstColumn="0" w:lastRowLastColumn="0"/>
              <w:rPr>
                <w:rFonts w:eastAsiaTheme="majorEastAsia" w:cstheme="majorBidi"/>
                <w:bCs/>
                <w:color w:val="24206C"/>
                <w:sz w:val="24"/>
                <w:szCs w:val="26"/>
              </w:rPr>
            </w:pPr>
            <w:r w:rsidRPr="00DB63E0">
              <w:rPr>
                <w:rFonts w:eastAsiaTheme="majorEastAsia" w:cstheme="majorBidi"/>
                <w:bCs/>
                <w:color w:val="24206C"/>
                <w:sz w:val="24"/>
                <w:szCs w:val="26"/>
              </w:rPr>
              <w:t>Student can choose to stay with their provider however will not be able to access any further VSL for any remaining units with census dates that fall after 30 June 2017.</w:t>
            </w:r>
          </w:p>
          <w:p w:rsidR="00E02F67" w:rsidRPr="00DB63E0" w:rsidRDefault="002554C8" w:rsidP="00672C8F">
            <w:pPr>
              <w:numPr>
                <w:ilvl w:val="0"/>
                <w:numId w:val="6"/>
              </w:numPr>
              <w:tabs>
                <w:tab w:val="clear" w:pos="720"/>
                <w:tab w:val="num" w:pos="459"/>
              </w:tabs>
              <w:ind w:hanging="402"/>
              <w:cnfStyle w:val="000000000000" w:firstRow="0" w:lastRow="0" w:firstColumn="0" w:lastColumn="0" w:oddVBand="0" w:evenVBand="0" w:oddHBand="0" w:evenHBand="0" w:firstRowFirstColumn="0" w:firstRowLastColumn="0" w:lastRowFirstColumn="0" w:lastRowLastColumn="0"/>
              <w:rPr>
                <w:rFonts w:eastAsiaTheme="majorEastAsia" w:cstheme="majorBidi"/>
                <w:bCs/>
                <w:color w:val="24206C"/>
                <w:sz w:val="24"/>
                <w:szCs w:val="26"/>
              </w:rPr>
            </w:pPr>
            <w:r w:rsidRPr="00DB63E0">
              <w:rPr>
                <w:rFonts w:eastAsiaTheme="majorEastAsia" w:cstheme="majorBidi"/>
                <w:bCs/>
                <w:color w:val="24206C"/>
                <w:sz w:val="24"/>
                <w:szCs w:val="26"/>
              </w:rPr>
              <w:t>Students who stay with their provider will need to pay up front</w:t>
            </w:r>
            <w:r w:rsidR="00DB63E0" w:rsidRPr="00DB63E0">
              <w:rPr>
                <w:rFonts w:eastAsiaTheme="majorEastAsia" w:cstheme="majorBidi"/>
                <w:bCs/>
                <w:color w:val="24206C"/>
                <w:sz w:val="24"/>
                <w:szCs w:val="26"/>
              </w:rPr>
              <w:t xml:space="preserve"> or arrange alternative payment </w:t>
            </w:r>
            <w:r w:rsidRPr="00DB63E0">
              <w:rPr>
                <w:rFonts w:eastAsiaTheme="majorEastAsia" w:cstheme="majorBidi"/>
                <w:bCs/>
                <w:color w:val="24206C"/>
                <w:sz w:val="24"/>
                <w:szCs w:val="26"/>
              </w:rPr>
              <w:t>for any remaining units.</w:t>
            </w:r>
          </w:p>
        </w:tc>
      </w:tr>
      <w:tr w:rsidR="00E02F67" w:rsidTr="00DB63E0">
        <w:tc>
          <w:tcPr>
            <w:cnfStyle w:val="001000000000" w:firstRow="0" w:lastRow="0" w:firstColumn="1" w:lastColumn="0" w:oddVBand="0" w:evenVBand="0" w:oddHBand="0" w:evenHBand="0" w:firstRowFirstColumn="0" w:firstRowLastColumn="0" w:lastRowFirstColumn="0" w:lastRowLastColumn="0"/>
            <w:tcW w:w="2943" w:type="dxa"/>
          </w:tcPr>
          <w:p w:rsidR="008E77F9" w:rsidRPr="00DB63E0" w:rsidRDefault="002554C8" w:rsidP="00DB63E0">
            <w:pPr>
              <w:jc w:val="center"/>
              <w:rPr>
                <w:rFonts w:eastAsiaTheme="majorEastAsia" w:cstheme="majorBidi"/>
                <w:b/>
                <w:bCs/>
                <w:color w:val="24206C"/>
                <w:sz w:val="24"/>
                <w:szCs w:val="26"/>
              </w:rPr>
            </w:pPr>
            <w:r w:rsidRPr="00DB63E0">
              <w:rPr>
                <w:rFonts w:eastAsiaTheme="majorEastAsia" w:cstheme="majorBidi"/>
                <w:b/>
                <w:bCs/>
                <w:color w:val="24206C"/>
                <w:sz w:val="24"/>
                <w:szCs w:val="26"/>
              </w:rPr>
              <w:t xml:space="preserve">Provider </w:t>
            </w:r>
            <w:r w:rsidR="00DB63E0" w:rsidRPr="00DB63E0">
              <w:rPr>
                <w:rFonts w:eastAsiaTheme="majorEastAsia" w:cstheme="majorBidi"/>
                <w:b/>
                <w:bCs/>
                <w:color w:val="24206C"/>
                <w:sz w:val="24"/>
                <w:szCs w:val="26"/>
              </w:rPr>
              <w:t xml:space="preserve">will </w:t>
            </w:r>
            <w:r w:rsidRPr="00DB63E0">
              <w:rPr>
                <w:rFonts w:eastAsiaTheme="majorEastAsia" w:cstheme="majorBidi"/>
                <w:b/>
                <w:bCs/>
                <w:color w:val="24206C"/>
                <w:sz w:val="24"/>
                <w:szCs w:val="26"/>
              </w:rPr>
              <w:t>train out  any units of a course with census</w:t>
            </w:r>
            <w:r w:rsidR="00DB63E0" w:rsidRPr="00DB63E0">
              <w:rPr>
                <w:rFonts w:eastAsiaTheme="majorEastAsia" w:cstheme="majorBidi"/>
                <w:b/>
                <w:bCs/>
                <w:color w:val="24206C"/>
                <w:sz w:val="24"/>
                <w:szCs w:val="26"/>
              </w:rPr>
              <w:t xml:space="preserve"> dates that are on or before 30 </w:t>
            </w:r>
            <w:r w:rsidRPr="00DB63E0">
              <w:rPr>
                <w:rFonts w:eastAsiaTheme="majorEastAsia" w:cstheme="majorBidi"/>
                <w:b/>
                <w:bCs/>
                <w:color w:val="24206C"/>
                <w:sz w:val="24"/>
                <w:szCs w:val="26"/>
              </w:rPr>
              <w:t>June 2017</w:t>
            </w:r>
          </w:p>
          <w:p w:rsidR="00E02F67" w:rsidRPr="00DB63E0" w:rsidRDefault="00E02F67" w:rsidP="00DB63E0">
            <w:pPr>
              <w:jc w:val="center"/>
              <w:rPr>
                <w:rFonts w:eastAsiaTheme="majorEastAsia" w:cstheme="majorBidi"/>
                <w:b/>
                <w:bCs/>
                <w:color w:val="24206C"/>
                <w:sz w:val="24"/>
                <w:szCs w:val="26"/>
              </w:rPr>
            </w:pPr>
          </w:p>
        </w:tc>
        <w:tc>
          <w:tcPr>
            <w:tcW w:w="6572" w:type="dxa"/>
          </w:tcPr>
          <w:p w:rsidR="008E77F9" w:rsidRPr="00DB63E0" w:rsidRDefault="002554C8" w:rsidP="00672C8F">
            <w:pPr>
              <w:numPr>
                <w:ilvl w:val="0"/>
                <w:numId w:val="7"/>
              </w:numPr>
              <w:tabs>
                <w:tab w:val="clear" w:pos="720"/>
                <w:tab w:val="num" w:pos="459"/>
              </w:tabs>
              <w:ind w:hanging="402"/>
              <w:cnfStyle w:val="000000000000" w:firstRow="0" w:lastRow="0" w:firstColumn="0" w:lastColumn="0" w:oddVBand="0" w:evenVBand="0" w:oddHBand="0" w:evenHBand="0" w:firstRowFirstColumn="0" w:firstRowLastColumn="0" w:lastRowFirstColumn="0" w:lastRowLastColumn="0"/>
              <w:rPr>
                <w:rFonts w:eastAsiaTheme="majorEastAsia" w:cstheme="majorBidi"/>
                <w:bCs/>
                <w:color w:val="24206C"/>
                <w:sz w:val="24"/>
                <w:szCs w:val="26"/>
              </w:rPr>
            </w:pPr>
            <w:r w:rsidRPr="00DB63E0">
              <w:rPr>
                <w:rFonts w:eastAsiaTheme="majorEastAsia" w:cstheme="majorBidi"/>
                <w:bCs/>
                <w:color w:val="24206C"/>
                <w:sz w:val="24"/>
                <w:szCs w:val="26"/>
              </w:rPr>
              <w:t>The student will stay with their current (transitionally approved) provider to complete any units of a course with  a census date  on or before 30 June 2017.</w:t>
            </w:r>
          </w:p>
          <w:p w:rsidR="00DB63E0" w:rsidRDefault="002554C8" w:rsidP="00672C8F">
            <w:pPr>
              <w:numPr>
                <w:ilvl w:val="0"/>
                <w:numId w:val="7"/>
              </w:numPr>
              <w:tabs>
                <w:tab w:val="clear" w:pos="720"/>
                <w:tab w:val="num" w:pos="459"/>
              </w:tabs>
              <w:ind w:hanging="402"/>
              <w:cnfStyle w:val="000000000000" w:firstRow="0" w:lastRow="0" w:firstColumn="0" w:lastColumn="0" w:oddVBand="0" w:evenVBand="0" w:oddHBand="0" w:evenHBand="0" w:firstRowFirstColumn="0" w:firstRowLastColumn="0" w:lastRowFirstColumn="0" w:lastRowLastColumn="0"/>
              <w:rPr>
                <w:rFonts w:eastAsiaTheme="majorEastAsia" w:cstheme="majorBidi"/>
                <w:bCs/>
                <w:color w:val="24206C"/>
                <w:sz w:val="24"/>
                <w:szCs w:val="26"/>
              </w:rPr>
            </w:pPr>
            <w:r w:rsidRPr="00DB63E0">
              <w:rPr>
                <w:rFonts w:eastAsiaTheme="majorEastAsia" w:cstheme="majorBidi"/>
                <w:bCs/>
                <w:color w:val="24206C"/>
                <w:sz w:val="24"/>
                <w:szCs w:val="26"/>
              </w:rPr>
              <w:t>If the student wishes to continue accessing VET Student Lo</w:t>
            </w:r>
            <w:r w:rsidR="00DB63E0" w:rsidRPr="00DB63E0">
              <w:rPr>
                <w:rFonts w:eastAsiaTheme="majorEastAsia" w:cstheme="majorBidi"/>
                <w:bCs/>
                <w:color w:val="24206C"/>
                <w:sz w:val="24"/>
                <w:szCs w:val="26"/>
              </w:rPr>
              <w:t>a</w:t>
            </w:r>
            <w:r w:rsidRPr="00DB63E0">
              <w:rPr>
                <w:rFonts w:eastAsiaTheme="majorEastAsia" w:cstheme="majorBidi"/>
                <w:bCs/>
                <w:color w:val="24206C"/>
                <w:sz w:val="24"/>
                <w:szCs w:val="26"/>
              </w:rPr>
              <w:t>ns, the student will be assisted to transition to a new provider for any remaining units for the course</w:t>
            </w:r>
            <w:r w:rsidR="00DB63E0">
              <w:rPr>
                <w:rFonts w:eastAsiaTheme="majorEastAsia" w:cstheme="majorBidi"/>
                <w:bCs/>
                <w:color w:val="24206C"/>
                <w:sz w:val="24"/>
                <w:szCs w:val="26"/>
              </w:rPr>
              <w:t xml:space="preserve"> through the Tuition Assurance arrangement</w:t>
            </w:r>
            <w:r w:rsidRPr="00DB63E0">
              <w:rPr>
                <w:rFonts w:eastAsiaTheme="majorEastAsia" w:cstheme="majorBidi"/>
                <w:bCs/>
                <w:color w:val="24206C"/>
                <w:sz w:val="24"/>
                <w:szCs w:val="26"/>
              </w:rPr>
              <w:t>.</w:t>
            </w:r>
            <w:r w:rsidR="00DB63E0">
              <w:rPr>
                <w:rFonts w:eastAsiaTheme="majorEastAsia" w:cstheme="majorBidi"/>
                <w:bCs/>
                <w:color w:val="24206C"/>
                <w:sz w:val="24"/>
                <w:szCs w:val="26"/>
              </w:rPr>
              <w:t xml:space="preserve"> </w:t>
            </w:r>
          </w:p>
          <w:p w:rsidR="00DB63E0" w:rsidRPr="00DB63E0" w:rsidRDefault="00DB63E0" w:rsidP="00672C8F">
            <w:pPr>
              <w:numPr>
                <w:ilvl w:val="0"/>
                <w:numId w:val="7"/>
              </w:numPr>
              <w:tabs>
                <w:tab w:val="clear" w:pos="720"/>
                <w:tab w:val="num" w:pos="459"/>
              </w:tabs>
              <w:ind w:hanging="402"/>
              <w:cnfStyle w:val="000000000000" w:firstRow="0" w:lastRow="0" w:firstColumn="0" w:lastColumn="0" w:oddVBand="0" w:evenVBand="0" w:oddHBand="0" w:evenHBand="0" w:firstRowFirstColumn="0" w:firstRowLastColumn="0" w:lastRowFirstColumn="0" w:lastRowLastColumn="0"/>
              <w:rPr>
                <w:rFonts w:eastAsiaTheme="majorEastAsia" w:cstheme="majorBidi"/>
                <w:bCs/>
                <w:color w:val="24206C"/>
                <w:sz w:val="24"/>
                <w:szCs w:val="26"/>
              </w:rPr>
            </w:pPr>
            <w:r w:rsidRPr="00DB63E0">
              <w:rPr>
                <w:rFonts w:eastAsiaTheme="majorEastAsia" w:cstheme="majorBidi"/>
                <w:bCs/>
                <w:color w:val="24206C"/>
                <w:sz w:val="24"/>
                <w:szCs w:val="26"/>
              </w:rPr>
              <w:t>The students will be able to access any remaining</w:t>
            </w:r>
            <w:r>
              <w:rPr>
                <w:rFonts w:eastAsiaTheme="majorEastAsia" w:cstheme="majorBidi"/>
                <w:bCs/>
                <w:color w:val="24206C"/>
                <w:sz w:val="24"/>
                <w:szCs w:val="26"/>
              </w:rPr>
              <w:t xml:space="preserve"> course </w:t>
            </w:r>
            <w:r w:rsidRPr="00DB63E0">
              <w:rPr>
                <w:rFonts w:eastAsiaTheme="majorEastAsia" w:cstheme="majorBidi"/>
                <w:bCs/>
                <w:color w:val="24206C"/>
                <w:sz w:val="24"/>
                <w:szCs w:val="26"/>
              </w:rPr>
              <w:t xml:space="preserve"> cap</w:t>
            </w:r>
            <w:r>
              <w:rPr>
                <w:rFonts w:eastAsiaTheme="majorEastAsia" w:cstheme="majorBidi"/>
                <w:bCs/>
                <w:color w:val="24206C"/>
                <w:sz w:val="24"/>
                <w:szCs w:val="26"/>
              </w:rPr>
              <w:t xml:space="preserve"> </w:t>
            </w:r>
            <w:r w:rsidRPr="00DB63E0">
              <w:rPr>
                <w:rFonts w:eastAsiaTheme="majorEastAsia" w:cstheme="majorBidi"/>
                <w:bCs/>
                <w:color w:val="24206C"/>
                <w:sz w:val="24"/>
                <w:szCs w:val="26"/>
              </w:rPr>
              <w:t>amounts for remaining units of study</w:t>
            </w:r>
            <w:r>
              <w:rPr>
                <w:rFonts w:eastAsiaTheme="majorEastAsia" w:cstheme="majorBidi"/>
                <w:bCs/>
                <w:color w:val="24206C"/>
                <w:sz w:val="24"/>
                <w:szCs w:val="26"/>
              </w:rPr>
              <w:t>.</w:t>
            </w:r>
          </w:p>
        </w:tc>
      </w:tr>
      <w:tr w:rsidR="00E02F67" w:rsidTr="00DB63E0">
        <w:tc>
          <w:tcPr>
            <w:cnfStyle w:val="001000000000" w:firstRow="0" w:lastRow="0" w:firstColumn="1" w:lastColumn="0" w:oddVBand="0" w:evenVBand="0" w:oddHBand="0" w:evenHBand="0" w:firstRowFirstColumn="0" w:firstRowLastColumn="0" w:lastRowFirstColumn="0" w:lastRowLastColumn="0"/>
            <w:tcW w:w="2943" w:type="dxa"/>
          </w:tcPr>
          <w:p w:rsidR="008E77F9" w:rsidRPr="00DB63E0" w:rsidRDefault="002554C8" w:rsidP="00DB63E0">
            <w:pPr>
              <w:jc w:val="center"/>
              <w:rPr>
                <w:rFonts w:eastAsiaTheme="majorEastAsia" w:cstheme="majorBidi"/>
                <w:b/>
                <w:bCs/>
                <w:color w:val="24206C"/>
                <w:sz w:val="24"/>
                <w:szCs w:val="26"/>
              </w:rPr>
            </w:pPr>
            <w:r w:rsidRPr="00DB63E0">
              <w:rPr>
                <w:rFonts w:eastAsiaTheme="majorEastAsia" w:cstheme="majorBidi"/>
                <w:b/>
                <w:bCs/>
                <w:color w:val="24206C"/>
                <w:sz w:val="24"/>
                <w:szCs w:val="26"/>
              </w:rPr>
              <w:t>Provider stops training the course or unit of study at any time</w:t>
            </w:r>
          </w:p>
          <w:p w:rsidR="00E02F67" w:rsidRPr="00DB63E0" w:rsidRDefault="00E02F67" w:rsidP="00DB63E0">
            <w:pPr>
              <w:jc w:val="center"/>
              <w:rPr>
                <w:rFonts w:eastAsiaTheme="majorEastAsia" w:cstheme="majorBidi"/>
                <w:b/>
                <w:bCs/>
                <w:color w:val="24206C"/>
                <w:sz w:val="24"/>
                <w:szCs w:val="26"/>
              </w:rPr>
            </w:pPr>
          </w:p>
        </w:tc>
        <w:tc>
          <w:tcPr>
            <w:tcW w:w="6572" w:type="dxa"/>
          </w:tcPr>
          <w:p w:rsidR="008E77F9" w:rsidRPr="00DB63E0" w:rsidRDefault="002554C8" w:rsidP="00672C8F">
            <w:pPr>
              <w:numPr>
                <w:ilvl w:val="0"/>
                <w:numId w:val="8"/>
              </w:numPr>
              <w:tabs>
                <w:tab w:val="clear" w:pos="720"/>
                <w:tab w:val="num" w:pos="459"/>
              </w:tabs>
              <w:ind w:hanging="402"/>
              <w:cnfStyle w:val="000000000000" w:firstRow="0" w:lastRow="0" w:firstColumn="0" w:lastColumn="0" w:oddVBand="0" w:evenVBand="0" w:oddHBand="0" w:evenHBand="0" w:firstRowFirstColumn="0" w:firstRowLastColumn="0" w:lastRowFirstColumn="0" w:lastRowLastColumn="0"/>
              <w:rPr>
                <w:rFonts w:eastAsiaTheme="majorEastAsia" w:cstheme="majorBidi"/>
                <w:bCs/>
                <w:color w:val="24206C"/>
                <w:sz w:val="24"/>
                <w:szCs w:val="26"/>
              </w:rPr>
            </w:pPr>
            <w:r w:rsidRPr="00DB63E0">
              <w:rPr>
                <w:rFonts w:eastAsiaTheme="majorEastAsia" w:cstheme="majorBidi"/>
                <w:bCs/>
                <w:color w:val="24206C"/>
                <w:sz w:val="24"/>
                <w:szCs w:val="26"/>
              </w:rPr>
              <w:t>Students will be assisted to transition to a new provider</w:t>
            </w:r>
            <w:r w:rsidR="00DB63E0">
              <w:rPr>
                <w:rFonts w:eastAsiaTheme="majorEastAsia" w:cstheme="majorBidi"/>
                <w:bCs/>
                <w:color w:val="24206C"/>
                <w:sz w:val="24"/>
                <w:szCs w:val="26"/>
              </w:rPr>
              <w:t xml:space="preserve"> through Tuition Assurance arrangements</w:t>
            </w:r>
            <w:r w:rsidRPr="00DB63E0">
              <w:rPr>
                <w:rFonts w:eastAsiaTheme="majorEastAsia" w:cstheme="majorBidi"/>
                <w:bCs/>
                <w:color w:val="24206C"/>
                <w:sz w:val="24"/>
                <w:szCs w:val="26"/>
              </w:rPr>
              <w:t xml:space="preserve">. </w:t>
            </w:r>
          </w:p>
          <w:p w:rsidR="008E77F9" w:rsidRPr="00DB63E0" w:rsidRDefault="002554C8" w:rsidP="00672C8F">
            <w:pPr>
              <w:numPr>
                <w:ilvl w:val="0"/>
                <w:numId w:val="8"/>
              </w:numPr>
              <w:tabs>
                <w:tab w:val="clear" w:pos="720"/>
                <w:tab w:val="num" w:pos="459"/>
              </w:tabs>
              <w:ind w:hanging="402"/>
              <w:cnfStyle w:val="000000000000" w:firstRow="0" w:lastRow="0" w:firstColumn="0" w:lastColumn="0" w:oddVBand="0" w:evenVBand="0" w:oddHBand="0" w:evenHBand="0" w:firstRowFirstColumn="0" w:firstRowLastColumn="0" w:lastRowFirstColumn="0" w:lastRowLastColumn="0"/>
              <w:rPr>
                <w:rFonts w:eastAsiaTheme="majorEastAsia" w:cstheme="majorBidi"/>
                <w:bCs/>
                <w:color w:val="24206C"/>
                <w:sz w:val="24"/>
                <w:szCs w:val="26"/>
              </w:rPr>
            </w:pPr>
            <w:r w:rsidRPr="00DB63E0">
              <w:rPr>
                <w:rFonts w:eastAsiaTheme="majorEastAsia" w:cstheme="majorBidi"/>
                <w:bCs/>
                <w:color w:val="24206C"/>
                <w:sz w:val="24"/>
                <w:szCs w:val="26"/>
              </w:rPr>
              <w:t xml:space="preserve">Any partially completed units will need to be completed through the new </w:t>
            </w:r>
            <w:r w:rsidR="00DB63E0">
              <w:rPr>
                <w:rFonts w:eastAsiaTheme="majorEastAsia" w:cstheme="majorBidi"/>
                <w:bCs/>
                <w:color w:val="24206C"/>
                <w:sz w:val="24"/>
                <w:szCs w:val="26"/>
              </w:rPr>
              <w:t xml:space="preserve">VSL </w:t>
            </w:r>
            <w:r w:rsidRPr="00DB63E0">
              <w:rPr>
                <w:rFonts w:eastAsiaTheme="majorEastAsia" w:cstheme="majorBidi"/>
                <w:bCs/>
                <w:color w:val="24206C"/>
                <w:sz w:val="24"/>
                <w:szCs w:val="26"/>
              </w:rPr>
              <w:t>provider and a student would not be expected to pay for these units</w:t>
            </w:r>
            <w:r w:rsidR="00DB63E0">
              <w:rPr>
                <w:rFonts w:eastAsiaTheme="majorEastAsia" w:cstheme="majorBidi"/>
                <w:bCs/>
                <w:color w:val="24206C"/>
                <w:sz w:val="24"/>
                <w:szCs w:val="26"/>
              </w:rPr>
              <w:t xml:space="preserve"> again</w:t>
            </w:r>
            <w:r w:rsidRPr="00DB63E0">
              <w:rPr>
                <w:rFonts w:eastAsiaTheme="majorEastAsia" w:cstheme="majorBidi"/>
                <w:bCs/>
                <w:color w:val="24206C"/>
                <w:sz w:val="24"/>
                <w:szCs w:val="26"/>
              </w:rPr>
              <w:t>.</w:t>
            </w:r>
          </w:p>
          <w:p w:rsidR="00E02F67" w:rsidRPr="00DB63E0" w:rsidRDefault="002554C8" w:rsidP="00672C8F">
            <w:pPr>
              <w:numPr>
                <w:ilvl w:val="0"/>
                <w:numId w:val="8"/>
              </w:numPr>
              <w:tabs>
                <w:tab w:val="clear" w:pos="720"/>
                <w:tab w:val="num" w:pos="459"/>
              </w:tabs>
              <w:ind w:hanging="402"/>
              <w:cnfStyle w:val="000000000000" w:firstRow="0" w:lastRow="0" w:firstColumn="0" w:lastColumn="0" w:oddVBand="0" w:evenVBand="0" w:oddHBand="0" w:evenHBand="0" w:firstRowFirstColumn="0" w:firstRowLastColumn="0" w:lastRowFirstColumn="0" w:lastRowLastColumn="0"/>
              <w:rPr>
                <w:rFonts w:eastAsiaTheme="majorEastAsia" w:cstheme="majorBidi"/>
                <w:bCs/>
                <w:color w:val="24206C"/>
                <w:sz w:val="24"/>
                <w:szCs w:val="26"/>
              </w:rPr>
            </w:pPr>
            <w:r w:rsidRPr="00DB63E0">
              <w:rPr>
                <w:rFonts w:eastAsiaTheme="majorEastAsia" w:cstheme="majorBidi"/>
                <w:bCs/>
                <w:color w:val="24206C"/>
                <w:sz w:val="24"/>
                <w:szCs w:val="26"/>
              </w:rPr>
              <w:t xml:space="preserve">The students will be able to access any remaining </w:t>
            </w:r>
            <w:r w:rsidR="00DB63E0">
              <w:rPr>
                <w:rFonts w:eastAsiaTheme="majorEastAsia" w:cstheme="majorBidi"/>
                <w:bCs/>
                <w:color w:val="24206C"/>
                <w:sz w:val="24"/>
                <w:szCs w:val="26"/>
              </w:rPr>
              <w:t>course cap</w:t>
            </w:r>
            <w:r w:rsidRPr="00DB63E0">
              <w:rPr>
                <w:rFonts w:eastAsiaTheme="majorEastAsia" w:cstheme="majorBidi"/>
                <w:bCs/>
                <w:color w:val="24206C"/>
                <w:sz w:val="24"/>
                <w:szCs w:val="26"/>
              </w:rPr>
              <w:t xml:space="preserve"> amounts for remaining units of study</w:t>
            </w:r>
            <w:r w:rsidR="00DB63E0">
              <w:rPr>
                <w:rFonts w:eastAsiaTheme="majorEastAsia" w:cstheme="majorBidi"/>
                <w:bCs/>
                <w:color w:val="24206C"/>
                <w:sz w:val="24"/>
                <w:szCs w:val="26"/>
              </w:rPr>
              <w:t>.</w:t>
            </w:r>
          </w:p>
        </w:tc>
      </w:tr>
      <w:tr w:rsidR="00E02F67" w:rsidTr="00DB63E0">
        <w:tc>
          <w:tcPr>
            <w:cnfStyle w:val="001000000000" w:firstRow="0" w:lastRow="0" w:firstColumn="1" w:lastColumn="0" w:oddVBand="0" w:evenVBand="0" w:oddHBand="0" w:evenHBand="0" w:firstRowFirstColumn="0" w:firstRowLastColumn="0" w:lastRowFirstColumn="0" w:lastRowLastColumn="0"/>
            <w:tcW w:w="2943" w:type="dxa"/>
          </w:tcPr>
          <w:p w:rsidR="00E02F67" w:rsidRPr="00DB63E0" w:rsidRDefault="002554C8" w:rsidP="00DB63E0">
            <w:pPr>
              <w:jc w:val="center"/>
              <w:rPr>
                <w:rFonts w:eastAsiaTheme="majorEastAsia" w:cstheme="majorBidi"/>
                <w:b/>
                <w:bCs/>
                <w:color w:val="24206C"/>
                <w:sz w:val="24"/>
                <w:szCs w:val="26"/>
              </w:rPr>
            </w:pPr>
            <w:r w:rsidRPr="00DB63E0">
              <w:rPr>
                <w:rFonts w:eastAsiaTheme="majorEastAsia" w:cstheme="majorBidi"/>
                <w:b/>
                <w:bCs/>
                <w:color w:val="24206C"/>
                <w:sz w:val="24"/>
                <w:szCs w:val="26"/>
              </w:rPr>
              <w:t>Student chooses to trans</w:t>
            </w:r>
            <w:r w:rsidR="00DB63E0" w:rsidRPr="00DB63E0">
              <w:rPr>
                <w:rFonts w:eastAsiaTheme="majorEastAsia" w:cstheme="majorBidi"/>
                <w:b/>
                <w:bCs/>
                <w:color w:val="24206C"/>
                <w:sz w:val="24"/>
                <w:szCs w:val="26"/>
              </w:rPr>
              <w:t>fer to a new provider before 30 </w:t>
            </w:r>
            <w:r w:rsidRPr="00DB63E0">
              <w:rPr>
                <w:rFonts w:eastAsiaTheme="majorEastAsia" w:cstheme="majorBidi"/>
                <w:b/>
                <w:bCs/>
                <w:color w:val="24206C"/>
                <w:sz w:val="24"/>
                <w:szCs w:val="26"/>
              </w:rPr>
              <w:t>June 2017</w:t>
            </w:r>
            <w:r w:rsidR="00DB63E0" w:rsidRPr="00DB63E0">
              <w:rPr>
                <w:rFonts w:eastAsiaTheme="majorEastAsia" w:cstheme="majorBidi"/>
                <w:b/>
                <w:bCs/>
                <w:color w:val="24206C"/>
                <w:sz w:val="24"/>
                <w:szCs w:val="26"/>
              </w:rPr>
              <w:t xml:space="preserve"> on their own accord</w:t>
            </w:r>
          </w:p>
        </w:tc>
        <w:tc>
          <w:tcPr>
            <w:tcW w:w="6572" w:type="dxa"/>
          </w:tcPr>
          <w:p w:rsidR="00E02F67" w:rsidRDefault="002554C8" w:rsidP="00672C8F">
            <w:pPr>
              <w:numPr>
                <w:ilvl w:val="0"/>
                <w:numId w:val="9"/>
              </w:numPr>
              <w:tabs>
                <w:tab w:val="clear" w:pos="720"/>
                <w:tab w:val="num" w:pos="459"/>
              </w:tabs>
              <w:ind w:hanging="402"/>
              <w:cnfStyle w:val="000000000000" w:firstRow="0" w:lastRow="0" w:firstColumn="0" w:lastColumn="0" w:oddVBand="0" w:evenVBand="0" w:oddHBand="0" w:evenHBand="0" w:firstRowFirstColumn="0" w:firstRowLastColumn="0" w:lastRowFirstColumn="0" w:lastRowLastColumn="0"/>
              <w:rPr>
                <w:rFonts w:eastAsiaTheme="majorEastAsia" w:cstheme="majorBidi"/>
                <w:bCs/>
                <w:color w:val="24206C"/>
                <w:sz w:val="24"/>
                <w:szCs w:val="26"/>
              </w:rPr>
            </w:pPr>
            <w:r w:rsidRPr="00DB63E0">
              <w:rPr>
                <w:rFonts w:eastAsiaTheme="majorEastAsia" w:cstheme="majorBidi"/>
                <w:bCs/>
                <w:color w:val="24206C"/>
                <w:sz w:val="24"/>
                <w:szCs w:val="26"/>
              </w:rPr>
              <w:t>Student chooses to transfer to a new provider. The student,</w:t>
            </w:r>
            <w:r w:rsidR="00DB63E0" w:rsidRPr="00DB63E0">
              <w:rPr>
                <w:rFonts w:eastAsiaTheme="majorEastAsia" w:cstheme="majorBidi"/>
                <w:bCs/>
                <w:color w:val="24206C"/>
                <w:sz w:val="24"/>
                <w:szCs w:val="26"/>
              </w:rPr>
              <w:t xml:space="preserve"> </w:t>
            </w:r>
            <w:r w:rsidRPr="00DB63E0">
              <w:rPr>
                <w:rFonts w:eastAsiaTheme="majorEastAsia" w:cstheme="majorBidi"/>
                <w:bCs/>
                <w:color w:val="24206C"/>
                <w:sz w:val="24"/>
                <w:szCs w:val="26"/>
              </w:rPr>
              <w:t xml:space="preserve">in doing so, will waive access to Tuition Assurance  (unless new provider is subject to a closure or ceases to deliver the course). </w:t>
            </w:r>
          </w:p>
          <w:p w:rsidR="00DB63E0" w:rsidRPr="00DB63E0" w:rsidRDefault="00DB63E0" w:rsidP="00672C8F">
            <w:pPr>
              <w:numPr>
                <w:ilvl w:val="0"/>
                <w:numId w:val="9"/>
              </w:numPr>
              <w:tabs>
                <w:tab w:val="clear" w:pos="720"/>
                <w:tab w:val="num" w:pos="459"/>
              </w:tabs>
              <w:ind w:hanging="402"/>
              <w:cnfStyle w:val="000000000000" w:firstRow="0" w:lastRow="0" w:firstColumn="0" w:lastColumn="0" w:oddVBand="0" w:evenVBand="0" w:oddHBand="0" w:evenHBand="0" w:firstRowFirstColumn="0" w:firstRowLastColumn="0" w:lastRowFirstColumn="0" w:lastRowLastColumn="0"/>
              <w:rPr>
                <w:rFonts w:eastAsiaTheme="majorEastAsia" w:cstheme="majorBidi"/>
                <w:bCs/>
                <w:color w:val="24206C"/>
                <w:sz w:val="24"/>
                <w:szCs w:val="26"/>
              </w:rPr>
            </w:pPr>
            <w:r w:rsidRPr="00DB63E0">
              <w:rPr>
                <w:rFonts w:eastAsiaTheme="majorEastAsia" w:cstheme="majorBidi"/>
                <w:bCs/>
                <w:color w:val="24206C"/>
                <w:sz w:val="24"/>
                <w:szCs w:val="26"/>
              </w:rPr>
              <w:t xml:space="preserve">The students will be able to access any remaining </w:t>
            </w:r>
            <w:r>
              <w:rPr>
                <w:rFonts w:eastAsiaTheme="majorEastAsia" w:cstheme="majorBidi"/>
                <w:bCs/>
                <w:color w:val="24206C"/>
                <w:sz w:val="24"/>
                <w:szCs w:val="26"/>
              </w:rPr>
              <w:t>course cap</w:t>
            </w:r>
            <w:r w:rsidRPr="00DB63E0">
              <w:rPr>
                <w:rFonts w:eastAsiaTheme="majorEastAsia" w:cstheme="majorBidi"/>
                <w:bCs/>
                <w:color w:val="24206C"/>
                <w:sz w:val="24"/>
                <w:szCs w:val="26"/>
              </w:rPr>
              <w:t xml:space="preserve"> amounts for remaining units of study</w:t>
            </w:r>
            <w:r>
              <w:rPr>
                <w:rFonts w:eastAsiaTheme="majorEastAsia" w:cstheme="majorBidi"/>
                <w:bCs/>
                <w:color w:val="24206C"/>
                <w:sz w:val="24"/>
                <w:szCs w:val="26"/>
              </w:rPr>
              <w:t>.</w:t>
            </w:r>
          </w:p>
        </w:tc>
      </w:tr>
    </w:tbl>
    <w:p w:rsidR="0080256D" w:rsidRDefault="0080256D" w:rsidP="0080256D"/>
    <w:p w:rsidR="0080256D" w:rsidRDefault="0080256D">
      <w:pPr>
        <w:spacing w:after="200" w:line="276" w:lineRule="auto"/>
      </w:pPr>
      <w:r>
        <w:br w:type="page"/>
      </w:r>
    </w:p>
    <w:p w:rsidR="007F71F2" w:rsidRPr="00AB49FF" w:rsidRDefault="007F71F2" w:rsidP="00AB49FF">
      <w:pPr>
        <w:pStyle w:val="Heading2"/>
        <w:rPr>
          <w:rFonts w:cs="Calibri"/>
          <w:i/>
          <w:szCs w:val="28"/>
        </w:rPr>
      </w:pPr>
      <w:r w:rsidRPr="00AB49FF">
        <w:rPr>
          <w:rFonts w:cs="Calibri"/>
          <w:szCs w:val="28"/>
        </w:rPr>
        <w:lastRenderedPageBreak/>
        <w:t>For</w:t>
      </w:r>
      <w:r w:rsidRPr="00AB49FF">
        <w:rPr>
          <w:rFonts w:cs="Calibri"/>
          <w:i/>
          <w:szCs w:val="28"/>
        </w:rPr>
        <w:t xml:space="preserve"> </w:t>
      </w:r>
      <w:r w:rsidRPr="00AB49FF">
        <w:t>more</w:t>
      </w:r>
      <w:r w:rsidRPr="00AB49FF">
        <w:rPr>
          <w:rFonts w:cs="Calibri"/>
          <w:i/>
          <w:szCs w:val="28"/>
        </w:rPr>
        <w:t xml:space="preserve"> </w:t>
      </w:r>
      <w:r w:rsidRPr="00AB49FF">
        <w:rPr>
          <w:rFonts w:cs="Calibri"/>
          <w:szCs w:val="28"/>
        </w:rPr>
        <w:t>information</w:t>
      </w:r>
      <w:r w:rsidR="00AB49FF" w:rsidRPr="00AB49FF">
        <w:rPr>
          <w:rFonts w:cs="Calibri"/>
          <w:i/>
          <w:szCs w:val="28"/>
        </w:rPr>
        <w:t xml:space="preserve"> </w:t>
      </w:r>
    </w:p>
    <w:p w:rsidR="00B746A6" w:rsidRPr="00672C8F" w:rsidRDefault="00B746A6" w:rsidP="00B746A6">
      <w:pPr>
        <w:rPr>
          <w:sz w:val="24"/>
        </w:rPr>
      </w:pPr>
      <w:r w:rsidRPr="00672C8F">
        <w:rPr>
          <w:sz w:val="24"/>
        </w:rPr>
        <w:t xml:space="preserve">If you cannot find the answer to your question in the Department’s website, you are encouraged to use the Department’s dedicated VET Student Loans online enquiry form at </w:t>
      </w:r>
      <w:hyperlink r:id="rId18" w:history="1">
        <w:r w:rsidRPr="00672C8F">
          <w:rPr>
            <w:rStyle w:val="Hyperlink"/>
            <w:sz w:val="24"/>
          </w:rPr>
          <w:t>www.education.gov.au/vet-student-loans-students</w:t>
        </w:r>
      </w:hyperlink>
      <w:r w:rsidRPr="00672C8F">
        <w:rPr>
          <w:sz w:val="24"/>
        </w:rPr>
        <w:t>.</w:t>
      </w:r>
      <w:r w:rsidR="00C64D66" w:rsidRPr="00672C8F">
        <w:rPr>
          <w:sz w:val="24"/>
        </w:rPr>
        <w:t xml:space="preserve">  </w:t>
      </w:r>
      <w:r w:rsidRPr="00672C8F">
        <w:rPr>
          <w:sz w:val="24"/>
        </w:rPr>
        <w:t>In the ‘What is your question regarding?’ field, please select ‘Provider not approved’.</w:t>
      </w:r>
    </w:p>
    <w:p w:rsidR="00B746A6" w:rsidRPr="00672C8F" w:rsidRDefault="00B746A6" w:rsidP="00B746A6">
      <w:pPr>
        <w:rPr>
          <w:sz w:val="24"/>
        </w:rPr>
      </w:pPr>
      <w:r w:rsidRPr="00672C8F">
        <w:rPr>
          <w:sz w:val="24"/>
        </w:rPr>
        <w:t>You can also call the Department’s Student Enquiry line on 1800 020 108.</w:t>
      </w:r>
    </w:p>
    <w:p w:rsidR="00B746A6" w:rsidRPr="00672C8F" w:rsidRDefault="00B746A6" w:rsidP="009305C5">
      <w:pPr>
        <w:rPr>
          <w:b/>
          <w:i/>
          <w:sz w:val="24"/>
        </w:rPr>
      </w:pPr>
    </w:p>
    <w:p w:rsidR="009305C5" w:rsidRPr="00672C8F" w:rsidRDefault="009305C5" w:rsidP="009305C5">
      <w:pPr>
        <w:rPr>
          <w:i/>
          <w:sz w:val="24"/>
        </w:rPr>
      </w:pPr>
      <w:r w:rsidRPr="00672C8F">
        <w:rPr>
          <w:b/>
          <w:i/>
          <w:sz w:val="24"/>
        </w:rPr>
        <w:t>Please note:</w:t>
      </w:r>
      <w:r w:rsidRPr="00672C8F">
        <w:rPr>
          <w:i/>
          <w:sz w:val="24"/>
        </w:rPr>
        <w:t xml:space="preserve"> </w:t>
      </w:r>
      <w:r w:rsidR="00AD1290" w:rsidRPr="00672C8F">
        <w:rPr>
          <w:i/>
          <w:sz w:val="24"/>
        </w:rPr>
        <w:t>The information in this factsheet refers to VET Student Loans. VET FEE-HELP students ar</w:t>
      </w:r>
      <w:r w:rsidR="00E03549" w:rsidRPr="00672C8F">
        <w:rPr>
          <w:i/>
          <w:sz w:val="24"/>
        </w:rPr>
        <w:t>e protected under the Higher Ed</w:t>
      </w:r>
      <w:r w:rsidR="00AD1290" w:rsidRPr="00672C8F">
        <w:rPr>
          <w:i/>
          <w:sz w:val="24"/>
        </w:rPr>
        <w:t>u</w:t>
      </w:r>
      <w:r w:rsidR="00E03549" w:rsidRPr="00672C8F">
        <w:rPr>
          <w:i/>
          <w:sz w:val="24"/>
        </w:rPr>
        <w:t>c</w:t>
      </w:r>
      <w:r w:rsidR="00AD1290" w:rsidRPr="00672C8F">
        <w:rPr>
          <w:i/>
          <w:sz w:val="24"/>
        </w:rPr>
        <w:t>ation Support Act 2003. If you require further information on tuition assurance for either VET Student Loans or VET FEE-HELP, please refer to the relevant tuition assurance op</w:t>
      </w:r>
      <w:r w:rsidR="00E03549" w:rsidRPr="00672C8F">
        <w:rPr>
          <w:i/>
          <w:sz w:val="24"/>
        </w:rPr>
        <w:t>erator or the Department of Educ</w:t>
      </w:r>
      <w:r w:rsidR="00AD1290" w:rsidRPr="00672C8F">
        <w:rPr>
          <w:i/>
          <w:sz w:val="24"/>
        </w:rPr>
        <w:t xml:space="preserve">ation and Training. </w:t>
      </w:r>
      <w:r w:rsidRPr="00672C8F">
        <w:rPr>
          <w:i/>
          <w:sz w:val="24"/>
        </w:rPr>
        <w:t xml:space="preserve"> </w:t>
      </w:r>
    </w:p>
    <w:p w:rsidR="009C2126" w:rsidRPr="00672C8F" w:rsidRDefault="009C2126" w:rsidP="00323081">
      <w:pPr>
        <w:rPr>
          <w:i/>
          <w:sz w:val="24"/>
        </w:rPr>
      </w:pPr>
      <w:r w:rsidRPr="00672C8F">
        <w:rPr>
          <w:i/>
          <w:sz w:val="24"/>
        </w:rPr>
        <w:t>The information in this document is a summary only. Please refer to</w:t>
      </w:r>
      <w:r w:rsidR="00CB77F7" w:rsidRPr="00672C8F">
        <w:rPr>
          <w:i/>
          <w:sz w:val="24"/>
        </w:rPr>
        <w:t xml:space="preserve"> the VET Student Loans Act 2016 and</w:t>
      </w:r>
      <w:r w:rsidRPr="00672C8F">
        <w:rPr>
          <w:i/>
          <w:sz w:val="24"/>
        </w:rPr>
        <w:t xml:space="preserve"> the VET Student Loans Rules 2016 for the tuition assurance requirements under VET Student Loans.</w:t>
      </w:r>
    </w:p>
    <w:p w:rsidR="001D4F01" w:rsidRPr="00672C8F" w:rsidRDefault="00F70CEA" w:rsidP="00323081">
      <w:pPr>
        <w:rPr>
          <w:i/>
          <w:sz w:val="24"/>
        </w:rPr>
      </w:pPr>
      <w:r w:rsidRPr="00672C8F">
        <w:rPr>
          <w:i/>
          <w:sz w:val="24"/>
        </w:rPr>
        <w:t xml:space="preserve">Last updated </w:t>
      </w:r>
      <w:r w:rsidR="00920908">
        <w:rPr>
          <w:i/>
          <w:sz w:val="24"/>
        </w:rPr>
        <w:t>23</w:t>
      </w:r>
      <w:bookmarkStart w:id="0" w:name="_GoBack"/>
      <w:bookmarkEnd w:id="0"/>
      <w:r w:rsidR="00C143BD" w:rsidRPr="00672C8F">
        <w:rPr>
          <w:i/>
          <w:sz w:val="24"/>
        </w:rPr>
        <w:t xml:space="preserve"> </w:t>
      </w:r>
      <w:r w:rsidR="000E18D6" w:rsidRPr="00672C8F">
        <w:rPr>
          <w:i/>
          <w:sz w:val="24"/>
        </w:rPr>
        <w:t>May</w:t>
      </w:r>
      <w:r w:rsidR="00ED7FBC" w:rsidRPr="00672C8F">
        <w:rPr>
          <w:i/>
          <w:sz w:val="24"/>
        </w:rPr>
        <w:t xml:space="preserve"> 2017 </w:t>
      </w:r>
    </w:p>
    <w:sectPr w:rsidR="001D4F01" w:rsidRPr="00672C8F" w:rsidSect="00DB6C39">
      <w:footerReference w:type="default" r:id="rId19"/>
      <w:type w:val="continuous"/>
      <w:pgSz w:w="11907" w:h="16839" w:code="9"/>
      <w:pgMar w:top="1440" w:right="1304" w:bottom="1440" w:left="1304" w:header="709" w:footer="11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2AC" w:rsidRDefault="000D42AC" w:rsidP="00A04F7E">
      <w:r>
        <w:separator/>
      </w:r>
    </w:p>
    <w:p w:rsidR="000D42AC" w:rsidRDefault="000D42AC"/>
  </w:endnote>
  <w:endnote w:type="continuationSeparator" w:id="0">
    <w:p w:rsidR="000D42AC" w:rsidRDefault="000D42AC" w:rsidP="00A04F7E">
      <w:r>
        <w:continuationSeparator/>
      </w:r>
    </w:p>
    <w:p w:rsidR="000D42AC" w:rsidRDefault="000D42AC"/>
  </w:endnote>
  <w:endnote w:type="continuationNotice" w:id="1">
    <w:p w:rsidR="000D42AC" w:rsidRDefault="000D42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450707852"/>
      <w:docPartObj>
        <w:docPartGallery w:val="Page Numbers (Bottom of Page)"/>
        <w:docPartUnique/>
      </w:docPartObj>
    </w:sdtPr>
    <w:sdtEndPr>
      <w:rPr>
        <w:noProof/>
      </w:rPr>
    </w:sdtEndPr>
    <w:sdtContent>
      <w:p w:rsidR="00BF5643" w:rsidRPr="003005E0" w:rsidRDefault="00DB6C39" w:rsidP="00DB6C39">
        <w:pPr>
          <w:pStyle w:val="Footer"/>
          <w:ind w:left="1304"/>
          <w:jc w:val="center"/>
        </w:pPr>
        <w:r>
          <w:rPr>
            <w:lang w:eastAsia="en-AU"/>
          </w:rPr>
          <w:drawing>
            <wp:anchor distT="0" distB="0" distL="114300" distR="114300" simplePos="0" relativeHeight="251658240" behindDoc="1" locked="0" layoutInCell="1" allowOverlap="1" wp14:anchorId="56777805" wp14:editId="40442C56">
              <wp:simplePos x="0" y="0"/>
              <wp:positionH relativeFrom="column">
                <wp:posOffset>0</wp:posOffset>
              </wp:positionH>
              <wp:positionV relativeFrom="paragraph">
                <wp:posOffset>271944</wp:posOffset>
              </wp:positionV>
              <wp:extent cx="7624445" cy="636395"/>
              <wp:effectExtent l="0" t="0" r="0"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ork in Progress\_Education\ED16-0222 - 815068 - VET Student Loan Factsheets\links\ED16-0222 - 815068 - VET Student Loan Factsheets_Foot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4445" cy="6363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noProof w:val="0"/>
            </w:rPr>
            <w:id w:val="-1664919562"/>
            <w:docPartObj>
              <w:docPartGallery w:val="Page Numbers (Bottom of Page)"/>
              <w:docPartUnique/>
            </w:docPartObj>
          </w:sdtPr>
          <w:sdtEndPr>
            <w:rPr>
              <w:noProof/>
            </w:rPr>
          </w:sdtEndPr>
          <w:sdtContent>
            <w:r>
              <w:rPr>
                <w:noProof w:val="0"/>
              </w:rPr>
              <w:fldChar w:fldCharType="begin"/>
            </w:r>
            <w:r>
              <w:instrText xml:space="preserve"> PAGE   \* MERGEFORMAT </w:instrText>
            </w:r>
            <w:r>
              <w:rPr>
                <w:noProof w:val="0"/>
              </w:rPr>
              <w:fldChar w:fldCharType="separate"/>
            </w:r>
            <w:r w:rsidR="00910A37">
              <w:t>1</w:t>
            </w:r>
            <w: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459485981"/>
      <w:docPartObj>
        <w:docPartGallery w:val="Page Numbers (Bottom of Page)"/>
        <w:docPartUnique/>
      </w:docPartObj>
    </w:sdtPr>
    <w:sdtEndPr>
      <w:rPr>
        <w:noProof/>
      </w:rPr>
    </w:sdtEndPr>
    <w:sdtContent>
      <w:p w:rsidR="00DB6C39" w:rsidRPr="003005E0" w:rsidRDefault="00D80A20" w:rsidP="00DB6C39">
        <w:pPr>
          <w:pStyle w:val="Footer"/>
          <w:jc w:val="center"/>
        </w:pPr>
        <w:r>
          <w:rPr>
            <w:lang w:eastAsia="en-AU"/>
          </w:rPr>
          <w:drawing>
            <wp:anchor distT="0" distB="0" distL="114300" distR="114300" simplePos="0" relativeHeight="251660288" behindDoc="1" locked="0" layoutInCell="1" allowOverlap="1" wp14:anchorId="62D9338B" wp14:editId="419B357C">
              <wp:simplePos x="0" y="0"/>
              <wp:positionH relativeFrom="column">
                <wp:posOffset>-828040</wp:posOffset>
              </wp:positionH>
              <wp:positionV relativeFrom="paragraph">
                <wp:posOffset>282575</wp:posOffset>
              </wp:positionV>
              <wp:extent cx="7624445" cy="636270"/>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ork in Progress\_Education\ED16-0222 - 815068 - VET Student Loan Factsheets\links\ED16-0222 - 815068 - VET Student Loan Factsheets_Foot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4445" cy="63627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noProof w:val="0"/>
            </w:rPr>
            <w:id w:val="-434671876"/>
            <w:docPartObj>
              <w:docPartGallery w:val="Page Numbers (Bottom of Page)"/>
              <w:docPartUnique/>
            </w:docPartObj>
          </w:sdtPr>
          <w:sdtEndPr>
            <w:rPr>
              <w:noProof/>
            </w:rPr>
          </w:sdtEndPr>
          <w:sdtContent>
            <w:r w:rsidR="00DB6C39">
              <w:rPr>
                <w:noProof w:val="0"/>
              </w:rPr>
              <w:fldChar w:fldCharType="begin"/>
            </w:r>
            <w:r w:rsidR="00DB6C39">
              <w:instrText xml:space="preserve"> PAGE   \* MERGEFORMAT </w:instrText>
            </w:r>
            <w:r w:rsidR="00DB6C39">
              <w:rPr>
                <w:noProof w:val="0"/>
              </w:rPr>
              <w:fldChar w:fldCharType="separate"/>
            </w:r>
            <w:r w:rsidR="00920908">
              <w:t>6</w:t>
            </w:r>
            <w:r w:rsidR="00DB6C39">
              <w:fldChar w:fldCharType="end"/>
            </w:r>
          </w:sdtContent>
        </w:sdt>
        <w:r w:rsidR="00DB6C39">
          <w:rPr>
            <w:lang w:eastAsia="en-AU"/>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2AC" w:rsidRDefault="000D42AC" w:rsidP="00A04F7E">
      <w:r>
        <w:separator/>
      </w:r>
    </w:p>
    <w:p w:rsidR="000D42AC" w:rsidRDefault="000D42AC"/>
  </w:footnote>
  <w:footnote w:type="continuationSeparator" w:id="0">
    <w:p w:rsidR="000D42AC" w:rsidRDefault="000D42AC" w:rsidP="00A04F7E">
      <w:r>
        <w:continuationSeparator/>
      </w:r>
    </w:p>
    <w:p w:rsidR="000D42AC" w:rsidRDefault="000D42AC"/>
  </w:footnote>
  <w:footnote w:type="continuationNotice" w:id="1">
    <w:p w:rsidR="000D42AC" w:rsidRDefault="000D42A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65B4"/>
    <w:multiLevelType w:val="hybridMultilevel"/>
    <w:tmpl w:val="D7A208A2"/>
    <w:lvl w:ilvl="0" w:tplc="A0684B68">
      <w:start w:val="1"/>
      <w:numFmt w:val="bullet"/>
      <w:lvlText w:val="•"/>
      <w:lvlJc w:val="left"/>
      <w:pPr>
        <w:tabs>
          <w:tab w:val="num" w:pos="720"/>
        </w:tabs>
        <w:ind w:left="720" w:hanging="360"/>
      </w:pPr>
      <w:rPr>
        <w:rFonts w:ascii="Times New Roman" w:hAnsi="Times New Roman" w:hint="default"/>
      </w:rPr>
    </w:lvl>
    <w:lvl w:ilvl="1" w:tplc="624ECF2E" w:tentative="1">
      <w:start w:val="1"/>
      <w:numFmt w:val="bullet"/>
      <w:lvlText w:val="•"/>
      <w:lvlJc w:val="left"/>
      <w:pPr>
        <w:tabs>
          <w:tab w:val="num" w:pos="1440"/>
        </w:tabs>
        <w:ind w:left="1440" w:hanging="360"/>
      </w:pPr>
      <w:rPr>
        <w:rFonts w:ascii="Times New Roman" w:hAnsi="Times New Roman" w:hint="default"/>
      </w:rPr>
    </w:lvl>
    <w:lvl w:ilvl="2" w:tplc="AA2A9804" w:tentative="1">
      <w:start w:val="1"/>
      <w:numFmt w:val="bullet"/>
      <w:lvlText w:val="•"/>
      <w:lvlJc w:val="left"/>
      <w:pPr>
        <w:tabs>
          <w:tab w:val="num" w:pos="2160"/>
        </w:tabs>
        <w:ind w:left="2160" w:hanging="360"/>
      </w:pPr>
      <w:rPr>
        <w:rFonts w:ascii="Times New Roman" w:hAnsi="Times New Roman" w:hint="default"/>
      </w:rPr>
    </w:lvl>
    <w:lvl w:ilvl="3" w:tplc="3E9EBEF2" w:tentative="1">
      <w:start w:val="1"/>
      <w:numFmt w:val="bullet"/>
      <w:lvlText w:val="•"/>
      <w:lvlJc w:val="left"/>
      <w:pPr>
        <w:tabs>
          <w:tab w:val="num" w:pos="2880"/>
        </w:tabs>
        <w:ind w:left="2880" w:hanging="360"/>
      </w:pPr>
      <w:rPr>
        <w:rFonts w:ascii="Times New Roman" w:hAnsi="Times New Roman" w:hint="default"/>
      </w:rPr>
    </w:lvl>
    <w:lvl w:ilvl="4" w:tplc="FCB8EC34" w:tentative="1">
      <w:start w:val="1"/>
      <w:numFmt w:val="bullet"/>
      <w:lvlText w:val="•"/>
      <w:lvlJc w:val="left"/>
      <w:pPr>
        <w:tabs>
          <w:tab w:val="num" w:pos="3600"/>
        </w:tabs>
        <w:ind w:left="3600" w:hanging="360"/>
      </w:pPr>
      <w:rPr>
        <w:rFonts w:ascii="Times New Roman" w:hAnsi="Times New Roman" w:hint="default"/>
      </w:rPr>
    </w:lvl>
    <w:lvl w:ilvl="5" w:tplc="26526A82" w:tentative="1">
      <w:start w:val="1"/>
      <w:numFmt w:val="bullet"/>
      <w:lvlText w:val="•"/>
      <w:lvlJc w:val="left"/>
      <w:pPr>
        <w:tabs>
          <w:tab w:val="num" w:pos="4320"/>
        </w:tabs>
        <w:ind w:left="4320" w:hanging="360"/>
      </w:pPr>
      <w:rPr>
        <w:rFonts w:ascii="Times New Roman" w:hAnsi="Times New Roman" w:hint="default"/>
      </w:rPr>
    </w:lvl>
    <w:lvl w:ilvl="6" w:tplc="9AEE0924" w:tentative="1">
      <w:start w:val="1"/>
      <w:numFmt w:val="bullet"/>
      <w:lvlText w:val="•"/>
      <w:lvlJc w:val="left"/>
      <w:pPr>
        <w:tabs>
          <w:tab w:val="num" w:pos="5040"/>
        </w:tabs>
        <w:ind w:left="5040" w:hanging="360"/>
      </w:pPr>
      <w:rPr>
        <w:rFonts w:ascii="Times New Roman" w:hAnsi="Times New Roman" w:hint="default"/>
      </w:rPr>
    </w:lvl>
    <w:lvl w:ilvl="7" w:tplc="F9F60D26" w:tentative="1">
      <w:start w:val="1"/>
      <w:numFmt w:val="bullet"/>
      <w:lvlText w:val="•"/>
      <w:lvlJc w:val="left"/>
      <w:pPr>
        <w:tabs>
          <w:tab w:val="num" w:pos="5760"/>
        </w:tabs>
        <w:ind w:left="5760" w:hanging="360"/>
      </w:pPr>
      <w:rPr>
        <w:rFonts w:ascii="Times New Roman" w:hAnsi="Times New Roman" w:hint="default"/>
      </w:rPr>
    </w:lvl>
    <w:lvl w:ilvl="8" w:tplc="EB34DBC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E4F21BC"/>
    <w:multiLevelType w:val="hybridMultilevel"/>
    <w:tmpl w:val="AD5C4914"/>
    <w:lvl w:ilvl="0" w:tplc="E924D1A2">
      <w:start w:val="1"/>
      <w:numFmt w:val="bullet"/>
      <w:lvlText w:val="•"/>
      <w:lvlJc w:val="left"/>
      <w:pPr>
        <w:tabs>
          <w:tab w:val="num" w:pos="720"/>
        </w:tabs>
        <w:ind w:left="720" w:hanging="360"/>
      </w:pPr>
      <w:rPr>
        <w:rFonts w:ascii="Times New Roman" w:hAnsi="Times New Roman" w:hint="default"/>
      </w:rPr>
    </w:lvl>
    <w:lvl w:ilvl="1" w:tplc="C49C3D4E" w:tentative="1">
      <w:start w:val="1"/>
      <w:numFmt w:val="bullet"/>
      <w:lvlText w:val="•"/>
      <w:lvlJc w:val="left"/>
      <w:pPr>
        <w:tabs>
          <w:tab w:val="num" w:pos="1440"/>
        </w:tabs>
        <w:ind w:left="1440" w:hanging="360"/>
      </w:pPr>
      <w:rPr>
        <w:rFonts w:ascii="Times New Roman" w:hAnsi="Times New Roman" w:hint="default"/>
      </w:rPr>
    </w:lvl>
    <w:lvl w:ilvl="2" w:tplc="3C726E82" w:tentative="1">
      <w:start w:val="1"/>
      <w:numFmt w:val="bullet"/>
      <w:lvlText w:val="•"/>
      <w:lvlJc w:val="left"/>
      <w:pPr>
        <w:tabs>
          <w:tab w:val="num" w:pos="2160"/>
        </w:tabs>
        <w:ind w:left="2160" w:hanging="360"/>
      </w:pPr>
      <w:rPr>
        <w:rFonts w:ascii="Times New Roman" w:hAnsi="Times New Roman" w:hint="default"/>
      </w:rPr>
    </w:lvl>
    <w:lvl w:ilvl="3" w:tplc="EFF65190" w:tentative="1">
      <w:start w:val="1"/>
      <w:numFmt w:val="bullet"/>
      <w:lvlText w:val="•"/>
      <w:lvlJc w:val="left"/>
      <w:pPr>
        <w:tabs>
          <w:tab w:val="num" w:pos="2880"/>
        </w:tabs>
        <w:ind w:left="2880" w:hanging="360"/>
      </w:pPr>
      <w:rPr>
        <w:rFonts w:ascii="Times New Roman" w:hAnsi="Times New Roman" w:hint="default"/>
      </w:rPr>
    </w:lvl>
    <w:lvl w:ilvl="4" w:tplc="8DBCDCC6" w:tentative="1">
      <w:start w:val="1"/>
      <w:numFmt w:val="bullet"/>
      <w:lvlText w:val="•"/>
      <w:lvlJc w:val="left"/>
      <w:pPr>
        <w:tabs>
          <w:tab w:val="num" w:pos="3600"/>
        </w:tabs>
        <w:ind w:left="3600" w:hanging="360"/>
      </w:pPr>
      <w:rPr>
        <w:rFonts w:ascii="Times New Roman" w:hAnsi="Times New Roman" w:hint="default"/>
      </w:rPr>
    </w:lvl>
    <w:lvl w:ilvl="5" w:tplc="10C4A71C" w:tentative="1">
      <w:start w:val="1"/>
      <w:numFmt w:val="bullet"/>
      <w:lvlText w:val="•"/>
      <w:lvlJc w:val="left"/>
      <w:pPr>
        <w:tabs>
          <w:tab w:val="num" w:pos="4320"/>
        </w:tabs>
        <w:ind w:left="4320" w:hanging="360"/>
      </w:pPr>
      <w:rPr>
        <w:rFonts w:ascii="Times New Roman" w:hAnsi="Times New Roman" w:hint="default"/>
      </w:rPr>
    </w:lvl>
    <w:lvl w:ilvl="6" w:tplc="47807310" w:tentative="1">
      <w:start w:val="1"/>
      <w:numFmt w:val="bullet"/>
      <w:lvlText w:val="•"/>
      <w:lvlJc w:val="left"/>
      <w:pPr>
        <w:tabs>
          <w:tab w:val="num" w:pos="5040"/>
        </w:tabs>
        <w:ind w:left="5040" w:hanging="360"/>
      </w:pPr>
      <w:rPr>
        <w:rFonts w:ascii="Times New Roman" w:hAnsi="Times New Roman" w:hint="default"/>
      </w:rPr>
    </w:lvl>
    <w:lvl w:ilvl="7" w:tplc="AB241B7E" w:tentative="1">
      <w:start w:val="1"/>
      <w:numFmt w:val="bullet"/>
      <w:lvlText w:val="•"/>
      <w:lvlJc w:val="left"/>
      <w:pPr>
        <w:tabs>
          <w:tab w:val="num" w:pos="5760"/>
        </w:tabs>
        <w:ind w:left="5760" w:hanging="360"/>
      </w:pPr>
      <w:rPr>
        <w:rFonts w:ascii="Times New Roman" w:hAnsi="Times New Roman" w:hint="default"/>
      </w:rPr>
    </w:lvl>
    <w:lvl w:ilvl="8" w:tplc="0B16BE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EE35FB1"/>
    <w:multiLevelType w:val="hybridMultilevel"/>
    <w:tmpl w:val="C5D65D4A"/>
    <w:lvl w:ilvl="0" w:tplc="3BAE159E">
      <w:start w:val="1"/>
      <w:numFmt w:val="bullet"/>
      <w:lvlText w:val="•"/>
      <w:lvlJc w:val="left"/>
      <w:pPr>
        <w:tabs>
          <w:tab w:val="num" w:pos="720"/>
        </w:tabs>
        <w:ind w:left="720" w:hanging="360"/>
      </w:pPr>
      <w:rPr>
        <w:rFonts w:ascii="Times New Roman" w:hAnsi="Times New Roman" w:hint="default"/>
      </w:rPr>
    </w:lvl>
    <w:lvl w:ilvl="1" w:tplc="A7E6B8E2" w:tentative="1">
      <w:start w:val="1"/>
      <w:numFmt w:val="bullet"/>
      <w:lvlText w:val="•"/>
      <w:lvlJc w:val="left"/>
      <w:pPr>
        <w:tabs>
          <w:tab w:val="num" w:pos="1440"/>
        </w:tabs>
        <w:ind w:left="1440" w:hanging="360"/>
      </w:pPr>
      <w:rPr>
        <w:rFonts w:ascii="Times New Roman" w:hAnsi="Times New Roman" w:hint="default"/>
      </w:rPr>
    </w:lvl>
    <w:lvl w:ilvl="2" w:tplc="660E866A" w:tentative="1">
      <w:start w:val="1"/>
      <w:numFmt w:val="bullet"/>
      <w:lvlText w:val="•"/>
      <w:lvlJc w:val="left"/>
      <w:pPr>
        <w:tabs>
          <w:tab w:val="num" w:pos="2160"/>
        </w:tabs>
        <w:ind w:left="2160" w:hanging="360"/>
      </w:pPr>
      <w:rPr>
        <w:rFonts w:ascii="Times New Roman" w:hAnsi="Times New Roman" w:hint="default"/>
      </w:rPr>
    </w:lvl>
    <w:lvl w:ilvl="3" w:tplc="FD2E8E80" w:tentative="1">
      <w:start w:val="1"/>
      <w:numFmt w:val="bullet"/>
      <w:lvlText w:val="•"/>
      <w:lvlJc w:val="left"/>
      <w:pPr>
        <w:tabs>
          <w:tab w:val="num" w:pos="2880"/>
        </w:tabs>
        <w:ind w:left="2880" w:hanging="360"/>
      </w:pPr>
      <w:rPr>
        <w:rFonts w:ascii="Times New Roman" w:hAnsi="Times New Roman" w:hint="default"/>
      </w:rPr>
    </w:lvl>
    <w:lvl w:ilvl="4" w:tplc="70CA91F0" w:tentative="1">
      <w:start w:val="1"/>
      <w:numFmt w:val="bullet"/>
      <w:lvlText w:val="•"/>
      <w:lvlJc w:val="left"/>
      <w:pPr>
        <w:tabs>
          <w:tab w:val="num" w:pos="3600"/>
        </w:tabs>
        <w:ind w:left="3600" w:hanging="360"/>
      </w:pPr>
      <w:rPr>
        <w:rFonts w:ascii="Times New Roman" w:hAnsi="Times New Roman" w:hint="default"/>
      </w:rPr>
    </w:lvl>
    <w:lvl w:ilvl="5" w:tplc="366C13A8" w:tentative="1">
      <w:start w:val="1"/>
      <w:numFmt w:val="bullet"/>
      <w:lvlText w:val="•"/>
      <w:lvlJc w:val="left"/>
      <w:pPr>
        <w:tabs>
          <w:tab w:val="num" w:pos="4320"/>
        </w:tabs>
        <w:ind w:left="4320" w:hanging="360"/>
      </w:pPr>
      <w:rPr>
        <w:rFonts w:ascii="Times New Roman" w:hAnsi="Times New Roman" w:hint="default"/>
      </w:rPr>
    </w:lvl>
    <w:lvl w:ilvl="6" w:tplc="507E73DC" w:tentative="1">
      <w:start w:val="1"/>
      <w:numFmt w:val="bullet"/>
      <w:lvlText w:val="•"/>
      <w:lvlJc w:val="left"/>
      <w:pPr>
        <w:tabs>
          <w:tab w:val="num" w:pos="5040"/>
        </w:tabs>
        <w:ind w:left="5040" w:hanging="360"/>
      </w:pPr>
      <w:rPr>
        <w:rFonts w:ascii="Times New Roman" w:hAnsi="Times New Roman" w:hint="default"/>
      </w:rPr>
    </w:lvl>
    <w:lvl w:ilvl="7" w:tplc="509245AC" w:tentative="1">
      <w:start w:val="1"/>
      <w:numFmt w:val="bullet"/>
      <w:lvlText w:val="•"/>
      <w:lvlJc w:val="left"/>
      <w:pPr>
        <w:tabs>
          <w:tab w:val="num" w:pos="5760"/>
        </w:tabs>
        <w:ind w:left="5760" w:hanging="360"/>
      </w:pPr>
      <w:rPr>
        <w:rFonts w:ascii="Times New Roman" w:hAnsi="Times New Roman" w:hint="default"/>
      </w:rPr>
    </w:lvl>
    <w:lvl w:ilvl="8" w:tplc="4446A64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nsid w:val="502F6820"/>
    <w:multiLevelType w:val="hybridMultilevel"/>
    <w:tmpl w:val="E3FA8176"/>
    <w:lvl w:ilvl="0" w:tplc="F4643736">
      <w:start w:val="1"/>
      <w:numFmt w:val="bullet"/>
      <w:lvlText w:val="•"/>
      <w:lvlJc w:val="left"/>
      <w:pPr>
        <w:tabs>
          <w:tab w:val="num" w:pos="720"/>
        </w:tabs>
        <w:ind w:left="720" w:hanging="360"/>
      </w:pPr>
      <w:rPr>
        <w:rFonts w:ascii="Times New Roman" w:hAnsi="Times New Roman" w:hint="default"/>
      </w:rPr>
    </w:lvl>
    <w:lvl w:ilvl="1" w:tplc="9E047D98" w:tentative="1">
      <w:start w:val="1"/>
      <w:numFmt w:val="bullet"/>
      <w:lvlText w:val="•"/>
      <w:lvlJc w:val="left"/>
      <w:pPr>
        <w:tabs>
          <w:tab w:val="num" w:pos="1440"/>
        </w:tabs>
        <w:ind w:left="1440" w:hanging="360"/>
      </w:pPr>
      <w:rPr>
        <w:rFonts w:ascii="Times New Roman" w:hAnsi="Times New Roman" w:hint="default"/>
      </w:rPr>
    </w:lvl>
    <w:lvl w:ilvl="2" w:tplc="92762F90" w:tentative="1">
      <w:start w:val="1"/>
      <w:numFmt w:val="bullet"/>
      <w:lvlText w:val="•"/>
      <w:lvlJc w:val="left"/>
      <w:pPr>
        <w:tabs>
          <w:tab w:val="num" w:pos="2160"/>
        </w:tabs>
        <w:ind w:left="2160" w:hanging="360"/>
      </w:pPr>
      <w:rPr>
        <w:rFonts w:ascii="Times New Roman" w:hAnsi="Times New Roman" w:hint="default"/>
      </w:rPr>
    </w:lvl>
    <w:lvl w:ilvl="3" w:tplc="2CE829CE" w:tentative="1">
      <w:start w:val="1"/>
      <w:numFmt w:val="bullet"/>
      <w:lvlText w:val="•"/>
      <w:lvlJc w:val="left"/>
      <w:pPr>
        <w:tabs>
          <w:tab w:val="num" w:pos="2880"/>
        </w:tabs>
        <w:ind w:left="2880" w:hanging="360"/>
      </w:pPr>
      <w:rPr>
        <w:rFonts w:ascii="Times New Roman" w:hAnsi="Times New Roman" w:hint="default"/>
      </w:rPr>
    </w:lvl>
    <w:lvl w:ilvl="4" w:tplc="431A9FDE" w:tentative="1">
      <w:start w:val="1"/>
      <w:numFmt w:val="bullet"/>
      <w:lvlText w:val="•"/>
      <w:lvlJc w:val="left"/>
      <w:pPr>
        <w:tabs>
          <w:tab w:val="num" w:pos="3600"/>
        </w:tabs>
        <w:ind w:left="3600" w:hanging="360"/>
      </w:pPr>
      <w:rPr>
        <w:rFonts w:ascii="Times New Roman" w:hAnsi="Times New Roman" w:hint="default"/>
      </w:rPr>
    </w:lvl>
    <w:lvl w:ilvl="5" w:tplc="8292BFAC" w:tentative="1">
      <w:start w:val="1"/>
      <w:numFmt w:val="bullet"/>
      <w:lvlText w:val="•"/>
      <w:lvlJc w:val="left"/>
      <w:pPr>
        <w:tabs>
          <w:tab w:val="num" w:pos="4320"/>
        </w:tabs>
        <w:ind w:left="4320" w:hanging="360"/>
      </w:pPr>
      <w:rPr>
        <w:rFonts w:ascii="Times New Roman" w:hAnsi="Times New Roman" w:hint="default"/>
      </w:rPr>
    </w:lvl>
    <w:lvl w:ilvl="6" w:tplc="9F88C740" w:tentative="1">
      <w:start w:val="1"/>
      <w:numFmt w:val="bullet"/>
      <w:lvlText w:val="•"/>
      <w:lvlJc w:val="left"/>
      <w:pPr>
        <w:tabs>
          <w:tab w:val="num" w:pos="5040"/>
        </w:tabs>
        <w:ind w:left="5040" w:hanging="360"/>
      </w:pPr>
      <w:rPr>
        <w:rFonts w:ascii="Times New Roman" w:hAnsi="Times New Roman" w:hint="default"/>
      </w:rPr>
    </w:lvl>
    <w:lvl w:ilvl="7" w:tplc="968AB082" w:tentative="1">
      <w:start w:val="1"/>
      <w:numFmt w:val="bullet"/>
      <w:lvlText w:val="•"/>
      <w:lvlJc w:val="left"/>
      <w:pPr>
        <w:tabs>
          <w:tab w:val="num" w:pos="5760"/>
        </w:tabs>
        <w:ind w:left="5760" w:hanging="360"/>
      </w:pPr>
      <w:rPr>
        <w:rFonts w:ascii="Times New Roman" w:hAnsi="Times New Roman" w:hint="default"/>
      </w:rPr>
    </w:lvl>
    <w:lvl w:ilvl="8" w:tplc="F3D8329A" w:tentative="1">
      <w:start w:val="1"/>
      <w:numFmt w:val="bullet"/>
      <w:lvlText w:val="•"/>
      <w:lvlJc w:val="left"/>
      <w:pPr>
        <w:tabs>
          <w:tab w:val="num" w:pos="6480"/>
        </w:tabs>
        <w:ind w:left="6480" w:hanging="360"/>
      </w:pPr>
      <w:rPr>
        <w:rFonts w:ascii="Times New Roman" w:hAnsi="Times New Roman" w:hint="default"/>
      </w:rPr>
    </w:lvl>
  </w:abstractNum>
  <w:abstractNum w:abstractNumId="6">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5C585400"/>
    <w:multiLevelType w:val="hybridMultilevel"/>
    <w:tmpl w:val="A8C87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2"/>
  </w:num>
  <w:num w:numId="7">
    <w:abstractNumId w:val="0"/>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fdeea371-aaba-4e4c-907e-b08a4c7669e7"/>
    <w:docVar w:name="_AMO_XmlVersion" w:val="Empty"/>
  </w:docVars>
  <w:rsids>
    <w:rsidRoot w:val="00C10C19"/>
    <w:rsid w:val="00002721"/>
    <w:rsid w:val="000036D9"/>
    <w:rsid w:val="00003FCE"/>
    <w:rsid w:val="000133DB"/>
    <w:rsid w:val="000167FA"/>
    <w:rsid w:val="00024E24"/>
    <w:rsid w:val="0002670E"/>
    <w:rsid w:val="00034EAA"/>
    <w:rsid w:val="000429E4"/>
    <w:rsid w:val="00062F97"/>
    <w:rsid w:val="0006500D"/>
    <w:rsid w:val="000769B1"/>
    <w:rsid w:val="000861A6"/>
    <w:rsid w:val="000905A4"/>
    <w:rsid w:val="00095D52"/>
    <w:rsid w:val="000A5E7F"/>
    <w:rsid w:val="000B2521"/>
    <w:rsid w:val="000C13AD"/>
    <w:rsid w:val="000D016D"/>
    <w:rsid w:val="000D42AC"/>
    <w:rsid w:val="000E18D6"/>
    <w:rsid w:val="000E50D0"/>
    <w:rsid w:val="000E7E7B"/>
    <w:rsid w:val="000F3BA2"/>
    <w:rsid w:val="000F4DC6"/>
    <w:rsid w:val="000F6AD5"/>
    <w:rsid w:val="00101D6A"/>
    <w:rsid w:val="00113867"/>
    <w:rsid w:val="00115635"/>
    <w:rsid w:val="001175BF"/>
    <w:rsid w:val="00130923"/>
    <w:rsid w:val="001414F3"/>
    <w:rsid w:val="00143FCD"/>
    <w:rsid w:val="0019508E"/>
    <w:rsid w:val="001A3DAF"/>
    <w:rsid w:val="001A6693"/>
    <w:rsid w:val="001B133D"/>
    <w:rsid w:val="001B6467"/>
    <w:rsid w:val="001D3ADE"/>
    <w:rsid w:val="001D4F01"/>
    <w:rsid w:val="001F44D0"/>
    <w:rsid w:val="00217A60"/>
    <w:rsid w:val="00223EB1"/>
    <w:rsid w:val="00233015"/>
    <w:rsid w:val="00236917"/>
    <w:rsid w:val="00243D6B"/>
    <w:rsid w:val="00245FA4"/>
    <w:rsid w:val="002554C8"/>
    <w:rsid w:val="002804AE"/>
    <w:rsid w:val="00283336"/>
    <w:rsid w:val="002A057A"/>
    <w:rsid w:val="002A25E6"/>
    <w:rsid w:val="002A3B7A"/>
    <w:rsid w:val="002A598B"/>
    <w:rsid w:val="002B06E6"/>
    <w:rsid w:val="002D271F"/>
    <w:rsid w:val="002D2EBE"/>
    <w:rsid w:val="002D6386"/>
    <w:rsid w:val="002E0B06"/>
    <w:rsid w:val="003005E0"/>
    <w:rsid w:val="00301D44"/>
    <w:rsid w:val="0030425D"/>
    <w:rsid w:val="00305B35"/>
    <w:rsid w:val="00306AE1"/>
    <w:rsid w:val="003166C5"/>
    <w:rsid w:val="00323081"/>
    <w:rsid w:val="003242B9"/>
    <w:rsid w:val="003307EF"/>
    <w:rsid w:val="003362A4"/>
    <w:rsid w:val="00345441"/>
    <w:rsid w:val="00357954"/>
    <w:rsid w:val="003711F8"/>
    <w:rsid w:val="00377FCC"/>
    <w:rsid w:val="00395243"/>
    <w:rsid w:val="003A2DB7"/>
    <w:rsid w:val="003A35B6"/>
    <w:rsid w:val="003A43F0"/>
    <w:rsid w:val="003B1A48"/>
    <w:rsid w:val="003C6FE2"/>
    <w:rsid w:val="003D67FC"/>
    <w:rsid w:val="00403773"/>
    <w:rsid w:val="00403F54"/>
    <w:rsid w:val="00406498"/>
    <w:rsid w:val="00406894"/>
    <w:rsid w:val="00406E5A"/>
    <w:rsid w:val="004138F4"/>
    <w:rsid w:val="0041692A"/>
    <w:rsid w:val="00437A07"/>
    <w:rsid w:val="004412D9"/>
    <w:rsid w:val="004459F7"/>
    <w:rsid w:val="004540B5"/>
    <w:rsid w:val="00455B34"/>
    <w:rsid w:val="00462B2A"/>
    <w:rsid w:val="00466F2D"/>
    <w:rsid w:val="004729D6"/>
    <w:rsid w:val="00472ECB"/>
    <w:rsid w:val="00472F88"/>
    <w:rsid w:val="00475A95"/>
    <w:rsid w:val="00476291"/>
    <w:rsid w:val="0048762C"/>
    <w:rsid w:val="00490500"/>
    <w:rsid w:val="00490F19"/>
    <w:rsid w:val="004920FD"/>
    <w:rsid w:val="004A45F8"/>
    <w:rsid w:val="004B256F"/>
    <w:rsid w:val="004C145D"/>
    <w:rsid w:val="004C2B41"/>
    <w:rsid w:val="004C7CFE"/>
    <w:rsid w:val="004E0406"/>
    <w:rsid w:val="004F3753"/>
    <w:rsid w:val="00501DB7"/>
    <w:rsid w:val="005113B6"/>
    <w:rsid w:val="0052661F"/>
    <w:rsid w:val="00531817"/>
    <w:rsid w:val="00550011"/>
    <w:rsid w:val="0055362D"/>
    <w:rsid w:val="0055545B"/>
    <w:rsid w:val="00560CA0"/>
    <w:rsid w:val="005624F3"/>
    <w:rsid w:val="00577F71"/>
    <w:rsid w:val="005811EF"/>
    <w:rsid w:val="005818AE"/>
    <w:rsid w:val="00590196"/>
    <w:rsid w:val="005B0878"/>
    <w:rsid w:val="005B4C9B"/>
    <w:rsid w:val="005C15C0"/>
    <w:rsid w:val="005C402E"/>
    <w:rsid w:val="005E4308"/>
    <w:rsid w:val="005F1AFB"/>
    <w:rsid w:val="00610654"/>
    <w:rsid w:val="00611F9F"/>
    <w:rsid w:val="006318B9"/>
    <w:rsid w:val="00651E64"/>
    <w:rsid w:val="00664716"/>
    <w:rsid w:val="00665002"/>
    <w:rsid w:val="0067026C"/>
    <w:rsid w:val="00672C8F"/>
    <w:rsid w:val="006963CB"/>
    <w:rsid w:val="006A12EC"/>
    <w:rsid w:val="006C3A2C"/>
    <w:rsid w:val="006D3733"/>
    <w:rsid w:val="006E10EC"/>
    <w:rsid w:val="006E2D49"/>
    <w:rsid w:val="006E68AF"/>
    <w:rsid w:val="00705F06"/>
    <w:rsid w:val="007078EC"/>
    <w:rsid w:val="0072124E"/>
    <w:rsid w:val="00732B5D"/>
    <w:rsid w:val="00735BC8"/>
    <w:rsid w:val="00746247"/>
    <w:rsid w:val="007468FC"/>
    <w:rsid w:val="0075325C"/>
    <w:rsid w:val="00762D18"/>
    <w:rsid w:val="007658A7"/>
    <w:rsid w:val="00792CA3"/>
    <w:rsid w:val="007A24F5"/>
    <w:rsid w:val="007A4272"/>
    <w:rsid w:val="007B2FDD"/>
    <w:rsid w:val="007B6902"/>
    <w:rsid w:val="007C57B8"/>
    <w:rsid w:val="007D58FB"/>
    <w:rsid w:val="007F18DA"/>
    <w:rsid w:val="007F20DD"/>
    <w:rsid w:val="007F71F2"/>
    <w:rsid w:val="0080256D"/>
    <w:rsid w:val="0080351F"/>
    <w:rsid w:val="00806D54"/>
    <w:rsid w:val="00820EC0"/>
    <w:rsid w:val="00831423"/>
    <w:rsid w:val="0083311A"/>
    <w:rsid w:val="0083468A"/>
    <w:rsid w:val="00841054"/>
    <w:rsid w:val="00842D43"/>
    <w:rsid w:val="00856D1C"/>
    <w:rsid w:val="00857FBA"/>
    <w:rsid w:val="00860819"/>
    <w:rsid w:val="00865601"/>
    <w:rsid w:val="00876AC0"/>
    <w:rsid w:val="00894410"/>
    <w:rsid w:val="008D187E"/>
    <w:rsid w:val="008D72C7"/>
    <w:rsid w:val="008E1771"/>
    <w:rsid w:val="008E4312"/>
    <w:rsid w:val="008E77F9"/>
    <w:rsid w:val="00903408"/>
    <w:rsid w:val="00904463"/>
    <w:rsid w:val="0090677D"/>
    <w:rsid w:val="00910A37"/>
    <w:rsid w:val="009116EA"/>
    <w:rsid w:val="009146EC"/>
    <w:rsid w:val="00920908"/>
    <w:rsid w:val="009301CA"/>
    <w:rsid w:val="009305C5"/>
    <w:rsid w:val="00933671"/>
    <w:rsid w:val="00941089"/>
    <w:rsid w:val="009468D4"/>
    <w:rsid w:val="009470F1"/>
    <w:rsid w:val="009472A2"/>
    <w:rsid w:val="0095644C"/>
    <w:rsid w:val="00962BEB"/>
    <w:rsid w:val="0096614C"/>
    <w:rsid w:val="00972BF7"/>
    <w:rsid w:val="00972DD5"/>
    <w:rsid w:val="00984879"/>
    <w:rsid w:val="00985632"/>
    <w:rsid w:val="00991B63"/>
    <w:rsid w:val="009A3CD8"/>
    <w:rsid w:val="009B2428"/>
    <w:rsid w:val="009B5CB7"/>
    <w:rsid w:val="009C2126"/>
    <w:rsid w:val="00A04F7E"/>
    <w:rsid w:val="00A076BA"/>
    <w:rsid w:val="00A12A12"/>
    <w:rsid w:val="00A2021F"/>
    <w:rsid w:val="00A31242"/>
    <w:rsid w:val="00A52530"/>
    <w:rsid w:val="00A551BF"/>
    <w:rsid w:val="00A70524"/>
    <w:rsid w:val="00A73406"/>
    <w:rsid w:val="00A771FD"/>
    <w:rsid w:val="00AA0E7E"/>
    <w:rsid w:val="00AA1B6B"/>
    <w:rsid w:val="00AA615C"/>
    <w:rsid w:val="00AB49FF"/>
    <w:rsid w:val="00AB6ED4"/>
    <w:rsid w:val="00AC65DA"/>
    <w:rsid w:val="00AD1290"/>
    <w:rsid w:val="00AD17DF"/>
    <w:rsid w:val="00AE70B6"/>
    <w:rsid w:val="00B2722A"/>
    <w:rsid w:val="00B57D88"/>
    <w:rsid w:val="00B618BA"/>
    <w:rsid w:val="00B635E1"/>
    <w:rsid w:val="00B6431A"/>
    <w:rsid w:val="00B746A6"/>
    <w:rsid w:val="00B904AC"/>
    <w:rsid w:val="00B90820"/>
    <w:rsid w:val="00B9102F"/>
    <w:rsid w:val="00BA08D5"/>
    <w:rsid w:val="00BA282D"/>
    <w:rsid w:val="00BB351D"/>
    <w:rsid w:val="00BB6260"/>
    <w:rsid w:val="00BB68B0"/>
    <w:rsid w:val="00BD2771"/>
    <w:rsid w:val="00BD7E83"/>
    <w:rsid w:val="00BF5643"/>
    <w:rsid w:val="00C00191"/>
    <w:rsid w:val="00C05E74"/>
    <w:rsid w:val="00C10C19"/>
    <w:rsid w:val="00C143B8"/>
    <w:rsid w:val="00C143BD"/>
    <w:rsid w:val="00C17D02"/>
    <w:rsid w:val="00C27DD4"/>
    <w:rsid w:val="00C30726"/>
    <w:rsid w:val="00C31DF4"/>
    <w:rsid w:val="00C41D6A"/>
    <w:rsid w:val="00C4774F"/>
    <w:rsid w:val="00C5649C"/>
    <w:rsid w:val="00C56F37"/>
    <w:rsid w:val="00C64D66"/>
    <w:rsid w:val="00C67FC9"/>
    <w:rsid w:val="00C75486"/>
    <w:rsid w:val="00C8202C"/>
    <w:rsid w:val="00C92A5B"/>
    <w:rsid w:val="00CA071D"/>
    <w:rsid w:val="00CA46EC"/>
    <w:rsid w:val="00CB09EC"/>
    <w:rsid w:val="00CB77F7"/>
    <w:rsid w:val="00CC4402"/>
    <w:rsid w:val="00CC5327"/>
    <w:rsid w:val="00CC6F03"/>
    <w:rsid w:val="00CD2675"/>
    <w:rsid w:val="00CE6E80"/>
    <w:rsid w:val="00CF32FE"/>
    <w:rsid w:val="00D05B29"/>
    <w:rsid w:val="00D05D4E"/>
    <w:rsid w:val="00D0654A"/>
    <w:rsid w:val="00D1394D"/>
    <w:rsid w:val="00D26E18"/>
    <w:rsid w:val="00D471A9"/>
    <w:rsid w:val="00D47740"/>
    <w:rsid w:val="00D54460"/>
    <w:rsid w:val="00D65524"/>
    <w:rsid w:val="00D704ED"/>
    <w:rsid w:val="00D742DE"/>
    <w:rsid w:val="00D74876"/>
    <w:rsid w:val="00D77EC2"/>
    <w:rsid w:val="00D80A20"/>
    <w:rsid w:val="00D812B9"/>
    <w:rsid w:val="00D82FFF"/>
    <w:rsid w:val="00D903FD"/>
    <w:rsid w:val="00D94BC5"/>
    <w:rsid w:val="00D96C08"/>
    <w:rsid w:val="00DB63E0"/>
    <w:rsid w:val="00DB6C39"/>
    <w:rsid w:val="00DC3052"/>
    <w:rsid w:val="00DC4963"/>
    <w:rsid w:val="00DD2337"/>
    <w:rsid w:val="00DE01B9"/>
    <w:rsid w:val="00DE37ED"/>
    <w:rsid w:val="00DF46C4"/>
    <w:rsid w:val="00E00F65"/>
    <w:rsid w:val="00E012FD"/>
    <w:rsid w:val="00E02F67"/>
    <w:rsid w:val="00E03549"/>
    <w:rsid w:val="00E36F41"/>
    <w:rsid w:val="00E41483"/>
    <w:rsid w:val="00E621DE"/>
    <w:rsid w:val="00E772DA"/>
    <w:rsid w:val="00E84B90"/>
    <w:rsid w:val="00E85E5A"/>
    <w:rsid w:val="00EA6133"/>
    <w:rsid w:val="00EB1AC8"/>
    <w:rsid w:val="00EC1BB7"/>
    <w:rsid w:val="00EC5F91"/>
    <w:rsid w:val="00EC7198"/>
    <w:rsid w:val="00EC78E7"/>
    <w:rsid w:val="00ED2C73"/>
    <w:rsid w:val="00ED43D2"/>
    <w:rsid w:val="00ED7FBC"/>
    <w:rsid w:val="00EE3B8C"/>
    <w:rsid w:val="00EE3D2F"/>
    <w:rsid w:val="00EE7F1D"/>
    <w:rsid w:val="00EF4A38"/>
    <w:rsid w:val="00F064E4"/>
    <w:rsid w:val="00F11B8F"/>
    <w:rsid w:val="00F1540B"/>
    <w:rsid w:val="00F170E0"/>
    <w:rsid w:val="00F31372"/>
    <w:rsid w:val="00F41A5C"/>
    <w:rsid w:val="00F523AC"/>
    <w:rsid w:val="00F53691"/>
    <w:rsid w:val="00F56AC7"/>
    <w:rsid w:val="00F61F7A"/>
    <w:rsid w:val="00F70CEA"/>
    <w:rsid w:val="00F74011"/>
    <w:rsid w:val="00F91E82"/>
    <w:rsid w:val="00F92479"/>
    <w:rsid w:val="00FB0C0B"/>
    <w:rsid w:val="00FB10CB"/>
    <w:rsid w:val="00FC6AB3"/>
    <w:rsid w:val="00FD0B51"/>
    <w:rsid w:val="00FD5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semiHidden="0" w:uiPriority="10" w:qFormat="1"/>
    <w:lsdException w:name="Default Paragraph Font" w:uiPriority="1" w:unhideWhenUsed="1"/>
    <w:lsdException w:name="Body Text" w:uiPriority="0" w:unhideWhenUsed="1"/>
    <w:lsdException w:name="Subtitle" w:semiHidden="0"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qFormat/>
    <w:rsid w:val="0019508E"/>
    <w:pPr>
      <w:spacing w:after="120" w:line="240" w:lineRule="auto"/>
    </w:pPr>
    <w:rPr>
      <w:rFonts w:ascii="Calibri" w:hAnsi="Calibri"/>
      <w:noProof/>
    </w:rPr>
  </w:style>
  <w:style w:type="paragraph" w:styleId="Heading1">
    <w:name w:val="heading 1"/>
    <w:basedOn w:val="Normal"/>
    <w:next w:val="Normal"/>
    <w:link w:val="Heading1Char"/>
    <w:uiPriority w:val="9"/>
    <w:rsid w:val="00D80A20"/>
    <w:pPr>
      <w:spacing w:before="180"/>
      <w:outlineLvl w:val="0"/>
    </w:pPr>
    <w:rPr>
      <w:rFonts w:eastAsiaTheme="majorEastAsia" w:cstheme="majorBidi"/>
      <w:b/>
      <w:bCs/>
      <w:color w:val="24206C"/>
      <w:sz w:val="36"/>
      <w:szCs w:val="28"/>
    </w:rPr>
  </w:style>
  <w:style w:type="paragraph" w:styleId="Heading2">
    <w:name w:val="heading 2"/>
    <w:basedOn w:val="Normal"/>
    <w:next w:val="Normal"/>
    <w:link w:val="Heading2Char"/>
    <w:uiPriority w:val="9"/>
    <w:qFormat/>
    <w:rsid w:val="00D80A20"/>
    <w:pPr>
      <w:outlineLvl w:val="1"/>
    </w:pPr>
    <w:rPr>
      <w:rFonts w:eastAsiaTheme="majorEastAsia" w:cstheme="majorBidi"/>
      <w:b/>
      <w:bCs/>
      <w:color w:val="24206C"/>
      <w:sz w:val="28"/>
      <w:szCs w:val="26"/>
    </w:rPr>
  </w:style>
  <w:style w:type="paragraph" w:styleId="Heading3">
    <w:name w:val="heading 3"/>
    <w:basedOn w:val="Normal"/>
    <w:next w:val="Normal"/>
    <w:link w:val="Heading3Char"/>
    <w:uiPriority w:val="9"/>
    <w:qFormat/>
    <w:rsid w:val="002A598B"/>
    <w:pPr>
      <w:spacing w:before="200" w:after="60"/>
      <w:outlineLvl w:val="2"/>
    </w:pPr>
    <w:rPr>
      <w:rFonts w:eastAsiaTheme="majorEastAsia" w:cstheme="majorBidi"/>
      <w:b/>
      <w:bCs/>
      <w:sz w:val="26"/>
    </w:rPr>
  </w:style>
  <w:style w:type="paragraph" w:styleId="Heading4">
    <w:name w:val="heading 4"/>
    <w:basedOn w:val="Normal"/>
    <w:next w:val="Normal"/>
    <w:link w:val="Heading4Char"/>
    <w:uiPriority w:val="9"/>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D80A20"/>
    <w:rPr>
      <w:rFonts w:ascii="Calibri" w:eastAsiaTheme="majorEastAsia" w:hAnsi="Calibri" w:cstheme="majorBidi"/>
      <w:b/>
      <w:bCs/>
      <w:noProof/>
      <w:color w:val="24206C"/>
      <w:sz w:val="36"/>
      <w:szCs w:val="28"/>
    </w:rPr>
  </w:style>
  <w:style w:type="character" w:customStyle="1" w:styleId="Heading2Char">
    <w:name w:val="Heading 2 Char"/>
    <w:basedOn w:val="DefaultParagraphFont"/>
    <w:link w:val="Heading2"/>
    <w:uiPriority w:val="9"/>
    <w:rsid w:val="00D80A20"/>
    <w:rPr>
      <w:rFonts w:ascii="Calibri" w:eastAsiaTheme="majorEastAsia" w:hAnsi="Calibri" w:cstheme="majorBidi"/>
      <w:b/>
      <w:bCs/>
      <w:noProof/>
      <w:color w:val="24206C"/>
      <w:sz w:val="28"/>
      <w:szCs w:val="26"/>
    </w:rPr>
  </w:style>
  <w:style w:type="character" w:customStyle="1" w:styleId="Heading3Char">
    <w:name w:val="Heading 3 Char"/>
    <w:basedOn w:val="DefaultParagraphFont"/>
    <w:link w:val="Heading3"/>
    <w:uiPriority w:val="9"/>
    <w:rsid w:val="002A598B"/>
    <w:rPr>
      <w:rFonts w:ascii="Calibri" w:eastAsiaTheme="majorEastAsia" w:hAnsi="Calibri" w:cstheme="majorBidi"/>
      <w:b/>
      <w:bCs/>
      <w:noProof/>
      <w:sz w:val="26"/>
    </w:rPr>
  </w:style>
  <w:style w:type="character" w:customStyle="1" w:styleId="Heading4Char">
    <w:name w:val="Heading 4 Char"/>
    <w:basedOn w:val="DefaultParagraphFont"/>
    <w:link w:val="Heading4"/>
    <w:uiPriority w:val="9"/>
    <w:rsid w:val="004540B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NormalafterTable">
    <w:name w:val="Normal after Table"/>
    <w:basedOn w:val="Normal"/>
    <w:qFormat/>
    <w:rsid w:val="004540B5"/>
    <w:pPr>
      <w:spacing w:before="120" w:line="276" w:lineRule="auto"/>
    </w:pPr>
  </w:style>
  <w:style w:type="paragraph" w:styleId="Footer">
    <w:name w:val="footer"/>
    <w:basedOn w:val="Normal"/>
    <w:link w:val="FooterChar"/>
    <w:uiPriority w:val="99"/>
    <w:rsid w:val="00D26E18"/>
    <w:pPr>
      <w:tabs>
        <w:tab w:val="center" w:pos="4513"/>
        <w:tab w:val="right" w:pos="9026"/>
      </w:tabs>
      <w:spacing w:after="0"/>
    </w:pPr>
    <w:rPr>
      <w:rFonts w:ascii="Arial" w:hAnsi="Arial"/>
    </w:rPr>
  </w:style>
  <w:style w:type="character" w:customStyle="1" w:styleId="FooterChar">
    <w:name w:val="Footer Char"/>
    <w:basedOn w:val="DefaultParagraphFont"/>
    <w:link w:val="Footer"/>
    <w:uiPriority w:val="99"/>
    <w:rsid w:val="00D26E18"/>
    <w:rPr>
      <w:rFonts w:ascii="Arial" w:hAnsi="Arial"/>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rsid w:val="005C402E"/>
    <w:pPr>
      <w:numPr>
        <w:numId w:val="1"/>
      </w:numPr>
      <w:ind w:left="369" w:hanging="369"/>
      <w:contextualSpacing/>
    </w:pPr>
  </w:style>
  <w:style w:type="paragraph" w:styleId="ListNumber2">
    <w:name w:val="List Number 2"/>
    <w:basedOn w:val="Normal"/>
    <w:uiPriority w:val="99"/>
    <w:rsid w:val="005C402E"/>
    <w:pPr>
      <w:numPr>
        <w:ilvl w:val="1"/>
        <w:numId w:val="1"/>
      </w:numPr>
      <w:tabs>
        <w:tab w:val="left" w:pos="1134"/>
      </w:tabs>
      <w:ind w:left="936" w:hanging="567"/>
      <w:contextualSpacing/>
    </w:pPr>
  </w:style>
  <w:style w:type="paragraph" w:styleId="ListNumber3">
    <w:name w:val="List Number 3"/>
    <w:basedOn w:val="Normal"/>
    <w:uiPriority w:val="99"/>
    <w:semiHidden/>
    <w:rsid w:val="00985632"/>
    <w:pPr>
      <w:numPr>
        <w:ilvl w:val="2"/>
        <w:numId w:val="1"/>
      </w:numPr>
      <w:ind w:left="1701" w:hanging="765"/>
      <w:contextualSpacing/>
    </w:pPr>
  </w:style>
  <w:style w:type="paragraph" w:styleId="ListNumber4">
    <w:name w:val="List Number 4"/>
    <w:basedOn w:val="Normal"/>
    <w:uiPriority w:val="99"/>
    <w:semiHidden/>
    <w:rsid w:val="00406E5A"/>
    <w:pPr>
      <w:numPr>
        <w:ilvl w:val="3"/>
        <w:numId w:val="1"/>
      </w:numPr>
      <w:ind w:left="2637" w:hanging="936"/>
      <w:contextualSpacing/>
    </w:pPr>
  </w:style>
  <w:style w:type="paragraph" w:styleId="ListBullet">
    <w:name w:val="List Bullet"/>
    <w:basedOn w:val="Normal"/>
    <w:uiPriority w:val="99"/>
    <w:rsid w:val="00AA615C"/>
    <w:pPr>
      <w:numPr>
        <w:numId w:val="2"/>
      </w:numPr>
      <w:ind w:left="369" w:hanging="369"/>
      <w:contextualSpacing/>
    </w:pPr>
  </w:style>
  <w:style w:type="paragraph" w:styleId="ListBullet2">
    <w:name w:val="List Bullet 2"/>
    <w:basedOn w:val="Normal"/>
    <w:uiPriority w:val="99"/>
    <w:rsid w:val="00AA615C"/>
    <w:pPr>
      <w:numPr>
        <w:ilvl w:val="1"/>
        <w:numId w:val="2"/>
      </w:numPr>
      <w:ind w:left="766" w:hanging="369"/>
      <w:contextualSpacing/>
    </w:pPr>
  </w:style>
  <w:style w:type="paragraph" w:styleId="ListBullet3">
    <w:name w:val="List Bullet 3"/>
    <w:basedOn w:val="Normal"/>
    <w:uiPriority w:val="99"/>
    <w:semiHidden/>
    <w:rsid w:val="00CA46EC"/>
    <w:pPr>
      <w:numPr>
        <w:ilvl w:val="2"/>
        <w:numId w:val="2"/>
      </w:numPr>
      <w:ind w:left="1163" w:hanging="369"/>
      <w:contextualSpacing/>
    </w:pPr>
  </w:style>
  <w:style w:type="paragraph" w:styleId="ListBullet4">
    <w:name w:val="List Bullet 4"/>
    <w:basedOn w:val="Normal"/>
    <w:uiPriority w:val="99"/>
    <w:semiHidden/>
    <w:rsid w:val="00CA46EC"/>
    <w:pPr>
      <w:numPr>
        <w:ilvl w:val="3"/>
        <w:numId w:val="2"/>
      </w:numPr>
      <w:ind w:left="1503" w:hanging="369"/>
      <w:contextualSpacing/>
    </w:pPr>
  </w:style>
  <w:style w:type="table" w:styleId="TableGrid">
    <w:name w:val="Table Grid"/>
    <w:aliases w:val="HELP_Table Style 2"/>
    <w:basedOn w:val="TableNormal"/>
    <w:uiPriority w:val="59"/>
    <w:rsid w:val="00D80A20"/>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24206C"/>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3"/>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D80A20"/>
    <w:pPr>
      <w:spacing w:before="720" w:after="180"/>
      <w:contextualSpacing/>
    </w:pPr>
    <w:rPr>
      <w:rFonts w:eastAsiaTheme="majorEastAsia" w:cstheme="majorBidi"/>
      <w:color w:val="24206C"/>
      <w:spacing w:val="5"/>
      <w:kern w:val="28"/>
      <w:sz w:val="58"/>
      <w:szCs w:val="52"/>
    </w:rPr>
  </w:style>
  <w:style w:type="character" w:customStyle="1" w:styleId="TitleChar">
    <w:name w:val="Title Char"/>
    <w:basedOn w:val="DefaultParagraphFont"/>
    <w:link w:val="Title"/>
    <w:uiPriority w:val="10"/>
    <w:rsid w:val="00D80A20"/>
    <w:rPr>
      <w:rFonts w:ascii="Calibri" w:eastAsiaTheme="majorEastAsia" w:hAnsi="Calibri" w:cstheme="majorBidi"/>
      <w:noProof/>
      <w:color w:val="24206C"/>
      <w:spacing w:val="5"/>
      <w:kern w:val="28"/>
      <w:sz w:val="58"/>
      <w:szCs w:val="52"/>
    </w:rPr>
  </w:style>
  <w:style w:type="paragraph" w:styleId="Subtitle">
    <w:name w:val="Subtitle"/>
    <w:basedOn w:val="Normal"/>
    <w:next w:val="Normal"/>
    <w:link w:val="SubtitleChar"/>
    <w:uiPriority w:val="11"/>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rsid w:val="0019508E"/>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4"/>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character" w:styleId="Hyperlink">
    <w:name w:val="Hyperlink"/>
    <w:basedOn w:val="DefaultParagraphFont"/>
    <w:uiPriority w:val="99"/>
    <w:unhideWhenUsed/>
    <w:rsid w:val="00D77EC2"/>
    <w:rPr>
      <w:b/>
      <w:color w:val="auto"/>
      <w:u w:val="none"/>
    </w:rPr>
  </w:style>
  <w:style w:type="character" w:styleId="CommentReference">
    <w:name w:val="annotation reference"/>
    <w:basedOn w:val="DefaultParagraphFont"/>
    <w:uiPriority w:val="99"/>
    <w:semiHidden/>
    <w:rsid w:val="00C41D6A"/>
    <w:rPr>
      <w:sz w:val="16"/>
      <w:szCs w:val="16"/>
    </w:rPr>
  </w:style>
  <w:style w:type="paragraph" w:styleId="CommentText">
    <w:name w:val="annotation text"/>
    <w:basedOn w:val="Normal"/>
    <w:link w:val="CommentTextChar"/>
    <w:uiPriority w:val="99"/>
    <w:semiHidden/>
    <w:rsid w:val="00C41D6A"/>
    <w:rPr>
      <w:sz w:val="20"/>
      <w:szCs w:val="20"/>
    </w:rPr>
  </w:style>
  <w:style w:type="character" w:customStyle="1" w:styleId="CommentTextChar">
    <w:name w:val="Comment Text Char"/>
    <w:basedOn w:val="DefaultParagraphFont"/>
    <w:link w:val="CommentText"/>
    <w:uiPriority w:val="99"/>
    <w:semiHidden/>
    <w:rsid w:val="00C41D6A"/>
    <w:rPr>
      <w:rFonts w:ascii="Calibri" w:hAnsi="Calibri"/>
      <w:noProof/>
      <w:sz w:val="20"/>
      <w:szCs w:val="20"/>
    </w:rPr>
  </w:style>
  <w:style w:type="paragraph" w:styleId="CommentSubject">
    <w:name w:val="annotation subject"/>
    <w:basedOn w:val="CommentText"/>
    <w:next w:val="CommentText"/>
    <w:link w:val="CommentSubjectChar"/>
    <w:uiPriority w:val="99"/>
    <w:semiHidden/>
    <w:rsid w:val="00C41D6A"/>
    <w:rPr>
      <w:b/>
      <w:bCs/>
    </w:rPr>
  </w:style>
  <w:style w:type="character" w:customStyle="1" w:styleId="CommentSubjectChar">
    <w:name w:val="Comment Subject Char"/>
    <w:basedOn w:val="CommentTextChar"/>
    <w:link w:val="CommentSubject"/>
    <w:uiPriority w:val="99"/>
    <w:semiHidden/>
    <w:rsid w:val="00C41D6A"/>
    <w:rPr>
      <w:rFonts w:ascii="Calibri" w:hAnsi="Calibri"/>
      <w:b/>
      <w:bCs/>
      <w:noProof/>
      <w:sz w:val="20"/>
      <w:szCs w:val="20"/>
    </w:rPr>
  </w:style>
  <w:style w:type="paragraph" w:styleId="Revision">
    <w:name w:val="Revision"/>
    <w:hidden/>
    <w:uiPriority w:val="99"/>
    <w:semiHidden/>
    <w:rsid w:val="005F1AFB"/>
    <w:pPr>
      <w:spacing w:after="0" w:line="240" w:lineRule="auto"/>
    </w:pPr>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semiHidden="0" w:uiPriority="10" w:qFormat="1"/>
    <w:lsdException w:name="Default Paragraph Font" w:uiPriority="1" w:unhideWhenUsed="1"/>
    <w:lsdException w:name="Body Text" w:uiPriority="0" w:unhideWhenUsed="1"/>
    <w:lsdException w:name="Subtitle" w:semiHidden="0"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qFormat/>
    <w:rsid w:val="0019508E"/>
    <w:pPr>
      <w:spacing w:after="120" w:line="240" w:lineRule="auto"/>
    </w:pPr>
    <w:rPr>
      <w:rFonts w:ascii="Calibri" w:hAnsi="Calibri"/>
      <w:noProof/>
    </w:rPr>
  </w:style>
  <w:style w:type="paragraph" w:styleId="Heading1">
    <w:name w:val="heading 1"/>
    <w:basedOn w:val="Normal"/>
    <w:next w:val="Normal"/>
    <w:link w:val="Heading1Char"/>
    <w:uiPriority w:val="9"/>
    <w:rsid w:val="00D80A20"/>
    <w:pPr>
      <w:spacing w:before="180"/>
      <w:outlineLvl w:val="0"/>
    </w:pPr>
    <w:rPr>
      <w:rFonts w:eastAsiaTheme="majorEastAsia" w:cstheme="majorBidi"/>
      <w:b/>
      <w:bCs/>
      <w:color w:val="24206C"/>
      <w:sz w:val="36"/>
      <w:szCs w:val="28"/>
    </w:rPr>
  </w:style>
  <w:style w:type="paragraph" w:styleId="Heading2">
    <w:name w:val="heading 2"/>
    <w:basedOn w:val="Normal"/>
    <w:next w:val="Normal"/>
    <w:link w:val="Heading2Char"/>
    <w:uiPriority w:val="9"/>
    <w:qFormat/>
    <w:rsid w:val="00D80A20"/>
    <w:pPr>
      <w:outlineLvl w:val="1"/>
    </w:pPr>
    <w:rPr>
      <w:rFonts w:eastAsiaTheme="majorEastAsia" w:cstheme="majorBidi"/>
      <w:b/>
      <w:bCs/>
      <w:color w:val="24206C"/>
      <w:sz w:val="28"/>
      <w:szCs w:val="26"/>
    </w:rPr>
  </w:style>
  <w:style w:type="paragraph" w:styleId="Heading3">
    <w:name w:val="heading 3"/>
    <w:basedOn w:val="Normal"/>
    <w:next w:val="Normal"/>
    <w:link w:val="Heading3Char"/>
    <w:uiPriority w:val="9"/>
    <w:qFormat/>
    <w:rsid w:val="002A598B"/>
    <w:pPr>
      <w:spacing w:before="200" w:after="60"/>
      <w:outlineLvl w:val="2"/>
    </w:pPr>
    <w:rPr>
      <w:rFonts w:eastAsiaTheme="majorEastAsia" w:cstheme="majorBidi"/>
      <w:b/>
      <w:bCs/>
      <w:sz w:val="26"/>
    </w:rPr>
  </w:style>
  <w:style w:type="paragraph" w:styleId="Heading4">
    <w:name w:val="heading 4"/>
    <w:basedOn w:val="Normal"/>
    <w:next w:val="Normal"/>
    <w:link w:val="Heading4Char"/>
    <w:uiPriority w:val="9"/>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D80A20"/>
    <w:rPr>
      <w:rFonts w:ascii="Calibri" w:eastAsiaTheme="majorEastAsia" w:hAnsi="Calibri" w:cstheme="majorBidi"/>
      <w:b/>
      <w:bCs/>
      <w:noProof/>
      <w:color w:val="24206C"/>
      <w:sz w:val="36"/>
      <w:szCs w:val="28"/>
    </w:rPr>
  </w:style>
  <w:style w:type="character" w:customStyle="1" w:styleId="Heading2Char">
    <w:name w:val="Heading 2 Char"/>
    <w:basedOn w:val="DefaultParagraphFont"/>
    <w:link w:val="Heading2"/>
    <w:uiPriority w:val="9"/>
    <w:rsid w:val="00D80A20"/>
    <w:rPr>
      <w:rFonts w:ascii="Calibri" w:eastAsiaTheme="majorEastAsia" w:hAnsi="Calibri" w:cstheme="majorBidi"/>
      <w:b/>
      <w:bCs/>
      <w:noProof/>
      <w:color w:val="24206C"/>
      <w:sz w:val="28"/>
      <w:szCs w:val="26"/>
    </w:rPr>
  </w:style>
  <w:style w:type="character" w:customStyle="1" w:styleId="Heading3Char">
    <w:name w:val="Heading 3 Char"/>
    <w:basedOn w:val="DefaultParagraphFont"/>
    <w:link w:val="Heading3"/>
    <w:uiPriority w:val="9"/>
    <w:rsid w:val="002A598B"/>
    <w:rPr>
      <w:rFonts w:ascii="Calibri" w:eastAsiaTheme="majorEastAsia" w:hAnsi="Calibri" w:cstheme="majorBidi"/>
      <w:b/>
      <w:bCs/>
      <w:noProof/>
      <w:sz w:val="26"/>
    </w:rPr>
  </w:style>
  <w:style w:type="character" w:customStyle="1" w:styleId="Heading4Char">
    <w:name w:val="Heading 4 Char"/>
    <w:basedOn w:val="DefaultParagraphFont"/>
    <w:link w:val="Heading4"/>
    <w:uiPriority w:val="9"/>
    <w:rsid w:val="004540B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NormalafterTable">
    <w:name w:val="Normal after Table"/>
    <w:basedOn w:val="Normal"/>
    <w:qFormat/>
    <w:rsid w:val="004540B5"/>
    <w:pPr>
      <w:spacing w:before="120" w:line="276" w:lineRule="auto"/>
    </w:pPr>
  </w:style>
  <w:style w:type="paragraph" w:styleId="Footer">
    <w:name w:val="footer"/>
    <w:basedOn w:val="Normal"/>
    <w:link w:val="FooterChar"/>
    <w:uiPriority w:val="99"/>
    <w:rsid w:val="00D26E18"/>
    <w:pPr>
      <w:tabs>
        <w:tab w:val="center" w:pos="4513"/>
        <w:tab w:val="right" w:pos="9026"/>
      </w:tabs>
      <w:spacing w:after="0"/>
    </w:pPr>
    <w:rPr>
      <w:rFonts w:ascii="Arial" w:hAnsi="Arial"/>
    </w:rPr>
  </w:style>
  <w:style w:type="character" w:customStyle="1" w:styleId="FooterChar">
    <w:name w:val="Footer Char"/>
    <w:basedOn w:val="DefaultParagraphFont"/>
    <w:link w:val="Footer"/>
    <w:uiPriority w:val="99"/>
    <w:rsid w:val="00D26E18"/>
    <w:rPr>
      <w:rFonts w:ascii="Arial" w:hAnsi="Arial"/>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rsid w:val="005C402E"/>
    <w:pPr>
      <w:numPr>
        <w:numId w:val="1"/>
      </w:numPr>
      <w:ind w:left="369" w:hanging="369"/>
      <w:contextualSpacing/>
    </w:pPr>
  </w:style>
  <w:style w:type="paragraph" w:styleId="ListNumber2">
    <w:name w:val="List Number 2"/>
    <w:basedOn w:val="Normal"/>
    <w:uiPriority w:val="99"/>
    <w:rsid w:val="005C402E"/>
    <w:pPr>
      <w:numPr>
        <w:ilvl w:val="1"/>
        <w:numId w:val="1"/>
      </w:numPr>
      <w:tabs>
        <w:tab w:val="left" w:pos="1134"/>
      </w:tabs>
      <w:ind w:left="936" w:hanging="567"/>
      <w:contextualSpacing/>
    </w:pPr>
  </w:style>
  <w:style w:type="paragraph" w:styleId="ListNumber3">
    <w:name w:val="List Number 3"/>
    <w:basedOn w:val="Normal"/>
    <w:uiPriority w:val="99"/>
    <w:semiHidden/>
    <w:rsid w:val="00985632"/>
    <w:pPr>
      <w:numPr>
        <w:ilvl w:val="2"/>
        <w:numId w:val="1"/>
      </w:numPr>
      <w:ind w:left="1701" w:hanging="765"/>
      <w:contextualSpacing/>
    </w:pPr>
  </w:style>
  <w:style w:type="paragraph" w:styleId="ListNumber4">
    <w:name w:val="List Number 4"/>
    <w:basedOn w:val="Normal"/>
    <w:uiPriority w:val="99"/>
    <w:semiHidden/>
    <w:rsid w:val="00406E5A"/>
    <w:pPr>
      <w:numPr>
        <w:ilvl w:val="3"/>
        <w:numId w:val="1"/>
      </w:numPr>
      <w:ind w:left="2637" w:hanging="936"/>
      <w:contextualSpacing/>
    </w:pPr>
  </w:style>
  <w:style w:type="paragraph" w:styleId="ListBullet">
    <w:name w:val="List Bullet"/>
    <w:basedOn w:val="Normal"/>
    <w:uiPriority w:val="99"/>
    <w:rsid w:val="00AA615C"/>
    <w:pPr>
      <w:numPr>
        <w:numId w:val="2"/>
      </w:numPr>
      <w:ind w:left="369" w:hanging="369"/>
      <w:contextualSpacing/>
    </w:pPr>
  </w:style>
  <w:style w:type="paragraph" w:styleId="ListBullet2">
    <w:name w:val="List Bullet 2"/>
    <w:basedOn w:val="Normal"/>
    <w:uiPriority w:val="99"/>
    <w:rsid w:val="00AA615C"/>
    <w:pPr>
      <w:numPr>
        <w:ilvl w:val="1"/>
        <w:numId w:val="2"/>
      </w:numPr>
      <w:ind w:left="766" w:hanging="369"/>
      <w:contextualSpacing/>
    </w:pPr>
  </w:style>
  <w:style w:type="paragraph" w:styleId="ListBullet3">
    <w:name w:val="List Bullet 3"/>
    <w:basedOn w:val="Normal"/>
    <w:uiPriority w:val="99"/>
    <w:semiHidden/>
    <w:rsid w:val="00CA46EC"/>
    <w:pPr>
      <w:numPr>
        <w:ilvl w:val="2"/>
        <w:numId w:val="2"/>
      </w:numPr>
      <w:ind w:left="1163" w:hanging="369"/>
      <w:contextualSpacing/>
    </w:pPr>
  </w:style>
  <w:style w:type="paragraph" w:styleId="ListBullet4">
    <w:name w:val="List Bullet 4"/>
    <w:basedOn w:val="Normal"/>
    <w:uiPriority w:val="99"/>
    <w:semiHidden/>
    <w:rsid w:val="00CA46EC"/>
    <w:pPr>
      <w:numPr>
        <w:ilvl w:val="3"/>
        <w:numId w:val="2"/>
      </w:numPr>
      <w:ind w:left="1503" w:hanging="369"/>
      <w:contextualSpacing/>
    </w:pPr>
  </w:style>
  <w:style w:type="table" w:styleId="TableGrid">
    <w:name w:val="Table Grid"/>
    <w:aliases w:val="HELP_Table Style 2"/>
    <w:basedOn w:val="TableNormal"/>
    <w:uiPriority w:val="59"/>
    <w:rsid w:val="00D80A20"/>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24206C"/>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3"/>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D80A20"/>
    <w:pPr>
      <w:spacing w:before="720" w:after="180"/>
      <w:contextualSpacing/>
    </w:pPr>
    <w:rPr>
      <w:rFonts w:eastAsiaTheme="majorEastAsia" w:cstheme="majorBidi"/>
      <w:color w:val="24206C"/>
      <w:spacing w:val="5"/>
      <w:kern w:val="28"/>
      <w:sz w:val="58"/>
      <w:szCs w:val="52"/>
    </w:rPr>
  </w:style>
  <w:style w:type="character" w:customStyle="1" w:styleId="TitleChar">
    <w:name w:val="Title Char"/>
    <w:basedOn w:val="DefaultParagraphFont"/>
    <w:link w:val="Title"/>
    <w:uiPriority w:val="10"/>
    <w:rsid w:val="00D80A20"/>
    <w:rPr>
      <w:rFonts w:ascii="Calibri" w:eastAsiaTheme="majorEastAsia" w:hAnsi="Calibri" w:cstheme="majorBidi"/>
      <w:noProof/>
      <w:color w:val="24206C"/>
      <w:spacing w:val="5"/>
      <w:kern w:val="28"/>
      <w:sz w:val="58"/>
      <w:szCs w:val="52"/>
    </w:rPr>
  </w:style>
  <w:style w:type="paragraph" w:styleId="Subtitle">
    <w:name w:val="Subtitle"/>
    <w:basedOn w:val="Normal"/>
    <w:next w:val="Normal"/>
    <w:link w:val="SubtitleChar"/>
    <w:uiPriority w:val="11"/>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rsid w:val="0019508E"/>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4"/>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character" w:styleId="Hyperlink">
    <w:name w:val="Hyperlink"/>
    <w:basedOn w:val="DefaultParagraphFont"/>
    <w:uiPriority w:val="99"/>
    <w:unhideWhenUsed/>
    <w:rsid w:val="00D77EC2"/>
    <w:rPr>
      <w:b/>
      <w:color w:val="auto"/>
      <w:u w:val="none"/>
    </w:rPr>
  </w:style>
  <w:style w:type="character" w:styleId="CommentReference">
    <w:name w:val="annotation reference"/>
    <w:basedOn w:val="DefaultParagraphFont"/>
    <w:uiPriority w:val="99"/>
    <w:semiHidden/>
    <w:rsid w:val="00C41D6A"/>
    <w:rPr>
      <w:sz w:val="16"/>
      <w:szCs w:val="16"/>
    </w:rPr>
  </w:style>
  <w:style w:type="paragraph" w:styleId="CommentText">
    <w:name w:val="annotation text"/>
    <w:basedOn w:val="Normal"/>
    <w:link w:val="CommentTextChar"/>
    <w:uiPriority w:val="99"/>
    <w:semiHidden/>
    <w:rsid w:val="00C41D6A"/>
    <w:rPr>
      <w:sz w:val="20"/>
      <w:szCs w:val="20"/>
    </w:rPr>
  </w:style>
  <w:style w:type="character" w:customStyle="1" w:styleId="CommentTextChar">
    <w:name w:val="Comment Text Char"/>
    <w:basedOn w:val="DefaultParagraphFont"/>
    <w:link w:val="CommentText"/>
    <w:uiPriority w:val="99"/>
    <w:semiHidden/>
    <w:rsid w:val="00C41D6A"/>
    <w:rPr>
      <w:rFonts w:ascii="Calibri" w:hAnsi="Calibri"/>
      <w:noProof/>
      <w:sz w:val="20"/>
      <w:szCs w:val="20"/>
    </w:rPr>
  </w:style>
  <w:style w:type="paragraph" w:styleId="CommentSubject">
    <w:name w:val="annotation subject"/>
    <w:basedOn w:val="CommentText"/>
    <w:next w:val="CommentText"/>
    <w:link w:val="CommentSubjectChar"/>
    <w:uiPriority w:val="99"/>
    <w:semiHidden/>
    <w:rsid w:val="00C41D6A"/>
    <w:rPr>
      <w:b/>
      <w:bCs/>
    </w:rPr>
  </w:style>
  <w:style w:type="character" w:customStyle="1" w:styleId="CommentSubjectChar">
    <w:name w:val="Comment Subject Char"/>
    <w:basedOn w:val="CommentTextChar"/>
    <w:link w:val="CommentSubject"/>
    <w:uiPriority w:val="99"/>
    <w:semiHidden/>
    <w:rsid w:val="00C41D6A"/>
    <w:rPr>
      <w:rFonts w:ascii="Calibri" w:hAnsi="Calibri"/>
      <w:b/>
      <w:bCs/>
      <w:noProof/>
      <w:sz w:val="20"/>
      <w:szCs w:val="20"/>
    </w:rPr>
  </w:style>
  <w:style w:type="paragraph" w:styleId="Revision">
    <w:name w:val="Revision"/>
    <w:hidden/>
    <w:uiPriority w:val="99"/>
    <w:semiHidden/>
    <w:rsid w:val="005F1AFB"/>
    <w:pPr>
      <w:spacing w:after="0" w:line="240" w:lineRule="auto"/>
    </w:pPr>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78101627">
      <w:bodyDiv w:val="1"/>
      <w:marLeft w:val="0"/>
      <w:marRight w:val="0"/>
      <w:marTop w:val="0"/>
      <w:marBottom w:val="0"/>
      <w:divBdr>
        <w:top w:val="none" w:sz="0" w:space="0" w:color="auto"/>
        <w:left w:val="none" w:sz="0" w:space="0" w:color="auto"/>
        <w:bottom w:val="none" w:sz="0" w:space="0" w:color="auto"/>
        <w:right w:val="none" w:sz="0" w:space="0" w:color="auto"/>
      </w:divBdr>
    </w:div>
    <w:div w:id="331879485">
      <w:bodyDiv w:val="1"/>
      <w:marLeft w:val="0"/>
      <w:marRight w:val="0"/>
      <w:marTop w:val="0"/>
      <w:marBottom w:val="0"/>
      <w:divBdr>
        <w:top w:val="none" w:sz="0" w:space="0" w:color="auto"/>
        <w:left w:val="none" w:sz="0" w:space="0" w:color="auto"/>
        <w:bottom w:val="none" w:sz="0" w:space="0" w:color="auto"/>
        <w:right w:val="none" w:sz="0" w:space="0" w:color="auto"/>
      </w:divBdr>
    </w:div>
    <w:div w:id="565727342">
      <w:bodyDiv w:val="1"/>
      <w:marLeft w:val="0"/>
      <w:marRight w:val="0"/>
      <w:marTop w:val="0"/>
      <w:marBottom w:val="0"/>
      <w:divBdr>
        <w:top w:val="none" w:sz="0" w:space="0" w:color="auto"/>
        <w:left w:val="none" w:sz="0" w:space="0" w:color="auto"/>
        <w:bottom w:val="none" w:sz="0" w:space="0" w:color="auto"/>
        <w:right w:val="none" w:sz="0" w:space="0" w:color="auto"/>
      </w:divBdr>
      <w:divsChild>
        <w:div w:id="850489042">
          <w:marLeft w:val="547"/>
          <w:marRight w:val="0"/>
          <w:marTop w:val="0"/>
          <w:marBottom w:val="0"/>
          <w:divBdr>
            <w:top w:val="none" w:sz="0" w:space="0" w:color="auto"/>
            <w:left w:val="none" w:sz="0" w:space="0" w:color="auto"/>
            <w:bottom w:val="none" w:sz="0" w:space="0" w:color="auto"/>
            <w:right w:val="none" w:sz="0" w:space="0" w:color="auto"/>
          </w:divBdr>
        </w:div>
      </w:divsChild>
    </w:div>
    <w:div w:id="647635113">
      <w:bodyDiv w:val="1"/>
      <w:marLeft w:val="0"/>
      <w:marRight w:val="0"/>
      <w:marTop w:val="0"/>
      <w:marBottom w:val="0"/>
      <w:divBdr>
        <w:top w:val="none" w:sz="0" w:space="0" w:color="auto"/>
        <w:left w:val="none" w:sz="0" w:space="0" w:color="auto"/>
        <w:bottom w:val="none" w:sz="0" w:space="0" w:color="auto"/>
        <w:right w:val="none" w:sz="0" w:space="0" w:color="auto"/>
      </w:divBdr>
      <w:divsChild>
        <w:div w:id="310645045">
          <w:marLeft w:val="547"/>
          <w:marRight w:val="0"/>
          <w:marTop w:val="0"/>
          <w:marBottom w:val="0"/>
          <w:divBdr>
            <w:top w:val="none" w:sz="0" w:space="0" w:color="auto"/>
            <w:left w:val="none" w:sz="0" w:space="0" w:color="auto"/>
            <w:bottom w:val="none" w:sz="0" w:space="0" w:color="auto"/>
            <w:right w:val="none" w:sz="0" w:space="0" w:color="auto"/>
          </w:divBdr>
        </w:div>
      </w:divsChild>
    </w:div>
    <w:div w:id="805898617">
      <w:bodyDiv w:val="1"/>
      <w:marLeft w:val="0"/>
      <w:marRight w:val="0"/>
      <w:marTop w:val="0"/>
      <w:marBottom w:val="0"/>
      <w:divBdr>
        <w:top w:val="none" w:sz="0" w:space="0" w:color="auto"/>
        <w:left w:val="none" w:sz="0" w:space="0" w:color="auto"/>
        <w:bottom w:val="none" w:sz="0" w:space="0" w:color="auto"/>
        <w:right w:val="none" w:sz="0" w:space="0" w:color="auto"/>
      </w:divBdr>
      <w:divsChild>
        <w:div w:id="1166243664">
          <w:marLeft w:val="547"/>
          <w:marRight w:val="0"/>
          <w:marTop w:val="0"/>
          <w:marBottom w:val="0"/>
          <w:divBdr>
            <w:top w:val="none" w:sz="0" w:space="0" w:color="auto"/>
            <w:left w:val="none" w:sz="0" w:space="0" w:color="auto"/>
            <w:bottom w:val="none" w:sz="0" w:space="0" w:color="auto"/>
            <w:right w:val="none" w:sz="0" w:space="0" w:color="auto"/>
          </w:divBdr>
        </w:div>
        <w:div w:id="1174226376">
          <w:marLeft w:val="547"/>
          <w:marRight w:val="0"/>
          <w:marTop w:val="0"/>
          <w:marBottom w:val="0"/>
          <w:divBdr>
            <w:top w:val="none" w:sz="0" w:space="0" w:color="auto"/>
            <w:left w:val="none" w:sz="0" w:space="0" w:color="auto"/>
            <w:bottom w:val="none" w:sz="0" w:space="0" w:color="auto"/>
            <w:right w:val="none" w:sz="0" w:space="0" w:color="auto"/>
          </w:divBdr>
        </w:div>
      </w:divsChild>
    </w:div>
    <w:div w:id="913465965">
      <w:bodyDiv w:val="1"/>
      <w:marLeft w:val="0"/>
      <w:marRight w:val="0"/>
      <w:marTop w:val="0"/>
      <w:marBottom w:val="0"/>
      <w:divBdr>
        <w:top w:val="none" w:sz="0" w:space="0" w:color="auto"/>
        <w:left w:val="none" w:sz="0" w:space="0" w:color="auto"/>
        <w:bottom w:val="none" w:sz="0" w:space="0" w:color="auto"/>
        <w:right w:val="none" w:sz="0" w:space="0" w:color="auto"/>
      </w:divBdr>
      <w:divsChild>
        <w:div w:id="394283113">
          <w:marLeft w:val="547"/>
          <w:marRight w:val="0"/>
          <w:marTop w:val="0"/>
          <w:marBottom w:val="0"/>
          <w:divBdr>
            <w:top w:val="none" w:sz="0" w:space="0" w:color="auto"/>
            <w:left w:val="none" w:sz="0" w:space="0" w:color="auto"/>
            <w:bottom w:val="none" w:sz="0" w:space="0" w:color="auto"/>
            <w:right w:val="none" w:sz="0" w:space="0" w:color="auto"/>
          </w:divBdr>
        </w:div>
        <w:div w:id="1628583859">
          <w:marLeft w:val="547"/>
          <w:marRight w:val="0"/>
          <w:marTop w:val="0"/>
          <w:marBottom w:val="0"/>
          <w:divBdr>
            <w:top w:val="none" w:sz="0" w:space="0" w:color="auto"/>
            <w:left w:val="none" w:sz="0" w:space="0" w:color="auto"/>
            <w:bottom w:val="none" w:sz="0" w:space="0" w:color="auto"/>
            <w:right w:val="none" w:sz="0" w:space="0" w:color="auto"/>
          </w:divBdr>
        </w:div>
        <w:div w:id="1000348859">
          <w:marLeft w:val="547"/>
          <w:marRight w:val="0"/>
          <w:marTop w:val="0"/>
          <w:marBottom w:val="0"/>
          <w:divBdr>
            <w:top w:val="none" w:sz="0" w:space="0" w:color="auto"/>
            <w:left w:val="none" w:sz="0" w:space="0" w:color="auto"/>
            <w:bottom w:val="none" w:sz="0" w:space="0" w:color="auto"/>
            <w:right w:val="none" w:sz="0" w:space="0" w:color="auto"/>
          </w:divBdr>
        </w:div>
      </w:divsChild>
    </w:div>
    <w:div w:id="1052536798">
      <w:bodyDiv w:val="1"/>
      <w:marLeft w:val="0"/>
      <w:marRight w:val="0"/>
      <w:marTop w:val="0"/>
      <w:marBottom w:val="0"/>
      <w:divBdr>
        <w:top w:val="none" w:sz="0" w:space="0" w:color="auto"/>
        <w:left w:val="none" w:sz="0" w:space="0" w:color="auto"/>
        <w:bottom w:val="none" w:sz="0" w:space="0" w:color="auto"/>
        <w:right w:val="none" w:sz="0" w:space="0" w:color="auto"/>
      </w:divBdr>
    </w:div>
    <w:div w:id="1111391572">
      <w:bodyDiv w:val="1"/>
      <w:marLeft w:val="0"/>
      <w:marRight w:val="0"/>
      <w:marTop w:val="0"/>
      <w:marBottom w:val="0"/>
      <w:divBdr>
        <w:top w:val="none" w:sz="0" w:space="0" w:color="auto"/>
        <w:left w:val="none" w:sz="0" w:space="0" w:color="auto"/>
        <w:bottom w:val="none" w:sz="0" w:space="0" w:color="auto"/>
        <w:right w:val="none" w:sz="0" w:space="0" w:color="auto"/>
      </w:divBdr>
      <w:divsChild>
        <w:div w:id="90207098">
          <w:marLeft w:val="547"/>
          <w:marRight w:val="0"/>
          <w:marTop w:val="0"/>
          <w:marBottom w:val="0"/>
          <w:divBdr>
            <w:top w:val="none" w:sz="0" w:space="0" w:color="auto"/>
            <w:left w:val="none" w:sz="0" w:space="0" w:color="auto"/>
            <w:bottom w:val="none" w:sz="0" w:space="0" w:color="auto"/>
            <w:right w:val="none" w:sz="0" w:space="0" w:color="auto"/>
          </w:divBdr>
        </w:div>
      </w:divsChild>
    </w:div>
    <w:div w:id="1440030796">
      <w:bodyDiv w:val="1"/>
      <w:marLeft w:val="0"/>
      <w:marRight w:val="0"/>
      <w:marTop w:val="0"/>
      <w:marBottom w:val="0"/>
      <w:divBdr>
        <w:top w:val="none" w:sz="0" w:space="0" w:color="auto"/>
        <w:left w:val="none" w:sz="0" w:space="0" w:color="auto"/>
        <w:bottom w:val="none" w:sz="0" w:space="0" w:color="auto"/>
        <w:right w:val="none" w:sz="0" w:space="0" w:color="auto"/>
      </w:divBdr>
      <w:divsChild>
        <w:div w:id="1434402079">
          <w:marLeft w:val="547"/>
          <w:marRight w:val="0"/>
          <w:marTop w:val="0"/>
          <w:marBottom w:val="0"/>
          <w:divBdr>
            <w:top w:val="none" w:sz="0" w:space="0" w:color="auto"/>
            <w:left w:val="none" w:sz="0" w:space="0" w:color="auto"/>
            <w:bottom w:val="none" w:sz="0" w:space="0" w:color="auto"/>
            <w:right w:val="none" w:sz="0" w:space="0" w:color="auto"/>
          </w:divBdr>
        </w:div>
      </w:divsChild>
    </w:div>
    <w:div w:id="1571040454">
      <w:bodyDiv w:val="1"/>
      <w:marLeft w:val="0"/>
      <w:marRight w:val="0"/>
      <w:marTop w:val="0"/>
      <w:marBottom w:val="0"/>
      <w:divBdr>
        <w:top w:val="none" w:sz="0" w:space="0" w:color="auto"/>
        <w:left w:val="none" w:sz="0" w:space="0" w:color="auto"/>
        <w:bottom w:val="none" w:sz="0" w:space="0" w:color="auto"/>
        <w:right w:val="none" w:sz="0" w:space="0" w:color="auto"/>
      </w:divBdr>
    </w:div>
    <w:div w:id="1973901003">
      <w:bodyDiv w:val="1"/>
      <w:marLeft w:val="0"/>
      <w:marRight w:val="0"/>
      <w:marTop w:val="0"/>
      <w:marBottom w:val="0"/>
      <w:divBdr>
        <w:top w:val="none" w:sz="0" w:space="0" w:color="auto"/>
        <w:left w:val="none" w:sz="0" w:space="0" w:color="auto"/>
        <w:bottom w:val="none" w:sz="0" w:space="0" w:color="auto"/>
        <w:right w:val="none" w:sz="0" w:space="0" w:color="auto"/>
      </w:divBdr>
      <w:divsChild>
        <w:div w:id="889532109">
          <w:marLeft w:val="547"/>
          <w:marRight w:val="0"/>
          <w:marTop w:val="0"/>
          <w:marBottom w:val="0"/>
          <w:divBdr>
            <w:top w:val="none" w:sz="0" w:space="0" w:color="auto"/>
            <w:left w:val="none" w:sz="0" w:space="0" w:color="auto"/>
            <w:bottom w:val="none" w:sz="0" w:space="0" w:color="auto"/>
            <w:right w:val="none" w:sz="0" w:space="0" w:color="auto"/>
          </w:divBdr>
        </w:div>
      </w:divsChild>
    </w:div>
    <w:div w:id="2130929655">
      <w:bodyDiv w:val="1"/>
      <w:marLeft w:val="0"/>
      <w:marRight w:val="0"/>
      <w:marTop w:val="0"/>
      <w:marBottom w:val="0"/>
      <w:divBdr>
        <w:top w:val="none" w:sz="0" w:space="0" w:color="auto"/>
        <w:left w:val="none" w:sz="0" w:space="0" w:color="auto"/>
        <w:bottom w:val="none" w:sz="0" w:space="0" w:color="auto"/>
        <w:right w:val="none" w:sz="0" w:space="0" w:color="auto"/>
      </w:divBdr>
      <w:divsChild>
        <w:div w:id="1981835721">
          <w:marLeft w:val="547"/>
          <w:marRight w:val="0"/>
          <w:marTop w:val="0"/>
          <w:marBottom w:val="0"/>
          <w:divBdr>
            <w:top w:val="none" w:sz="0" w:space="0" w:color="auto"/>
            <w:left w:val="none" w:sz="0" w:space="0" w:color="auto"/>
            <w:bottom w:val="none" w:sz="0" w:space="0" w:color="auto"/>
            <w:right w:val="none" w:sz="0" w:space="0" w:color="auto"/>
          </w:divBdr>
        </w:div>
        <w:div w:id="59859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education.gov.au/vet-student-loans-studen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www.asqa.gov.au/students/applying-copy-student-records" TargetMode="External"/><Relationship Id="rId2" Type="http://schemas.openxmlformats.org/officeDocument/2006/relationships/customXml" Target="../customXml/item2.xml"/><Relationship Id="rId16" Type="http://schemas.openxmlformats.org/officeDocument/2006/relationships/hyperlink" Target="http://www.education.gov.au/vet-student-loa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myskills.gov.a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cation.gov.au/vet-student-loa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0AC8D-29F3-4B1E-9B8B-BA2EA62A7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EDF432-670C-4919-BC45-B0DC7E755F6E}">
  <ds:schemaRefs>
    <ds:schemaRef ds:uri="http://schemas.microsoft.com/sharepoint/v3/contenttype/forms"/>
  </ds:schemaRefs>
</ds:datastoreItem>
</file>

<file path=customXml/itemProps3.xml><?xml version="1.0" encoding="utf-8"?>
<ds:datastoreItem xmlns:ds="http://schemas.openxmlformats.org/officeDocument/2006/customXml" ds:itemID="{649737D7-ED4B-4066-826B-61FEB9837D2F}">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CD7C26E6-2FE9-4D65-B619-C99BCA0C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1BB659AB.dotm</Template>
  <TotalTime>1</TotalTime>
  <Pages>6</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13669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creator>Danny Thomas</dc:creator>
  <cp:lastModifiedBy>Jasper Marchesi</cp:lastModifiedBy>
  <cp:revision>3</cp:revision>
  <cp:lastPrinted>2017-05-16T05:55:00Z</cp:lastPrinted>
  <dcterms:created xsi:type="dcterms:W3CDTF">2017-05-23T04:37:00Z</dcterms:created>
  <dcterms:modified xsi:type="dcterms:W3CDTF">2017-05-23T04:38:00Z</dcterms:modified>
</cp:coreProperties>
</file>