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1.xml" ContentType="application/vnd.openxmlformats-officedocument.wordprocessingml.header+xml"/>
  <Override PartName="/word/footer4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caps w:val="0"/>
        </w:rPr>
        <w:id w:val="-309172005"/>
        <w:docPartObj>
          <w:docPartGallery w:val="Custom Cover Pages"/>
          <w:docPartUnique/>
        </w:docPartObj>
      </w:sdtPr>
      <w:sdtEndPr/>
      <w:sdtContent>
        <w:tbl>
          <w:tblPr>
            <w:tblStyle w:val="TableGrid"/>
            <w:tblW w:w="10980" w:type="dxa"/>
            <w:tblInd w:w="-5" w:type="dxa"/>
            <w:tblBorders>
              <w:top w:val="single" w:sz="4" w:space="0" w:color="000100"/>
              <w:left w:val="single" w:sz="4" w:space="0" w:color="000100"/>
              <w:bottom w:val="single" w:sz="4" w:space="0" w:color="000100"/>
              <w:right w:val="single" w:sz="4" w:space="0" w:color="000100"/>
              <w:insideH w:val="none" w:sz="0" w:space="0" w:color="auto"/>
              <w:insideV w:val="none" w:sz="0" w:space="0" w:color="auto"/>
            </w:tblBorders>
            <w:shd w:val="clear" w:color="auto" w:fill="000100"/>
            <w:tblLayout w:type="fixed"/>
            <w:tblLook w:val="04A0" w:firstRow="1" w:lastRow="0" w:firstColumn="1" w:lastColumn="0" w:noHBand="0" w:noVBand="1"/>
          </w:tblPr>
          <w:tblGrid>
            <w:gridCol w:w="2720"/>
            <w:gridCol w:w="937"/>
            <w:gridCol w:w="7316"/>
            <w:gridCol w:w="7"/>
          </w:tblGrid>
          <w:tr w:rsidR="002E3AB5" w:rsidRPr="00387654" w14:paraId="7C5DBF45" w14:textId="77777777" w:rsidTr="00425AFC">
            <w:trPr>
              <w:gridAfter w:val="1"/>
              <w:wAfter w:w="7" w:type="dxa"/>
              <w:trHeight w:hRule="exact" w:val="572"/>
            </w:trPr>
            <w:tc>
              <w:tcPr>
                <w:tcW w:w="3657" w:type="dxa"/>
                <w:gridSpan w:val="2"/>
                <w:tcBorders>
                  <w:top w:val="nil"/>
                  <w:left w:val="nil"/>
                  <w:bottom w:val="nil"/>
                </w:tcBorders>
                <w:shd w:val="clear" w:color="auto" w:fill="000000"/>
                <w:tcMar>
                  <w:top w:w="152" w:type="dxa"/>
                  <w:right w:w="0" w:type="dxa"/>
                </w:tcMar>
              </w:tcPr>
              <w:p w14:paraId="330E07DE" w14:textId="1638D54F" w:rsidR="002E3AB5" w:rsidRPr="00387654" w:rsidRDefault="002E3AB5" w:rsidP="00425AFC">
                <w:pPr>
                  <w:pStyle w:val="tagcoverPage"/>
                </w:pPr>
              </w:p>
            </w:tc>
            <w:tc>
              <w:tcPr>
                <w:tcW w:w="7316" w:type="dxa"/>
                <w:tcBorders>
                  <w:top w:val="nil"/>
                  <w:bottom w:val="nil"/>
                </w:tcBorders>
                <w:shd w:val="clear" w:color="auto" w:fill="000000"/>
              </w:tcPr>
              <w:p w14:paraId="3C50A1D8" w14:textId="77777777" w:rsidR="002E3AB5" w:rsidRPr="00387654" w:rsidRDefault="002E3AB5" w:rsidP="00425AFC">
                <w:pPr>
                  <w:pStyle w:val="CpHeaderConsulting"/>
                </w:pPr>
                <w:r w:rsidRPr="001317DA">
                  <w:rPr>
                    <w:noProof/>
                    <w:lang w:eastAsia="en-AU"/>
                  </w:rPr>
                  <mc:AlternateContent>
                    <mc:Choice Requires="wpg">
                      <w:drawing>
                        <wp:anchor distT="0" distB="0" distL="114300" distR="114300" simplePos="0" relativeHeight="251751936" behindDoc="0" locked="1" layoutInCell="1" allowOverlap="1" wp14:anchorId="19C156A7" wp14:editId="29260DCD">
                          <wp:simplePos x="0" y="0"/>
                          <wp:positionH relativeFrom="rightMargin">
                            <wp:posOffset>-3380740</wp:posOffset>
                          </wp:positionH>
                          <wp:positionV relativeFrom="page">
                            <wp:posOffset>52705</wp:posOffset>
                          </wp:positionV>
                          <wp:extent cx="3235960" cy="133350"/>
                          <wp:effectExtent l="0" t="0" r="2540" b="0"/>
                          <wp:wrapNone/>
                          <wp:docPr id="273" name="Group 10"/>
                          <wp:cNvGraphicFramePr/>
                          <a:graphic xmlns:a="http://schemas.openxmlformats.org/drawingml/2006/main">
                            <a:graphicData uri="http://schemas.microsoft.com/office/word/2010/wordprocessingGroup">
                              <wpg:wgp>
                                <wpg:cNvGrpSpPr/>
                                <wpg:grpSpPr>
                                  <a:xfrm>
                                    <a:off x="0" y="0"/>
                                    <a:ext cx="3235960" cy="133350"/>
                                    <a:chOff x="0" y="0"/>
                                    <a:chExt cx="15290801" cy="600075"/>
                                  </a:xfrm>
                                </wpg:grpSpPr>
                                <wps:wsp>
                                  <wps:cNvPr id="274" name="Freeform 2"/>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solidFill>
                                      <a:srgbClr val="9A57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6" name="Freeform 3"/>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solidFill>
                                      <a:srgbClr val="FFAF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D05902" id="Group 10" o:spid="_x0000_s1026" style="position:absolute;margin-left:-266.2pt;margin-top:4.15pt;width:254.8pt;height:10.5pt;z-index:251751936;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">
                          <v:shape id="Freeform 2" o:spid="_x0000_s1027" style="position:absolute;width:70500;height:6000;visibility:visible;mso-wrap-style:square;v-text-anchor:top" coordsize="18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P9sUA&#10;AADcAAAADwAAAGRycy9kb3ducmV2LnhtbESPW2vCQBSE3wv9D8sRfCnNpqHeoquUglh8Mxbx8SR7&#10;csHs2ZBdNf77bqHQx2FmvmFWm8G04ka9aywreItiEMSF1Q1XCr6P29c5COeRNbaWScGDHGzWz08r&#10;TLW984Fuma9EgLBLUUHtfZdK6YqaDLrIdsTBK21v0AfZV1L3eA9w08okjqfSYMNhocaOPmsqLtnV&#10;KNgdk2x/KvHcLib6pXjM8vLMuVLj0fCxBOFp8P/hv/aXVpDM3u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8/2xQAAANwAAAAPAAAAAAAAAAAAAAAAAJgCAABkcnMv&#10;ZG93bnJldi54bWxQSwUGAAAAAAQABAD1AAAAigM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color="#9a57a5"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3" o:spid="_x0000_s1028" style="position:absolute;left:79359;width:73549;height:6000;visibility:visible;mso-wrap-style:square;v-text-anchor:top" coordsize="19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vyMQA&#10;AADcAAAADwAAAGRycy9kb3ducmV2LnhtbESPQWsCMRSE7wX/Q3hCL0WzerBlNYqISk9r3QpeH8lz&#10;d3Hzsmyipv++EQo9DjPzDbNYRduKO/W+caxgMs5AEGtnGq4UnL53ow8QPiAbbB2Tgh/ysFoOXhaY&#10;G/fgI93LUIkEYZ+jgjqELpfS65os+rHriJN3cb3FkGRfSdPjI8FtK6dZNpMWG04LNXa0qUlfy5tV&#10;kJ131dch6m1hynbzttdFlNtCqddhXM9BBIrhP/zX/jQKpu8zeJ5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78jEAAAA3AAAAA8AAAAAAAAAAAAAAAAAmAIAAGRycy9k&#10;b3ducmV2LnhtbFBLBQYAAAAABAAEAPUAAACJAw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color="#ffaf3a"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2E3AB5" w14:paraId="546D08FB" w14:textId="77777777" w:rsidTr="002E3AB5">
            <w:tblPrEx>
              <w:tblBorders>
                <w:top w:val="none" w:sz="0" w:space="0" w:color="auto"/>
                <w:left w:val="none" w:sz="0" w:space="0" w:color="auto"/>
                <w:bottom w:val="none" w:sz="0" w:space="0" w:color="auto"/>
                <w:right w:val="none" w:sz="0" w:space="0" w:color="auto"/>
              </w:tblBorders>
              <w:shd w:val="clear" w:color="auto" w:fill="auto"/>
            </w:tblPrEx>
            <w:trPr>
              <w:trHeight w:hRule="exact" w:val="528"/>
            </w:trPr>
            <w:tc>
              <w:tcPr>
                <w:tcW w:w="2720" w:type="dxa"/>
                <w:shd w:val="clear" w:color="auto" w:fill="auto"/>
              </w:tcPr>
              <w:p w14:paraId="337FB82C" w14:textId="77777777" w:rsidR="002E3AB5" w:rsidRDefault="002E3AB5" w:rsidP="00425AFC"/>
            </w:tc>
            <w:tc>
              <w:tcPr>
                <w:tcW w:w="8260" w:type="dxa"/>
                <w:gridSpan w:val="3"/>
                <w:shd w:val="clear" w:color="auto" w:fill="auto"/>
              </w:tcPr>
              <w:p w14:paraId="45C93E6F" w14:textId="77777777" w:rsidR="002E3AB5" w:rsidRDefault="002E3AB5" w:rsidP="00425AFC"/>
            </w:tc>
          </w:tr>
          <w:tr w:rsidR="002E3AB5" w14:paraId="681EC8DA" w14:textId="77777777" w:rsidTr="002E3AB5">
            <w:tblPrEx>
              <w:tblBorders>
                <w:top w:val="none" w:sz="0" w:space="0" w:color="auto"/>
                <w:left w:val="none" w:sz="0" w:space="0" w:color="auto"/>
                <w:bottom w:val="none" w:sz="0" w:space="0" w:color="auto"/>
                <w:right w:val="none" w:sz="0" w:space="0" w:color="auto"/>
              </w:tblBorders>
              <w:shd w:val="clear" w:color="auto" w:fill="auto"/>
            </w:tblPrEx>
            <w:trPr>
              <w:trHeight w:hRule="exact" w:val="1212"/>
            </w:trPr>
            <w:tc>
              <w:tcPr>
                <w:tcW w:w="2720" w:type="dxa"/>
                <w:shd w:val="clear" w:color="auto" w:fill="auto"/>
              </w:tcPr>
              <w:p w14:paraId="75FE6B28" w14:textId="77777777" w:rsidR="002E3AB5" w:rsidRDefault="002E3AB5" w:rsidP="00425AFC"/>
            </w:tc>
            <w:tc>
              <w:tcPr>
                <w:tcW w:w="8260" w:type="dxa"/>
                <w:gridSpan w:val="3"/>
                <w:tcBorders>
                  <w:bottom w:val="single" w:sz="4" w:space="0" w:color="auto"/>
                </w:tcBorders>
                <w:shd w:val="clear" w:color="auto"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13"/>
                </w:tblGrid>
                <w:tr w:rsidR="002E3AB5" w14:paraId="12BD98E0" w14:textId="77777777" w:rsidTr="002E3AB5">
                  <w:tc>
                    <w:tcPr>
                      <w:tcW w:w="8113" w:type="dxa"/>
                      <w:shd w:val="clear" w:color="auto" w:fill="auto"/>
                      <w:vAlign w:val="bottom"/>
                    </w:tcPr>
                    <w:p w14:paraId="3C61E5E7" w14:textId="77777777" w:rsidR="002E3AB5" w:rsidRPr="00F21DE3" w:rsidRDefault="00DA6AE4" w:rsidP="00425AFC">
                      <w:pPr>
                        <w:pStyle w:val="CpReportTo"/>
                        <w:spacing w:after="36"/>
                      </w:pPr>
                      <w:sdt>
                        <w:sdtPr>
                          <w:id w:val="-347643168"/>
                          <w:placeholder>
                            <w:docPart w:val="FE5A4C255C8E4EB9879F48B6EFBA74A6"/>
                          </w:placeholder>
                          <w:dropDownList>
                            <w:listItem w:displayText="REPORT TO" w:value="REPORT TO"/>
                            <w:listItem w:displayText="PROPOSAL TO" w:value="PROPOSAL TO"/>
                          </w:dropDownList>
                        </w:sdtPr>
                        <w:sdtEndPr/>
                        <w:sdtContent>
                          <w:r w:rsidR="002E3AB5">
                            <w:t>REPORT TO</w:t>
                          </w:r>
                        </w:sdtContent>
                      </w:sdt>
                    </w:p>
                  </w:tc>
                </w:tr>
                <w:tr w:rsidR="002E3AB5" w14:paraId="72C3965F" w14:textId="77777777" w:rsidTr="002E3AB5">
                  <w:tc>
                    <w:tcPr>
                      <w:tcW w:w="8113" w:type="dxa"/>
                      <w:shd w:val="clear" w:color="auto" w:fill="auto"/>
                      <w:tcMar>
                        <w:bottom w:w="32" w:type="dxa"/>
                      </w:tcMar>
                    </w:tcPr>
                    <w:p w14:paraId="0E9E8792" w14:textId="389A01EE" w:rsidR="002E3AB5" w:rsidRPr="00F21DE3" w:rsidRDefault="00DB32CD" w:rsidP="00DB32CD">
                      <w:pPr>
                        <w:pStyle w:val="CpClientName"/>
                      </w:pPr>
                      <w:r>
                        <w:t>DEPARTMENT OF EDUCATION AND TRAINING</w:t>
                      </w:r>
                    </w:p>
                  </w:tc>
                </w:tr>
              </w:tbl>
              <w:p w14:paraId="546CAC67" w14:textId="77777777" w:rsidR="002E3AB5" w:rsidRDefault="002E3AB5" w:rsidP="00425AFC"/>
            </w:tc>
          </w:tr>
          <w:tr w:rsidR="002E3AB5" w14:paraId="3497AFA0" w14:textId="77777777" w:rsidTr="002E3AB5">
            <w:tblPrEx>
              <w:tblBorders>
                <w:top w:val="none" w:sz="0" w:space="0" w:color="auto"/>
                <w:left w:val="none" w:sz="0" w:space="0" w:color="auto"/>
                <w:bottom w:val="none" w:sz="0" w:space="0" w:color="auto"/>
                <w:right w:val="none" w:sz="0" w:space="0" w:color="auto"/>
              </w:tblBorders>
              <w:shd w:val="clear" w:color="auto" w:fill="auto"/>
            </w:tblPrEx>
            <w:trPr>
              <w:trHeight w:hRule="exact" w:val="560"/>
            </w:trPr>
            <w:tc>
              <w:tcPr>
                <w:tcW w:w="2720" w:type="dxa"/>
                <w:shd w:val="clear" w:color="auto" w:fill="auto"/>
              </w:tcPr>
              <w:p w14:paraId="000C4072" w14:textId="77777777" w:rsidR="002E3AB5" w:rsidRDefault="002E3AB5" w:rsidP="00425AFC"/>
            </w:tc>
            <w:tc>
              <w:tcPr>
                <w:tcW w:w="8260" w:type="dxa"/>
                <w:gridSpan w:val="3"/>
                <w:tcBorders>
                  <w:top w:val="single" w:sz="4" w:space="0" w:color="auto"/>
                </w:tcBorders>
                <w:shd w:val="clear" w:color="auto" w:fill="auto"/>
                <w:tcMar>
                  <w:top w:w="16" w:type="dxa"/>
                </w:tcMar>
              </w:tcPr>
              <w:p w14:paraId="71110271" w14:textId="23AFDF0C" w:rsidR="002E3AB5" w:rsidRDefault="00DB32CD" w:rsidP="00CE17FE">
                <w:pPr>
                  <w:pStyle w:val="CpReportDate"/>
                </w:pPr>
                <w:r>
                  <w:t>16</w:t>
                </w:r>
                <w:sdt>
                  <w:sdtPr>
                    <w:id w:val="1639841848"/>
                    <w:placeholder>
                      <w:docPart w:val="008D19F9E8FC41E2947183D01F535464"/>
                    </w:placeholder>
                    <w:date w:fullDate="2017-03-03T00:00:00Z">
                      <w:dateFormat w:val=" MMMM yyyy"/>
                      <w:lid w:val="en-AU"/>
                      <w:storeMappedDataAs w:val="dateTime"/>
                      <w:calendar w:val="gregorian"/>
                    </w:date>
                  </w:sdtPr>
                  <w:sdtEndPr/>
                  <w:sdtContent>
                    <w:r>
                      <w:t xml:space="preserve"> March 2017</w:t>
                    </w:r>
                  </w:sdtContent>
                </w:sdt>
              </w:p>
            </w:tc>
          </w:tr>
          <w:tr w:rsidR="002E3AB5" w14:paraId="76894EB7" w14:textId="77777777" w:rsidTr="00425AFC">
            <w:tblPrEx>
              <w:tblBorders>
                <w:top w:val="none" w:sz="0" w:space="0" w:color="auto"/>
                <w:left w:val="none" w:sz="0" w:space="0" w:color="auto"/>
                <w:bottom w:val="none" w:sz="0" w:space="0" w:color="auto"/>
                <w:right w:val="none" w:sz="0" w:space="0" w:color="auto"/>
              </w:tblBorders>
              <w:shd w:val="clear" w:color="auto" w:fill="auto"/>
            </w:tblPrEx>
            <w:trPr>
              <w:gridAfter w:val="1"/>
              <w:wAfter w:w="7" w:type="dxa"/>
              <w:trHeight w:hRule="exact" w:val="13040"/>
            </w:trPr>
            <w:tc>
              <w:tcPr>
                <w:tcW w:w="10973" w:type="dxa"/>
                <w:gridSpan w:val="3"/>
                <w:shd w:val="clear" w:color="auto" w:fill="auto"/>
              </w:tcPr>
              <w:tbl>
                <w:tblPr>
                  <w:tblStyle w:val="TableGrid"/>
                  <w:tblW w:w="10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6"/>
                  <w:gridCol w:w="8260"/>
                </w:tblGrid>
                <w:tr w:rsidR="002E3AB5" w14:paraId="40E40EFD" w14:textId="77777777" w:rsidTr="002E3AB5">
                  <w:tc>
                    <w:tcPr>
                      <w:tcW w:w="2736" w:type="dxa"/>
                      <w:tcBorders>
                        <w:bottom w:val="single" w:sz="4" w:space="0" w:color="auto"/>
                      </w:tcBorders>
                      <w:shd w:val="clear" w:color="auto" w:fill="auto"/>
                    </w:tcPr>
                    <w:p w14:paraId="3A395714" w14:textId="77777777" w:rsidR="002E3AB5" w:rsidRDefault="002E3AB5" w:rsidP="00425AFC"/>
                  </w:tc>
                  <w:tc>
                    <w:tcPr>
                      <w:tcW w:w="8260" w:type="dxa"/>
                      <w:tcBorders>
                        <w:bottom w:val="single" w:sz="4" w:space="0" w:color="auto"/>
                      </w:tcBorders>
                      <w:shd w:val="clear" w:color="auto" w:fill="auto"/>
                    </w:tcPr>
                    <w:p w14:paraId="44CE7ED2" w14:textId="1FA75047" w:rsidR="002E3AB5" w:rsidRPr="00083C7A" w:rsidRDefault="00DB32CD" w:rsidP="00DB32CD">
                      <w:pPr>
                        <w:pStyle w:val="CpTitle"/>
                        <w:rPr>
                          <w:color w:val="9D57A6"/>
                        </w:rPr>
                      </w:pPr>
                      <w:r>
                        <w:rPr>
                          <w:color w:val="9D57A6"/>
                        </w:rPr>
                        <w:t>EVALUATION OF THE HEPPP</w:t>
                      </w:r>
                    </w:p>
                  </w:tc>
                </w:tr>
                <w:tr w:rsidR="002E3AB5" w14:paraId="2A504382" w14:textId="77777777" w:rsidTr="002E3AB5">
                  <w:trPr>
                    <w:trHeight w:hRule="exact" w:val="440"/>
                  </w:trPr>
                  <w:tc>
                    <w:tcPr>
                      <w:tcW w:w="2736" w:type="dxa"/>
                      <w:tcBorders>
                        <w:top w:val="single" w:sz="4" w:space="0" w:color="auto"/>
                      </w:tcBorders>
                      <w:shd w:val="clear" w:color="auto" w:fill="auto"/>
                    </w:tcPr>
                    <w:p w14:paraId="081FCB71" w14:textId="77777777" w:rsidR="002E3AB5" w:rsidRDefault="002E3AB5" w:rsidP="00425AFC">
                      <w:pPr>
                        <w:pStyle w:val="spacer-Shapes"/>
                      </w:pPr>
                    </w:p>
                  </w:tc>
                  <w:tc>
                    <w:tcPr>
                      <w:tcW w:w="8260" w:type="dxa"/>
                      <w:tcBorders>
                        <w:top w:val="single" w:sz="4" w:space="0" w:color="auto"/>
                      </w:tcBorders>
                      <w:shd w:val="clear" w:color="auto" w:fill="auto"/>
                    </w:tcPr>
                    <w:p w14:paraId="46CC651F" w14:textId="77777777" w:rsidR="002E3AB5" w:rsidRDefault="002E3AB5" w:rsidP="00425AFC">
                      <w:pPr>
                        <w:pStyle w:val="spacer"/>
                      </w:pPr>
                      <w:r>
                        <w:rPr>
                          <w:noProof/>
                          <w:lang w:eastAsia="en-AU"/>
                        </w:rPr>
                        <mc:AlternateContent>
                          <mc:Choice Requires="wps">
                            <w:drawing>
                              <wp:anchor distT="0" distB="0" distL="114300" distR="114300" simplePos="0" relativeHeight="251750912" behindDoc="0" locked="1" layoutInCell="1" allowOverlap="1" wp14:anchorId="33EC2FBD" wp14:editId="06F03D54">
                                <wp:simplePos x="0" y="0"/>
                                <wp:positionH relativeFrom="page">
                                  <wp:posOffset>-678180</wp:posOffset>
                                </wp:positionH>
                                <wp:positionV relativeFrom="page">
                                  <wp:posOffset>2540</wp:posOffset>
                                </wp:positionV>
                                <wp:extent cx="546735" cy="267335"/>
                                <wp:effectExtent l="0" t="0" r="5715" b="0"/>
                                <wp:wrapNone/>
                                <wp:docPr id="277"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46735" cy="26733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B"/>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35DA52" id="cp_sails_contacts" o:spid="_x0000_s1026" style="position:absolute;margin-left:-53.4pt;margin-top:.2pt;width:43.05pt;height:21.0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" path="m822,r,828l,828,822,xm863,828r823,l1686,,863,828xe" fillcolor="#ffaf3b" stroked="f">
                                <v:path arrowok="t" o:connecttype="custom" o:connectlocs="266558,0;266558,267335;0,267335;266558,0;279853,267335;546735,267335;546735,0;279853,267335" o:connectangles="0,0,0,0,0,0,0,0"/>
                                <o:lock v:ext="edit" aspectratio="t" verticies="t"/>
                                <w10:wrap anchorx="page" anchory="page"/>
                                <w10:anchorlock/>
                              </v:shape>
                            </w:pict>
                          </mc:Fallback>
                        </mc:AlternateContent>
                      </w:r>
                    </w:p>
                  </w:tc>
                </w:tr>
                <w:tr w:rsidR="002E3AB5" w14:paraId="02F5A0A1" w14:textId="77777777" w:rsidTr="002E3AB5">
                  <w:tc>
                    <w:tcPr>
                      <w:tcW w:w="2736" w:type="dxa"/>
                      <w:shd w:val="clear" w:color="auto" w:fill="auto"/>
                    </w:tcPr>
                    <w:p w14:paraId="643AA59F" w14:textId="77777777" w:rsidR="002E3AB5" w:rsidRDefault="002E3AB5" w:rsidP="00425AFC">
                      <w:pPr>
                        <w:pStyle w:val="tagcoverPage"/>
                      </w:pPr>
                    </w:p>
                  </w:tc>
                  <w:tc>
                    <w:tcPr>
                      <w:tcW w:w="8260" w:type="dxa"/>
                      <w:shd w:val="clear" w:color="auto" w:fill="auto"/>
                      <w:tcMar>
                        <w:left w:w="0" w:type="dxa"/>
                      </w:tcMar>
                    </w:tcPr>
                    <w:p w14:paraId="38F0A4F8" w14:textId="53AFE925" w:rsidR="002E3AB5" w:rsidRPr="00F21DE3" w:rsidRDefault="00DB32CD" w:rsidP="00425AFC">
                      <w:pPr>
                        <w:pStyle w:val="CpSubTitle"/>
                      </w:pPr>
                      <w:r>
                        <w:t>HIGHER EDUCATION PARTICIPATION AND PARTNERSHIPS PROGRAM</w:t>
                      </w:r>
                    </w:p>
                  </w:tc>
                </w:tr>
                <w:tr w:rsidR="002E3AB5" w14:paraId="303D59CB" w14:textId="77777777" w:rsidTr="002E3AB5">
                  <w:tc>
                    <w:tcPr>
                      <w:tcW w:w="2736" w:type="dxa"/>
                      <w:shd w:val="clear" w:color="auto" w:fill="auto"/>
                    </w:tcPr>
                    <w:p w14:paraId="241FEE7F" w14:textId="77777777" w:rsidR="002E3AB5" w:rsidRDefault="002E3AB5" w:rsidP="00425AFC"/>
                  </w:tc>
                  <w:tc>
                    <w:tcPr>
                      <w:tcW w:w="8260" w:type="dxa"/>
                      <w:shd w:val="clear" w:color="auto" w:fill="auto"/>
                      <w:tcMar>
                        <w:bottom w:w="640" w:type="dxa"/>
                      </w:tcMar>
                    </w:tcPr>
                    <w:p w14:paraId="780D45D8" w14:textId="1E9012F9" w:rsidR="002E3AB5" w:rsidRPr="00F21DE3" w:rsidRDefault="002E3AB5" w:rsidP="00425AFC">
                      <w:pPr>
                        <w:pStyle w:val="CpBoldSubTitle"/>
                      </w:pPr>
                    </w:p>
                  </w:tc>
                </w:tr>
              </w:tbl>
              <w:p w14:paraId="3CAA90FF" w14:textId="77777777" w:rsidR="002E3AB5" w:rsidRDefault="002E3AB5" w:rsidP="00425AFC">
                <w:pPr>
                  <w:pStyle w:val="Normal-nospace"/>
                </w:pPr>
              </w:p>
            </w:tc>
          </w:tr>
        </w:tbl>
        <w:p w14:paraId="0C9DB8A5" w14:textId="6AE60ACA" w:rsidR="002E3AB5" w:rsidRDefault="00DA6AE4" w:rsidP="00425AFC">
          <w:pPr>
            <w:pStyle w:val="spacer"/>
            <w:sectPr w:rsidR="002E3AB5" w:rsidSect="00425AFC">
              <w:headerReference w:type="even" r:id="rId12"/>
              <w:headerReference w:type="first" r:id="rId13"/>
              <w:pgSz w:w="11907" w:h="16839" w:code="9"/>
              <w:pgMar w:top="462" w:right="443" w:bottom="350" w:left="476" w:header="210" w:footer="234" w:gutter="0"/>
              <w:pgNumType w:start="0"/>
              <w:cols w:space="708"/>
              <w:titlePg/>
              <w:docGrid w:linePitch="360"/>
            </w:sectPr>
          </w:pPr>
        </w:p>
      </w:sdtContent>
    </w:sdt>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10"/>
        <w:gridCol w:w="7377"/>
        <w:gridCol w:w="2492"/>
      </w:tblGrid>
      <w:tr w:rsidR="002E3AB5" w14:paraId="6924E76A" w14:textId="77777777" w:rsidTr="00425AFC">
        <w:trPr>
          <w:trHeight w:hRule="exact" w:val="8477"/>
        </w:trPr>
        <w:tc>
          <w:tcPr>
            <w:tcW w:w="8459" w:type="dxa"/>
            <w:gridSpan w:val="3"/>
            <w:shd w:val="clear" w:color="auto" w:fill="auto"/>
            <w:tcMar>
              <w:left w:w="0" w:type="dxa"/>
            </w:tcMar>
          </w:tcPr>
          <w:p w14:paraId="5E3BA490" w14:textId="2A631AD9" w:rsidR="00BC2437" w:rsidRDefault="00BC2437" w:rsidP="00425AFC">
            <w:pPr>
              <w:pStyle w:val="tagcontactsPage-Front"/>
            </w:pPr>
          </w:p>
          <w:p w14:paraId="74215334" w14:textId="77777777" w:rsidR="00BC2437" w:rsidRPr="00BC2437" w:rsidRDefault="00BC2437" w:rsidP="00BC2437"/>
          <w:p w14:paraId="398DFE5E" w14:textId="77777777" w:rsidR="00BC2437" w:rsidRPr="00BC2437" w:rsidRDefault="00BC2437" w:rsidP="00BC2437"/>
          <w:p w14:paraId="7A529E43" w14:textId="77777777" w:rsidR="00BC2437" w:rsidRPr="00BC2437" w:rsidRDefault="00BC2437" w:rsidP="00BC2437"/>
          <w:p w14:paraId="45F6DEE8" w14:textId="77777777" w:rsidR="00BC2437" w:rsidRPr="00BC2437" w:rsidRDefault="00BC2437" w:rsidP="00BC2437"/>
          <w:p w14:paraId="5E8C5671" w14:textId="77777777" w:rsidR="00BC2437" w:rsidRPr="00BC2437" w:rsidRDefault="00BC2437" w:rsidP="00BC2437"/>
          <w:p w14:paraId="6585E628" w14:textId="77777777" w:rsidR="00BC2437" w:rsidRPr="00BC2437" w:rsidRDefault="00BC2437" w:rsidP="00BC2437"/>
          <w:p w14:paraId="6C908707" w14:textId="77777777" w:rsidR="00BC2437" w:rsidRPr="00BC2437" w:rsidRDefault="00BC2437" w:rsidP="00BC2437"/>
          <w:p w14:paraId="2E4236CB" w14:textId="77777777" w:rsidR="00BC2437" w:rsidRPr="00BC2437" w:rsidRDefault="00BC2437" w:rsidP="00BC2437"/>
          <w:p w14:paraId="6369C95F" w14:textId="77777777" w:rsidR="00BC2437" w:rsidRPr="00BC2437" w:rsidRDefault="00BC2437" w:rsidP="00BC2437"/>
          <w:p w14:paraId="187DD3CD" w14:textId="77777777" w:rsidR="00BC2437" w:rsidRPr="00BC2437" w:rsidRDefault="00BC2437" w:rsidP="00BC2437"/>
          <w:p w14:paraId="78A4435C" w14:textId="77777777" w:rsidR="00BC2437" w:rsidRPr="00BC2437" w:rsidRDefault="00BC2437" w:rsidP="00BC2437"/>
          <w:p w14:paraId="6839B679" w14:textId="77777777" w:rsidR="00BC2437" w:rsidRPr="00BC2437" w:rsidRDefault="00BC2437" w:rsidP="00BC2437"/>
          <w:p w14:paraId="4EFC97FD" w14:textId="77777777" w:rsidR="00BC2437" w:rsidRPr="00BC2437" w:rsidRDefault="00BC2437" w:rsidP="00BC2437"/>
          <w:p w14:paraId="2F54122C" w14:textId="77777777" w:rsidR="00BC2437" w:rsidRPr="00BC2437" w:rsidRDefault="00BC2437" w:rsidP="00BC2437"/>
          <w:p w14:paraId="7A4096FD" w14:textId="77777777" w:rsidR="00BC2437" w:rsidRPr="00BC2437" w:rsidRDefault="00BC2437" w:rsidP="00BC2437"/>
          <w:p w14:paraId="1EB7A9C4" w14:textId="77777777" w:rsidR="00BC2437" w:rsidRPr="00BC2437" w:rsidRDefault="00BC2437" w:rsidP="00BC2437"/>
          <w:p w14:paraId="3709B71F" w14:textId="06F8962E" w:rsidR="00BC2437" w:rsidRDefault="00BC2437" w:rsidP="00BC2437"/>
          <w:p w14:paraId="09A60B40" w14:textId="420A53FE" w:rsidR="00BC2437" w:rsidRDefault="00BC2437" w:rsidP="00BC2437"/>
          <w:p w14:paraId="21450487" w14:textId="6FCB6CEE" w:rsidR="002E3AB5" w:rsidRPr="00BC2437" w:rsidRDefault="00BC2437" w:rsidP="00BC2437">
            <w:pPr>
              <w:tabs>
                <w:tab w:val="left" w:pos="3374"/>
              </w:tabs>
            </w:pPr>
            <w:r>
              <w:tab/>
            </w:r>
          </w:p>
        </w:tc>
        <w:tc>
          <w:tcPr>
            <w:tcW w:w="2492" w:type="dxa"/>
            <w:shd w:val="clear" w:color="auto" w:fill="auto"/>
            <w:tcMar>
              <w:top w:w="0" w:type="dxa"/>
              <w:right w:w="100" w:type="dxa"/>
            </w:tcMar>
          </w:tcPr>
          <w:p w14:paraId="3125006E" w14:textId="77777777" w:rsidR="002E3AB5" w:rsidRDefault="002E3AB5" w:rsidP="00425AFC">
            <w:pPr>
              <w:pStyle w:val="CpContactDetails"/>
            </w:pPr>
            <w:r>
              <w:t>ACIL ALLEN</w:t>
            </w:r>
            <w:r w:rsidRPr="00222CFB">
              <w:rPr>
                <w:spacing w:val="-8"/>
              </w:rPr>
              <w:t xml:space="preserve"> </w:t>
            </w:r>
            <w:r>
              <w:t>CONSU</w:t>
            </w:r>
            <w:r w:rsidRPr="00222CFB">
              <w:rPr>
                <w:spacing w:val="-16"/>
              </w:rPr>
              <w:t>L</w:t>
            </w:r>
            <w:r>
              <w:t xml:space="preserve">TING PTY </w:t>
            </w:r>
            <w:r w:rsidRPr="00222CFB">
              <w:rPr>
                <w:spacing w:val="-12"/>
              </w:rPr>
              <w:t>L</w:t>
            </w:r>
            <w:r>
              <w:t>TD</w:t>
            </w:r>
            <w:r>
              <w:br/>
              <w:t>ABN 68 102 652 1</w:t>
            </w:r>
            <w:r w:rsidRPr="00222CFB">
              <w:rPr>
                <w:spacing w:val="-4"/>
              </w:rPr>
              <w:t>4</w:t>
            </w:r>
            <w:r>
              <w:t>8</w:t>
            </w:r>
          </w:p>
          <w:p w14:paraId="738E46D0" w14:textId="77777777" w:rsidR="002E3AB5" w:rsidRPr="00032900" w:rsidRDefault="002E3AB5" w:rsidP="00425AFC">
            <w:pPr>
              <w:pStyle w:val="CpContactDetails"/>
            </w:pPr>
            <w:r w:rsidRPr="00032900">
              <w:t>Level FIFTEEN</w:t>
            </w:r>
            <w:r w:rsidRPr="00032900">
              <w:br/>
              <w:t>127 Creek Street</w:t>
            </w:r>
            <w:r w:rsidRPr="00032900">
              <w:br/>
              <w:t>Brisbane QLD 4000</w:t>
            </w:r>
            <w:r w:rsidRPr="00032900">
              <w:br/>
            </w:r>
            <w:r w:rsidRPr="00032900">
              <w:rPr>
                <w:spacing w:val="-8"/>
              </w:rPr>
              <w:t>A</w:t>
            </w:r>
            <w:r w:rsidRPr="00032900">
              <w:t>ustralia</w:t>
            </w:r>
            <w:r w:rsidRPr="00032900">
              <w:br/>
              <w:t>T+61 7 3009 8700</w:t>
            </w:r>
            <w:r w:rsidRPr="00032900">
              <w:br/>
              <w:t>F+61 7 3009 8799</w:t>
            </w:r>
          </w:p>
          <w:p w14:paraId="343F8503" w14:textId="77777777" w:rsidR="002E3AB5" w:rsidRDefault="002E3AB5" w:rsidP="00425AFC">
            <w:pPr>
              <w:pStyle w:val="CpContactDetails"/>
            </w:pPr>
            <w:r>
              <w:t>Level ONE</w:t>
            </w:r>
            <w:r>
              <w:br/>
              <w:t>15 LONDON CIRCUIT</w:t>
            </w:r>
            <w:r>
              <w:br/>
              <w:t>CANBERRA ACT 2600</w:t>
            </w:r>
            <w:r>
              <w:br/>
            </w:r>
            <w:r w:rsidRPr="00222CFB">
              <w:rPr>
                <w:spacing w:val="-8"/>
              </w:rPr>
              <w:t>A</w:t>
            </w:r>
            <w:r>
              <w:t>USTRALIA</w:t>
            </w:r>
            <w:r>
              <w:br/>
              <w:t xml:space="preserve">T+61 2 </w:t>
            </w:r>
            <w:r w:rsidRPr="00222CFB">
              <w:rPr>
                <w:spacing w:val="-12"/>
              </w:rPr>
              <w:t>6</w:t>
            </w:r>
            <w:r>
              <w:t>103 8200</w:t>
            </w:r>
            <w:r>
              <w:br/>
              <w:t xml:space="preserve">F+61 2 </w:t>
            </w:r>
            <w:r w:rsidRPr="00222CFB">
              <w:rPr>
                <w:spacing w:val="-12"/>
              </w:rPr>
              <w:t>6</w:t>
            </w:r>
            <w:r>
              <w:t>103 8233</w:t>
            </w:r>
          </w:p>
          <w:p w14:paraId="03DE89DA" w14:textId="77777777" w:rsidR="002E3AB5" w:rsidRDefault="002E3AB5" w:rsidP="00425AFC">
            <w:pPr>
              <w:pStyle w:val="CpContactDetails"/>
            </w:pPr>
            <w:r>
              <w:t>Level NINE</w:t>
            </w:r>
            <w:r>
              <w:br/>
              <w:t>60 Collins Street</w:t>
            </w:r>
            <w:r>
              <w:br/>
              <w:t>MELBOURNE VIC 3000</w:t>
            </w:r>
            <w:r>
              <w:br/>
            </w:r>
            <w:r w:rsidRPr="00222CFB">
              <w:rPr>
                <w:spacing w:val="-12"/>
              </w:rPr>
              <w:t>A</w:t>
            </w:r>
            <w:r>
              <w:t>USTRALIA</w:t>
            </w:r>
            <w:r>
              <w:br/>
              <w:t>T+61 3 8650 6000</w:t>
            </w:r>
            <w:r>
              <w:br/>
              <w:t>F+61 3 9654 6363</w:t>
            </w:r>
          </w:p>
          <w:p w14:paraId="0B5B27CC" w14:textId="77777777" w:rsidR="002E3AB5" w:rsidRDefault="002E3AB5" w:rsidP="00425AFC">
            <w:pPr>
              <w:pStyle w:val="CpContactDetails"/>
            </w:pPr>
            <w:r>
              <w:t>Level one</w:t>
            </w:r>
            <w:r>
              <w:br/>
              <w:t>50 Pitt Street</w:t>
            </w:r>
            <w:r>
              <w:br/>
              <w:t>SYDNEY NSW 2000</w:t>
            </w:r>
            <w:r>
              <w:br/>
              <w:t>AUSTRALIA</w:t>
            </w:r>
            <w:r>
              <w:br/>
              <w:t>T+61</w:t>
            </w:r>
            <w:r w:rsidRPr="00222CFB">
              <w:rPr>
                <w:spacing w:val="-8"/>
              </w:rPr>
              <w:t xml:space="preserve"> </w:t>
            </w:r>
            <w:r>
              <w:t>2 8272 5100</w:t>
            </w:r>
            <w:r>
              <w:br/>
              <w:t>F+</w:t>
            </w:r>
            <w:r w:rsidRPr="00222CFB">
              <w:rPr>
                <w:spacing w:val="-6"/>
              </w:rPr>
              <w:t>6</w:t>
            </w:r>
            <w:r>
              <w:t>1 2 92</w:t>
            </w:r>
            <w:r w:rsidRPr="00222CFB">
              <w:rPr>
                <w:spacing w:val="-8"/>
              </w:rPr>
              <w:t>4</w:t>
            </w:r>
            <w:r>
              <w:t>7 2455</w:t>
            </w:r>
          </w:p>
          <w:p w14:paraId="4312680B" w14:textId="77777777" w:rsidR="002E3AB5" w:rsidRDefault="002E3AB5" w:rsidP="00425AFC">
            <w:pPr>
              <w:pStyle w:val="CpContactDetails"/>
            </w:pPr>
            <w:r>
              <w:t>level twelve, bgc centre</w:t>
            </w:r>
            <w:r>
              <w:br/>
              <w:t>28 the esplanade</w:t>
            </w:r>
            <w:r>
              <w:br/>
              <w:t>PERTH WA 6000</w:t>
            </w:r>
            <w:r>
              <w:br/>
              <w:t>AUSTRALIA</w:t>
            </w:r>
            <w:r>
              <w:br/>
              <w:t>T+61 8 9449 9600</w:t>
            </w:r>
            <w:r>
              <w:br/>
              <w:t>F+61 8 9322 3955</w:t>
            </w:r>
          </w:p>
          <w:p w14:paraId="342E4AE9" w14:textId="77777777" w:rsidR="002E3AB5" w:rsidRDefault="002E3AB5" w:rsidP="00425AFC">
            <w:pPr>
              <w:pStyle w:val="CpContactDetails"/>
            </w:pPr>
            <w:r>
              <w:t>161 Wakefield street</w:t>
            </w:r>
            <w:r>
              <w:br/>
              <w:t>Adelaide sa 5000</w:t>
            </w:r>
            <w:r>
              <w:br/>
              <w:t>AUSTRALIA</w:t>
            </w:r>
            <w:r>
              <w:br/>
              <w:t>t +61 8 8122 4965</w:t>
            </w:r>
          </w:p>
          <w:p w14:paraId="6EFC891C" w14:textId="77777777" w:rsidR="002E3AB5" w:rsidRDefault="002E3AB5" w:rsidP="00425AFC">
            <w:pPr>
              <w:pStyle w:val="CpContactDetails"/>
            </w:pPr>
            <w:r>
              <w:t>acilallen</w:t>
            </w:r>
            <w:r w:rsidRPr="00CE7775">
              <w:rPr>
                <w:spacing w:val="-12"/>
              </w:rPr>
              <w:t>.</w:t>
            </w:r>
            <w:r>
              <w:t>com.</w:t>
            </w:r>
            <w:r w:rsidRPr="00CE7775">
              <w:rPr>
                <w:spacing w:val="-10"/>
              </w:rPr>
              <w:t>a</w:t>
            </w:r>
            <w:r>
              <w:t>u</w:t>
            </w:r>
          </w:p>
        </w:tc>
      </w:tr>
      <w:tr w:rsidR="002E3AB5" w14:paraId="75CF52E1" w14:textId="77777777" w:rsidTr="00425AFC">
        <w:trPr>
          <w:trHeight w:hRule="exact" w:val="1360"/>
        </w:trPr>
        <w:tc>
          <w:tcPr>
            <w:tcW w:w="1082" w:type="dxa"/>
            <w:gridSpan w:val="2"/>
            <w:shd w:val="clear" w:color="auto" w:fill="auto"/>
            <w:tcMar>
              <w:left w:w="0" w:type="dxa"/>
              <w:right w:w="436" w:type="dxa"/>
            </w:tcMar>
          </w:tcPr>
          <w:p w14:paraId="47CEAB3E" w14:textId="77777777" w:rsidR="002E3AB5" w:rsidRDefault="002E3AB5" w:rsidP="00425AFC">
            <w:pPr>
              <w:pStyle w:val="spacer"/>
            </w:pPr>
          </w:p>
        </w:tc>
        <w:tc>
          <w:tcPr>
            <w:tcW w:w="9869" w:type="dxa"/>
            <w:gridSpan w:val="2"/>
            <w:shd w:val="clear" w:color="auto" w:fill="auto"/>
            <w:vAlign w:val="bottom"/>
          </w:tcPr>
          <w:p w14:paraId="46C3B3B7" w14:textId="77777777" w:rsidR="002E3AB5" w:rsidRDefault="002E3AB5" w:rsidP="00425AFC">
            <w:pPr>
              <w:pStyle w:val="CpDisclaimer"/>
            </w:pPr>
            <w:r>
              <w:t xml:space="preserve">SUGGESTED CITATION FOR THIS REPORT </w:t>
            </w:r>
          </w:p>
          <w:p w14:paraId="47572911" w14:textId="7E749F30" w:rsidR="002E3AB5" w:rsidRDefault="00DB32CD" w:rsidP="00425AFC">
            <w:pPr>
              <w:pStyle w:val="CpDisclaimer"/>
            </w:pPr>
            <w:r w:rsidRPr="00B759F6">
              <w:t>ACIL ALLEN CONSULTING 2017, EVALUATION OF THE HIGHER EDUCATION PARTICIPATION AND PARTNERSHIPS PROGRAM</w:t>
            </w:r>
            <w:r w:rsidR="00B759F6" w:rsidRPr="00B759F6">
              <w:t>, Melbourne.</w:t>
            </w:r>
          </w:p>
        </w:tc>
      </w:tr>
      <w:tr w:rsidR="002E3AB5" w14:paraId="22322A76" w14:textId="77777777" w:rsidTr="00425AFC">
        <w:trPr>
          <w:trHeight w:hRule="exact" w:val="4432"/>
        </w:trPr>
        <w:tc>
          <w:tcPr>
            <w:tcW w:w="1072" w:type="dxa"/>
            <w:shd w:val="clear" w:color="auto" w:fill="auto"/>
            <w:tcMar>
              <w:left w:w="0" w:type="dxa"/>
              <w:right w:w="436" w:type="dxa"/>
            </w:tcMar>
          </w:tcPr>
          <w:p w14:paraId="2DAB7C8C" w14:textId="77777777" w:rsidR="002E3AB5" w:rsidRDefault="002E3AB5" w:rsidP="00425AFC">
            <w:pPr>
              <w:pStyle w:val="CpDisclaimer"/>
            </w:pPr>
          </w:p>
        </w:tc>
        <w:tc>
          <w:tcPr>
            <w:tcW w:w="9879" w:type="dxa"/>
            <w:gridSpan w:val="3"/>
            <w:shd w:val="clear" w:color="auto" w:fill="auto"/>
            <w:tcMar>
              <w:right w:w="400" w:type="dxa"/>
            </w:tcMar>
            <w:vAlign w:val="bottom"/>
          </w:tcPr>
          <w:p w14:paraId="193AB3BE" w14:textId="0D48B94E" w:rsidR="002E3AB5" w:rsidRDefault="002E3AB5" w:rsidP="00425AFC">
            <w:pPr>
              <w:pStyle w:val="CpDisclaimer"/>
            </w:pPr>
          </w:p>
          <w:p w14:paraId="453F2318" w14:textId="7C0E2C3A" w:rsidR="002E3AB5" w:rsidRDefault="002E3AB5" w:rsidP="00425AFC">
            <w:pPr>
              <w:pStyle w:val="CpDisclaimer"/>
            </w:pPr>
            <w:r>
              <w:t xml:space="preserve">© acil </w:t>
            </w:r>
            <w:r w:rsidRPr="00D708C0">
              <w:rPr>
                <w:spacing w:val="-8"/>
              </w:rPr>
              <w:t>A</w:t>
            </w:r>
            <w:r>
              <w:t>llen Consu</w:t>
            </w:r>
            <w:r w:rsidRPr="00D708C0">
              <w:rPr>
                <w:spacing w:val="-16"/>
              </w:rPr>
              <w:t>l</w:t>
            </w:r>
            <w:r>
              <w:t>ting 2017</w:t>
            </w:r>
          </w:p>
        </w:tc>
      </w:tr>
    </w:tbl>
    <w:p w14:paraId="7993A311" w14:textId="77777777" w:rsidR="002E3AB5" w:rsidRDefault="002E3AB5" w:rsidP="00425AFC">
      <w:pPr>
        <w:pStyle w:val="spacer"/>
      </w:pPr>
    </w:p>
    <w:p w14:paraId="2FE3B7D7" w14:textId="77777777" w:rsidR="002E3AB5" w:rsidRDefault="002E3AB5" w:rsidP="00425AFC">
      <w:pPr>
        <w:pStyle w:val="spacer"/>
        <w:sectPr w:rsidR="002E3AB5" w:rsidSect="00425AFC">
          <w:headerReference w:type="even" r:id="rId14"/>
          <w:headerReference w:type="default" r:id="rId15"/>
          <w:footerReference w:type="even" r:id="rId16"/>
          <w:footerReference w:type="default" r:id="rId17"/>
          <w:headerReference w:type="first" r:id="rId18"/>
          <w:footerReference w:type="first" r:id="rId19"/>
          <w:pgSz w:w="11907" w:h="16839" w:code="9"/>
          <w:pgMar w:top="1100" w:right="442" w:bottom="482" w:left="476" w:header="454" w:footer="261" w:gutter="0"/>
          <w:cols w:space="708"/>
          <w:docGrid w:linePitch="360"/>
        </w:sectPr>
      </w:pPr>
    </w:p>
    <w:p w14:paraId="2A1ED604" w14:textId="28487E58" w:rsidR="002E3AB5" w:rsidRDefault="002E3AB5" w:rsidP="002E3AB5">
      <w:pPr>
        <w:pStyle w:val="TOC6"/>
        <w:rPr>
          <w:rFonts w:asciiTheme="minorHAnsi" w:eastAsiaTheme="minorEastAsia" w:hAnsiTheme="minorHAnsi"/>
          <w:caps w:val="0"/>
          <w:sz w:val="22"/>
          <w:lang w:eastAsia="en-AU"/>
        </w:rPr>
      </w:pPr>
      <w:r w:rsidRPr="005C49A4">
        <w:lastRenderedPageBreak/>
        <w:t>Acknowledgements</w:t>
      </w:r>
      <w:r>
        <w:tab/>
      </w:r>
      <w:r w:rsidR="000B0B11">
        <w:t>ix</w:t>
      </w:r>
    </w:p>
    <w:p w14:paraId="7C052659" w14:textId="78F3895A" w:rsidR="002E3AB5" w:rsidRDefault="002E3AB5" w:rsidP="002E3AB5">
      <w:pPr>
        <w:pStyle w:val="TOC6"/>
        <w:rPr>
          <w:rFonts w:asciiTheme="minorHAnsi" w:eastAsiaTheme="minorEastAsia" w:hAnsiTheme="minorHAnsi"/>
          <w:caps w:val="0"/>
          <w:sz w:val="22"/>
          <w:lang w:eastAsia="en-AU"/>
        </w:rPr>
      </w:pPr>
      <w:r w:rsidRPr="005C49A4">
        <w:t>List of acronyms</w:t>
      </w:r>
      <w:r w:rsidR="000B0B11">
        <w:tab/>
      </w:r>
      <w:r>
        <w:t>x</w:t>
      </w:r>
    </w:p>
    <w:p w14:paraId="6C9D2ECC" w14:textId="5A0851EA" w:rsidR="002E3AB5" w:rsidRDefault="002E3AB5" w:rsidP="002E3AB5">
      <w:pPr>
        <w:pStyle w:val="TOC1"/>
        <w:rPr>
          <w:rFonts w:asciiTheme="minorHAnsi" w:eastAsiaTheme="minorEastAsia" w:hAnsiTheme="minorHAnsi"/>
          <w:caps w:val="0"/>
          <w:sz w:val="22"/>
          <w:lang w:eastAsia="en-AU"/>
        </w:rPr>
      </w:pPr>
      <w:r w:rsidRPr="005C49A4">
        <w:t>Executive Summary</w:t>
      </w:r>
      <w:r>
        <w:tab/>
      </w:r>
      <w:r w:rsidR="000B0B11">
        <w:t>x</w:t>
      </w:r>
      <w:r>
        <w:t>i</w:t>
      </w:r>
      <w:r w:rsidR="000B0B11">
        <w:t>ii</w:t>
      </w:r>
    </w:p>
    <w:p w14:paraId="65193BB9" w14:textId="77777777" w:rsidR="002E3AB5" w:rsidRDefault="002E3AB5" w:rsidP="002E3AB5">
      <w:pPr>
        <w:pStyle w:val="TOC2"/>
        <w:rPr>
          <w:rFonts w:asciiTheme="minorHAnsi" w:eastAsiaTheme="minorEastAsia" w:hAnsiTheme="minorHAnsi"/>
          <w:caps w:val="0"/>
          <w:color w:val="auto"/>
          <w:sz w:val="22"/>
          <w:lang w:eastAsia="en-AU"/>
        </w:rPr>
      </w:pPr>
      <w:r w:rsidRPr="005C49A4">
        <w:t>PART I</w:t>
      </w:r>
    </w:p>
    <w:p w14:paraId="14150C8A" w14:textId="77777777" w:rsidR="002E3AB5" w:rsidRDefault="002E3AB5" w:rsidP="002E3AB5">
      <w:pPr>
        <w:pStyle w:val="TOC3"/>
        <w:rPr>
          <w:rFonts w:asciiTheme="minorHAnsi" w:eastAsiaTheme="minorEastAsia" w:hAnsiTheme="minorHAnsi"/>
          <w:color w:val="auto"/>
          <w:position w:val="0"/>
          <w:sz w:val="22"/>
          <w:lang w:eastAsia="en-AU"/>
        </w:rPr>
      </w:pPr>
      <w:r w:rsidRPr="005C49A4">
        <w:t>1</w:t>
      </w:r>
    </w:p>
    <w:p w14:paraId="068EC5EE" w14:textId="77777777" w:rsidR="002E3AB5" w:rsidRDefault="002E3AB5" w:rsidP="002E3AB5">
      <w:pPr>
        <w:pStyle w:val="TOC4"/>
        <w:rPr>
          <w:rFonts w:asciiTheme="minorHAnsi" w:eastAsiaTheme="minorEastAsia" w:hAnsiTheme="minorHAnsi"/>
          <w:i w:val="0"/>
          <w:color w:val="auto"/>
          <w:sz w:val="22"/>
          <w:lang w:eastAsia="en-AU"/>
        </w:rPr>
      </w:pPr>
      <w:r w:rsidRPr="005C49A4">
        <w:t>Introduction</w:t>
      </w:r>
      <w:r>
        <w:tab/>
        <w:t>1</w:t>
      </w:r>
    </w:p>
    <w:p w14:paraId="2E4BECFD" w14:textId="75F6AC91" w:rsidR="002E3AB5" w:rsidRDefault="002E3AB5" w:rsidP="002E3AB5">
      <w:pPr>
        <w:pStyle w:val="TOC5"/>
        <w:rPr>
          <w:rFonts w:asciiTheme="minorHAnsi" w:eastAsiaTheme="minorEastAsia" w:hAnsiTheme="minorHAnsi"/>
          <w:color w:val="auto"/>
          <w:spacing w:val="0"/>
          <w:sz w:val="22"/>
          <w:lang w:eastAsia="en-AU"/>
        </w:rPr>
      </w:pPr>
      <w:r w:rsidRPr="005C49A4">
        <w:t>1.1</w:t>
      </w:r>
      <w:r>
        <w:rPr>
          <w:rFonts w:asciiTheme="minorHAnsi" w:eastAsiaTheme="minorEastAsia" w:hAnsiTheme="minorHAnsi"/>
          <w:color w:val="auto"/>
          <w:spacing w:val="0"/>
          <w:sz w:val="22"/>
          <w:lang w:eastAsia="en-AU"/>
        </w:rPr>
        <w:tab/>
      </w:r>
      <w:r w:rsidRPr="005C49A4">
        <w:t>Evaluation overview</w:t>
      </w:r>
      <w:r>
        <w:tab/>
      </w:r>
      <w:r w:rsidR="00313A17">
        <w:t>2</w:t>
      </w:r>
    </w:p>
    <w:p w14:paraId="31CF8239" w14:textId="2A70B12F" w:rsidR="002E3AB5" w:rsidRDefault="002E3AB5" w:rsidP="002E3AB5">
      <w:pPr>
        <w:pStyle w:val="TOC5"/>
        <w:rPr>
          <w:rFonts w:asciiTheme="minorHAnsi" w:eastAsiaTheme="minorEastAsia" w:hAnsiTheme="minorHAnsi"/>
          <w:color w:val="auto"/>
          <w:spacing w:val="0"/>
          <w:sz w:val="22"/>
          <w:lang w:eastAsia="en-AU"/>
        </w:rPr>
      </w:pPr>
      <w:r w:rsidRPr="005C49A4">
        <w:t>1.2</w:t>
      </w:r>
      <w:r>
        <w:rPr>
          <w:rFonts w:asciiTheme="minorHAnsi" w:eastAsiaTheme="minorEastAsia" w:hAnsiTheme="minorHAnsi"/>
          <w:color w:val="auto"/>
          <w:spacing w:val="0"/>
          <w:sz w:val="22"/>
          <w:lang w:eastAsia="en-AU"/>
        </w:rPr>
        <w:tab/>
      </w:r>
      <w:r w:rsidRPr="005C49A4">
        <w:t>Evaluation method</w:t>
      </w:r>
      <w:r>
        <w:tab/>
      </w:r>
      <w:r w:rsidR="00313A17">
        <w:t>2</w:t>
      </w:r>
    </w:p>
    <w:p w14:paraId="00C39629" w14:textId="779AE480" w:rsidR="002E3AB5" w:rsidRDefault="002E3AB5" w:rsidP="002E3AB5">
      <w:pPr>
        <w:pStyle w:val="TOC5"/>
        <w:rPr>
          <w:rFonts w:asciiTheme="minorHAnsi" w:eastAsiaTheme="minorEastAsia" w:hAnsiTheme="minorHAnsi"/>
          <w:color w:val="auto"/>
          <w:spacing w:val="0"/>
          <w:sz w:val="22"/>
          <w:lang w:eastAsia="en-AU"/>
        </w:rPr>
      </w:pPr>
      <w:r w:rsidRPr="005C49A4">
        <w:t>1.3</w:t>
      </w:r>
      <w:r>
        <w:rPr>
          <w:rFonts w:asciiTheme="minorHAnsi" w:eastAsiaTheme="minorEastAsia" w:hAnsiTheme="minorHAnsi"/>
          <w:color w:val="auto"/>
          <w:spacing w:val="0"/>
          <w:sz w:val="22"/>
          <w:lang w:eastAsia="en-AU"/>
        </w:rPr>
        <w:tab/>
      </w:r>
      <w:r w:rsidRPr="005C49A4">
        <w:t>Approach to categorisation and analysis</w:t>
      </w:r>
      <w:r>
        <w:tab/>
      </w:r>
      <w:r w:rsidR="00313A17">
        <w:t>7</w:t>
      </w:r>
    </w:p>
    <w:p w14:paraId="6A644103" w14:textId="6E14C253" w:rsidR="002E3AB5" w:rsidRDefault="002E3AB5" w:rsidP="002E3AB5">
      <w:pPr>
        <w:pStyle w:val="TOC5"/>
        <w:rPr>
          <w:rFonts w:asciiTheme="minorHAnsi" w:eastAsiaTheme="minorEastAsia" w:hAnsiTheme="minorHAnsi"/>
          <w:color w:val="auto"/>
          <w:spacing w:val="0"/>
          <w:sz w:val="22"/>
          <w:lang w:eastAsia="en-AU"/>
        </w:rPr>
      </w:pPr>
      <w:r w:rsidRPr="005C49A4">
        <w:t>1.4</w:t>
      </w:r>
      <w:r>
        <w:rPr>
          <w:rFonts w:asciiTheme="minorHAnsi" w:eastAsiaTheme="minorEastAsia" w:hAnsiTheme="minorHAnsi"/>
          <w:color w:val="auto"/>
          <w:spacing w:val="0"/>
          <w:sz w:val="22"/>
          <w:lang w:eastAsia="en-AU"/>
        </w:rPr>
        <w:tab/>
      </w:r>
      <w:r w:rsidRPr="005C49A4">
        <w:t>Report structure</w:t>
      </w:r>
      <w:r>
        <w:tab/>
      </w:r>
      <w:r w:rsidR="00313A17">
        <w:t>11</w:t>
      </w:r>
    </w:p>
    <w:p w14:paraId="231F110B" w14:textId="77777777" w:rsidR="002E3AB5" w:rsidRDefault="002E3AB5" w:rsidP="002E3AB5">
      <w:pPr>
        <w:pStyle w:val="TOC3"/>
        <w:rPr>
          <w:rFonts w:asciiTheme="minorHAnsi" w:eastAsiaTheme="minorEastAsia" w:hAnsiTheme="minorHAnsi"/>
          <w:color w:val="auto"/>
          <w:position w:val="0"/>
          <w:sz w:val="22"/>
          <w:lang w:eastAsia="en-AU"/>
        </w:rPr>
      </w:pPr>
      <w:r w:rsidRPr="005C49A4">
        <w:t>2</w:t>
      </w:r>
    </w:p>
    <w:p w14:paraId="79DDA916" w14:textId="37AF9F38" w:rsidR="002E3AB5" w:rsidRDefault="002E3AB5" w:rsidP="002E3AB5">
      <w:pPr>
        <w:pStyle w:val="TOC4"/>
        <w:rPr>
          <w:rFonts w:asciiTheme="minorHAnsi" w:eastAsiaTheme="minorEastAsia" w:hAnsiTheme="minorHAnsi"/>
          <w:i w:val="0"/>
          <w:color w:val="auto"/>
          <w:sz w:val="22"/>
          <w:lang w:eastAsia="en-AU"/>
        </w:rPr>
      </w:pPr>
      <w:r w:rsidRPr="005C49A4">
        <w:t>Overview of the HEPPP</w:t>
      </w:r>
      <w:r>
        <w:tab/>
      </w:r>
      <w:r w:rsidR="00C86FBA">
        <w:t>12</w:t>
      </w:r>
    </w:p>
    <w:p w14:paraId="47ACA5E1" w14:textId="3F949ADA" w:rsidR="002E3AB5" w:rsidRDefault="002E3AB5" w:rsidP="002E3AB5">
      <w:pPr>
        <w:pStyle w:val="TOC5"/>
        <w:rPr>
          <w:rFonts w:asciiTheme="minorHAnsi" w:eastAsiaTheme="minorEastAsia" w:hAnsiTheme="minorHAnsi"/>
          <w:color w:val="auto"/>
          <w:spacing w:val="0"/>
          <w:sz w:val="22"/>
          <w:lang w:eastAsia="en-AU"/>
        </w:rPr>
      </w:pPr>
      <w:r w:rsidRPr="005C49A4">
        <w:t>2.1</w:t>
      </w:r>
      <w:r>
        <w:rPr>
          <w:rFonts w:asciiTheme="minorHAnsi" w:eastAsiaTheme="minorEastAsia" w:hAnsiTheme="minorHAnsi"/>
          <w:color w:val="auto"/>
          <w:spacing w:val="0"/>
          <w:sz w:val="22"/>
          <w:lang w:eastAsia="en-AU"/>
        </w:rPr>
        <w:tab/>
      </w:r>
      <w:r w:rsidRPr="005C49A4">
        <w:t>Program overview and objectives</w:t>
      </w:r>
      <w:r>
        <w:tab/>
      </w:r>
      <w:r w:rsidR="00313A17">
        <w:t>12</w:t>
      </w:r>
    </w:p>
    <w:p w14:paraId="4564905D" w14:textId="70B8BF31" w:rsidR="002E3AB5" w:rsidRDefault="002E3AB5" w:rsidP="002E3AB5">
      <w:pPr>
        <w:pStyle w:val="TOC5"/>
        <w:rPr>
          <w:rFonts w:asciiTheme="minorHAnsi" w:eastAsiaTheme="minorEastAsia" w:hAnsiTheme="minorHAnsi"/>
          <w:color w:val="auto"/>
          <w:spacing w:val="0"/>
          <w:sz w:val="22"/>
          <w:lang w:eastAsia="en-AU"/>
        </w:rPr>
      </w:pPr>
      <w:r w:rsidRPr="005C49A4">
        <w:t>2.2</w:t>
      </w:r>
      <w:r>
        <w:rPr>
          <w:rFonts w:asciiTheme="minorHAnsi" w:eastAsiaTheme="minorEastAsia" w:hAnsiTheme="minorHAnsi"/>
          <w:color w:val="auto"/>
          <w:spacing w:val="0"/>
          <w:sz w:val="22"/>
          <w:lang w:eastAsia="en-AU"/>
        </w:rPr>
        <w:tab/>
      </w:r>
      <w:r w:rsidRPr="005C49A4">
        <w:t>Other policy supporting higher education equity</w:t>
      </w:r>
      <w:r>
        <w:tab/>
      </w:r>
      <w:r w:rsidR="00313A17">
        <w:t>20</w:t>
      </w:r>
    </w:p>
    <w:p w14:paraId="3E0321A4" w14:textId="3DE8ACED" w:rsidR="002E3AB5" w:rsidRDefault="002E3AB5" w:rsidP="002E3AB5">
      <w:pPr>
        <w:pStyle w:val="TOC5"/>
        <w:rPr>
          <w:rFonts w:asciiTheme="minorHAnsi" w:eastAsiaTheme="minorEastAsia" w:hAnsiTheme="minorHAnsi"/>
          <w:color w:val="auto"/>
          <w:spacing w:val="0"/>
          <w:sz w:val="22"/>
          <w:lang w:eastAsia="en-AU"/>
        </w:rPr>
      </w:pPr>
      <w:r w:rsidRPr="005C49A4">
        <w:t>2.3</w:t>
      </w:r>
      <w:r>
        <w:rPr>
          <w:rFonts w:asciiTheme="minorHAnsi" w:eastAsiaTheme="minorEastAsia" w:hAnsiTheme="minorHAnsi"/>
          <w:color w:val="auto"/>
          <w:spacing w:val="0"/>
          <w:sz w:val="22"/>
          <w:lang w:eastAsia="en-AU"/>
        </w:rPr>
        <w:tab/>
      </w:r>
      <w:r w:rsidRPr="005C49A4">
        <w:t>Current policy context</w:t>
      </w:r>
      <w:r>
        <w:tab/>
      </w:r>
      <w:r w:rsidR="00313A17">
        <w:t>23</w:t>
      </w:r>
    </w:p>
    <w:p w14:paraId="192E72F6" w14:textId="4A5F591D" w:rsidR="002E3AB5" w:rsidRDefault="002E3AB5" w:rsidP="002E3AB5">
      <w:pPr>
        <w:pStyle w:val="TOC5"/>
        <w:rPr>
          <w:rFonts w:asciiTheme="minorHAnsi" w:eastAsiaTheme="minorEastAsia" w:hAnsiTheme="minorHAnsi"/>
          <w:color w:val="auto"/>
          <w:spacing w:val="0"/>
          <w:sz w:val="22"/>
          <w:lang w:eastAsia="en-AU"/>
        </w:rPr>
      </w:pPr>
      <w:r w:rsidRPr="005C49A4">
        <w:t>2.4</w:t>
      </w:r>
      <w:r>
        <w:rPr>
          <w:rFonts w:asciiTheme="minorHAnsi" w:eastAsiaTheme="minorEastAsia" w:hAnsiTheme="minorHAnsi"/>
          <w:color w:val="auto"/>
          <w:spacing w:val="0"/>
          <w:sz w:val="22"/>
          <w:lang w:eastAsia="en-AU"/>
        </w:rPr>
        <w:tab/>
      </w:r>
      <w:r w:rsidRPr="005C49A4">
        <w:t>Preceding higher education equity policy</w:t>
      </w:r>
      <w:r>
        <w:tab/>
      </w:r>
      <w:r w:rsidR="00313A17">
        <w:t>24</w:t>
      </w:r>
    </w:p>
    <w:p w14:paraId="25FD0DCD" w14:textId="77777777" w:rsidR="002E3AB5" w:rsidRDefault="002E3AB5" w:rsidP="002E3AB5">
      <w:pPr>
        <w:pStyle w:val="TOC3"/>
        <w:rPr>
          <w:rFonts w:asciiTheme="minorHAnsi" w:eastAsiaTheme="minorEastAsia" w:hAnsiTheme="minorHAnsi"/>
          <w:color w:val="auto"/>
          <w:position w:val="0"/>
          <w:sz w:val="22"/>
          <w:lang w:eastAsia="en-AU"/>
        </w:rPr>
      </w:pPr>
      <w:r w:rsidRPr="005C49A4">
        <w:t>3</w:t>
      </w:r>
    </w:p>
    <w:p w14:paraId="7807416B" w14:textId="610A2A5F" w:rsidR="002E3AB5" w:rsidRDefault="002E3AB5" w:rsidP="002E3AB5">
      <w:pPr>
        <w:pStyle w:val="TOC4"/>
        <w:rPr>
          <w:rFonts w:asciiTheme="minorHAnsi" w:eastAsiaTheme="minorEastAsia" w:hAnsiTheme="minorHAnsi"/>
          <w:i w:val="0"/>
          <w:color w:val="auto"/>
          <w:sz w:val="22"/>
          <w:lang w:eastAsia="en-AU"/>
        </w:rPr>
      </w:pPr>
      <w:r w:rsidRPr="005C49A4">
        <w:t>Implementation of the HEPPP</w:t>
      </w:r>
      <w:r>
        <w:tab/>
      </w:r>
      <w:r w:rsidR="00C86FBA">
        <w:t>30</w:t>
      </w:r>
    </w:p>
    <w:p w14:paraId="49659ECE" w14:textId="6A664308" w:rsidR="002E3AB5" w:rsidRDefault="002E3AB5" w:rsidP="002E3AB5">
      <w:pPr>
        <w:pStyle w:val="TOC5"/>
        <w:rPr>
          <w:rFonts w:asciiTheme="minorHAnsi" w:eastAsiaTheme="minorEastAsia" w:hAnsiTheme="minorHAnsi"/>
          <w:color w:val="auto"/>
          <w:spacing w:val="0"/>
          <w:sz w:val="22"/>
          <w:lang w:eastAsia="en-AU"/>
        </w:rPr>
      </w:pPr>
      <w:r w:rsidRPr="005C49A4">
        <w:t>3.1</w:t>
      </w:r>
      <w:r>
        <w:rPr>
          <w:rFonts w:asciiTheme="minorHAnsi" w:eastAsiaTheme="minorEastAsia" w:hAnsiTheme="minorHAnsi"/>
          <w:color w:val="auto"/>
          <w:spacing w:val="0"/>
          <w:sz w:val="22"/>
          <w:lang w:eastAsia="en-AU"/>
        </w:rPr>
        <w:tab/>
      </w:r>
      <w:r w:rsidRPr="005C49A4">
        <w:t>Overview of HEPPP activity</w:t>
      </w:r>
      <w:r w:rsidR="00F3615A">
        <w:tab/>
        <w:t>30</w:t>
      </w:r>
    </w:p>
    <w:p w14:paraId="5A8A2544" w14:textId="5B8F68F9" w:rsidR="002E3AB5" w:rsidRDefault="002E3AB5" w:rsidP="002E3AB5">
      <w:pPr>
        <w:pStyle w:val="TOC5"/>
        <w:rPr>
          <w:rFonts w:asciiTheme="minorHAnsi" w:eastAsiaTheme="minorEastAsia" w:hAnsiTheme="minorHAnsi"/>
          <w:color w:val="auto"/>
          <w:spacing w:val="0"/>
          <w:sz w:val="22"/>
          <w:lang w:eastAsia="en-AU"/>
        </w:rPr>
      </w:pPr>
      <w:r w:rsidRPr="005C49A4">
        <w:t>3.2</w:t>
      </w:r>
      <w:r>
        <w:rPr>
          <w:rFonts w:asciiTheme="minorHAnsi" w:eastAsiaTheme="minorEastAsia" w:hAnsiTheme="minorHAnsi"/>
          <w:color w:val="auto"/>
          <w:spacing w:val="0"/>
          <w:sz w:val="22"/>
          <w:lang w:eastAsia="en-AU"/>
        </w:rPr>
        <w:tab/>
      </w:r>
      <w:r w:rsidRPr="005C49A4">
        <w:t>HEPPP activity by university groupings and regionality</w:t>
      </w:r>
      <w:r>
        <w:tab/>
      </w:r>
      <w:r w:rsidR="00F3615A">
        <w:t>33</w:t>
      </w:r>
    </w:p>
    <w:p w14:paraId="00C49925" w14:textId="52E19191" w:rsidR="002E3AB5" w:rsidRDefault="002E3AB5" w:rsidP="002E3AB5">
      <w:pPr>
        <w:pStyle w:val="TOC5"/>
        <w:rPr>
          <w:rFonts w:asciiTheme="minorHAnsi" w:eastAsiaTheme="minorEastAsia" w:hAnsiTheme="minorHAnsi"/>
          <w:color w:val="auto"/>
          <w:spacing w:val="0"/>
          <w:sz w:val="22"/>
          <w:lang w:eastAsia="en-AU"/>
        </w:rPr>
      </w:pPr>
      <w:r w:rsidRPr="005C49A4">
        <w:t>3.3</w:t>
      </w:r>
      <w:r>
        <w:rPr>
          <w:rFonts w:asciiTheme="minorHAnsi" w:eastAsiaTheme="minorEastAsia" w:hAnsiTheme="minorHAnsi"/>
          <w:color w:val="auto"/>
          <w:spacing w:val="0"/>
          <w:sz w:val="22"/>
          <w:lang w:eastAsia="en-AU"/>
        </w:rPr>
        <w:tab/>
      </w:r>
      <w:r w:rsidRPr="005C49A4">
        <w:t>HEPPP activity by project types</w:t>
      </w:r>
      <w:r>
        <w:tab/>
      </w:r>
      <w:r w:rsidR="00F3615A">
        <w:t>35</w:t>
      </w:r>
    </w:p>
    <w:p w14:paraId="1133C216" w14:textId="29BFE38C" w:rsidR="002E3AB5" w:rsidRDefault="002E3AB5" w:rsidP="002E3AB5">
      <w:pPr>
        <w:pStyle w:val="TOC5"/>
        <w:rPr>
          <w:rFonts w:asciiTheme="minorHAnsi" w:eastAsiaTheme="minorEastAsia" w:hAnsiTheme="minorHAnsi"/>
          <w:color w:val="auto"/>
          <w:spacing w:val="0"/>
          <w:sz w:val="22"/>
          <w:lang w:eastAsia="en-AU"/>
        </w:rPr>
      </w:pPr>
      <w:r w:rsidRPr="005C49A4">
        <w:t>3.4</w:t>
      </w:r>
      <w:r>
        <w:rPr>
          <w:rFonts w:asciiTheme="minorHAnsi" w:eastAsiaTheme="minorEastAsia" w:hAnsiTheme="minorHAnsi"/>
          <w:color w:val="auto"/>
          <w:spacing w:val="0"/>
          <w:sz w:val="22"/>
          <w:lang w:eastAsia="en-AU"/>
        </w:rPr>
        <w:tab/>
      </w:r>
      <w:r w:rsidRPr="005C49A4">
        <w:t>HEPPP activity by participant characteristics</w:t>
      </w:r>
      <w:r>
        <w:tab/>
      </w:r>
      <w:r w:rsidR="00F3615A">
        <w:t>39</w:t>
      </w:r>
    </w:p>
    <w:p w14:paraId="09A98ED4" w14:textId="21304087" w:rsidR="002E3AB5" w:rsidRDefault="002E3AB5" w:rsidP="002E3AB5">
      <w:pPr>
        <w:pStyle w:val="TOC5"/>
        <w:rPr>
          <w:rFonts w:asciiTheme="minorHAnsi" w:eastAsiaTheme="minorEastAsia" w:hAnsiTheme="minorHAnsi"/>
          <w:color w:val="auto"/>
          <w:spacing w:val="0"/>
          <w:sz w:val="22"/>
          <w:lang w:eastAsia="en-AU"/>
        </w:rPr>
      </w:pPr>
      <w:r w:rsidRPr="005C49A4">
        <w:t>3.5</w:t>
      </w:r>
      <w:r>
        <w:rPr>
          <w:rFonts w:asciiTheme="minorHAnsi" w:eastAsiaTheme="minorEastAsia" w:hAnsiTheme="minorHAnsi"/>
          <w:color w:val="auto"/>
          <w:spacing w:val="0"/>
          <w:sz w:val="22"/>
          <w:lang w:eastAsia="en-AU"/>
        </w:rPr>
        <w:tab/>
      </w:r>
      <w:r w:rsidRPr="005C49A4">
        <w:t>Summary of HEPPP implementation</w:t>
      </w:r>
      <w:r>
        <w:tab/>
      </w:r>
      <w:r w:rsidR="00F3615A">
        <w:t>40</w:t>
      </w:r>
    </w:p>
    <w:p w14:paraId="48D908E9" w14:textId="77777777" w:rsidR="002E3AB5" w:rsidRDefault="002E3AB5" w:rsidP="002E3AB5">
      <w:pPr>
        <w:pStyle w:val="TOC2"/>
        <w:rPr>
          <w:rFonts w:asciiTheme="minorHAnsi" w:eastAsiaTheme="minorEastAsia" w:hAnsiTheme="minorHAnsi"/>
          <w:caps w:val="0"/>
          <w:color w:val="auto"/>
          <w:sz w:val="22"/>
          <w:lang w:eastAsia="en-AU"/>
        </w:rPr>
      </w:pPr>
      <w:r w:rsidRPr="005C49A4">
        <w:t>PART II</w:t>
      </w:r>
    </w:p>
    <w:p w14:paraId="4937A314" w14:textId="77777777" w:rsidR="002E3AB5" w:rsidRDefault="002E3AB5" w:rsidP="002E3AB5">
      <w:pPr>
        <w:pStyle w:val="TOC3"/>
        <w:rPr>
          <w:rFonts w:asciiTheme="minorHAnsi" w:eastAsiaTheme="minorEastAsia" w:hAnsiTheme="minorHAnsi"/>
          <w:color w:val="auto"/>
          <w:position w:val="0"/>
          <w:sz w:val="22"/>
          <w:lang w:eastAsia="en-AU"/>
        </w:rPr>
      </w:pPr>
      <w:r w:rsidRPr="005C49A4">
        <w:t>4</w:t>
      </w:r>
    </w:p>
    <w:p w14:paraId="767822E9" w14:textId="09FFD93E" w:rsidR="002E3AB5" w:rsidRDefault="002E3AB5" w:rsidP="002E3AB5">
      <w:pPr>
        <w:pStyle w:val="TOC4"/>
        <w:rPr>
          <w:rFonts w:asciiTheme="minorHAnsi" w:eastAsiaTheme="minorEastAsia" w:hAnsiTheme="minorHAnsi"/>
          <w:i w:val="0"/>
          <w:color w:val="auto"/>
          <w:sz w:val="22"/>
          <w:lang w:eastAsia="en-AU"/>
        </w:rPr>
      </w:pPr>
      <w:r w:rsidRPr="005C49A4">
        <w:t>Pre-Access: Outreach to Schools and Communities</w:t>
      </w:r>
      <w:r>
        <w:tab/>
      </w:r>
      <w:r w:rsidR="00C86FBA">
        <w:t>43</w:t>
      </w:r>
    </w:p>
    <w:p w14:paraId="79E02D04" w14:textId="61C180CD" w:rsidR="002E3AB5" w:rsidRDefault="002E3AB5" w:rsidP="002E3AB5">
      <w:pPr>
        <w:pStyle w:val="TOC5"/>
        <w:rPr>
          <w:rFonts w:asciiTheme="minorHAnsi" w:eastAsiaTheme="minorEastAsia" w:hAnsiTheme="minorHAnsi"/>
          <w:color w:val="auto"/>
          <w:spacing w:val="0"/>
          <w:sz w:val="22"/>
          <w:lang w:eastAsia="en-AU"/>
        </w:rPr>
      </w:pPr>
      <w:r w:rsidRPr="005C49A4">
        <w:t>4.1</w:t>
      </w:r>
      <w:r>
        <w:rPr>
          <w:rFonts w:asciiTheme="minorHAnsi" w:eastAsiaTheme="minorEastAsia" w:hAnsiTheme="minorHAnsi"/>
          <w:color w:val="auto"/>
          <w:spacing w:val="0"/>
          <w:sz w:val="22"/>
          <w:lang w:eastAsia="en-AU"/>
        </w:rPr>
        <w:tab/>
      </w:r>
      <w:r w:rsidRPr="005C49A4">
        <w:t>Overview of HEPPP Pre-Access stage activities</w:t>
      </w:r>
      <w:r>
        <w:tab/>
      </w:r>
      <w:r w:rsidR="00F3615A">
        <w:t>43</w:t>
      </w:r>
    </w:p>
    <w:p w14:paraId="282BF3B5" w14:textId="4BE70F24" w:rsidR="002E3AB5" w:rsidRDefault="002E3AB5" w:rsidP="002E3AB5">
      <w:pPr>
        <w:pStyle w:val="TOC5"/>
        <w:rPr>
          <w:rFonts w:asciiTheme="minorHAnsi" w:eastAsiaTheme="minorEastAsia" w:hAnsiTheme="minorHAnsi"/>
          <w:color w:val="auto"/>
          <w:spacing w:val="0"/>
          <w:sz w:val="22"/>
          <w:lang w:eastAsia="en-AU"/>
        </w:rPr>
      </w:pPr>
      <w:r w:rsidRPr="005C49A4">
        <w:t>4.2</w:t>
      </w:r>
      <w:r>
        <w:rPr>
          <w:rFonts w:asciiTheme="minorHAnsi" w:eastAsiaTheme="minorEastAsia" w:hAnsiTheme="minorHAnsi"/>
          <w:color w:val="auto"/>
          <w:spacing w:val="0"/>
          <w:sz w:val="22"/>
          <w:lang w:eastAsia="en-AU"/>
        </w:rPr>
        <w:tab/>
      </w:r>
      <w:r w:rsidRPr="005C49A4">
        <w:t>The impact of individual HEPPP activities at the Pre-Access stage</w:t>
      </w:r>
      <w:r>
        <w:tab/>
      </w:r>
      <w:r w:rsidR="00F3615A">
        <w:t>50</w:t>
      </w:r>
    </w:p>
    <w:p w14:paraId="393126F8" w14:textId="7469F799" w:rsidR="002E3AB5" w:rsidRDefault="002E3AB5" w:rsidP="002E3AB5">
      <w:pPr>
        <w:pStyle w:val="TOC5"/>
        <w:rPr>
          <w:rFonts w:asciiTheme="minorHAnsi" w:eastAsiaTheme="minorEastAsia" w:hAnsiTheme="minorHAnsi"/>
          <w:color w:val="auto"/>
          <w:spacing w:val="0"/>
          <w:sz w:val="22"/>
          <w:lang w:eastAsia="en-AU"/>
        </w:rPr>
      </w:pPr>
      <w:r w:rsidRPr="005C49A4">
        <w:t>4.3</w:t>
      </w:r>
      <w:r>
        <w:rPr>
          <w:rFonts w:asciiTheme="minorHAnsi" w:eastAsiaTheme="minorEastAsia" w:hAnsiTheme="minorHAnsi"/>
          <w:color w:val="auto"/>
          <w:spacing w:val="0"/>
          <w:sz w:val="22"/>
          <w:lang w:eastAsia="en-AU"/>
        </w:rPr>
        <w:tab/>
      </w:r>
      <w:r w:rsidRPr="005C49A4">
        <w:t>The overall impact of HEPPP Pre-Access stage activities</w:t>
      </w:r>
      <w:r>
        <w:tab/>
      </w:r>
      <w:r w:rsidR="00F3615A">
        <w:t>58</w:t>
      </w:r>
    </w:p>
    <w:p w14:paraId="2DB0C51F" w14:textId="77777777" w:rsidR="002E3AB5" w:rsidRDefault="002E3AB5" w:rsidP="002E3AB5">
      <w:pPr>
        <w:pStyle w:val="TOC3"/>
        <w:rPr>
          <w:rFonts w:asciiTheme="minorHAnsi" w:eastAsiaTheme="minorEastAsia" w:hAnsiTheme="minorHAnsi"/>
          <w:color w:val="auto"/>
          <w:position w:val="0"/>
          <w:sz w:val="22"/>
          <w:lang w:eastAsia="en-AU"/>
        </w:rPr>
      </w:pPr>
      <w:r w:rsidRPr="005C49A4">
        <w:t>5</w:t>
      </w:r>
    </w:p>
    <w:p w14:paraId="7187059C" w14:textId="668D61C0" w:rsidR="002E3AB5" w:rsidRDefault="002E3AB5" w:rsidP="002E3AB5">
      <w:pPr>
        <w:pStyle w:val="TOC4"/>
        <w:rPr>
          <w:rFonts w:asciiTheme="minorHAnsi" w:eastAsiaTheme="minorEastAsia" w:hAnsiTheme="minorHAnsi"/>
          <w:i w:val="0"/>
          <w:color w:val="auto"/>
          <w:sz w:val="22"/>
          <w:lang w:eastAsia="en-AU"/>
        </w:rPr>
      </w:pPr>
      <w:r w:rsidRPr="005C49A4">
        <w:t>Access: Pathways and Admissions</w:t>
      </w:r>
      <w:r>
        <w:tab/>
      </w:r>
      <w:r w:rsidR="00C86FBA">
        <w:t>61</w:t>
      </w:r>
    </w:p>
    <w:p w14:paraId="63EF1939" w14:textId="6F070577" w:rsidR="002E3AB5" w:rsidRDefault="002E3AB5" w:rsidP="002E3AB5">
      <w:pPr>
        <w:pStyle w:val="TOC5"/>
        <w:rPr>
          <w:rFonts w:asciiTheme="minorHAnsi" w:eastAsiaTheme="minorEastAsia" w:hAnsiTheme="minorHAnsi"/>
          <w:color w:val="auto"/>
          <w:spacing w:val="0"/>
          <w:sz w:val="22"/>
          <w:lang w:eastAsia="en-AU"/>
        </w:rPr>
      </w:pPr>
      <w:r w:rsidRPr="005C49A4">
        <w:t>5.1</w:t>
      </w:r>
      <w:r>
        <w:rPr>
          <w:rFonts w:asciiTheme="minorHAnsi" w:eastAsiaTheme="minorEastAsia" w:hAnsiTheme="minorHAnsi"/>
          <w:color w:val="auto"/>
          <w:spacing w:val="0"/>
          <w:sz w:val="22"/>
          <w:lang w:eastAsia="en-AU"/>
        </w:rPr>
        <w:tab/>
      </w:r>
      <w:r w:rsidRPr="005C49A4">
        <w:t>Overview of HEPPP Access stage activities</w:t>
      </w:r>
      <w:r>
        <w:tab/>
      </w:r>
      <w:r w:rsidR="00F3615A">
        <w:t>61</w:t>
      </w:r>
    </w:p>
    <w:p w14:paraId="66A77ABE" w14:textId="021FCE30" w:rsidR="002E3AB5" w:rsidRDefault="002E3AB5" w:rsidP="002E3AB5">
      <w:pPr>
        <w:pStyle w:val="TOC5"/>
        <w:rPr>
          <w:rFonts w:asciiTheme="minorHAnsi" w:eastAsiaTheme="minorEastAsia" w:hAnsiTheme="minorHAnsi"/>
          <w:color w:val="auto"/>
          <w:spacing w:val="0"/>
          <w:sz w:val="22"/>
          <w:lang w:eastAsia="en-AU"/>
        </w:rPr>
      </w:pPr>
      <w:r w:rsidRPr="005C49A4">
        <w:t>5.2</w:t>
      </w:r>
      <w:r>
        <w:rPr>
          <w:rFonts w:asciiTheme="minorHAnsi" w:eastAsiaTheme="minorEastAsia" w:hAnsiTheme="minorHAnsi"/>
          <w:color w:val="auto"/>
          <w:spacing w:val="0"/>
          <w:sz w:val="22"/>
          <w:lang w:eastAsia="en-AU"/>
        </w:rPr>
        <w:tab/>
      </w:r>
      <w:r w:rsidRPr="005C49A4">
        <w:t>The impact of individual HEPPP activities at the Access stage</w:t>
      </w:r>
      <w:r>
        <w:tab/>
      </w:r>
      <w:r w:rsidR="00F3615A">
        <w:t>63</w:t>
      </w:r>
    </w:p>
    <w:p w14:paraId="421CBF76" w14:textId="2F45187E" w:rsidR="002E3AB5" w:rsidRDefault="002E3AB5" w:rsidP="002E3AB5">
      <w:pPr>
        <w:pStyle w:val="TOC5"/>
        <w:rPr>
          <w:rFonts w:asciiTheme="minorHAnsi" w:eastAsiaTheme="minorEastAsia" w:hAnsiTheme="minorHAnsi"/>
          <w:color w:val="auto"/>
          <w:spacing w:val="0"/>
          <w:sz w:val="22"/>
          <w:lang w:eastAsia="en-AU"/>
        </w:rPr>
      </w:pPr>
      <w:r w:rsidRPr="005C49A4">
        <w:t>5.3</w:t>
      </w:r>
      <w:r>
        <w:rPr>
          <w:rFonts w:asciiTheme="minorHAnsi" w:eastAsiaTheme="minorEastAsia" w:hAnsiTheme="minorHAnsi"/>
          <w:color w:val="auto"/>
          <w:spacing w:val="0"/>
          <w:sz w:val="22"/>
          <w:lang w:eastAsia="en-AU"/>
        </w:rPr>
        <w:tab/>
      </w:r>
      <w:r w:rsidRPr="005C49A4">
        <w:t>The overall impact of HEPPP Access stage activities</w:t>
      </w:r>
      <w:r>
        <w:tab/>
      </w:r>
      <w:r w:rsidR="00F3615A">
        <w:t>67</w:t>
      </w:r>
    </w:p>
    <w:p w14:paraId="63E9F60B" w14:textId="77777777" w:rsidR="002E3AB5" w:rsidRDefault="002E3AB5" w:rsidP="002E3AB5">
      <w:pPr>
        <w:pStyle w:val="TOC3"/>
        <w:rPr>
          <w:rFonts w:asciiTheme="minorHAnsi" w:eastAsiaTheme="minorEastAsia" w:hAnsiTheme="minorHAnsi"/>
          <w:color w:val="auto"/>
          <w:position w:val="0"/>
          <w:sz w:val="22"/>
          <w:lang w:eastAsia="en-AU"/>
        </w:rPr>
      </w:pPr>
      <w:r w:rsidRPr="005C49A4">
        <w:t>6</w:t>
      </w:r>
    </w:p>
    <w:p w14:paraId="2190FE95" w14:textId="28EAEEC4" w:rsidR="002E3AB5" w:rsidRDefault="002E3AB5" w:rsidP="002E3AB5">
      <w:pPr>
        <w:pStyle w:val="TOC4"/>
        <w:rPr>
          <w:rFonts w:asciiTheme="minorHAnsi" w:eastAsiaTheme="minorEastAsia" w:hAnsiTheme="minorHAnsi"/>
          <w:i w:val="0"/>
          <w:color w:val="auto"/>
          <w:sz w:val="22"/>
          <w:lang w:eastAsia="en-AU"/>
        </w:rPr>
      </w:pPr>
      <w:r w:rsidRPr="005C49A4">
        <w:t>Participation: Transition, Engagement and Progression</w:t>
      </w:r>
      <w:r>
        <w:tab/>
      </w:r>
      <w:r w:rsidR="00C86FBA">
        <w:t>73</w:t>
      </w:r>
    </w:p>
    <w:p w14:paraId="528353E6" w14:textId="41C38EC8" w:rsidR="002E3AB5" w:rsidRDefault="002E3AB5" w:rsidP="002E3AB5">
      <w:pPr>
        <w:pStyle w:val="TOC5"/>
        <w:rPr>
          <w:rFonts w:asciiTheme="minorHAnsi" w:eastAsiaTheme="minorEastAsia" w:hAnsiTheme="minorHAnsi"/>
          <w:color w:val="auto"/>
          <w:spacing w:val="0"/>
          <w:sz w:val="22"/>
          <w:lang w:eastAsia="en-AU"/>
        </w:rPr>
      </w:pPr>
      <w:r w:rsidRPr="005C49A4">
        <w:t>6.1</w:t>
      </w:r>
      <w:r>
        <w:rPr>
          <w:rFonts w:asciiTheme="minorHAnsi" w:eastAsiaTheme="minorEastAsia" w:hAnsiTheme="minorHAnsi"/>
          <w:color w:val="auto"/>
          <w:spacing w:val="0"/>
          <w:sz w:val="22"/>
          <w:lang w:eastAsia="en-AU"/>
        </w:rPr>
        <w:tab/>
      </w:r>
      <w:r w:rsidRPr="005C49A4">
        <w:t>Overview of HEPPP Participation stage activities</w:t>
      </w:r>
      <w:r>
        <w:tab/>
      </w:r>
      <w:r w:rsidR="00F3615A">
        <w:t>73</w:t>
      </w:r>
    </w:p>
    <w:p w14:paraId="13367A1F" w14:textId="0AEAA3BF" w:rsidR="002E3AB5" w:rsidRDefault="002E3AB5" w:rsidP="002E3AB5">
      <w:pPr>
        <w:pStyle w:val="TOC5"/>
        <w:rPr>
          <w:rFonts w:asciiTheme="minorHAnsi" w:eastAsiaTheme="minorEastAsia" w:hAnsiTheme="minorHAnsi"/>
          <w:color w:val="auto"/>
          <w:spacing w:val="0"/>
          <w:sz w:val="22"/>
          <w:lang w:eastAsia="en-AU"/>
        </w:rPr>
      </w:pPr>
      <w:r w:rsidRPr="005C49A4">
        <w:t>6.2</w:t>
      </w:r>
      <w:r>
        <w:rPr>
          <w:rFonts w:asciiTheme="minorHAnsi" w:eastAsiaTheme="minorEastAsia" w:hAnsiTheme="minorHAnsi"/>
          <w:color w:val="auto"/>
          <w:spacing w:val="0"/>
          <w:sz w:val="22"/>
          <w:lang w:eastAsia="en-AU"/>
        </w:rPr>
        <w:tab/>
      </w:r>
      <w:r w:rsidRPr="005C49A4">
        <w:t>The impact of individual HEPPP activities at the Participation stage</w:t>
      </w:r>
      <w:r>
        <w:tab/>
      </w:r>
      <w:r w:rsidR="00F3615A">
        <w:t>77</w:t>
      </w:r>
    </w:p>
    <w:p w14:paraId="2BF7A964" w14:textId="26CBE6C8" w:rsidR="002E3AB5" w:rsidRDefault="002E3AB5" w:rsidP="002E3AB5">
      <w:pPr>
        <w:pStyle w:val="TOC5"/>
        <w:rPr>
          <w:rFonts w:asciiTheme="minorHAnsi" w:eastAsiaTheme="minorEastAsia" w:hAnsiTheme="minorHAnsi"/>
          <w:color w:val="auto"/>
          <w:spacing w:val="0"/>
          <w:sz w:val="22"/>
          <w:lang w:eastAsia="en-AU"/>
        </w:rPr>
      </w:pPr>
      <w:r w:rsidRPr="005C49A4">
        <w:t>6.3</w:t>
      </w:r>
      <w:r>
        <w:rPr>
          <w:rFonts w:asciiTheme="minorHAnsi" w:eastAsiaTheme="minorEastAsia" w:hAnsiTheme="minorHAnsi"/>
          <w:color w:val="auto"/>
          <w:spacing w:val="0"/>
          <w:sz w:val="22"/>
          <w:lang w:eastAsia="en-AU"/>
        </w:rPr>
        <w:tab/>
      </w:r>
      <w:r w:rsidRPr="005C49A4">
        <w:t>The overall impact of HEPPP Participation stage activities</w:t>
      </w:r>
      <w:r>
        <w:tab/>
      </w:r>
      <w:r w:rsidR="00F3615A">
        <w:t>86</w:t>
      </w:r>
    </w:p>
    <w:p w14:paraId="572A28A9" w14:textId="77777777" w:rsidR="002E3AB5" w:rsidRDefault="002E3AB5" w:rsidP="002E3AB5">
      <w:pPr>
        <w:pStyle w:val="TOC3"/>
        <w:rPr>
          <w:rFonts w:asciiTheme="minorHAnsi" w:eastAsiaTheme="minorEastAsia" w:hAnsiTheme="minorHAnsi"/>
          <w:color w:val="auto"/>
          <w:position w:val="0"/>
          <w:sz w:val="22"/>
          <w:lang w:eastAsia="en-AU"/>
        </w:rPr>
      </w:pPr>
      <w:r w:rsidRPr="005C49A4">
        <w:t>7</w:t>
      </w:r>
    </w:p>
    <w:p w14:paraId="0766B23D" w14:textId="61D38FE2" w:rsidR="002E3AB5" w:rsidRDefault="002E3AB5" w:rsidP="002E3AB5">
      <w:pPr>
        <w:pStyle w:val="TOC4"/>
        <w:rPr>
          <w:rFonts w:asciiTheme="minorHAnsi" w:eastAsiaTheme="minorEastAsia" w:hAnsiTheme="minorHAnsi"/>
          <w:i w:val="0"/>
          <w:color w:val="auto"/>
          <w:sz w:val="22"/>
          <w:lang w:eastAsia="en-AU"/>
        </w:rPr>
      </w:pPr>
      <w:r w:rsidRPr="005C49A4">
        <w:t>Attainment and Transition Out</w:t>
      </w:r>
      <w:r>
        <w:tab/>
      </w:r>
      <w:r w:rsidR="00C86FBA">
        <w:t>89</w:t>
      </w:r>
    </w:p>
    <w:p w14:paraId="09D095A5" w14:textId="271668B3" w:rsidR="002E3AB5" w:rsidRDefault="002E3AB5" w:rsidP="002E3AB5">
      <w:pPr>
        <w:pStyle w:val="TOC5"/>
        <w:rPr>
          <w:rFonts w:asciiTheme="minorHAnsi" w:eastAsiaTheme="minorEastAsia" w:hAnsiTheme="minorHAnsi"/>
          <w:color w:val="auto"/>
          <w:spacing w:val="0"/>
          <w:sz w:val="22"/>
          <w:lang w:eastAsia="en-AU"/>
        </w:rPr>
      </w:pPr>
      <w:r w:rsidRPr="005C49A4">
        <w:t>7.1</w:t>
      </w:r>
      <w:r>
        <w:rPr>
          <w:rFonts w:asciiTheme="minorHAnsi" w:eastAsiaTheme="minorEastAsia" w:hAnsiTheme="minorHAnsi"/>
          <w:color w:val="auto"/>
          <w:spacing w:val="0"/>
          <w:sz w:val="22"/>
          <w:lang w:eastAsia="en-AU"/>
        </w:rPr>
        <w:tab/>
      </w:r>
      <w:r w:rsidRPr="005C49A4">
        <w:t>Overview of HEPPP Attainment and Transition Out activities</w:t>
      </w:r>
      <w:r>
        <w:tab/>
      </w:r>
      <w:r w:rsidR="00F3615A">
        <w:t>89</w:t>
      </w:r>
    </w:p>
    <w:p w14:paraId="2209995C" w14:textId="4762912F" w:rsidR="002E3AB5" w:rsidRDefault="002E3AB5" w:rsidP="002E3AB5">
      <w:pPr>
        <w:pStyle w:val="TOC5"/>
        <w:rPr>
          <w:rFonts w:asciiTheme="minorHAnsi" w:eastAsiaTheme="minorEastAsia" w:hAnsiTheme="minorHAnsi"/>
          <w:color w:val="auto"/>
          <w:spacing w:val="0"/>
          <w:sz w:val="22"/>
          <w:lang w:eastAsia="en-AU"/>
        </w:rPr>
      </w:pPr>
      <w:r w:rsidRPr="005C49A4">
        <w:t>7.2</w:t>
      </w:r>
      <w:r>
        <w:rPr>
          <w:rFonts w:asciiTheme="minorHAnsi" w:eastAsiaTheme="minorEastAsia" w:hAnsiTheme="minorHAnsi"/>
          <w:color w:val="auto"/>
          <w:spacing w:val="0"/>
          <w:sz w:val="22"/>
          <w:lang w:eastAsia="en-AU"/>
        </w:rPr>
        <w:tab/>
      </w:r>
      <w:r w:rsidRPr="005C49A4">
        <w:t>The impact of individual HEPPP activities at the Attainment and Transition Out stage</w:t>
      </w:r>
      <w:r>
        <w:tab/>
      </w:r>
      <w:r w:rsidR="00F3615A">
        <w:t>91</w:t>
      </w:r>
    </w:p>
    <w:p w14:paraId="654D1DA9" w14:textId="1A62E6A1" w:rsidR="002E3AB5" w:rsidRDefault="002E3AB5" w:rsidP="002E3AB5">
      <w:pPr>
        <w:pStyle w:val="TOC5"/>
        <w:rPr>
          <w:rFonts w:asciiTheme="minorHAnsi" w:eastAsiaTheme="minorEastAsia" w:hAnsiTheme="minorHAnsi"/>
          <w:color w:val="auto"/>
          <w:spacing w:val="0"/>
          <w:sz w:val="22"/>
          <w:lang w:eastAsia="en-AU"/>
        </w:rPr>
      </w:pPr>
      <w:r w:rsidRPr="005C49A4">
        <w:t>7.3</w:t>
      </w:r>
      <w:r>
        <w:rPr>
          <w:rFonts w:asciiTheme="minorHAnsi" w:eastAsiaTheme="minorEastAsia" w:hAnsiTheme="minorHAnsi"/>
          <w:color w:val="auto"/>
          <w:spacing w:val="0"/>
          <w:sz w:val="22"/>
          <w:lang w:eastAsia="en-AU"/>
        </w:rPr>
        <w:tab/>
      </w:r>
      <w:r w:rsidRPr="005C49A4">
        <w:t>The overall impact of HEPPP Attainment and Transition Out activities</w:t>
      </w:r>
      <w:r>
        <w:tab/>
      </w:r>
      <w:r w:rsidR="00F3615A">
        <w:t>93</w:t>
      </w:r>
    </w:p>
    <w:p w14:paraId="5A77C1EC" w14:textId="77777777" w:rsidR="002E3AB5" w:rsidRDefault="002E3AB5" w:rsidP="002E3AB5">
      <w:pPr>
        <w:pStyle w:val="TOC3"/>
        <w:rPr>
          <w:rFonts w:asciiTheme="minorHAnsi" w:eastAsiaTheme="minorEastAsia" w:hAnsiTheme="minorHAnsi"/>
          <w:color w:val="auto"/>
          <w:position w:val="0"/>
          <w:sz w:val="22"/>
          <w:lang w:eastAsia="en-AU"/>
        </w:rPr>
      </w:pPr>
      <w:r w:rsidRPr="005C49A4">
        <w:t>8</w:t>
      </w:r>
    </w:p>
    <w:p w14:paraId="3F57594B" w14:textId="277C0A25" w:rsidR="002E3AB5" w:rsidRDefault="002E3AB5" w:rsidP="002E3AB5">
      <w:pPr>
        <w:pStyle w:val="TOC4"/>
        <w:rPr>
          <w:rFonts w:asciiTheme="minorHAnsi" w:eastAsiaTheme="minorEastAsia" w:hAnsiTheme="minorHAnsi"/>
          <w:i w:val="0"/>
          <w:color w:val="auto"/>
          <w:sz w:val="22"/>
          <w:lang w:eastAsia="en-AU"/>
        </w:rPr>
      </w:pPr>
      <w:r w:rsidRPr="005C49A4">
        <w:t>Research and other activities</w:t>
      </w:r>
      <w:r>
        <w:tab/>
      </w:r>
      <w:r w:rsidR="00C86FBA">
        <w:t>9</w:t>
      </w:r>
      <w:r>
        <w:t>5</w:t>
      </w:r>
    </w:p>
    <w:p w14:paraId="150974EE" w14:textId="39DD68EB" w:rsidR="002E3AB5" w:rsidRDefault="002E3AB5" w:rsidP="002E3AB5">
      <w:pPr>
        <w:pStyle w:val="TOC5"/>
        <w:rPr>
          <w:rFonts w:asciiTheme="minorHAnsi" w:eastAsiaTheme="minorEastAsia" w:hAnsiTheme="minorHAnsi"/>
          <w:color w:val="auto"/>
          <w:spacing w:val="0"/>
          <w:sz w:val="22"/>
          <w:lang w:eastAsia="en-AU"/>
        </w:rPr>
      </w:pPr>
      <w:r w:rsidRPr="005C49A4">
        <w:t>8.1</w:t>
      </w:r>
      <w:r>
        <w:rPr>
          <w:rFonts w:asciiTheme="minorHAnsi" w:eastAsiaTheme="minorEastAsia" w:hAnsiTheme="minorHAnsi"/>
          <w:color w:val="auto"/>
          <w:spacing w:val="0"/>
          <w:sz w:val="22"/>
          <w:lang w:eastAsia="en-AU"/>
        </w:rPr>
        <w:tab/>
      </w:r>
      <w:r w:rsidRPr="005C49A4">
        <w:t>Overview of the National Priorities Pool</w:t>
      </w:r>
      <w:r>
        <w:tab/>
      </w:r>
      <w:r w:rsidR="00F3615A">
        <w:t>95</w:t>
      </w:r>
    </w:p>
    <w:p w14:paraId="26D78A68" w14:textId="7721C7EA" w:rsidR="002E3AB5" w:rsidRDefault="002E3AB5" w:rsidP="002E3AB5">
      <w:pPr>
        <w:pStyle w:val="TOC5"/>
        <w:rPr>
          <w:rFonts w:asciiTheme="minorHAnsi" w:eastAsiaTheme="minorEastAsia" w:hAnsiTheme="minorHAnsi"/>
          <w:color w:val="auto"/>
          <w:spacing w:val="0"/>
          <w:sz w:val="22"/>
          <w:lang w:eastAsia="en-AU"/>
        </w:rPr>
      </w:pPr>
      <w:r w:rsidRPr="005C49A4">
        <w:t>8.2</w:t>
      </w:r>
      <w:r>
        <w:rPr>
          <w:rFonts w:asciiTheme="minorHAnsi" w:eastAsiaTheme="minorEastAsia" w:hAnsiTheme="minorHAnsi"/>
          <w:color w:val="auto"/>
          <w:spacing w:val="0"/>
          <w:sz w:val="22"/>
          <w:lang w:eastAsia="en-AU"/>
        </w:rPr>
        <w:tab/>
      </w:r>
      <w:r w:rsidRPr="005C49A4">
        <w:t>NPP research projects</w:t>
      </w:r>
      <w:r>
        <w:tab/>
      </w:r>
      <w:r w:rsidR="00F3615A">
        <w:t>99</w:t>
      </w:r>
    </w:p>
    <w:p w14:paraId="35E5773F" w14:textId="7071F075" w:rsidR="002E3AB5" w:rsidRDefault="002E3AB5" w:rsidP="002E3AB5">
      <w:pPr>
        <w:pStyle w:val="TOC5"/>
        <w:rPr>
          <w:rFonts w:asciiTheme="minorHAnsi" w:eastAsiaTheme="minorEastAsia" w:hAnsiTheme="minorHAnsi"/>
          <w:color w:val="auto"/>
          <w:spacing w:val="0"/>
          <w:sz w:val="22"/>
          <w:lang w:eastAsia="en-AU"/>
        </w:rPr>
      </w:pPr>
      <w:r w:rsidRPr="005C49A4">
        <w:t>8.3</w:t>
      </w:r>
      <w:r>
        <w:rPr>
          <w:rFonts w:asciiTheme="minorHAnsi" w:eastAsiaTheme="minorEastAsia" w:hAnsiTheme="minorHAnsi"/>
          <w:color w:val="auto"/>
          <w:spacing w:val="0"/>
          <w:sz w:val="22"/>
          <w:lang w:eastAsia="en-AU"/>
        </w:rPr>
        <w:tab/>
      </w:r>
      <w:r w:rsidRPr="005C49A4">
        <w:t>NPP trial projects</w:t>
      </w:r>
      <w:r w:rsidR="00F3615A">
        <w:t xml:space="preserve"> and </w:t>
      </w:r>
      <w:r w:rsidR="00F3615A" w:rsidRPr="00671E51">
        <w:t>IT-based solutions projects</w:t>
      </w:r>
      <w:r>
        <w:tab/>
      </w:r>
      <w:r w:rsidR="00F3615A">
        <w:t>102</w:t>
      </w:r>
    </w:p>
    <w:p w14:paraId="3F1C7FF5" w14:textId="13C87EC8" w:rsidR="002E3AB5" w:rsidRDefault="002E3AB5" w:rsidP="002E3AB5">
      <w:pPr>
        <w:pStyle w:val="TOC5"/>
        <w:rPr>
          <w:rFonts w:asciiTheme="minorHAnsi" w:eastAsiaTheme="minorEastAsia" w:hAnsiTheme="minorHAnsi"/>
          <w:color w:val="auto"/>
          <w:spacing w:val="0"/>
          <w:sz w:val="22"/>
          <w:lang w:eastAsia="en-AU"/>
        </w:rPr>
      </w:pPr>
      <w:r w:rsidRPr="005C49A4">
        <w:t>8.4</w:t>
      </w:r>
      <w:r>
        <w:rPr>
          <w:rFonts w:asciiTheme="minorHAnsi" w:eastAsiaTheme="minorEastAsia" w:hAnsiTheme="minorHAnsi"/>
          <w:color w:val="auto"/>
          <w:spacing w:val="0"/>
          <w:sz w:val="22"/>
          <w:lang w:eastAsia="en-AU"/>
        </w:rPr>
        <w:tab/>
      </w:r>
      <w:r w:rsidRPr="005C49A4">
        <w:t>Reach of NPP projects</w:t>
      </w:r>
      <w:r>
        <w:tab/>
      </w:r>
      <w:r w:rsidR="00F3615A">
        <w:t>104</w:t>
      </w:r>
    </w:p>
    <w:p w14:paraId="4365AC33" w14:textId="4313FA31" w:rsidR="002E3AB5" w:rsidRDefault="002E3AB5" w:rsidP="002E3AB5">
      <w:pPr>
        <w:pStyle w:val="TOC5"/>
        <w:rPr>
          <w:rFonts w:asciiTheme="minorHAnsi" w:eastAsiaTheme="minorEastAsia" w:hAnsiTheme="minorHAnsi"/>
          <w:color w:val="auto"/>
          <w:spacing w:val="0"/>
          <w:sz w:val="22"/>
          <w:lang w:eastAsia="en-AU"/>
        </w:rPr>
      </w:pPr>
      <w:r w:rsidRPr="005C49A4">
        <w:t>8.5</w:t>
      </w:r>
      <w:r>
        <w:rPr>
          <w:rFonts w:asciiTheme="minorHAnsi" w:eastAsiaTheme="minorEastAsia" w:hAnsiTheme="minorHAnsi"/>
          <w:color w:val="auto"/>
          <w:spacing w:val="0"/>
          <w:sz w:val="22"/>
          <w:lang w:eastAsia="en-AU"/>
        </w:rPr>
        <w:tab/>
      </w:r>
      <w:r w:rsidRPr="005C49A4">
        <w:t>The overall impact of the NPP</w:t>
      </w:r>
      <w:r>
        <w:tab/>
      </w:r>
      <w:r w:rsidR="00F3615A">
        <w:t>105</w:t>
      </w:r>
    </w:p>
    <w:p w14:paraId="2E8C0455" w14:textId="77777777" w:rsidR="002E3AB5" w:rsidRDefault="002E3AB5" w:rsidP="002E3AB5">
      <w:pPr>
        <w:pStyle w:val="TOC3"/>
        <w:rPr>
          <w:rFonts w:asciiTheme="minorHAnsi" w:eastAsiaTheme="minorEastAsia" w:hAnsiTheme="minorHAnsi"/>
          <w:color w:val="auto"/>
          <w:position w:val="0"/>
          <w:sz w:val="22"/>
          <w:lang w:eastAsia="en-AU"/>
        </w:rPr>
      </w:pPr>
      <w:r w:rsidRPr="005C49A4">
        <w:t>9</w:t>
      </w:r>
    </w:p>
    <w:p w14:paraId="4C8F089F" w14:textId="310F3A6E" w:rsidR="002E3AB5" w:rsidRDefault="002E3AB5" w:rsidP="002E3AB5">
      <w:pPr>
        <w:pStyle w:val="TOC4"/>
        <w:rPr>
          <w:rFonts w:asciiTheme="minorHAnsi" w:eastAsiaTheme="minorEastAsia" w:hAnsiTheme="minorHAnsi"/>
          <w:i w:val="0"/>
          <w:color w:val="auto"/>
          <w:sz w:val="22"/>
          <w:lang w:eastAsia="en-AU"/>
        </w:rPr>
      </w:pPr>
      <w:r w:rsidRPr="005C49A4">
        <w:t>Overall effectiveness analysis</w:t>
      </w:r>
      <w:r>
        <w:tab/>
        <w:t>10</w:t>
      </w:r>
      <w:r w:rsidR="00C86FBA">
        <w:t>8</w:t>
      </w:r>
    </w:p>
    <w:p w14:paraId="264A8A23" w14:textId="03C7E373" w:rsidR="002E3AB5" w:rsidRDefault="002E3AB5" w:rsidP="002E3AB5">
      <w:pPr>
        <w:pStyle w:val="TOC5"/>
        <w:rPr>
          <w:rFonts w:asciiTheme="minorHAnsi" w:eastAsiaTheme="minorEastAsia" w:hAnsiTheme="minorHAnsi"/>
          <w:color w:val="auto"/>
          <w:spacing w:val="0"/>
          <w:sz w:val="22"/>
          <w:lang w:eastAsia="en-AU"/>
        </w:rPr>
      </w:pPr>
      <w:r w:rsidRPr="005C49A4">
        <w:rPr>
          <w:lang w:eastAsia="en-AU"/>
        </w:rPr>
        <w:t>9.1</w:t>
      </w:r>
      <w:r>
        <w:rPr>
          <w:rFonts w:asciiTheme="minorHAnsi" w:eastAsiaTheme="minorEastAsia" w:hAnsiTheme="minorHAnsi"/>
          <w:color w:val="auto"/>
          <w:spacing w:val="0"/>
          <w:sz w:val="22"/>
          <w:lang w:eastAsia="en-AU"/>
        </w:rPr>
        <w:tab/>
      </w:r>
      <w:r w:rsidRPr="005C49A4">
        <w:rPr>
          <w:lang w:eastAsia="en-AU"/>
        </w:rPr>
        <w:t>Overview of analysis</w:t>
      </w:r>
      <w:r>
        <w:tab/>
      </w:r>
      <w:r w:rsidR="00F3615A">
        <w:t>108</w:t>
      </w:r>
    </w:p>
    <w:p w14:paraId="14A23A68" w14:textId="5597B5CD" w:rsidR="002E3AB5" w:rsidRDefault="002E3AB5" w:rsidP="002E3AB5">
      <w:pPr>
        <w:pStyle w:val="TOC5"/>
        <w:rPr>
          <w:rFonts w:asciiTheme="minorHAnsi" w:eastAsiaTheme="minorEastAsia" w:hAnsiTheme="minorHAnsi"/>
          <w:color w:val="auto"/>
          <w:spacing w:val="0"/>
          <w:sz w:val="22"/>
          <w:lang w:eastAsia="en-AU"/>
        </w:rPr>
      </w:pPr>
      <w:r w:rsidRPr="005C49A4">
        <w:t>9.2</w:t>
      </w:r>
      <w:r>
        <w:rPr>
          <w:rFonts w:asciiTheme="minorHAnsi" w:eastAsiaTheme="minorEastAsia" w:hAnsiTheme="minorHAnsi"/>
          <w:color w:val="auto"/>
          <w:spacing w:val="0"/>
          <w:sz w:val="22"/>
          <w:lang w:eastAsia="en-AU"/>
        </w:rPr>
        <w:tab/>
      </w:r>
      <w:r w:rsidRPr="005C49A4">
        <w:t>Applications, offers and commencements</w:t>
      </w:r>
      <w:r>
        <w:tab/>
      </w:r>
      <w:r w:rsidR="00F3615A">
        <w:t>109</w:t>
      </w:r>
    </w:p>
    <w:p w14:paraId="2EA76B85" w14:textId="2AE0581A" w:rsidR="002E3AB5" w:rsidRDefault="002E3AB5" w:rsidP="002E3AB5">
      <w:pPr>
        <w:pStyle w:val="TOC5"/>
        <w:rPr>
          <w:rFonts w:asciiTheme="minorHAnsi" w:eastAsiaTheme="minorEastAsia" w:hAnsiTheme="minorHAnsi"/>
          <w:color w:val="auto"/>
          <w:spacing w:val="0"/>
          <w:sz w:val="22"/>
          <w:lang w:eastAsia="en-AU"/>
        </w:rPr>
      </w:pPr>
      <w:r w:rsidRPr="005C49A4">
        <w:t>9.3</w:t>
      </w:r>
      <w:r>
        <w:rPr>
          <w:rFonts w:asciiTheme="minorHAnsi" w:eastAsiaTheme="minorEastAsia" w:hAnsiTheme="minorHAnsi"/>
          <w:color w:val="auto"/>
          <w:spacing w:val="0"/>
          <w:sz w:val="22"/>
          <w:lang w:eastAsia="en-AU"/>
        </w:rPr>
        <w:tab/>
      </w:r>
      <w:r w:rsidRPr="005C49A4">
        <w:t>Basis of admission</w:t>
      </w:r>
      <w:r>
        <w:tab/>
      </w:r>
      <w:r w:rsidR="00F3615A">
        <w:t>111</w:t>
      </w:r>
    </w:p>
    <w:p w14:paraId="67D48895" w14:textId="024E443E" w:rsidR="002E3AB5" w:rsidRDefault="002E3AB5" w:rsidP="002E3AB5">
      <w:pPr>
        <w:pStyle w:val="TOC5"/>
        <w:rPr>
          <w:rFonts w:asciiTheme="minorHAnsi" w:eastAsiaTheme="minorEastAsia" w:hAnsiTheme="minorHAnsi"/>
          <w:color w:val="auto"/>
          <w:spacing w:val="0"/>
          <w:sz w:val="22"/>
          <w:lang w:eastAsia="en-AU"/>
        </w:rPr>
      </w:pPr>
      <w:r w:rsidRPr="005C49A4">
        <w:t>9.4</w:t>
      </w:r>
      <w:r>
        <w:rPr>
          <w:rFonts w:asciiTheme="minorHAnsi" w:eastAsiaTheme="minorEastAsia" w:hAnsiTheme="minorHAnsi"/>
          <w:color w:val="auto"/>
          <w:spacing w:val="0"/>
          <w:sz w:val="22"/>
          <w:lang w:eastAsia="en-AU"/>
        </w:rPr>
        <w:tab/>
      </w:r>
      <w:r w:rsidRPr="005C49A4">
        <w:t>Enrolments</w:t>
      </w:r>
      <w:r>
        <w:tab/>
      </w:r>
      <w:r w:rsidR="00F3615A">
        <w:t>112</w:t>
      </w:r>
    </w:p>
    <w:p w14:paraId="5F88AFF7" w14:textId="6C3DAA92" w:rsidR="002E3AB5" w:rsidRDefault="002E3AB5" w:rsidP="002E3AB5">
      <w:pPr>
        <w:pStyle w:val="TOC5"/>
      </w:pPr>
      <w:r w:rsidRPr="005C49A4">
        <w:t>9.5</w:t>
      </w:r>
      <w:r>
        <w:rPr>
          <w:rFonts w:asciiTheme="minorHAnsi" w:eastAsiaTheme="minorEastAsia" w:hAnsiTheme="minorHAnsi"/>
          <w:color w:val="auto"/>
          <w:spacing w:val="0"/>
          <w:sz w:val="22"/>
          <w:lang w:eastAsia="en-AU"/>
        </w:rPr>
        <w:tab/>
      </w:r>
      <w:r w:rsidRPr="005C49A4">
        <w:t>Retention, success and completion</w:t>
      </w:r>
      <w:r>
        <w:tab/>
      </w:r>
      <w:r w:rsidR="00F3615A">
        <w:t>116</w:t>
      </w:r>
    </w:p>
    <w:p w14:paraId="0198240E" w14:textId="785A3C40" w:rsidR="00F3615A" w:rsidRDefault="00F3615A" w:rsidP="00F3615A">
      <w:pPr>
        <w:pStyle w:val="TOC5"/>
      </w:pPr>
      <w:r w:rsidRPr="005C49A4">
        <w:t>9.5</w:t>
      </w:r>
      <w:r>
        <w:rPr>
          <w:rFonts w:asciiTheme="minorHAnsi" w:eastAsiaTheme="minorEastAsia" w:hAnsiTheme="minorHAnsi"/>
          <w:color w:val="auto"/>
          <w:spacing w:val="0"/>
          <w:sz w:val="22"/>
          <w:lang w:eastAsia="en-AU"/>
        </w:rPr>
        <w:tab/>
      </w:r>
      <w:r>
        <w:t>Econometric analysis of retention and success rates</w:t>
      </w:r>
      <w:r>
        <w:tab/>
        <w:t>121</w:t>
      </w:r>
    </w:p>
    <w:p w14:paraId="19D38FE4" w14:textId="77777777" w:rsidR="002E3AB5" w:rsidRDefault="002E3AB5" w:rsidP="002E3AB5">
      <w:pPr>
        <w:pStyle w:val="TOC3"/>
        <w:rPr>
          <w:rFonts w:asciiTheme="minorHAnsi" w:eastAsiaTheme="minorEastAsia" w:hAnsiTheme="minorHAnsi"/>
          <w:color w:val="auto"/>
          <w:position w:val="0"/>
          <w:sz w:val="22"/>
          <w:lang w:eastAsia="en-AU"/>
        </w:rPr>
      </w:pPr>
      <w:r w:rsidRPr="005C49A4">
        <w:t>10</w:t>
      </w:r>
    </w:p>
    <w:p w14:paraId="6443ECA7" w14:textId="575A9F1A" w:rsidR="002E3AB5" w:rsidRDefault="002E3AB5" w:rsidP="002E3AB5">
      <w:pPr>
        <w:pStyle w:val="TOC4"/>
        <w:rPr>
          <w:rFonts w:asciiTheme="minorHAnsi" w:eastAsiaTheme="minorEastAsia" w:hAnsiTheme="minorHAnsi"/>
          <w:i w:val="0"/>
          <w:color w:val="auto"/>
          <w:sz w:val="22"/>
          <w:lang w:eastAsia="en-AU"/>
        </w:rPr>
      </w:pPr>
      <w:r w:rsidRPr="005C49A4">
        <w:t>Efficiency of the HEPPP</w:t>
      </w:r>
      <w:r>
        <w:tab/>
        <w:t>12</w:t>
      </w:r>
      <w:r w:rsidR="00C86FBA">
        <w:t>6</w:t>
      </w:r>
    </w:p>
    <w:p w14:paraId="1CDA9FCE" w14:textId="082B5A12" w:rsidR="002E3AB5" w:rsidRDefault="002E3AB5" w:rsidP="002E3AB5">
      <w:pPr>
        <w:pStyle w:val="TOC5"/>
        <w:rPr>
          <w:rFonts w:asciiTheme="minorHAnsi" w:eastAsiaTheme="minorEastAsia" w:hAnsiTheme="minorHAnsi"/>
          <w:color w:val="auto"/>
          <w:spacing w:val="0"/>
          <w:sz w:val="22"/>
          <w:lang w:eastAsia="en-AU"/>
        </w:rPr>
      </w:pPr>
      <w:r w:rsidRPr="005C49A4">
        <w:t>10.1</w:t>
      </w:r>
      <w:r>
        <w:rPr>
          <w:rFonts w:asciiTheme="minorHAnsi" w:eastAsiaTheme="minorEastAsia" w:hAnsiTheme="minorHAnsi"/>
          <w:color w:val="auto"/>
          <w:spacing w:val="0"/>
          <w:sz w:val="22"/>
          <w:lang w:eastAsia="en-AU"/>
        </w:rPr>
        <w:tab/>
      </w:r>
      <w:r w:rsidRPr="005C49A4">
        <w:t>Overview of HEPPP funding</w:t>
      </w:r>
      <w:r>
        <w:tab/>
      </w:r>
      <w:r w:rsidR="00F3615A">
        <w:t>126</w:t>
      </w:r>
    </w:p>
    <w:p w14:paraId="0A317336" w14:textId="6B3A0F3B" w:rsidR="002E3AB5" w:rsidRDefault="002E3AB5" w:rsidP="002E3AB5">
      <w:pPr>
        <w:pStyle w:val="TOC5"/>
        <w:rPr>
          <w:rFonts w:asciiTheme="minorHAnsi" w:eastAsiaTheme="minorEastAsia" w:hAnsiTheme="minorHAnsi"/>
          <w:color w:val="auto"/>
          <w:spacing w:val="0"/>
          <w:sz w:val="22"/>
          <w:lang w:eastAsia="en-AU"/>
        </w:rPr>
      </w:pPr>
      <w:r w:rsidRPr="005C49A4">
        <w:t>10.2</w:t>
      </w:r>
      <w:r>
        <w:rPr>
          <w:rFonts w:asciiTheme="minorHAnsi" w:eastAsiaTheme="minorEastAsia" w:hAnsiTheme="minorHAnsi"/>
          <w:color w:val="auto"/>
          <w:spacing w:val="0"/>
          <w:sz w:val="22"/>
          <w:lang w:eastAsia="en-AU"/>
        </w:rPr>
        <w:tab/>
      </w:r>
      <w:r w:rsidRPr="005C49A4">
        <w:t>Allocation of HEPPP funding</w:t>
      </w:r>
      <w:r>
        <w:tab/>
      </w:r>
      <w:r w:rsidR="00F3615A">
        <w:t>128</w:t>
      </w:r>
    </w:p>
    <w:p w14:paraId="261D9C23" w14:textId="6FB2BD2F" w:rsidR="002E3AB5" w:rsidRDefault="002E3AB5" w:rsidP="002E3AB5">
      <w:pPr>
        <w:pStyle w:val="TOC5"/>
        <w:rPr>
          <w:rFonts w:asciiTheme="minorHAnsi" w:eastAsiaTheme="minorEastAsia" w:hAnsiTheme="minorHAnsi"/>
          <w:color w:val="auto"/>
          <w:spacing w:val="0"/>
          <w:sz w:val="22"/>
          <w:lang w:eastAsia="en-AU"/>
        </w:rPr>
      </w:pPr>
      <w:r w:rsidRPr="005C49A4">
        <w:t>10.3</w:t>
      </w:r>
      <w:r>
        <w:rPr>
          <w:rFonts w:asciiTheme="minorHAnsi" w:eastAsiaTheme="minorEastAsia" w:hAnsiTheme="minorHAnsi"/>
          <w:color w:val="auto"/>
          <w:spacing w:val="0"/>
          <w:sz w:val="22"/>
          <w:lang w:eastAsia="en-AU"/>
        </w:rPr>
        <w:tab/>
      </w:r>
      <w:r w:rsidRPr="005C49A4">
        <w:t>HEPPP funding levels, administrative costs and leveraging of other funding</w:t>
      </w:r>
      <w:r>
        <w:tab/>
      </w:r>
      <w:r w:rsidR="00F3615A">
        <w:t>132</w:t>
      </w:r>
    </w:p>
    <w:p w14:paraId="58FBA30F" w14:textId="77777777" w:rsidR="002E3AB5" w:rsidRDefault="002E3AB5" w:rsidP="002E3AB5">
      <w:pPr>
        <w:pStyle w:val="TOC2"/>
        <w:rPr>
          <w:rFonts w:asciiTheme="minorHAnsi" w:eastAsiaTheme="minorEastAsia" w:hAnsiTheme="minorHAnsi"/>
          <w:caps w:val="0"/>
          <w:color w:val="auto"/>
          <w:sz w:val="22"/>
          <w:lang w:eastAsia="en-AU"/>
        </w:rPr>
      </w:pPr>
      <w:r w:rsidRPr="005C49A4">
        <w:t>PART III</w:t>
      </w:r>
    </w:p>
    <w:p w14:paraId="48AB6711" w14:textId="77777777" w:rsidR="002E3AB5" w:rsidRDefault="002E3AB5" w:rsidP="002E3AB5">
      <w:pPr>
        <w:pStyle w:val="TOC3"/>
        <w:rPr>
          <w:rFonts w:asciiTheme="minorHAnsi" w:eastAsiaTheme="minorEastAsia" w:hAnsiTheme="minorHAnsi"/>
          <w:color w:val="auto"/>
          <w:position w:val="0"/>
          <w:sz w:val="22"/>
          <w:lang w:eastAsia="en-AU"/>
        </w:rPr>
      </w:pPr>
      <w:r w:rsidRPr="005C49A4">
        <w:t>11</w:t>
      </w:r>
    </w:p>
    <w:p w14:paraId="729DD13D" w14:textId="65B779FE" w:rsidR="002E3AB5" w:rsidRDefault="002E3AB5" w:rsidP="002E3AB5">
      <w:pPr>
        <w:pStyle w:val="TOC4"/>
        <w:rPr>
          <w:rFonts w:asciiTheme="minorHAnsi" w:eastAsiaTheme="minorEastAsia" w:hAnsiTheme="minorHAnsi"/>
          <w:i w:val="0"/>
          <w:color w:val="auto"/>
          <w:sz w:val="22"/>
          <w:lang w:eastAsia="en-AU"/>
        </w:rPr>
      </w:pPr>
      <w:r w:rsidRPr="005C49A4">
        <w:t>Recommendations</w:t>
      </w:r>
      <w:r>
        <w:tab/>
      </w:r>
      <w:r w:rsidR="00C86FBA">
        <w:t>140</w:t>
      </w:r>
    </w:p>
    <w:p w14:paraId="2B70F7BD" w14:textId="0E1EF3CE" w:rsidR="002E3AB5" w:rsidRDefault="002E3AB5" w:rsidP="002E3AB5">
      <w:pPr>
        <w:pStyle w:val="TOC5"/>
        <w:rPr>
          <w:rFonts w:asciiTheme="minorHAnsi" w:eastAsiaTheme="minorEastAsia" w:hAnsiTheme="minorHAnsi"/>
          <w:color w:val="auto"/>
          <w:spacing w:val="0"/>
          <w:sz w:val="22"/>
          <w:lang w:eastAsia="en-AU"/>
        </w:rPr>
      </w:pPr>
      <w:r w:rsidRPr="005C49A4">
        <w:t>11.1</w:t>
      </w:r>
      <w:r>
        <w:rPr>
          <w:rFonts w:asciiTheme="minorHAnsi" w:eastAsiaTheme="minorEastAsia" w:hAnsiTheme="minorHAnsi"/>
          <w:color w:val="auto"/>
          <w:spacing w:val="0"/>
          <w:sz w:val="22"/>
          <w:lang w:eastAsia="en-AU"/>
        </w:rPr>
        <w:tab/>
      </w:r>
      <w:r w:rsidRPr="005C49A4">
        <w:t>Continuing HEPPP</w:t>
      </w:r>
      <w:r>
        <w:tab/>
      </w:r>
      <w:r w:rsidR="00F3615A">
        <w:t>140</w:t>
      </w:r>
    </w:p>
    <w:p w14:paraId="27DCDAC3" w14:textId="33BDF937" w:rsidR="002E3AB5" w:rsidRDefault="002E3AB5" w:rsidP="002E3AB5">
      <w:pPr>
        <w:pStyle w:val="TOC5"/>
        <w:rPr>
          <w:rFonts w:asciiTheme="minorHAnsi" w:eastAsiaTheme="minorEastAsia" w:hAnsiTheme="minorHAnsi"/>
          <w:color w:val="auto"/>
          <w:spacing w:val="0"/>
          <w:sz w:val="22"/>
          <w:lang w:eastAsia="en-AU"/>
        </w:rPr>
      </w:pPr>
      <w:r w:rsidRPr="005C49A4">
        <w:t>11.2</w:t>
      </w:r>
      <w:r>
        <w:rPr>
          <w:rFonts w:asciiTheme="minorHAnsi" w:eastAsiaTheme="minorEastAsia" w:hAnsiTheme="minorHAnsi"/>
          <w:color w:val="auto"/>
          <w:spacing w:val="0"/>
          <w:sz w:val="22"/>
          <w:lang w:eastAsia="en-AU"/>
        </w:rPr>
        <w:tab/>
      </w:r>
      <w:r w:rsidRPr="005C49A4">
        <w:t>Focusing the HEPPP</w:t>
      </w:r>
      <w:r>
        <w:tab/>
      </w:r>
      <w:r w:rsidR="00F3615A">
        <w:t>141</w:t>
      </w:r>
    </w:p>
    <w:p w14:paraId="5EC14128" w14:textId="7CD2815D" w:rsidR="002E3AB5" w:rsidRDefault="002E3AB5" w:rsidP="002E3AB5">
      <w:pPr>
        <w:pStyle w:val="TOC5"/>
        <w:rPr>
          <w:rFonts w:asciiTheme="minorHAnsi" w:eastAsiaTheme="minorEastAsia" w:hAnsiTheme="minorHAnsi"/>
          <w:color w:val="auto"/>
          <w:spacing w:val="0"/>
          <w:sz w:val="22"/>
          <w:lang w:eastAsia="en-AU"/>
        </w:rPr>
      </w:pPr>
      <w:r w:rsidRPr="005C49A4">
        <w:t>11.3</w:t>
      </w:r>
      <w:r>
        <w:rPr>
          <w:rFonts w:asciiTheme="minorHAnsi" w:eastAsiaTheme="minorEastAsia" w:hAnsiTheme="minorHAnsi"/>
          <w:color w:val="auto"/>
          <w:spacing w:val="0"/>
          <w:sz w:val="22"/>
          <w:lang w:eastAsia="en-AU"/>
        </w:rPr>
        <w:tab/>
      </w:r>
      <w:r w:rsidRPr="005C49A4">
        <w:t>Funding the HEPPP</w:t>
      </w:r>
      <w:r>
        <w:tab/>
      </w:r>
      <w:r w:rsidR="00F3615A">
        <w:t>148</w:t>
      </w:r>
    </w:p>
    <w:p w14:paraId="36ED7EF6" w14:textId="5FCECB60" w:rsidR="002E3AB5" w:rsidRDefault="002E3AB5" w:rsidP="002E3AB5">
      <w:pPr>
        <w:pStyle w:val="TOC5"/>
        <w:rPr>
          <w:rFonts w:asciiTheme="minorHAnsi" w:eastAsiaTheme="minorEastAsia" w:hAnsiTheme="minorHAnsi"/>
          <w:color w:val="auto"/>
          <w:spacing w:val="0"/>
          <w:sz w:val="22"/>
          <w:lang w:eastAsia="en-AU"/>
        </w:rPr>
      </w:pPr>
      <w:r w:rsidRPr="005C49A4">
        <w:t>11.4</w:t>
      </w:r>
      <w:r>
        <w:rPr>
          <w:rFonts w:asciiTheme="minorHAnsi" w:eastAsiaTheme="minorEastAsia" w:hAnsiTheme="minorHAnsi"/>
          <w:color w:val="auto"/>
          <w:spacing w:val="0"/>
          <w:sz w:val="22"/>
          <w:lang w:eastAsia="en-AU"/>
        </w:rPr>
        <w:tab/>
      </w:r>
      <w:r w:rsidRPr="005C49A4">
        <w:t>Evaluating and reporting the HEPPP</w:t>
      </w:r>
      <w:r>
        <w:tab/>
      </w:r>
      <w:r w:rsidR="00F3615A">
        <w:t>154</w:t>
      </w:r>
    </w:p>
    <w:p w14:paraId="502C7EA1" w14:textId="2621D104" w:rsidR="002E3AB5" w:rsidRDefault="002E3AB5" w:rsidP="002E3AB5">
      <w:pPr>
        <w:pStyle w:val="TOC6"/>
        <w:rPr>
          <w:rFonts w:asciiTheme="minorHAnsi" w:eastAsiaTheme="minorEastAsia" w:hAnsiTheme="minorHAnsi"/>
          <w:caps w:val="0"/>
          <w:sz w:val="22"/>
          <w:lang w:eastAsia="en-AU"/>
        </w:rPr>
      </w:pPr>
      <w:r w:rsidRPr="005C49A4">
        <w:t>References</w:t>
      </w:r>
      <w:r>
        <w:tab/>
        <w:t>15</w:t>
      </w:r>
      <w:r w:rsidR="00C86FBA">
        <w:t>7</w:t>
      </w:r>
    </w:p>
    <w:p w14:paraId="5602C978" w14:textId="77777777" w:rsidR="002E3AB5" w:rsidRDefault="002E3AB5" w:rsidP="002E3AB5">
      <w:pPr>
        <w:pStyle w:val="TOC2"/>
        <w:rPr>
          <w:rFonts w:asciiTheme="minorHAnsi" w:eastAsiaTheme="minorEastAsia" w:hAnsiTheme="minorHAnsi"/>
          <w:caps w:val="0"/>
          <w:color w:val="auto"/>
          <w:sz w:val="22"/>
          <w:lang w:eastAsia="en-AU"/>
        </w:rPr>
      </w:pPr>
      <w:r w:rsidRPr="005C49A4">
        <w:t>Appendices</w:t>
      </w:r>
    </w:p>
    <w:p w14:paraId="43F7D869" w14:textId="77777777" w:rsidR="002E3AB5" w:rsidRDefault="002E3AB5" w:rsidP="002E3AB5">
      <w:pPr>
        <w:pStyle w:val="TOC3"/>
        <w:rPr>
          <w:rFonts w:asciiTheme="minorHAnsi" w:eastAsiaTheme="minorEastAsia" w:hAnsiTheme="minorHAnsi"/>
          <w:color w:val="auto"/>
          <w:position w:val="0"/>
          <w:sz w:val="22"/>
          <w:lang w:eastAsia="en-AU"/>
        </w:rPr>
      </w:pPr>
      <w:r w:rsidRPr="005C49A4">
        <w:t>A</w:t>
      </w:r>
    </w:p>
    <w:p w14:paraId="1636097E" w14:textId="77777777" w:rsidR="002E3AB5" w:rsidRDefault="002E3AB5" w:rsidP="002E3AB5">
      <w:pPr>
        <w:pStyle w:val="TOC4"/>
        <w:rPr>
          <w:rFonts w:asciiTheme="minorHAnsi" w:eastAsiaTheme="minorEastAsia" w:hAnsiTheme="minorHAnsi"/>
          <w:i w:val="0"/>
          <w:color w:val="auto"/>
          <w:sz w:val="22"/>
          <w:lang w:eastAsia="en-AU"/>
        </w:rPr>
      </w:pPr>
      <w:r w:rsidRPr="005C49A4">
        <w:t>Research questions</w:t>
      </w:r>
      <w:r>
        <w:tab/>
        <w:t>A–1</w:t>
      </w:r>
    </w:p>
    <w:p w14:paraId="3216D5FB" w14:textId="77777777" w:rsidR="002E3AB5" w:rsidRDefault="002E3AB5" w:rsidP="002E3AB5">
      <w:pPr>
        <w:pStyle w:val="TOC5"/>
        <w:rPr>
          <w:rFonts w:asciiTheme="minorHAnsi" w:eastAsiaTheme="minorEastAsia" w:hAnsiTheme="minorHAnsi"/>
          <w:color w:val="auto"/>
          <w:spacing w:val="0"/>
          <w:sz w:val="22"/>
          <w:lang w:eastAsia="en-AU"/>
        </w:rPr>
      </w:pPr>
      <w:r w:rsidRPr="005C49A4">
        <w:t>A.1</w:t>
      </w:r>
      <w:r>
        <w:rPr>
          <w:rFonts w:asciiTheme="minorHAnsi" w:eastAsiaTheme="minorEastAsia" w:hAnsiTheme="minorHAnsi"/>
          <w:color w:val="auto"/>
          <w:spacing w:val="0"/>
          <w:sz w:val="22"/>
          <w:lang w:eastAsia="en-AU"/>
        </w:rPr>
        <w:tab/>
      </w:r>
      <w:r w:rsidRPr="005C49A4">
        <w:t>Effectiveness</w:t>
      </w:r>
      <w:r>
        <w:tab/>
        <w:t>A–1</w:t>
      </w:r>
    </w:p>
    <w:p w14:paraId="311BC24B" w14:textId="77777777" w:rsidR="002E3AB5" w:rsidRDefault="002E3AB5" w:rsidP="002E3AB5">
      <w:pPr>
        <w:pStyle w:val="TOC5"/>
        <w:rPr>
          <w:rFonts w:asciiTheme="minorHAnsi" w:eastAsiaTheme="minorEastAsia" w:hAnsiTheme="minorHAnsi"/>
          <w:color w:val="auto"/>
          <w:spacing w:val="0"/>
          <w:sz w:val="22"/>
          <w:lang w:eastAsia="en-AU"/>
        </w:rPr>
      </w:pPr>
      <w:r w:rsidRPr="005C49A4">
        <w:t>A.2</w:t>
      </w:r>
      <w:r>
        <w:rPr>
          <w:rFonts w:asciiTheme="minorHAnsi" w:eastAsiaTheme="minorEastAsia" w:hAnsiTheme="minorHAnsi"/>
          <w:color w:val="auto"/>
          <w:spacing w:val="0"/>
          <w:sz w:val="22"/>
          <w:lang w:eastAsia="en-AU"/>
        </w:rPr>
        <w:tab/>
      </w:r>
      <w:r w:rsidRPr="005C49A4">
        <w:t>Efficiency</w:t>
      </w:r>
      <w:r>
        <w:tab/>
        <w:t>A–3</w:t>
      </w:r>
    </w:p>
    <w:p w14:paraId="10F9955C" w14:textId="77777777" w:rsidR="002E3AB5" w:rsidRDefault="002E3AB5" w:rsidP="002E3AB5">
      <w:pPr>
        <w:pStyle w:val="TOC5"/>
        <w:rPr>
          <w:rFonts w:asciiTheme="minorHAnsi" w:eastAsiaTheme="minorEastAsia" w:hAnsiTheme="minorHAnsi"/>
          <w:color w:val="auto"/>
          <w:spacing w:val="0"/>
          <w:sz w:val="22"/>
          <w:lang w:eastAsia="en-AU"/>
        </w:rPr>
      </w:pPr>
      <w:r w:rsidRPr="005C49A4">
        <w:t>A.3</w:t>
      </w:r>
      <w:r>
        <w:rPr>
          <w:rFonts w:asciiTheme="minorHAnsi" w:eastAsiaTheme="minorEastAsia" w:hAnsiTheme="minorHAnsi"/>
          <w:color w:val="auto"/>
          <w:spacing w:val="0"/>
          <w:sz w:val="22"/>
          <w:lang w:eastAsia="en-AU"/>
        </w:rPr>
        <w:tab/>
      </w:r>
      <w:r w:rsidRPr="005C49A4">
        <w:t>Appropriateness</w:t>
      </w:r>
      <w:r>
        <w:tab/>
        <w:t>A–3</w:t>
      </w:r>
    </w:p>
    <w:p w14:paraId="51E3A34B" w14:textId="77777777" w:rsidR="002E3AB5" w:rsidRDefault="002E3AB5" w:rsidP="002E3AB5">
      <w:pPr>
        <w:pStyle w:val="TOC3"/>
        <w:rPr>
          <w:rFonts w:asciiTheme="minorHAnsi" w:eastAsiaTheme="minorEastAsia" w:hAnsiTheme="minorHAnsi"/>
          <w:color w:val="auto"/>
          <w:position w:val="0"/>
          <w:sz w:val="22"/>
          <w:lang w:eastAsia="en-AU"/>
        </w:rPr>
      </w:pPr>
      <w:r w:rsidRPr="005C49A4">
        <w:t>B</w:t>
      </w:r>
    </w:p>
    <w:p w14:paraId="24FC48EB" w14:textId="7798AAD3" w:rsidR="002E3AB5" w:rsidRDefault="002E3AB5" w:rsidP="002E3AB5">
      <w:pPr>
        <w:pStyle w:val="TOC4"/>
        <w:rPr>
          <w:rFonts w:asciiTheme="minorHAnsi" w:eastAsiaTheme="minorEastAsia" w:hAnsiTheme="minorHAnsi"/>
          <w:i w:val="0"/>
          <w:color w:val="auto"/>
          <w:sz w:val="22"/>
          <w:lang w:eastAsia="en-AU"/>
        </w:rPr>
      </w:pPr>
      <w:r w:rsidRPr="005C49A4">
        <w:t>International experience</w:t>
      </w:r>
      <w:r>
        <w:tab/>
      </w:r>
      <w:r w:rsidR="00B703D7">
        <w:t>B–1</w:t>
      </w:r>
    </w:p>
    <w:p w14:paraId="7D861C96" w14:textId="683E852A" w:rsidR="002E3AB5" w:rsidRDefault="002E3AB5" w:rsidP="002E3AB5">
      <w:pPr>
        <w:pStyle w:val="TOC5"/>
        <w:rPr>
          <w:rFonts w:asciiTheme="minorHAnsi" w:eastAsiaTheme="minorEastAsia" w:hAnsiTheme="minorHAnsi"/>
          <w:color w:val="auto"/>
          <w:spacing w:val="0"/>
          <w:sz w:val="22"/>
          <w:lang w:eastAsia="en-AU"/>
        </w:rPr>
      </w:pPr>
      <w:r w:rsidRPr="005C49A4">
        <w:t>B.1</w:t>
      </w:r>
      <w:r>
        <w:rPr>
          <w:rFonts w:asciiTheme="minorHAnsi" w:eastAsiaTheme="minorEastAsia" w:hAnsiTheme="minorHAnsi"/>
          <w:color w:val="auto"/>
          <w:spacing w:val="0"/>
          <w:sz w:val="22"/>
          <w:lang w:eastAsia="en-AU"/>
        </w:rPr>
        <w:tab/>
      </w:r>
      <w:r w:rsidRPr="005C49A4">
        <w:t>Summary of different approaches to equity in higher education</w:t>
      </w:r>
      <w:r>
        <w:tab/>
      </w:r>
      <w:r w:rsidR="00B703D7">
        <w:t>B–2</w:t>
      </w:r>
    </w:p>
    <w:p w14:paraId="1D038FB2" w14:textId="0766D441" w:rsidR="002E3AB5" w:rsidRDefault="002E3AB5" w:rsidP="002E3AB5">
      <w:pPr>
        <w:pStyle w:val="TOC5"/>
        <w:rPr>
          <w:rFonts w:asciiTheme="minorHAnsi" w:eastAsiaTheme="minorEastAsia" w:hAnsiTheme="minorHAnsi"/>
          <w:color w:val="auto"/>
          <w:spacing w:val="0"/>
          <w:sz w:val="22"/>
          <w:lang w:eastAsia="en-AU"/>
        </w:rPr>
      </w:pPr>
      <w:r w:rsidRPr="005C49A4">
        <w:t>B.2</w:t>
      </w:r>
      <w:r>
        <w:rPr>
          <w:rFonts w:asciiTheme="minorHAnsi" w:eastAsiaTheme="minorEastAsia" w:hAnsiTheme="minorHAnsi"/>
          <w:color w:val="auto"/>
          <w:spacing w:val="0"/>
          <w:sz w:val="22"/>
          <w:lang w:eastAsia="en-AU"/>
        </w:rPr>
        <w:tab/>
      </w:r>
      <w:r w:rsidRPr="005C49A4">
        <w:t>England</w:t>
      </w:r>
      <w:r>
        <w:tab/>
        <w:t>B–</w:t>
      </w:r>
      <w:r w:rsidR="0050114B">
        <w:t>4</w:t>
      </w:r>
    </w:p>
    <w:p w14:paraId="2CAC540A" w14:textId="2E51B89D" w:rsidR="002E3AB5" w:rsidRDefault="002E3AB5" w:rsidP="002E3AB5">
      <w:pPr>
        <w:pStyle w:val="TOC5"/>
        <w:rPr>
          <w:rFonts w:asciiTheme="minorHAnsi" w:eastAsiaTheme="minorEastAsia" w:hAnsiTheme="minorHAnsi"/>
          <w:color w:val="auto"/>
          <w:spacing w:val="0"/>
          <w:sz w:val="22"/>
          <w:lang w:eastAsia="en-AU"/>
        </w:rPr>
      </w:pPr>
      <w:r w:rsidRPr="005C49A4">
        <w:t>B.3</w:t>
      </w:r>
      <w:r>
        <w:rPr>
          <w:rFonts w:asciiTheme="minorHAnsi" w:eastAsiaTheme="minorEastAsia" w:hAnsiTheme="minorHAnsi"/>
          <w:color w:val="auto"/>
          <w:spacing w:val="0"/>
          <w:sz w:val="22"/>
          <w:lang w:eastAsia="en-AU"/>
        </w:rPr>
        <w:tab/>
      </w:r>
      <w:r w:rsidRPr="005C49A4">
        <w:t>Scotland</w:t>
      </w:r>
      <w:r>
        <w:tab/>
        <w:t>B–</w:t>
      </w:r>
      <w:r w:rsidR="0050114B">
        <w:t>6</w:t>
      </w:r>
    </w:p>
    <w:p w14:paraId="6A20DC32" w14:textId="56C99084" w:rsidR="002E3AB5" w:rsidRDefault="002E3AB5" w:rsidP="002E3AB5">
      <w:pPr>
        <w:pStyle w:val="TOC5"/>
        <w:rPr>
          <w:rFonts w:asciiTheme="minorHAnsi" w:eastAsiaTheme="minorEastAsia" w:hAnsiTheme="minorHAnsi"/>
          <w:color w:val="auto"/>
          <w:spacing w:val="0"/>
          <w:sz w:val="22"/>
          <w:lang w:eastAsia="en-AU"/>
        </w:rPr>
      </w:pPr>
      <w:r w:rsidRPr="005C49A4">
        <w:t>B.4</w:t>
      </w:r>
      <w:r>
        <w:rPr>
          <w:rFonts w:asciiTheme="minorHAnsi" w:eastAsiaTheme="minorEastAsia" w:hAnsiTheme="minorHAnsi"/>
          <w:color w:val="auto"/>
          <w:spacing w:val="0"/>
          <w:sz w:val="22"/>
          <w:lang w:eastAsia="en-AU"/>
        </w:rPr>
        <w:tab/>
      </w:r>
      <w:r w:rsidRPr="005C49A4">
        <w:t>Ireland</w:t>
      </w:r>
      <w:r>
        <w:tab/>
        <w:t>B–</w:t>
      </w:r>
      <w:r w:rsidR="0050114B">
        <w:t>9</w:t>
      </w:r>
    </w:p>
    <w:p w14:paraId="09AC5ED5" w14:textId="207D3652" w:rsidR="002E3AB5" w:rsidRDefault="002E3AB5" w:rsidP="002E3AB5">
      <w:pPr>
        <w:pStyle w:val="TOC5"/>
        <w:rPr>
          <w:rFonts w:asciiTheme="minorHAnsi" w:eastAsiaTheme="minorEastAsia" w:hAnsiTheme="minorHAnsi"/>
          <w:color w:val="auto"/>
          <w:spacing w:val="0"/>
          <w:sz w:val="22"/>
          <w:lang w:eastAsia="en-AU"/>
        </w:rPr>
      </w:pPr>
      <w:r w:rsidRPr="005C49A4">
        <w:t>B.5</w:t>
      </w:r>
      <w:r>
        <w:rPr>
          <w:rFonts w:asciiTheme="minorHAnsi" w:eastAsiaTheme="minorEastAsia" w:hAnsiTheme="minorHAnsi"/>
          <w:color w:val="auto"/>
          <w:spacing w:val="0"/>
          <w:sz w:val="22"/>
          <w:lang w:eastAsia="en-AU"/>
        </w:rPr>
        <w:tab/>
      </w:r>
      <w:r w:rsidRPr="005C49A4">
        <w:t>United States of America</w:t>
      </w:r>
      <w:r>
        <w:tab/>
        <w:t>B–</w:t>
      </w:r>
      <w:r w:rsidR="0050114B">
        <w:t>11</w:t>
      </w:r>
    </w:p>
    <w:p w14:paraId="34BEBDBD" w14:textId="3E7566BB" w:rsidR="002E3AB5" w:rsidRDefault="002E3AB5" w:rsidP="002E3AB5">
      <w:pPr>
        <w:pStyle w:val="TOC5"/>
        <w:rPr>
          <w:rFonts w:asciiTheme="minorHAnsi" w:eastAsiaTheme="minorEastAsia" w:hAnsiTheme="minorHAnsi"/>
          <w:color w:val="auto"/>
          <w:spacing w:val="0"/>
          <w:sz w:val="22"/>
          <w:lang w:eastAsia="en-AU"/>
        </w:rPr>
      </w:pPr>
      <w:r w:rsidRPr="005C49A4">
        <w:t>B.6</w:t>
      </w:r>
      <w:r>
        <w:rPr>
          <w:rFonts w:asciiTheme="minorHAnsi" w:eastAsiaTheme="minorEastAsia" w:hAnsiTheme="minorHAnsi"/>
          <w:color w:val="auto"/>
          <w:spacing w:val="0"/>
          <w:sz w:val="22"/>
          <w:lang w:eastAsia="en-AU"/>
        </w:rPr>
        <w:tab/>
      </w:r>
      <w:r w:rsidRPr="005C49A4">
        <w:t>Ontario, Canada</w:t>
      </w:r>
      <w:r>
        <w:tab/>
        <w:t>B–1</w:t>
      </w:r>
      <w:r w:rsidR="0050114B">
        <w:t>3</w:t>
      </w:r>
    </w:p>
    <w:p w14:paraId="1481C385" w14:textId="77777777" w:rsidR="002E3AB5" w:rsidRDefault="002E3AB5" w:rsidP="002E3AB5">
      <w:pPr>
        <w:pStyle w:val="TOC3"/>
        <w:rPr>
          <w:rFonts w:asciiTheme="minorHAnsi" w:eastAsiaTheme="minorEastAsia" w:hAnsiTheme="minorHAnsi"/>
          <w:color w:val="auto"/>
          <w:position w:val="0"/>
          <w:sz w:val="22"/>
          <w:lang w:eastAsia="en-AU"/>
        </w:rPr>
      </w:pPr>
      <w:r w:rsidRPr="005C49A4">
        <w:t>C</w:t>
      </w:r>
    </w:p>
    <w:p w14:paraId="51368036" w14:textId="77777777" w:rsidR="002E3AB5" w:rsidRDefault="002E3AB5" w:rsidP="002E3AB5">
      <w:pPr>
        <w:pStyle w:val="TOC4"/>
        <w:rPr>
          <w:rFonts w:asciiTheme="minorHAnsi" w:eastAsiaTheme="minorEastAsia" w:hAnsiTheme="minorHAnsi"/>
          <w:i w:val="0"/>
          <w:color w:val="auto"/>
          <w:sz w:val="22"/>
          <w:lang w:eastAsia="en-AU"/>
        </w:rPr>
      </w:pPr>
      <w:r w:rsidRPr="005C49A4">
        <w:t>Written submissions</w:t>
      </w:r>
      <w:r>
        <w:tab/>
        <w:t>C–1</w:t>
      </w:r>
    </w:p>
    <w:p w14:paraId="32E1689E" w14:textId="77777777" w:rsidR="002E3AB5" w:rsidRDefault="002E3AB5" w:rsidP="002E3AB5">
      <w:pPr>
        <w:pStyle w:val="TOC3"/>
        <w:rPr>
          <w:rFonts w:asciiTheme="minorHAnsi" w:eastAsiaTheme="minorEastAsia" w:hAnsiTheme="minorHAnsi"/>
          <w:color w:val="auto"/>
          <w:position w:val="0"/>
          <w:sz w:val="22"/>
          <w:lang w:eastAsia="en-AU"/>
        </w:rPr>
      </w:pPr>
      <w:r w:rsidRPr="005C49A4">
        <w:t>D</w:t>
      </w:r>
    </w:p>
    <w:p w14:paraId="0C773671" w14:textId="175C2411" w:rsidR="002E3AB5" w:rsidRDefault="000B0B11" w:rsidP="002E3AB5">
      <w:pPr>
        <w:pStyle w:val="TOC4"/>
        <w:rPr>
          <w:rFonts w:asciiTheme="minorHAnsi" w:eastAsiaTheme="minorEastAsia" w:hAnsiTheme="minorHAnsi"/>
          <w:i w:val="0"/>
          <w:color w:val="auto"/>
          <w:sz w:val="22"/>
          <w:lang w:eastAsia="en-AU"/>
        </w:rPr>
      </w:pPr>
      <w:r>
        <w:t>Additional charts based on university HEPPP annual reports</w:t>
      </w:r>
      <w:r w:rsidR="002E3AB5">
        <w:tab/>
        <w:t>D–1</w:t>
      </w:r>
    </w:p>
    <w:p w14:paraId="4935BAC3" w14:textId="1BD131DC" w:rsidR="000B0B11" w:rsidRDefault="000B0B11" w:rsidP="000B0B11">
      <w:pPr>
        <w:pStyle w:val="TOC3"/>
        <w:rPr>
          <w:rFonts w:asciiTheme="minorHAnsi" w:eastAsiaTheme="minorEastAsia" w:hAnsiTheme="minorHAnsi"/>
          <w:color w:val="auto"/>
          <w:position w:val="0"/>
          <w:sz w:val="22"/>
          <w:lang w:eastAsia="en-AU"/>
        </w:rPr>
      </w:pPr>
      <w:r>
        <w:t>E</w:t>
      </w:r>
    </w:p>
    <w:p w14:paraId="2D4AAB46" w14:textId="38B00052" w:rsidR="000B0B11" w:rsidRDefault="000B0B11" w:rsidP="000B0B11">
      <w:pPr>
        <w:pStyle w:val="TOC4"/>
        <w:rPr>
          <w:rFonts w:asciiTheme="minorHAnsi" w:eastAsiaTheme="minorEastAsia" w:hAnsiTheme="minorHAnsi"/>
          <w:i w:val="0"/>
          <w:color w:val="auto"/>
          <w:sz w:val="22"/>
          <w:lang w:eastAsia="en-AU"/>
        </w:rPr>
      </w:pPr>
      <w:r>
        <w:t>Technical appendix and econometric method</w:t>
      </w:r>
      <w:r>
        <w:tab/>
        <w:t>E–1</w:t>
      </w:r>
    </w:p>
    <w:p w14:paraId="24996D81" w14:textId="206F2BC0" w:rsidR="000B0B11" w:rsidRDefault="000B0B11" w:rsidP="000B0B11">
      <w:pPr>
        <w:pStyle w:val="TOC5"/>
        <w:rPr>
          <w:rFonts w:asciiTheme="minorHAnsi" w:eastAsiaTheme="minorEastAsia" w:hAnsiTheme="minorHAnsi"/>
          <w:color w:val="auto"/>
          <w:spacing w:val="0"/>
          <w:sz w:val="22"/>
          <w:lang w:eastAsia="en-AU"/>
        </w:rPr>
      </w:pPr>
      <w:r>
        <w:t>E</w:t>
      </w:r>
      <w:r w:rsidRPr="005C49A4">
        <w:t>.1</w:t>
      </w:r>
      <w:r>
        <w:rPr>
          <w:rFonts w:asciiTheme="minorHAnsi" w:eastAsiaTheme="minorEastAsia" w:hAnsiTheme="minorHAnsi"/>
          <w:color w:val="auto"/>
          <w:spacing w:val="0"/>
          <w:sz w:val="22"/>
          <w:lang w:eastAsia="en-AU"/>
        </w:rPr>
        <w:tab/>
      </w:r>
      <w:r w:rsidRPr="000B0B11">
        <w:t>Econometrics method</w:t>
      </w:r>
      <w:r>
        <w:tab/>
        <w:t>E–1</w:t>
      </w:r>
    </w:p>
    <w:p w14:paraId="628D5936" w14:textId="40ED71B1" w:rsidR="000B0B11" w:rsidRDefault="000B0B11" w:rsidP="000B0B11">
      <w:pPr>
        <w:pStyle w:val="TOC5"/>
        <w:rPr>
          <w:rFonts w:asciiTheme="minorHAnsi" w:eastAsiaTheme="minorEastAsia" w:hAnsiTheme="minorHAnsi"/>
          <w:color w:val="auto"/>
          <w:spacing w:val="0"/>
          <w:sz w:val="22"/>
          <w:lang w:eastAsia="en-AU"/>
        </w:rPr>
      </w:pPr>
      <w:r>
        <w:t>E</w:t>
      </w:r>
      <w:r w:rsidRPr="005C49A4">
        <w:t>.2</w:t>
      </w:r>
      <w:r>
        <w:rPr>
          <w:rFonts w:asciiTheme="minorHAnsi" w:eastAsiaTheme="minorEastAsia" w:hAnsiTheme="minorHAnsi"/>
          <w:color w:val="auto"/>
          <w:spacing w:val="0"/>
          <w:sz w:val="22"/>
          <w:lang w:eastAsia="en-AU"/>
        </w:rPr>
        <w:tab/>
      </w:r>
      <w:r w:rsidRPr="005C49A4">
        <w:t>Staff survey questions on overall effectiveness</w:t>
      </w:r>
      <w:r>
        <w:tab/>
        <w:t>E–2</w:t>
      </w:r>
    </w:p>
    <w:p w14:paraId="2D0AB5DF" w14:textId="5BDD8E5F" w:rsidR="000B0B11" w:rsidRDefault="000B0B11" w:rsidP="000B0B11">
      <w:pPr>
        <w:pStyle w:val="TOC5"/>
        <w:rPr>
          <w:rFonts w:asciiTheme="minorHAnsi" w:eastAsiaTheme="minorEastAsia" w:hAnsiTheme="minorHAnsi"/>
          <w:color w:val="auto"/>
          <w:spacing w:val="0"/>
          <w:sz w:val="22"/>
          <w:lang w:eastAsia="en-AU"/>
        </w:rPr>
      </w:pPr>
      <w:r>
        <w:t>E</w:t>
      </w:r>
      <w:r w:rsidRPr="005C49A4">
        <w:t>.</w:t>
      </w:r>
      <w:r w:rsidR="00F3615A">
        <w:t>3</w:t>
      </w:r>
      <w:r>
        <w:rPr>
          <w:rFonts w:asciiTheme="minorHAnsi" w:eastAsiaTheme="minorEastAsia" w:hAnsiTheme="minorHAnsi"/>
          <w:color w:val="auto"/>
          <w:spacing w:val="0"/>
          <w:sz w:val="22"/>
          <w:lang w:eastAsia="en-AU"/>
        </w:rPr>
        <w:tab/>
      </w:r>
      <w:r w:rsidRPr="005C49A4">
        <w:t xml:space="preserve">The IRU </w:t>
      </w:r>
      <w:r>
        <w:t xml:space="preserve">funding </w:t>
      </w:r>
      <w:r w:rsidRPr="005C49A4">
        <w:t>proposal</w:t>
      </w:r>
      <w:r>
        <w:tab/>
        <w:t>E–3</w:t>
      </w:r>
    </w:p>
    <w:p w14:paraId="0EEFF4D8" w14:textId="60F0FF3C" w:rsidR="000B0B11" w:rsidRDefault="000B0B11" w:rsidP="000B0B11">
      <w:pPr>
        <w:pStyle w:val="TOC5"/>
        <w:rPr>
          <w:rFonts w:asciiTheme="minorHAnsi" w:eastAsiaTheme="minorEastAsia" w:hAnsiTheme="minorHAnsi"/>
          <w:color w:val="auto"/>
          <w:spacing w:val="0"/>
          <w:sz w:val="22"/>
          <w:lang w:eastAsia="en-AU"/>
        </w:rPr>
      </w:pPr>
      <w:r>
        <w:t>E</w:t>
      </w:r>
      <w:r w:rsidRPr="005C49A4">
        <w:t>.3</w:t>
      </w:r>
      <w:r>
        <w:rPr>
          <w:rFonts w:asciiTheme="minorHAnsi" w:eastAsiaTheme="minorEastAsia" w:hAnsiTheme="minorHAnsi"/>
          <w:color w:val="auto"/>
          <w:spacing w:val="0"/>
          <w:sz w:val="22"/>
          <w:lang w:eastAsia="en-AU"/>
        </w:rPr>
        <w:tab/>
      </w:r>
      <w:r w:rsidRPr="005C49A4">
        <w:t>Background on the low SES measure</w:t>
      </w:r>
      <w:r>
        <w:tab/>
        <w:t>E–3</w:t>
      </w:r>
    </w:p>
    <w:p w14:paraId="7AC7136F" w14:textId="77777777" w:rsidR="002E3AB5" w:rsidRPr="001A2F85" w:rsidRDefault="002E3AB5" w:rsidP="002E3AB5">
      <w:pPr>
        <w:pStyle w:val="TOCGeneral"/>
        <w:rPr>
          <w:noProof/>
        </w:rPr>
      </w:pPr>
    </w:p>
    <w:p w14:paraId="42417A51" w14:textId="77777777" w:rsidR="002E3AB5" w:rsidRPr="001A2F85" w:rsidRDefault="002E3AB5" w:rsidP="002E3AB5">
      <w:pPr>
        <w:pStyle w:val="TOCGeneral"/>
        <w:rPr>
          <w:noProof/>
        </w:rPr>
      </w:pPr>
    </w:p>
    <w:p w14:paraId="64FE4BF7" w14:textId="77777777" w:rsidR="002E3AB5" w:rsidRPr="001A2F85" w:rsidRDefault="002E3AB5" w:rsidP="002E3AB5">
      <w:pPr>
        <w:pStyle w:val="TOCGeneral"/>
        <w:rPr>
          <w:noProof/>
        </w:rPr>
      </w:pPr>
    </w:p>
    <w:p w14:paraId="0AB53B12" w14:textId="77777777" w:rsidR="002E3AB5" w:rsidRPr="001A2F85" w:rsidRDefault="002E3AB5" w:rsidP="002E3AB5">
      <w:pPr>
        <w:pStyle w:val="TOCGeneral"/>
        <w:rPr>
          <w:noProof/>
        </w:rPr>
      </w:pPr>
    </w:p>
    <w:p w14:paraId="65A7CA13" w14:textId="77777777" w:rsidR="002E3AB5" w:rsidRPr="001A2F85" w:rsidRDefault="002E3AB5" w:rsidP="002E3AB5">
      <w:pPr>
        <w:pStyle w:val="TOCGeneral"/>
        <w:rPr>
          <w:noProof/>
        </w:rPr>
      </w:pPr>
    </w:p>
    <w:p w14:paraId="71001F01" w14:textId="77777777" w:rsidR="002E3AB5" w:rsidRPr="001A2F85" w:rsidRDefault="002E3AB5" w:rsidP="002E3AB5">
      <w:pPr>
        <w:pStyle w:val="TOCGeneral"/>
        <w:rPr>
          <w:noProof/>
        </w:rPr>
      </w:pPr>
    </w:p>
    <w:p w14:paraId="2CB25CFB" w14:textId="77777777" w:rsidR="002E3AB5" w:rsidRPr="001A2F85" w:rsidRDefault="002E3AB5" w:rsidP="002E3AB5">
      <w:pPr>
        <w:pStyle w:val="TOCGeneral"/>
        <w:rPr>
          <w:noProof/>
        </w:rPr>
      </w:pPr>
    </w:p>
    <w:p w14:paraId="51A5C726" w14:textId="77777777" w:rsidR="002E3AB5" w:rsidRPr="001A2F85" w:rsidRDefault="002E3AB5" w:rsidP="002E3AB5">
      <w:pPr>
        <w:pStyle w:val="TOCGeneral"/>
      </w:pPr>
    </w:p>
    <w:p w14:paraId="5FD5DEF6" w14:textId="77777777" w:rsidR="002E3AB5" w:rsidRPr="001A2F85" w:rsidRDefault="002E3AB5" w:rsidP="002E3AB5">
      <w:pPr>
        <w:pStyle w:val="TOC7"/>
      </w:pPr>
      <w:r w:rsidRPr="001A2F85">
        <w:t>Figures</w:t>
      </w:r>
    </w:p>
    <w:p w14:paraId="2AD75B42" w14:textId="20BB59E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1.1</w:t>
      </w:r>
      <w:r>
        <w:rPr>
          <w:rFonts w:asciiTheme="minorHAnsi" w:eastAsiaTheme="minorEastAsia" w:hAnsiTheme="minorHAnsi"/>
          <w:caps w:val="0"/>
          <w:noProof/>
          <w:spacing w:val="0"/>
          <w:sz w:val="22"/>
          <w:lang w:eastAsia="en-AU"/>
        </w:rPr>
        <w:tab/>
      </w:r>
      <w:r w:rsidRPr="005C49A4">
        <w:rPr>
          <w:noProof/>
        </w:rPr>
        <w:t>Equity Initiatives Framework Student life cycle overview</w:t>
      </w:r>
      <w:r>
        <w:rPr>
          <w:noProof/>
        </w:rPr>
        <w:tab/>
      </w:r>
      <w:r w:rsidR="00B04848">
        <w:rPr>
          <w:noProof/>
        </w:rPr>
        <w:t>8</w:t>
      </w:r>
    </w:p>
    <w:p w14:paraId="22D4CF4A" w14:textId="1A3E4C3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2.1</w:t>
      </w:r>
      <w:r>
        <w:rPr>
          <w:rFonts w:asciiTheme="minorHAnsi" w:eastAsiaTheme="minorEastAsia" w:hAnsiTheme="minorHAnsi"/>
          <w:caps w:val="0"/>
          <w:noProof/>
          <w:spacing w:val="0"/>
          <w:sz w:val="22"/>
          <w:lang w:eastAsia="en-AU"/>
        </w:rPr>
        <w:tab/>
      </w:r>
      <w:r w:rsidRPr="005C49A4">
        <w:rPr>
          <w:noProof/>
        </w:rPr>
        <w:t>Logic model for the HEPPP</w:t>
      </w:r>
      <w:r>
        <w:rPr>
          <w:noProof/>
        </w:rPr>
        <w:tab/>
      </w:r>
      <w:r w:rsidR="00313A17">
        <w:rPr>
          <w:noProof/>
        </w:rPr>
        <w:t>13</w:t>
      </w:r>
    </w:p>
    <w:p w14:paraId="59211B54" w14:textId="5E567007"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2.2</w:t>
      </w:r>
      <w:r>
        <w:rPr>
          <w:rFonts w:asciiTheme="minorHAnsi" w:eastAsiaTheme="minorEastAsia" w:hAnsiTheme="minorHAnsi"/>
          <w:caps w:val="0"/>
          <w:noProof/>
          <w:spacing w:val="0"/>
          <w:sz w:val="22"/>
          <w:lang w:eastAsia="en-AU"/>
        </w:rPr>
        <w:tab/>
      </w:r>
      <w:r w:rsidRPr="005C49A4">
        <w:rPr>
          <w:noProof/>
        </w:rPr>
        <w:t>the funding approach to the heppp over 2010-2016</w:t>
      </w:r>
      <w:r>
        <w:rPr>
          <w:noProof/>
        </w:rPr>
        <w:tab/>
      </w:r>
      <w:r w:rsidR="00B04848">
        <w:rPr>
          <w:noProof/>
        </w:rPr>
        <w:t>18</w:t>
      </w:r>
    </w:p>
    <w:p w14:paraId="6622505D" w14:textId="0E551A4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2.3</w:t>
      </w:r>
      <w:r>
        <w:rPr>
          <w:rFonts w:asciiTheme="minorHAnsi" w:eastAsiaTheme="minorEastAsia" w:hAnsiTheme="minorHAnsi"/>
          <w:caps w:val="0"/>
          <w:noProof/>
          <w:spacing w:val="0"/>
          <w:sz w:val="22"/>
          <w:lang w:eastAsia="en-AU"/>
        </w:rPr>
        <w:tab/>
      </w:r>
      <w:r w:rsidRPr="005C49A4">
        <w:rPr>
          <w:noProof/>
        </w:rPr>
        <w:t>Annual HEPPP funding, 2010-2020</w:t>
      </w:r>
      <w:r>
        <w:rPr>
          <w:noProof/>
        </w:rPr>
        <w:tab/>
      </w:r>
      <w:r w:rsidR="00313A17">
        <w:rPr>
          <w:noProof/>
        </w:rPr>
        <w:t>20</w:t>
      </w:r>
    </w:p>
    <w:p w14:paraId="4D71DA5F" w14:textId="444C0A2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2.4</w:t>
      </w:r>
      <w:r>
        <w:rPr>
          <w:rFonts w:asciiTheme="minorHAnsi" w:eastAsiaTheme="minorEastAsia" w:hAnsiTheme="minorHAnsi"/>
          <w:caps w:val="0"/>
          <w:noProof/>
          <w:spacing w:val="0"/>
          <w:sz w:val="22"/>
          <w:lang w:eastAsia="en-AU"/>
        </w:rPr>
        <w:tab/>
      </w:r>
      <w:r w:rsidRPr="005C49A4">
        <w:rPr>
          <w:noProof/>
        </w:rPr>
        <w:t>Changes proposed in the 2014 Budget and the Higher Education Research and reform bill 2014</w:t>
      </w:r>
      <w:r>
        <w:rPr>
          <w:noProof/>
        </w:rPr>
        <w:tab/>
      </w:r>
      <w:r w:rsidR="00313A17">
        <w:rPr>
          <w:noProof/>
        </w:rPr>
        <w:t>23</w:t>
      </w:r>
    </w:p>
    <w:p w14:paraId="23D35F81" w14:textId="07F2691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2.5</w:t>
      </w:r>
      <w:r>
        <w:rPr>
          <w:rFonts w:asciiTheme="minorHAnsi" w:eastAsiaTheme="minorEastAsia" w:hAnsiTheme="minorHAnsi"/>
          <w:caps w:val="0"/>
          <w:noProof/>
          <w:spacing w:val="0"/>
          <w:sz w:val="22"/>
          <w:lang w:eastAsia="en-AU"/>
        </w:rPr>
        <w:tab/>
      </w:r>
      <w:r w:rsidRPr="005C49A4">
        <w:rPr>
          <w:noProof/>
        </w:rPr>
        <w:t>Average ESP Funding Per University, 2006-2009</w:t>
      </w:r>
      <w:r>
        <w:rPr>
          <w:noProof/>
        </w:rPr>
        <w:tab/>
      </w:r>
      <w:r w:rsidR="00313A17">
        <w:rPr>
          <w:noProof/>
        </w:rPr>
        <w:t>28</w:t>
      </w:r>
    </w:p>
    <w:p w14:paraId="7F03AE67" w14:textId="046CA9E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3.1</w:t>
      </w:r>
      <w:r>
        <w:rPr>
          <w:rFonts w:asciiTheme="minorHAnsi" w:eastAsiaTheme="minorEastAsia" w:hAnsiTheme="minorHAnsi"/>
          <w:caps w:val="0"/>
          <w:noProof/>
          <w:spacing w:val="0"/>
          <w:sz w:val="22"/>
          <w:lang w:eastAsia="en-AU"/>
        </w:rPr>
        <w:tab/>
      </w:r>
      <w:r w:rsidRPr="005C49A4">
        <w:rPr>
          <w:noProof/>
        </w:rPr>
        <w:t>total projects and funding by university, 2010-2015</w:t>
      </w:r>
      <w:r>
        <w:rPr>
          <w:noProof/>
        </w:rPr>
        <w:tab/>
      </w:r>
      <w:r w:rsidR="00F3615A">
        <w:rPr>
          <w:noProof/>
        </w:rPr>
        <w:t>30</w:t>
      </w:r>
    </w:p>
    <w:p w14:paraId="4B469DC1" w14:textId="3D51101E"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3.2</w:t>
      </w:r>
      <w:r>
        <w:rPr>
          <w:rFonts w:asciiTheme="minorHAnsi" w:eastAsiaTheme="minorEastAsia" w:hAnsiTheme="minorHAnsi"/>
          <w:caps w:val="0"/>
          <w:noProof/>
          <w:spacing w:val="0"/>
          <w:sz w:val="22"/>
          <w:lang w:eastAsia="en-AU"/>
        </w:rPr>
        <w:tab/>
      </w:r>
      <w:r w:rsidRPr="005C49A4">
        <w:rPr>
          <w:noProof/>
        </w:rPr>
        <w:t>Share of projects/expenditure, and AVERAGE project expenditure by student life cycle stage, 2010-2015</w:t>
      </w:r>
      <w:r>
        <w:rPr>
          <w:noProof/>
        </w:rPr>
        <w:tab/>
      </w:r>
      <w:r w:rsidR="00F3615A">
        <w:rPr>
          <w:noProof/>
        </w:rPr>
        <w:t>34</w:t>
      </w:r>
    </w:p>
    <w:p w14:paraId="6F1EC429" w14:textId="56B213CA"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3.3</w:t>
      </w:r>
      <w:r>
        <w:rPr>
          <w:rFonts w:asciiTheme="minorHAnsi" w:eastAsiaTheme="minorEastAsia" w:hAnsiTheme="minorHAnsi"/>
          <w:caps w:val="0"/>
          <w:noProof/>
          <w:spacing w:val="0"/>
          <w:sz w:val="22"/>
          <w:lang w:eastAsia="en-AU"/>
        </w:rPr>
        <w:tab/>
      </w:r>
      <w:r w:rsidRPr="005C49A4">
        <w:rPr>
          <w:noProof/>
        </w:rPr>
        <w:t>total number of projects and share of expenditure by student life cycle stage, 2010-2015</w:t>
      </w:r>
      <w:r>
        <w:rPr>
          <w:noProof/>
        </w:rPr>
        <w:tab/>
      </w:r>
      <w:r w:rsidR="00F3615A">
        <w:rPr>
          <w:noProof/>
        </w:rPr>
        <w:t>35</w:t>
      </w:r>
    </w:p>
    <w:p w14:paraId="0A584AF0" w14:textId="38F237CA"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3.4</w:t>
      </w:r>
      <w:r>
        <w:rPr>
          <w:rFonts w:asciiTheme="minorHAnsi" w:eastAsiaTheme="minorEastAsia" w:hAnsiTheme="minorHAnsi"/>
          <w:caps w:val="0"/>
          <w:noProof/>
          <w:spacing w:val="0"/>
          <w:sz w:val="22"/>
          <w:lang w:eastAsia="en-AU"/>
        </w:rPr>
        <w:tab/>
      </w:r>
      <w:r w:rsidRPr="005C49A4">
        <w:rPr>
          <w:noProof/>
        </w:rPr>
        <w:t>Duration of HEPPP projects, 2010-2013</w:t>
      </w:r>
      <w:r>
        <w:rPr>
          <w:noProof/>
        </w:rPr>
        <w:tab/>
      </w:r>
      <w:r w:rsidR="00F3615A">
        <w:rPr>
          <w:noProof/>
        </w:rPr>
        <w:t>37</w:t>
      </w:r>
    </w:p>
    <w:p w14:paraId="783F9E58" w14:textId="744BD35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3.5</w:t>
      </w:r>
      <w:r>
        <w:rPr>
          <w:rFonts w:asciiTheme="minorHAnsi" w:eastAsiaTheme="minorEastAsia" w:hAnsiTheme="minorHAnsi"/>
          <w:caps w:val="0"/>
          <w:noProof/>
          <w:spacing w:val="0"/>
          <w:sz w:val="22"/>
          <w:lang w:eastAsia="en-AU"/>
        </w:rPr>
        <w:tab/>
      </w:r>
      <w:r w:rsidRPr="005C49A4">
        <w:rPr>
          <w:noProof/>
        </w:rPr>
        <w:t>share of expenditure by student life cycle stage, by university grouping, 2010-2015</w:t>
      </w:r>
      <w:r>
        <w:rPr>
          <w:noProof/>
        </w:rPr>
        <w:tab/>
      </w:r>
      <w:r w:rsidR="00F3615A">
        <w:rPr>
          <w:noProof/>
        </w:rPr>
        <w:t>37</w:t>
      </w:r>
    </w:p>
    <w:p w14:paraId="3BAA88E9" w14:textId="7172E30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3.6</w:t>
      </w:r>
      <w:r>
        <w:rPr>
          <w:rFonts w:asciiTheme="minorHAnsi" w:eastAsiaTheme="minorEastAsia" w:hAnsiTheme="minorHAnsi"/>
          <w:caps w:val="0"/>
          <w:noProof/>
          <w:spacing w:val="0"/>
          <w:sz w:val="22"/>
          <w:lang w:eastAsia="en-AU"/>
        </w:rPr>
        <w:tab/>
      </w:r>
      <w:r w:rsidRPr="005C49A4">
        <w:rPr>
          <w:noProof/>
        </w:rPr>
        <w:t>Share of expenditure by student life cycle stage, by METROPOLITAN/regional university, 2010-2015</w:t>
      </w:r>
      <w:r>
        <w:rPr>
          <w:noProof/>
        </w:rPr>
        <w:tab/>
      </w:r>
      <w:r w:rsidR="00F3615A">
        <w:rPr>
          <w:noProof/>
        </w:rPr>
        <w:t>38</w:t>
      </w:r>
    </w:p>
    <w:p w14:paraId="18531EB3" w14:textId="42211F53" w:rsidR="002E3AB5" w:rsidRPr="0069617A"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3.7</w:t>
      </w:r>
      <w:r>
        <w:rPr>
          <w:rFonts w:asciiTheme="minorHAnsi" w:eastAsiaTheme="minorEastAsia" w:hAnsiTheme="minorHAnsi"/>
          <w:caps w:val="0"/>
          <w:noProof/>
          <w:spacing w:val="0"/>
          <w:sz w:val="22"/>
          <w:lang w:eastAsia="en-AU"/>
        </w:rPr>
        <w:tab/>
      </w:r>
      <w:r w:rsidR="0069617A" w:rsidRPr="0069617A">
        <w:rPr>
          <w:noProof/>
        </w:rPr>
        <w:t>HEPPP project type PARTICIPATION over time, 2010-2015</w:t>
      </w:r>
      <w:r w:rsidRPr="0069617A">
        <w:rPr>
          <w:noProof/>
        </w:rPr>
        <w:tab/>
      </w:r>
      <w:r w:rsidR="00F3615A" w:rsidRPr="0069617A">
        <w:rPr>
          <w:noProof/>
        </w:rPr>
        <w:t>38</w:t>
      </w:r>
    </w:p>
    <w:p w14:paraId="47CD7A84" w14:textId="29FD7CB6" w:rsidR="002E3AB5" w:rsidRPr="0069617A" w:rsidRDefault="002E3AB5" w:rsidP="002E3AB5">
      <w:pPr>
        <w:pStyle w:val="TableofFigures"/>
        <w:rPr>
          <w:rFonts w:asciiTheme="minorHAnsi" w:eastAsiaTheme="minorEastAsia" w:hAnsiTheme="minorHAnsi"/>
          <w:caps w:val="0"/>
          <w:noProof/>
          <w:spacing w:val="0"/>
          <w:sz w:val="22"/>
          <w:lang w:eastAsia="en-AU"/>
        </w:rPr>
      </w:pPr>
      <w:r w:rsidRPr="0069617A">
        <w:rPr>
          <w:b/>
          <w:noProof/>
        </w:rPr>
        <w:t>Figure 3.8</w:t>
      </w:r>
      <w:r w:rsidRPr="0069617A">
        <w:rPr>
          <w:rFonts w:asciiTheme="minorHAnsi" w:eastAsiaTheme="minorEastAsia" w:hAnsiTheme="minorHAnsi"/>
          <w:caps w:val="0"/>
          <w:noProof/>
          <w:spacing w:val="0"/>
          <w:sz w:val="22"/>
          <w:lang w:eastAsia="en-AU"/>
        </w:rPr>
        <w:tab/>
      </w:r>
      <w:r w:rsidR="0069617A" w:rsidRPr="0069617A">
        <w:rPr>
          <w:noProof/>
        </w:rPr>
        <w:t>Distribution of programs by Equity groups, 2010-2015</w:t>
      </w:r>
      <w:r w:rsidRPr="0069617A">
        <w:rPr>
          <w:noProof/>
        </w:rPr>
        <w:tab/>
      </w:r>
      <w:r w:rsidR="00F3615A" w:rsidRPr="0069617A">
        <w:rPr>
          <w:noProof/>
        </w:rPr>
        <w:t>39</w:t>
      </w:r>
    </w:p>
    <w:p w14:paraId="30E1EA5A" w14:textId="076112FE" w:rsidR="002E3AB5" w:rsidRDefault="002E3AB5" w:rsidP="002E3AB5">
      <w:pPr>
        <w:pStyle w:val="TableofFigures"/>
        <w:rPr>
          <w:rFonts w:asciiTheme="minorHAnsi" w:eastAsiaTheme="minorEastAsia" w:hAnsiTheme="minorHAnsi"/>
          <w:caps w:val="0"/>
          <w:noProof/>
          <w:spacing w:val="0"/>
          <w:sz w:val="22"/>
          <w:lang w:eastAsia="en-AU"/>
        </w:rPr>
      </w:pPr>
      <w:r w:rsidRPr="0069617A">
        <w:rPr>
          <w:b/>
          <w:noProof/>
        </w:rPr>
        <w:t>Figure 3.9</w:t>
      </w:r>
      <w:r w:rsidRPr="0069617A">
        <w:rPr>
          <w:rFonts w:asciiTheme="minorHAnsi" w:eastAsiaTheme="minorEastAsia" w:hAnsiTheme="minorHAnsi"/>
          <w:caps w:val="0"/>
          <w:noProof/>
          <w:spacing w:val="0"/>
          <w:sz w:val="22"/>
          <w:lang w:eastAsia="en-AU"/>
        </w:rPr>
        <w:tab/>
      </w:r>
      <w:r w:rsidR="0069617A" w:rsidRPr="0069617A">
        <w:rPr>
          <w:noProof/>
        </w:rPr>
        <w:t>Share of Projects including EIF target groups, 2010-2015</w:t>
      </w:r>
      <w:r>
        <w:rPr>
          <w:noProof/>
        </w:rPr>
        <w:tab/>
      </w:r>
      <w:r w:rsidR="00F3615A">
        <w:rPr>
          <w:noProof/>
        </w:rPr>
        <w:t>40</w:t>
      </w:r>
    </w:p>
    <w:p w14:paraId="159903F0" w14:textId="51F34C72"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4.1</w:t>
      </w:r>
      <w:r>
        <w:rPr>
          <w:rFonts w:asciiTheme="minorHAnsi" w:eastAsiaTheme="minorEastAsia" w:hAnsiTheme="minorHAnsi"/>
          <w:caps w:val="0"/>
          <w:noProof/>
          <w:spacing w:val="0"/>
          <w:sz w:val="22"/>
          <w:lang w:eastAsia="en-AU"/>
        </w:rPr>
        <w:tab/>
      </w:r>
      <w:r w:rsidRPr="005C49A4">
        <w:rPr>
          <w:noProof/>
          <w:lang w:val="en-US"/>
        </w:rPr>
        <w:t>proportion of HEPPP outreach projects containing each activity, 2010</w:t>
      </w:r>
      <w:r w:rsidRPr="005C49A4">
        <w:rPr>
          <w:noProof/>
          <w:lang w:val="en-US"/>
        </w:rPr>
        <w:noBreakHyphen/>
        <w:t>2015</w:t>
      </w:r>
      <w:r>
        <w:rPr>
          <w:noProof/>
        </w:rPr>
        <w:tab/>
      </w:r>
      <w:r w:rsidR="00F3615A">
        <w:rPr>
          <w:noProof/>
        </w:rPr>
        <w:t>44</w:t>
      </w:r>
    </w:p>
    <w:p w14:paraId="2A38CDBA" w14:textId="67002130"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4.2</w:t>
      </w:r>
      <w:r>
        <w:rPr>
          <w:rFonts w:asciiTheme="minorHAnsi" w:eastAsiaTheme="minorEastAsia" w:hAnsiTheme="minorHAnsi"/>
          <w:caps w:val="0"/>
          <w:noProof/>
          <w:spacing w:val="0"/>
          <w:sz w:val="22"/>
          <w:lang w:eastAsia="en-AU"/>
        </w:rPr>
        <w:tab/>
      </w:r>
      <w:r w:rsidRPr="005C49A4">
        <w:rPr>
          <w:noProof/>
          <w:lang w:val="en-US"/>
        </w:rPr>
        <w:t>proportion of HEPPP outreach projects TARGETING each Equity group</w:t>
      </w:r>
      <w:r>
        <w:rPr>
          <w:noProof/>
        </w:rPr>
        <w:tab/>
      </w:r>
      <w:r w:rsidR="00F3615A">
        <w:rPr>
          <w:noProof/>
        </w:rPr>
        <w:t>45</w:t>
      </w:r>
    </w:p>
    <w:p w14:paraId="6039339B" w14:textId="08FD0C1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4.3</w:t>
      </w:r>
      <w:r>
        <w:rPr>
          <w:rFonts w:asciiTheme="minorHAnsi" w:eastAsiaTheme="minorEastAsia" w:hAnsiTheme="minorHAnsi"/>
          <w:caps w:val="0"/>
          <w:noProof/>
          <w:spacing w:val="0"/>
          <w:sz w:val="22"/>
          <w:lang w:eastAsia="en-AU"/>
        </w:rPr>
        <w:tab/>
      </w:r>
      <w:r w:rsidRPr="005C49A4">
        <w:rPr>
          <w:noProof/>
          <w:lang w:val="en-US"/>
        </w:rPr>
        <w:t>proportion of HEPPP outreach projects targeting each EIF target group</w:t>
      </w:r>
      <w:r>
        <w:rPr>
          <w:noProof/>
        </w:rPr>
        <w:tab/>
      </w:r>
      <w:r w:rsidR="00F3615A">
        <w:rPr>
          <w:noProof/>
        </w:rPr>
        <w:t>45</w:t>
      </w:r>
    </w:p>
    <w:p w14:paraId="0D7DB5C0" w14:textId="563903DC"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4.4</w:t>
      </w:r>
      <w:r>
        <w:rPr>
          <w:rFonts w:asciiTheme="minorHAnsi" w:eastAsiaTheme="minorEastAsia" w:hAnsiTheme="minorHAnsi"/>
          <w:caps w:val="0"/>
          <w:noProof/>
          <w:spacing w:val="0"/>
          <w:sz w:val="22"/>
          <w:lang w:eastAsia="en-AU"/>
        </w:rPr>
        <w:tab/>
      </w:r>
      <w:r w:rsidRPr="005C49A4">
        <w:rPr>
          <w:noProof/>
          <w:lang w:val="en-US"/>
        </w:rPr>
        <w:t>Number and share of different organisations involved in HEPPP outreach activities, 2010-2016</w:t>
      </w:r>
      <w:r>
        <w:rPr>
          <w:noProof/>
        </w:rPr>
        <w:tab/>
      </w:r>
      <w:r w:rsidR="00F3615A">
        <w:rPr>
          <w:noProof/>
        </w:rPr>
        <w:t>46</w:t>
      </w:r>
    </w:p>
    <w:p w14:paraId="2AB24491" w14:textId="576F6B66"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4.5</w:t>
      </w:r>
      <w:r>
        <w:rPr>
          <w:rFonts w:asciiTheme="minorHAnsi" w:eastAsiaTheme="minorEastAsia" w:hAnsiTheme="minorHAnsi"/>
          <w:caps w:val="0"/>
          <w:noProof/>
          <w:spacing w:val="0"/>
          <w:sz w:val="22"/>
          <w:lang w:eastAsia="en-AU"/>
        </w:rPr>
        <w:tab/>
      </w:r>
      <w:r w:rsidRPr="005C49A4">
        <w:rPr>
          <w:noProof/>
          <w:lang w:val="en-US"/>
        </w:rPr>
        <w:t>Proportion of organisations in which each outreach activity was undertaken, 2010-2016</w:t>
      </w:r>
      <w:r>
        <w:rPr>
          <w:noProof/>
        </w:rPr>
        <w:tab/>
      </w:r>
      <w:r w:rsidR="00F3615A">
        <w:rPr>
          <w:noProof/>
        </w:rPr>
        <w:t>46</w:t>
      </w:r>
    </w:p>
    <w:p w14:paraId="13FD42E6" w14:textId="489B85BC"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4.6</w:t>
      </w:r>
      <w:r>
        <w:rPr>
          <w:rFonts w:asciiTheme="minorHAnsi" w:eastAsiaTheme="minorEastAsia" w:hAnsiTheme="minorHAnsi"/>
          <w:caps w:val="0"/>
          <w:noProof/>
          <w:spacing w:val="0"/>
          <w:sz w:val="22"/>
          <w:lang w:eastAsia="en-AU"/>
        </w:rPr>
        <w:tab/>
      </w:r>
      <w:r w:rsidRPr="005C49A4">
        <w:rPr>
          <w:noProof/>
          <w:lang w:val="en-US"/>
        </w:rPr>
        <w:t>Number of universities involved with each partner organisation, 2010</w:t>
      </w:r>
      <w:r w:rsidRPr="005C49A4">
        <w:rPr>
          <w:noProof/>
          <w:lang w:val="en-US"/>
        </w:rPr>
        <w:noBreakHyphen/>
        <w:t>2016</w:t>
      </w:r>
      <w:r>
        <w:rPr>
          <w:noProof/>
        </w:rPr>
        <w:tab/>
      </w:r>
      <w:r w:rsidR="00F3615A">
        <w:rPr>
          <w:noProof/>
        </w:rPr>
        <w:t>47</w:t>
      </w:r>
    </w:p>
    <w:p w14:paraId="75FC2B52" w14:textId="395090A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4.7</w:t>
      </w:r>
      <w:r>
        <w:rPr>
          <w:rFonts w:asciiTheme="minorHAnsi" w:eastAsiaTheme="minorEastAsia" w:hAnsiTheme="minorHAnsi"/>
          <w:caps w:val="0"/>
          <w:noProof/>
          <w:spacing w:val="0"/>
          <w:sz w:val="22"/>
          <w:lang w:eastAsia="en-AU"/>
        </w:rPr>
        <w:tab/>
      </w:r>
      <w:r w:rsidRPr="005C49A4">
        <w:rPr>
          <w:noProof/>
          <w:lang w:val="en-US"/>
        </w:rPr>
        <w:t>Number of years of involvement with HEPPP outreach activities, 2010</w:t>
      </w:r>
      <w:r w:rsidRPr="005C49A4">
        <w:rPr>
          <w:noProof/>
          <w:lang w:val="en-US"/>
        </w:rPr>
        <w:noBreakHyphen/>
        <w:t>2016</w:t>
      </w:r>
      <w:r>
        <w:rPr>
          <w:noProof/>
        </w:rPr>
        <w:tab/>
      </w:r>
      <w:r w:rsidR="00F3615A">
        <w:rPr>
          <w:noProof/>
        </w:rPr>
        <w:t>47</w:t>
      </w:r>
    </w:p>
    <w:p w14:paraId="6616EAB6" w14:textId="1C910B1B"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4.8</w:t>
      </w:r>
      <w:r>
        <w:rPr>
          <w:rFonts w:asciiTheme="minorHAnsi" w:eastAsiaTheme="minorEastAsia" w:hAnsiTheme="minorHAnsi"/>
          <w:caps w:val="0"/>
          <w:noProof/>
          <w:spacing w:val="0"/>
          <w:sz w:val="22"/>
          <w:lang w:eastAsia="en-AU"/>
        </w:rPr>
        <w:tab/>
      </w:r>
      <w:r w:rsidRPr="005C49A4">
        <w:rPr>
          <w:noProof/>
          <w:lang w:val="en-US"/>
        </w:rPr>
        <w:t>University Staff survey, raising aspirations</w:t>
      </w:r>
      <w:r>
        <w:rPr>
          <w:noProof/>
        </w:rPr>
        <w:tab/>
      </w:r>
      <w:r w:rsidR="00F3615A">
        <w:rPr>
          <w:noProof/>
        </w:rPr>
        <w:t>49</w:t>
      </w:r>
    </w:p>
    <w:p w14:paraId="18374720" w14:textId="67D6E390"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4.9</w:t>
      </w:r>
      <w:r>
        <w:rPr>
          <w:rFonts w:asciiTheme="minorHAnsi" w:eastAsiaTheme="minorEastAsia" w:hAnsiTheme="minorHAnsi"/>
          <w:caps w:val="0"/>
          <w:noProof/>
          <w:spacing w:val="0"/>
          <w:sz w:val="22"/>
          <w:lang w:eastAsia="en-AU"/>
        </w:rPr>
        <w:tab/>
      </w:r>
      <w:r w:rsidRPr="005C49A4">
        <w:rPr>
          <w:noProof/>
          <w:lang w:val="en-US"/>
        </w:rPr>
        <w:t>University Staff survey, changing attitudes and practice</w:t>
      </w:r>
      <w:r>
        <w:rPr>
          <w:noProof/>
        </w:rPr>
        <w:tab/>
      </w:r>
      <w:r w:rsidR="00F3615A">
        <w:rPr>
          <w:noProof/>
        </w:rPr>
        <w:t>50</w:t>
      </w:r>
    </w:p>
    <w:p w14:paraId="1BB04588" w14:textId="7671024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4.10</w:t>
      </w:r>
      <w:r>
        <w:rPr>
          <w:rFonts w:asciiTheme="minorHAnsi" w:eastAsiaTheme="minorEastAsia" w:hAnsiTheme="minorHAnsi"/>
          <w:caps w:val="0"/>
          <w:noProof/>
          <w:spacing w:val="0"/>
          <w:sz w:val="22"/>
          <w:lang w:eastAsia="en-AU"/>
        </w:rPr>
        <w:tab/>
      </w:r>
      <w:r w:rsidRPr="005C49A4">
        <w:rPr>
          <w:noProof/>
          <w:lang w:val="en-US"/>
        </w:rPr>
        <w:t>University Staff survey, applying to and enrolling in university</w:t>
      </w:r>
      <w:r>
        <w:rPr>
          <w:noProof/>
        </w:rPr>
        <w:tab/>
      </w:r>
      <w:r w:rsidR="00F3615A">
        <w:rPr>
          <w:noProof/>
        </w:rPr>
        <w:t>50</w:t>
      </w:r>
    </w:p>
    <w:p w14:paraId="54684101" w14:textId="2F7E31AB"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5.1</w:t>
      </w:r>
      <w:r>
        <w:rPr>
          <w:rFonts w:asciiTheme="minorHAnsi" w:eastAsiaTheme="minorEastAsia" w:hAnsiTheme="minorHAnsi"/>
          <w:caps w:val="0"/>
          <w:noProof/>
          <w:spacing w:val="0"/>
          <w:sz w:val="22"/>
          <w:lang w:eastAsia="en-AU"/>
        </w:rPr>
        <w:tab/>
      </w:r>
      <w:r w:rsidRPr="005C49A4">
        <w:rPr>
          <w:noProof/>
        </w:rPr>
        <w:t>proportion of HEPPP access projects containing each activity</w:t>
      </w:r>
      <w:r>
        <w:rPr>
          <w:noProof/>
        </w:rPr>
        <w:tab/>
      </w:r>
      <w:r w:rsidR="00F3615A">
        <w:rPr>
          <w:noProof/>
        </w:rPr>
        <w:t>62</w:t>
      </w:r>
    </w:p>
    <w:p w14:paraId="3E92B1F5" w14:textId="4A37AC7E"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5.2</w:t>
      </w:r>
      <w:r>
        <w:rPr>
          <w:rFonts w:asciiTheme="minorHAnsi" w:eastAsiaTheme="minorEastAsia" w:hAnsiTheme="minorHAnsi"/>
          <w:caps w:val="0"/>
          <w:noProof/>
          <w:spacing w:val="0"/>
          <w:sz w:val="22"/>
          <w:lang w:eastAsia="en-AU"/>
        </w:rPr>
        <w:tab/>
      </w:r>
      <w:r w:rsidRPr="005C49A4">
        <w:rPr>
          <w:noProof/>
        </w:rPr>
        <w:t>proportion of HEPPP access projects TARGETING each Equity group</w:t>
      </w:r>
      <w:r>
        <w:rPr>
          <w:noProof/>
        </w:rPr>
        <w:tab/>
      </w:r>
      <w:r w:rsidR="00F3615A">
        <w:rPr>
          <w:noProof/>
        </w:rPr>
        <w:t>63</w:t>
      </w:r>
    </w:p>
    <w:p w14:paraId="1CC1E1BE" w14:textId="3279F770"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5.3</w:t>
      </w:r>
      <w:r>
        <w:rPr>
          <w:rFonts w:asciiTheme="minorHAnsi" w:eastAsiaTheme="minorEastAsia" w:hAnsiTheme="minorHAnsi"/>
          <w:caps w:val="0"/>
          <w:noProof/>
          <w:spacing w:val="0"/>
          <w:sz w:val="22"/>
          <w:lang w:eastAsia="en-AU"/>
        </w:rPr>
        <w:tab/>
      </w:r>
      <w:r w:rsidRPr="005C49A4">
        <w:rPr>
          <w:noProof/>
        </w:rPr>
        <w:t>proportion of HEPPP access projects targeting each EIF target group</w:t>
      </w:r>
      <w:r>
        <w:rPr>
          <w:noProof/>
        </w:rPr>
        <w:tab/>
      </w:r>
      <w:r w:rsidR="00F3615A">
        <w:rPr>
          <w:noProof/>
        </w:rPr>
        <w:t>63</w:t>
      </w:r>
    </w:p>
    <w:p w14:paraId="54FDF26A" w14:textId="7675864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6.1</w:t>
      </w:r>
      <w:r>
        <w:rPr>
          <w:rFonts w:asciiTheme="minorHAnsi" w:eastAsiaTheme="minorEastAsia" w:hAnsiTheme="minorHAnsi"/>
          <w:caps w:val="0"/>
          <w:noProof/>
          <w:spacing w:val="0"/>
          <w:sz w:val="22"/>
          <w:lang w:eastAsia="en-AU"/>
        </w:rPr>
        <w:tab/>
      </w:r>
      <w:r w:rsidRPr="005C49A4">
        <w:rPr>
          <w:noProof/>
        </w:rPr>
        <w:t>proportion of HEPPP participation projects containing each activity</w:t>
      </w:r>
      <w:r>
        <w:rPr>
          <w:noProof/>
        </w:rPr>
        <w:tab/>
      </w:r>
      <w:r w:rsidR="00F3615A">
        <w:rPr>
          <w:noProof/>
        </w:rPr>
        <w:t>74</w:t>
      </w:r>
    </w:p>
    <w:p w14:paraId="2D49B5C9" w14:textId="1857E95A"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6.2</w:t>
      </w:r>
      <w:r>
        <w:rPr>
          <w:rFonts w:asciiTheme="minorHAnsi" w:eastAsiaTheme="minorEastAsia" w:hAnsiTheme="minorHAnsi"/>
          <w:caps w:val="0"/>
          <w:noProof/>
          <w:spacing w:val="0"/>
          <w:sz w:val="22"/>
          <w:lang w:eastAsia="en-AU"/>
        </w:rPr>
        <w:tab/>
      </w:r>
      <w:r w:rsidRPr="005C49A4">
        <w:rPr>
          <w:noProof/>
        </w:rPr>
        <w:t>proportion of HEPPP participation projects TARGETING each EQUITY group</w:t>
      </w:r>
      <w:r>
        <w:rPr>
          <w:noProof/>
        </w:rPr>
        <w:tab/>
      </w:r>
      <w:r w:rsidR="00F3615A">
        <w:rPr>
          <w:noProof/>
        </w:rPr>
        <w:t>75</w:t>
      </w:r>
    </w:p>
    <w:p w14:paraId="7FCF9B5C" w14:textId="4B47741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6.3</w:t>
      </w:r>
      <w:r>
        <w:rPr>
          <w:rFonts w:asciiTheme="minorHAnsi" w:eastAsiaTheme="minorEastAsia" w:hAnsiTheme="minorHAnsi"/>
          <w:caps w:val="0"/>
          <w:noProof/>
          <w:spacing w:val="0"/>
          <w:sz w:val="22"/>
          <w:lang w:eastAsia="en-AU"/>
        </w:rPr>
        <w:tab/>
      </w:r>
      <w:r w:rsidRPr="005C49A4">
        <w:rPr>
          <w:noProof/>
        </w:rPr>
        <w:t>proportion of HEPPP participation projects TARGETING each EIF target group</w:t>
      </w:r>
      <w:r>
        <w:rPr>
          <w:noProof/>
        </w:rPr>
        <w:tab/>
      </w:r>
      <w:r w:rsidR="00F3615A">
        <w:rPr>
          <w:noProof/>
        </w:rPr>
        <w:t>75</w:t>
      </w:r>
    </w:p>
    <w:p w14:paraId="5A88133A" w14:textId="28D2534A"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6.4</w:t>
      </w:r>
      <w:r>
        <w:rPr>
          <w:rFonts w:asciiTheme="minorHAnsi" w:eastAsiaTheme="minorEastAsia" w:hAnsiTheme="minorHAnsi"/>
          <w:caps w:val="0"/>
          <w:noProof/>
          <w:spacing w:val="0"/>
          <w:sz w:val="22"/>
          <w:lang w:eastAsia="en-AU"/>
        </w:rPr>
        <w:tab/>
      </w:r>
      <w:r w:rsidRPr="005C49A4">
        <w:rPr>
          <w:noProof/>
        </w:rPr>
        <w:t>Student survey, finding out about HEPPP PROJECTS</w:t>
      </w:r>
      <w:r>
        <w:rPr>
          <w:noProof/>
        </w:rPr>
        <w:tab/>
      </w:r>
      <w:r w:rsidR="00F3615A">
        <w:rPr>
          <w:noProof/>
        </w:rPr>
        <w:t>76</w:t>
      </w:r>
    </w:p>
    <w:p w14:paraId="31568D2F" w14:textId="54521F3F"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6.5</w:t>
      </w:r>
      <w:r>
        <w:rPr>
          <w:rFonts w:asciiTheme="minorHAnsi" w:eastAsiaTheme="minorEastAsia" w:hAnsiTheme="minorHAnsi"/>
          <w:caps w:val="0"/>
          <w:noProof/>
          <w:spacing w:val="0"/>
          <w:sz w:val="22"/>
          <w:lang w:eastAsia="en-AU"/>
        </w:rPr>
        <w:tab/>
      </w:r>
      <w:r w:rsidRPr="005C49A4">
        <w:rPr>
          <w:noProof/>
        </w:rPr>
        <w:t>student survey, impact on RETENTION and COMPLETION</w:t>
      </w:r>
      <w:r>
        <w:rPr>
          <w:noProof/>
        </w:rPr>
        <w:tab/>
      </w:r>
      <w:r w:rsidR="00F3615A">
        <w:rPr>
          <w:noProof/>
        </w:rPr>
        <w:t>76</w:t>
      </w:r>
    </w:p>
    <w:p w14:paraId="60731A3D" w14:textId="500376A6"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6.6</w:t>
      </w:r>
      <w:r>
        <w:rPr>
          <w:rFonts w:asciiTheme="minorHAnsi" w:eastAsiaTheme="minorEastAsia" w:hAnsiTheme="minorHAnsi"/>
          <w:caps w:val="0"/>
          <w:noProof/>
          <w:spacing w:val="0"/>
          <w:sz w:val="22"/>
          <w:lang w:eastAsia="en-AU"/>
        </w:rPr>
        <w:tab/>
      </w:r>
      <w:r w:rsidRPr="005C49A4">
        <w:rPr>
          <w:noProof/>
        </w:rPr>
        <w:t>student SURvEY, impact of SUPPORT and results</w:t>
      </w:r>
      <w:r>
        <w:rPr>
          <w:noProof/>
        </w:rPr>
        <w:tab/>
      </w:r>
      <w:r w:rsidR="00F3615A">
        <w:rPr>
          <w:noProof/>
        </w:rPr>
        <w:t>77</w:t>
      </w:r>
    </w:p>
    <w:p w14:paraId="3AC29204" w14:textId="1615C055"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6.7</w:t>
      </w:r>
      <w:r>
        <w:rPr>
          <w:rFonts w:asciiTheme="minorHAnsi" w:eastAsiaTheme="minorEastAsia" w:hAnsiTheme="minorHAnsi"/>
          <w:caps w:val="0"/>
          <w:noProof/>
          <w:spacing w:val="0"/>
          <w:sz w:val="22"/>
          <w:lang w:eastAsia="en-AU"/>
        </w:rPr>
        <w:tab/>
      </w:r>
      <w:r w:rsidRPr="005C49A4">
        <w:rPr>
          <w:noProof/>
        </w:rPr>
        <w:t>University staff survey, access and retention</w:t>
      </w:r>
      <w:r>
        <w:rPr>
          <w:noProof/>
        </w:rPr>
        <w:tab/>
      </w:r>
      <w:r w:rsidR="00F3615A">
        <w:rPr>
          <w:noProof/>
        </w:rPr>
        <w:t>77</w:t>
      </w:r>
    </w:p>
    <w:p w14:paraId="556886F5" w14:textId="2844EB32"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7.1</w:t>
      </w:r>
      <w:r>
        <w:rPr>
          <w:rFonts w:asciiTheme="minorHAnsi" w:eastAsiaTheme="minorEastAsia" w:hAnsiTheme="minorHAnsi"/>
          <w:caps w:val="0"/>
          <w:noProof/>
          <w:spacing w:val="0"/>
          <w:sz w:val="22"/>
          <w:lang w:eastAsia="en-AU"/>
        </w:rPr>
        <w:tab/>
      </w:r>
      <w:r w:rsidRPr="005C49A4">
        <w:rPr>
          <w:noProof/>
        </w:rPr>
        <w:t>Proportion of HEPPP Attainment and Transition out projects containing each activity</w:t>
      </w:r>
      <w:r>
        <w:rPr>
          <w:noProof/>
        </w:rPr>
        <w:tab/>
      </w:r>
      <w:r w:rsidR="00F3615A">
        <w:rPr>
          <w:noProof/>
        </w:rPr>
        <w:t>90</w:t>
      </w:r>
    </w:p>
    <w:p w14:paraId="260E473D" w14:textId="52A2BC10"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7.2</w:t>
      </w:r>
      <w:r>
        <w:rPr>
          <w:rFonts w:asciiTheme="minorHAnsi" w:eastAsiaTheme="minorEastAsia" w:hAnsiTheme="minorHAnsi"/>
          <w:caps w:val="0"/>
          <w:noProof/>
          <w:spacing w:val="0"/>
          <w:sz w:val="22"/>
          <w:lang w:eastAsia="en-AU"/>
        </w:rPr>
        <w:tab/>
      </w:r>
      <w:r w:rsidRPr="005C49A4">
        <w:rPr>
          <w:noProof/>
        </w:rPr>
        <w:t>proportion of HEPPP Attainment and Transition out projects TARGETING each Equity group</w:t>
      </w:r>
      <w:r>
        <w:rPr>
          <w:noProof/>
        </w:rPr>
        <w:tab/>
      </w:r>
      <w:r w:rsidR="00F3615A">
        <w:rPr>
          <w:noProof/>
        </w:rPr>
        <w:t>90</w:t>
      </w:r>
    </w:p>
    <w:p w14:paraId="0CCFA7A9" w14:textId="2044A46B"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7.3</w:t>
      </w:r>
      <w:r>
        <w:rPr>
          <w:rFonts w:asciiTheme="minorHAnsi" w:eastAsiaTheme="minorEastAsia" w:hAnsiTheme="minorHAnsi"/>
          <w:caps w:val="0"/>
          <w:noProof/>
          <w:spacing w:val="0"/>
          <w:sz w:val="22"/>
          <w:lang w:eastAsia="en-AU"/>
        </w:rPr>
        <w:tab/>
      </w:r>
      <w:r w:rsidRPr="005C49A4">
        <w:rPr>
          <w:noProof/>
        </w:rPr>
        <w:t>proportion of HEPPP Attainment and Transition out projects TARGETING each EIF target group</w:t>
      </w:r>
      <w:r>
        <w:rPr>
          <w:noProof/>
        </w:rPr>
        <w:tab/>
      </w:r>
      <w:r w:rsidR="00F3615A">
        <w:rPr>
          <w:noProof/>
        </w:rPr>
        <w:t>91</w:t>
      </w:r>
    </w:p>
    <w:p w14:paraId="155FB03A" w14:textId="779CC2D0"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8.1</w:t>
      </w:r>
      <w:r>
        <w:rPr>
          <w:rFonts w:asciiTheme="minorHAnsi" w:eastAsiaTheme="minorEastAsia" w:hAnsiTheme="minorHAnsi"/>
          <w:caps w:val="0"/>
          <w:noProof/>
          <w:spacing w:val="0"/>
          <w:sz w:val="22"/>
          <w:lang w:eastAsia="en-AU"/>
        </w:rPr>
        <w:tab/>
      </w:r>
      <w:r w:rsidRPr="005C49A4">
        <w:rPr>
          <w:noProof/>
        </w:rPr>
        <w:t>University proposed projects by priority funding areas, 2014 and 2015</w:t>
      </w:r>
      <w:r>
        <w:rPr>
          <w:noProof/>
        </w:rPr>
        <w:tab/>
      </w:r>
      <w:r w:rsidR="00F3615A">
        <w:rPr>
          <w:noProof/>
        </w:rPr>
        <w:t>97</w:t>
      </w:r>
    </w:p>
    <w:p w14:paraId="12F84C88" w14:textId="638A6204" w:rsidR="002E3AB5" w:rsidRDefault="002E3AB5" w:rsidP="002E3AB5">
      <w:pPr>
        <w:pStyle w:val="TableofFigures"/>
        <w:rPr>
          <w:rFonts w:asciiTheme="minorHAnsi" w:eastAsiaTheme="minorEastAsia" w:hAnsiTheme="minorHAnsi"/>
          <w:caps w:val="0"/>
          <w:noProof/>
          <w:spacing w:val="0"/>
          <w:sz w:val="22"/>
          <w:lang w:eastAsia="en-AU"/>
        </w:rPr>
      </w:pPr>
      <w:r w:rsidRPr="005C49A4">
        <w:rPr>
          <w:b/>
          <w:iCs/>
          <w:noProof/>
        </w:rPr>
        <w:t>Figure 8.2</w:t>
      </w:r>
      <w:r>
        <w:rPr>
          <w:rFonts w:asciiTheme="minorHAnsi" w:eastAsiaTheme="minorEastAsia" w:hAnsiTheme="minorHAnsi"/>
          <w:caps w:val="0"/>
          <w:noProof/>
          <w:spacing w:val="0"/>
          <w:sz w:val="22"/>
          <w:lang w:eastAsia="en-AU"/>
        </w:rPr>
        <w:tab/>
      </w:r>
      <w:r w:rsidRPr="005C49A4">
        <w:rPr>
          <w:iCs/>
          <w:noProof/>
        </w:rPr>
        <w:t>NPP Projects by type (research, Trial or IT solutions)</w:t>
      </w:r>
      <w:r>
        <w:rPr>
          <w:noProof/>
        </w:rPr>
        <w:tab/>
      </w:r>
      <w:r w:rsidR="00F3615A">
        <w:rPr>
          <w:noProof/>
        </w:rPr>
        <w:t>99</w:t>
      </w:r>
    </w:p>
    <w:p w14:paraId="5A9CBE5E" w14:textId="7E570AD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w:t>
      </w:r>
      <w:r>
        <w:rPr>
          <w:rFonts w:asciiTheme="minorHAnsi" w:eastAsiaTheme="minorEastAsia" w:hAnsiTheme="minorHAnsi"/>
          <w:caps w:val="0"/>
          <w:noProof/>
          <w:spacing w:val="0"/>
          <w:sz w:val="22"/>
          <w:lang w:eastAsia="en-AU"/>
        </w:rPr>
        <w:tab/>
      </w:r>
      <w:r w:rsidRPr="005C49A4">
        <w:rPr>
          <w:noProof/>
          <w:lang w:val="en-US"/>
        </w:rPr>
        <w:t>GROWTH in low SES APPLICATIONS, offers and commencements</w:t>
      </w:r>
      <w:r>
        <w:rPr>
          <w:noProof/>
        </w:rPr>
        <w:tab/>
      </w:r>
      <w:r w:rsidR="00F3615A">
        <w:rPr>
          <w:noProof/>
        </w:rPr>
        <w:t>109</w:t>
      </w:r>
    </w:p>
    <w:p w14:paraId="4A40087F" w14:textId="3E43E514"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9.2</w:t>
      </w:r>
      <w:r>
        <w:rPr>
          <w:rFonts w:asciiTheme="minorHAnsi" w:eastAsiaTheme="minorEastAsia" w:hAnsiTheme="minorHAnsi"/>
          <w:caps w:val="0"/>
          <w:noProof/>
          <w:spacing w:val="0"/>
          <w:sz w:val="22"/>
          <w:lang w:eastAsia="en-AU"/>
        </w:rPr>
        <w:tab/>
      </w:r>
      <w:r w:rsidRPr="005C49A4">
        <w:rPr>
          <w:noProof/>
          <w:lang w:val="en-US"/>
        </w:rPr>
        <w:t>Annual growth of applications, offers and commencements by ses, 2010-2015</w:t>
      </w:r>
      <w:r>
        <w:rPr>
          <w:noProof/>
        </w:rPr>
        <w:tab/>
      </w:r>
      <w:r w:rsidR="00F3615A">
        <w:rPr>
          <w:noProof/>
        </w:rPr>
        <w:t>110</w:t>
      </w:r>
    </w:p>
    <w:p w14:paraId="1592BCA4" w14:textId="637CCA7B"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9.3</w:t>
      </w:r>
      <w:r>
        <w:rPr>
          <w:rFonts w:asciiTheme="minorHAnsi" w:eastAsiaTheme="minorEastAsia" w:hAnsiTheme="minorHAnsi"/>
          <w:caps w:val="0"/>
          <w:noProof/>
          <w:spacing w:val="0"/>
          <w:sz w:val="22"/>
          <w:lang w:eastAsia="en-AU"/>
        </w:rPr>
        <w:tab/>
      </w:r>
      <w:r w:rsidRPr="005C49A4">
        <w:rPr>
          <w:noProof/>
          <w:lang w:val="en-US"/>
        </w:rPr>
        <w:t>growth of applications, offers and commencements by ses, 2010-2015</w:t>
      </w:r>
      <w:r>
        <w:rPr>
          <w:noProof/>
        </w:rPr>
        <w:tab/>
      </w:r>
      <w:r w:rsidR="00F3615A">
        <w:rPr>
          <w:noProof/>
        </w:rPr>
        <w:t>110</w:t>
      </w:r>
    </w:p>
    <w:p w14:paraId="395BA483" w14:textId="124A1E1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9.4</w:t>
      </w:r>
      <w:r>
        <w:rPr>
          <w:rFonts w:asciiTheme="minorHAnsi" w:eastAsiaTheme="minorEastAsia" w:hAnsiTheme="minorHAnsi"/>
          <w:caps w:val="0"/>
          <w:noProof/>
          <w:spacing w:val="0"/>
          <w:sz w:val="22"/>
          <w:lang w:eastAsia="en-AU"/>
        </w:rPr>
        <w:tab/>
      </w:r>
      <w:r w:rsidRPr="005C49A4">
        <w:rPr>
          <w:noProof/>
          <w:lang w:val="en-US"/>
        </w:rPr>
        <w:t>share of APPLICATIONS, offers and commencements that are low SES, 2009-2015</w:t>
      </w:r>
      <w:r>
        <w:rPr>
          <w:noProof/>
        </w:rPr>
        <w:tab/>
        <w:t>1</w:t>
      </w:r>
      <w:r w:rsidR="00F3615A">
        <w:rPr>
          <w:noProof/>
        </w:rPr>
        <w:t>11</w:t>
      </w:r>
    </w:p>
    <w:p w14:paraId="0BC313A1" w14:textId="5EF09AE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9.5</w:t>
      </w:r>
      <w:r>
        <w:rPr>
          <w:rFonts w:asciiTheme="minorHAnsi" w:eastAsiaTheme="minorEastAsia" w:hAnsiTheme="minorHAnsi"/>
          <w:caps w:val="0"/>
          <w:noProof/>
          <w:spacing w:val="0"/>
          <w:sz w:val="22"/>
          <w:lang w:eastAsia="en-AU"/>
        </w:rPr>
        <w:tab/>
      </w:r>
      <w:r w:rsidRPr="005C49A4">
        <w:rPr>
          <w:noProof/>
          <w:lang w:val="en-US"/>
        </w:rPr>
        <w:t>Percentage of Low SES Offers from Applications and Commencements from Offers, 2010-2015</w:t>
      </w:r>
      <w:r>
        <w:rPr>
          <w:noProof/>
        </w:rPr>
        <w:tab/>
        <w:t>1</w:t>
      </w:r>
      <w:r w:rsidR="00F3615A">
        <w:rPr>
          <w:noProof/>
        </w:rPr>
        <w:t>11</w:t>
      </w:r>
    </w:p>
    <w:p w14:paraId="55D4B964" w14:textId="6852719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9.6</w:t>
      </w:r>
      <w:r>
        <w:rPr>
          <w:rFonts w:asciiTheme="minorHAnsi" w:eastAsiaTheme="minorEastAsia" w:hAnsiTheme="minorHAnsi"/>
          <w:caps w:val="0"/>
          <w:noProof/>
          <w:spacing w:val="0"/>
          <w:sz w:val="22"/>
          <w:lang w:eastAsia="en-AU"/>
        </w:rPr>
        <w:tab/>
      </w:r>
      <w:r w:rsidRPr="005C49A4">
        <w:rPr>
          <w:noProof/>
          <w:lang w:val="en-US"/>
        </w:rPr>
        <w:t>2015 enrolments by basis of admission by ses</w:t>
      </w:r>
      <w:r>
        <w:rPr>
          <w:noProof/>
        </w:rPr>
        <w:tab/>
        <w:t>1</w:t>
      </w:r>
      <w:r w:rsidR="00F3615A">
        <w:rPr>
          <w:noProof/>
        </w:rPr>
        <w:t>12</w:t>
      </w:r>
    </w:p>
    <w:p w14:paraId="5CD90A1E" w14:textId="4389432B"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9.7</w:t>
      </w:r>
      <w:r>
        <w:rPr>
          <w:rFonts w:asciiTheme="minorHAnsi" w:eastAsiaTheme="minorEastAsia" w:hAnsiTheme="minorHAnsi"/>
          <w:caps w:val="0"/>
          <w:noProof/>
          <w:spacing w:val="0"/>
          <w:sz w:val="22"/>
          <w:lang w:eastAsia="en-AU"/>
        </w:rPr>
        <w:tab/>
      </w:r>
      <w:r w:rsidRPr="005C49A4">
        <w:rPr>
          <w:noProof/>
          <w:lang w:val="en-US"/>
        </w:rPr>
        <w:t>Share of basis of admission for low ses enrolments, 2006-2015</w:t>
      </w:r>
      <w:r>
        <w:rPr>
          <w:noProof/>
        </w:rPr>
        <w:tab/>
      </w:r>
      <w:r w:rsidR="00F3615A">
        <w:rPr>
          <w:noProof/>
        </w:rPr>
        <w:t>112</w:t>
      </w:r>
    </w:p>
    <w:p w14:paraId="0D66041B" w14:textId="56609C7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9.8</w:t>
      </w:r>
      <w:r>
        <w:rPr>
          <w:rFonts w:asciiTheme="minorHAnsi" w:eastAsiaTheme="minorEastAsia" w:hAnsiTheme="minorHAnsi"/>
          <w:caps w:val="0"/>
          <w:noProof/>
          <w:spacing w:val="0"/>
          <w:sz w:val="22"/>
          <w:lang w:eastAsia="en-AU"/>
        </w:rPr>
        <w:tab/>
      </w:r>
      <w:r w:rsidRPr="005C49A4">
        <w:rPr>
          <w:noProof/>
          <w:lang w:val="en-US"/>
        </w:rPr>
        <w:t>Enrolments by SES, 2006-2015</w:t>
      </w:r>
      <w:r>
        <w:rPr>
          <w:noProof/>
        </w:rPr>
        <w:tab/>
      </w:r>
      <w:r w:rsidR="00F3615A">
        <w:rPr>
          <w:noProof/>
        </w:rPr>
        <w:t>113</w:t>
      </w:r>
    </w:p>
    <w:p w14:paraId="1DB8462B" w14:textId="0DB54176"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9.9</w:t>
      </w:r>
      <w:r>
        <w:rPr>
          <w:rFonts w:asciiTheme="minorHAnsi" w:eastAsiaTheme="minorEastAsia" w:hAnsiTheme="minorHAnsi"/>
          <w:caps w:val="0"/>
          <w:noProof/>
          <w:spacing w:val="0"/>
          <w:sz w:val="22"/>
          <w:lang w:eastAsia="en-AU"/>
        </w:rPr>
        <w:tab/>
      </w:r>
      <w:r w:rsidRPr="005C49A4">
        <w:rPr>
          <w:noProof/>
          <w:lang w:val="en-US"/>
        </w:rPr>
        <w:t>Year to year growth of enrolments by SES status, 2007-2015</w:t>
      </w:r>
      <w:r>
        <w:rPr>
          <w:noProof/>
        </w:rPr>
        <w:tab/>
      </w:r>
      <w:r w:rsidR="00F3615A">
        <w:rPr>
          <w:noProof/>
        </w:rPr>
        <w:t>113</w:t>
      </w:r>
    </w:p>
    <w:p w14:paraId="4168A89A" w14:textId="039E85A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9.10</w:t>
      </w:r>
      <w:r>
        <w:rPr>
          <w:rFonts w:asciiTheme="minorHAnsi" w:eastAsiaTheme="minorEastAsia" w:hAnsiTheme="minorHAnsi"/>
          <w:caps w:val="0"/>
          <w:noProof/>
          <w:spacing w:val="0"/>
          <w:sz w:val="22"/>
          <w:lang w:eastAsia="en-AU"/>
        </w:rPr>
        <w:tab/>
      </w:r>
      <w:r w:rsidRPr="005C49A4">
        <w:rPr>
          <w:noProof/>
          <w:lang w:val="en-US"/>
        </w:rPr>
        <w:t>enrolments by SES status, 2006, 2010 and 2015</w:t>
      </w:r>
      <w:r>
        <w:rPr>
          <w:noProof/>
        </w:rPr>
        <w:tab/>
      </w:r>
      <w:r w:rsidR="00F3615A">
        <w:rPr>
          <w:noProof/>
        </w:rPr>
        <w:t>114</w:t>
      </w:r>
    </w:p>
    <w:p w14:paraId="6718F2A3" w14:textId="26A3681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9.11</w:t>
      </w:r>
      <w:r>
        <w:rPr>
          <w:rFonts w:asciiTheme="minorHAnsi" w:eastAsiaTheme="minorEastAsia" w:hAnsiTheme="minorHAnsi"/>
          <w:caps w:val="0"/>
          <w:noProof/>
          <w:spacing w:val="0"/>
          <w:sz w:val="22"/>
          <w:lang w:eastAsia="en-AU"/>
        </w:rPr>
        <w:tab/>
      </w:r>
      <w:r w:rsidRPr="005C49A4">
        <w:rPr>
          <w:noProof/>
          <w:lang w:val="en-US"/>
        </w:rPr>
        <w:t>Share of enrolments by SES decile</w:t>
      </w:r>
      <w:r>
        <w:rPr>
          <w:noProof/>
        </w:rPr>
        <w:tab/>
      </w:r>
      <w:r w:rsidR="00F3615A">
        <w:rPr>
          <w:noProof/>
        </w:rPr>
        <w:t>114</w:t>
      </w:r>
    </w:p>
    <w:p w14:paraId="43213720" w14:textId="43F0882F"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9.12</w:t>
      </w:r>
      <w:r>
        <w:rPr>
          <w:rFonts w:asciiTheme="minorHAnsi" w:eastAsiaTheme="minorEastAsia" w:hAnsiTheme="minorHAnsi"/>
          <w:caps w:val="0"/>
          <w:noProof/>
          <w:spacing w:val="0"/>
          <w:sz w:val="22"/>
          <w:lang w:eastAsia="en-AU"/>
        </w:rPr>
        <w:tab/>
      </w:r>
      <w:r w:rsidRPr="005C49A4">
        <w:rPr>
          <w:noProof/>
          <w:lang w:val="en-US"/>
        </w:rPr>
        <w:t>Annual growth of low ses enrolments and total enrolments by university grouping, 2010-2015</w:t>
      </w:r>
      <w:r>
        <w:rPr>
          <w:noProof/>
        </w:rPr>
        <w:tab/>
      </w:r>
      <w:r w:rsidR="00F3615A">
        <w:rPr>
          <w:noProof/>
        </w:rPr>
        <w:t>115</w:t>
      </w:r>
    </w:p>
    <w:p w14:paraId="6C4C8D48" w14:textId="2E4DF24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9.13</w:t>
      </w:r>
      <w:r>
        <w:rPr>
          <w:rFonts w:asciiTheme="minorHAnsi" w:eastAsiaTheme="minorEastAsia" w:hAnsiTheme="minorHAnsi"/>
          <w:caps w:val="0"/>
          <w:noProof/>
          <w:spacing w:val="0"/>
          <w:sz w:val="22"/>
          <w:lang w:eastAsia="en-AU"/>
        </w:rPr>
        <w:tab/>
      </w:r>
      <w:r w:rsidRPr="005C49A4">
        <w:rPr>
          <w:noProof/>
          <w:lang w:val="en-US"/>
        </w:rPr>
        <w:t>P</w:t>
      </w:r>
      <w:r w:rsidR="00F3615A">
        <w:rPr>
          <w:noProof/>
          <w:lang w:val="en-US"/>
        </w:rPr>
        <w:t>OPULATION P</w:t>
      </w:r>
      <w:r w:rsidRPr="005C49A4">
        <w:rPr>
          <w:noProof/>
          <w:lang w:val="en-US"/>
        </w:rPr>
        <w:t>articipation rate by ses, 2006-2015</w:t>
      </w:r>
      <w:r>
        <w:rPr>
          <w:noProof/>
        </w:rPr>
        <w:tab/>
      </w:r>
      <w:r w:rsidR="00F3615A">
        <w:rPr>
          <w:noProof/>
        </w:rPr>
        <w:t>116</w:t>
      </w:r>
    </w:p>
    <w:p w14:paraId="4FD4E802" w14:textId="40E7D8D5"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9.14</w:t>
      </w:r>
      <w:r>
        <w:rPr>
          <w:rFonts w:asciiTheme="minorHAnsi" w:eastAsiaTheme="minorEastAsia" w:hAnsiTheme="minorHAnsi"/>
          <w:caps w:val="0"/>
          <w:noProof/>
          <w:spacing w:val="0"/>
          <w:sz w:val="22"/>
          <w:lang w:eastAsia="en-AU"/>
        </w:rPr>
        <w:tab/>
      </w:r>
      <w:r w:rsidRPr="005C49A4">
        <w:rPr>
          <w:noProof/>
          <w:lang w:val="en-US"/>
        </w:rPr>
        <w:t>Participation rate by ses, 2006, 2010 and 2015</w:t>
      </w:r>
      <w:r w:rsidR="00F3615A">
        <w:rPr>
          <w:noProof/>
        </w:rPr>
        <w:tab/>
        <w:t>116</w:t>
      </w:r>
    </w:p>
    <w:p w14:paraId="35D58173" w14:textId="6611F64B"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9.15</w:t>
      </w:r>
      <w:r>
        <w:rPr>
          <w:rFonts w:asciiTheme="minorHAnsi" w:eastAsiaTheme="minorEastAsia" w:hAnsiTheme="minorHAnsi"/>
          <w:caps w:val="0"/>
          <w:noProof/>
          <w:spacing w:val="0"/>
          <w:sz w:val="22"/>
          <w:lang w:eastAsia="en-AU"/>
        </w:rPr>
        <w:tab/>
      </w:r>
      <w:r w:rsidRPr="005C49A4">
        <w:rPr>
          <w:noProof/>
          <w:lang w:val="en-US"/>
        </w:rPr>
        <w:t>Retention rate by ses, 2006-2014</w:t>
      </w:r>
      <w:r w:rsidR="00F3615A">
        <w:rPr>
          <w:noProof/>
        </w:rPr>
        <w:tab/>
        <w:t>117</w:t>
      </w:r>
    </w:p>
    <w:p w14:paraId="5AD3E1C2" w14:textId="566662FF"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9.16</w:t>
      </w:r>
      <w:r>
        <w:rPr>
          <w:rFonts w:asciiTheme="minorHAnsi" w:eastAsiaTheme="minorEastAsia" w:hAnsiTheme="minorHAnsi"/>
          <w:caps w:val="0"/>
          <w:noProof/>
          <w:spacing w:val="0"/>
          <w:sz w:val="22"/>
          <w:lang w:eastAsia="en-AU"/>
        </w:rPr>
        <w:tab/>
      </w:r>
      <w:r w:rsidRPr="005C49A4">
        <w:rPr>
          <w:noProof/>
          <w:lang w:val="en-US"/>
        </w:rPr>
        <w:t>SEs retention rate relative total retention rate, 2006-2014</w:t>
      </w:r>
      <w:r>
        <w:rPr>
          <w:noProof/>
        </w:rPr>
        <w:tab/>
      </w:r>
      <w:r w:rsidR="00F3615A">
        <w:rPr>
          <w:noProof/>
        </w:rPr>
        <w:t>117</w:t>
      </w:r>
    </w:p>
    <w:p w14:paraId="0D88A62C" w14:textId="1DA046C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9.17</w:t>
      </w:r>
      <w:r>
        <w:rPr>
          <w:rFonts w:asciiTheme="minorHAnsi" w:eastAsiaTheme="minorEastAsia" w:hAnsiTheme="minorHAnsi"/>
          <w:caps w:val="0"/>
          <w:noProof/>
          <w:spacing w:val="0"/>
          <w:sz w:val="22"/>
          <w:lang w:eastAsia="en-AU"/>
        </w:rPr>
        <w:tab/>
      </w:r>
      <w:r w:rsidRPr="005C49A4">
        <w:rPr>
          <w:noProof/>
          <w:lang w:val="en-US"/>
        </w:rPr>
        <w:t>Success rate by ses, 2006-2015</w:t>
      </w:r>
      <w:r w:rsidR="00F3615A">
        <w:rPr>
          <w:noProof/>
        </w:rPr>
        <w:tab/>
        <w:t>118</w:t>
      </w:r>
    </w:p>
    <w:p w14:paraId="4E5B9F87" w14:textId="6B2A21FE"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9.18</w:t>
      </w:r>
      <w:r>
        <w:rPr>
          <w:rFonts w:asciiTheme="minorHAnsi" w:eastAsiaTheme="minorEastAsia" w:hAnsiTheme="minorHAnsi"/>
          <w:caps w:val="0"/>
          <w:noProof/>
          <w:spacing w:val="0"/>
          <w:sz w:val="22"/>
          <w:lang w:eastAsia="en-AU"/>
        </w:rPr>
        <w:tab/>
      </w:r>
      <w:r w:rsidRPr="005C49A4">
        <w:rPr>
          <w:noProof/>
          <w:lang w:val="en-US"/>
        </w:rPr>
        <w:t>SEs Success rate relative total success rate, 2006-2015</w:t>
      </w:r>
      <w:r w:rsidR="00F3615A">
        <w:rPr>
          <w:noProof/>
        </w:rPr>
        <w:tab/>
        <w:t>118</w:t>
      </w:r>
    </w:p>
    <w:p w14:paraId="2C03EB11" w14:textId="6C82E9D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9.19</w:t>
      </w:r>
      <w:r>
        <w:rPr>
          <w:rFonts w:asciiTheme="minorHAnsi" w:eastAsiaTheme="minorEastAsia" w:hAnsiTheme="minorHAnsi"/>
          <w:caps w:val="0"/>
          <w:noProof/>
          <w:spacing w:val="0"/>
          <w:sz w:val="22"/>
          <w:lang w:eastAsia="en-AU"/>
        </w:rPr>
        <w:tab/>
      </w:r>
      <w:r w:rsidRPr="005C49A4">
        <w:rPr>
          <w:noProof/>
          <w:lang w:val="en-US"/>
        </w:rPr>
        <w:t>COMPLETIONS ANALYSis for students commencing in 2012, by SES</w:t>
      </w:r>
      <w:r w:rsidR="00F3615A">
        <w:rPr>
          <w:noProof/>
        </w:rPr>
        <w:tab/>
        <w:t>119</w:t>
      </w:r>
    </w:p>
    <w:p w14:paraId="2D5DA9AB" w14:textId="4A151556"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9.20</w:t>
      </w:r>
      <w:r>
        <w:rPr>
          <w:rFonts w:asciiTheme="minorHAnsi" w:eastAsiaTheme="minorEastAsia" w:hAnsiTheme="minorHAnsi"/>
          <w:caps w:val="0"/>
          <w:noProof/>
          <w:spacing w:val="0"/>
          <w:sz w:val="22"/>
          <w:lang w:eastAsia="en-AU"/>
        </w:rPr>
        <w:tab/>
      </w:r>
      <w:r w:rsidRPr="005C49A4">
        <w:rPr>
          <w:noProof/>
          <w:lang w:val="en-US"/>
        </w:rPr>
        <w:t>completions ANALYSIS for Low SES students, 2005-08 to 2010-13</w:t>
      </w:r>
      <w:r w:rsidR="00F3615A">
        <w:rPr>
          <w:noProof/>
        </w:rPr>
        <w:tab/>
        <w:t>120</w:t>
      </w:r>
    </w:p>
    <w:p w14:paraId="7D42CB53" w14:textId="2C779270"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9.21</w:t>
      </w:r>
      <w:r>
        <w:rPr>
          <w:rFonts w:asciiTheme="minorHAnsi" w:eastAsiaTheme="minorEastAsia" w:hAnsiTheme="minorHAnsi"/>
          <w:caps w:val="0"/>
          <w:noProof/>
          <w:spacing w:val="0"/>
          <w:sz w:val="22"/>
          <w:lang w:eastAsia="en-AU"/>
        </w:rPr>
        <w:tab/>
      </w:r>
      <w:r w:rsidRPr="005C49A4">
        <w:rPr>
          <w:noProof/>
          <w:lang w:val="en-US"/>
        </w:rPr>
        <w:t>students completing or still enrolled four years after commencing, by ses, 2005-2008 to 2012-2015</w:t>
      </w:r>
      <w:r w:rsidR="00F3615A">
        <w:rPr>
          <w:noProof/>
        </w:rPr>
        <w:tab/>
        <w:t>121</w:t>
      </w:r>
    </w:p>
    <w:p w14:paraId="067F36ED" w14:textId="7968CB0A"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9.22</w:t>
      </w:r>
      <w:r>
        <w:rPr>
          <w:rFonts w:asciiTheme="minorHAnsi" w:eastAsiaTheme="minorEastAsia" w:hAnsiTheme="minorHAnsi"/>
          <w:caps w:val="0"/>
          <w:noProof/>
          <w:spacing w:val="0"/>
          <w:sz w:val="22"/>
          <w:lang w:eastAsia="en-AU"/>
        </w:rPr>
        <w:tab/>
      </w:r>
      <w:r w:rsidRPr="005C49A4">
        <w:rPr>
          <w:noProof/>
          <w:lang w:val="en-US"/>
        </w:rPr>
        <w:t>share of low ses enrolments by ATAR deciles, 2006-2015</w:t>
      </w:r>
      <w:r w:rsidR="00F3615A">
        <w:rPr>
          <w:noProof/>
        </w:rPr>
        <w:tab/>
        <w:t>122</w:t>
      </w:r>
    </w:p>
    <w:p w14:paraId="596ADAAB" w14:textId="3BFE8597"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9.23</w:t>
      </w:r>
      <w:r>
        <w:rPr>
          <w:rFonts w:asciiTheme="minorHAnsi" w:eastAsiaTheme="minorEastAsia" w:hAnsiTheme="minorHAnsi"/>
          <w:caps w:val="0"/>
          <w:noProof/>
          <w:spacing w:val="0"/>
          <w:sz w:val="22"/>
          <w:lang w:eastAsia="en-AU"/>
        </w:rPr>
        <w:tab/>
      </w:r>
      <w:r w:rsidRPr="005C49A4">
        <w:rPr>
          <w:noProof/>
          <w:lang w:val="en-US"/>
        </w:rPr>
        <w:t>RETENTION and success rate changes at each university, 2006-2009 to 2010-2014</w:t>
      </w:r>
      <w:r w:rsidR="00F3615A">
        <w:rPr>
          <w:noProof/>
        </w:rPr>
        <w:tab/>
        <w:t>123</w:t>
      </w:r>
    </w:p>
    <w:p w14:paraId="7353B147" w14:textId="79761A1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Figure 9.24</w:t>
      </w:r>
      <w:r>
        <w:rPr>
          <w:rFonts w:asciiTheme="minorHAnsi" w:eastAsiaTheme="minorEastAsia" w:hAnsiTheme="minorHAnsi"/>
          <w:caps w:val="0"/>
          <w:noProof/>
          <w:spacing w:val="0"/>
          <w:sz w:val="22"/>
          <w:lang w:eastAsia="en-AU"/>
        </w:rPr>
        <w:tab/>
      </w:r>
      <w:r w:rsidRPr="005C49A4">
        <w:rPr>
          <w:noProof/>
          <w:lang w:val="en-US"/>
        </w:rPr>
        <w:t>Share of HEPPP funding per activity</w:t>
      </w:r>
      <w:r w:rsidR="00F3615A">
        <w:rPr>
          <w:noProof/>
        </w:rPr>
        <w:tab/>
        <w:t>124</w:t>
      </w:r>
    </w:p>
    <w:p w14:paraId="6CC4E4DB" w14:textId="63311B4B"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10.1</w:t>
      </w:r>
      <w:r>
        <w:rPr>
          <w:rFonts w:asciiTheme="minorHAnsi" w:eastAsiaTheme="minorEastAsia" w:hAnsiTheme="minorHAnsi"/>
          <w:caps w:val="0"/>
          <w:noProof/>
          <w:spacing w:val="0"/>
          <w:sz w:val="22"/>
          <w:lang w:eastAsia="en-AU"/>
        </w:rPr>
        <w:tab/>
      </w:r>
      <w:r w:rsidRPr="005C49A4">
        <w:rPr>
          <w:noProof/>
        </w:rPr>
        <w:t>Total HEPPP funding by funding stream, 2010-2015</w:t>
      </w:r>
      <w:r w:rsidR="00F3615A">
        <w:rPr>
          <w:noProof/>
        </w:rPr>
        <w:tab/>
        <w:t>127</w:t>
      </w:r>
    </w:p>
    <w:p w14:paraId="588C8D55" w14:textId="51BF9D3C"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10.2</w:t>
      </w:r>
      <w:r>
        <w:rPr>
          <w:rFonts w:asciiTheme="minorHAnsi" w:eastAsiaTheme="minorEastAsia" w:hAnsiTheme="minorHAnsi"/>
          <w:caps w:val="0"/>
          <w:noProof/>
          <w:spacing w:val="0"/>
          <w:sz w:val="22"/>
          <w:lang w:eastAsia="en-AU"/>
        </w:rPr>
        <w:tab/>
      </w:r>
      <w:r w:rsidRPr="005C49A4">
        <w:rPr>
          <w:noProof/>
        </w:rPr>
        <w:t>HEPPP funding as a proportion of university funding, 2010-2014</w:t>
      </w:r>
      <w:r w:rsidR="00F3615A">
        <w:rPr>
          <w:noProof/>
        </w:rPr>
        <w:tab/>
        <w:t>127</w:t>
      </w:r>
    </w:p>
    <w:p w14:paraId="2316E5C0" w14:textId="7BCC42B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10.3</w:t>
      </w:r>
      <w:r>
        <w:rPr>
          <w:rFonts w:asciiTheme="minorHAnsi" w:eastAsiaTheme="minorEastAsia" w:hAnsiTheme="minorHAnsi"/>
          <w:caps w:val="0"/>
          <w:noProof/>
          <w:spacing w:val="0"/>
          <w:sz w:val="22"/>
          <w:lang w:eastAsia="en-AU"/>
        </w:rPr>
        <w:tab/>
      </w:r>
      <w:r w:rsidRPr="005C49A4">
        <w:rPr>
          <w:noProof/>
        </w:rPr>
        <w:t>HEPPP funding as a proportion of university funding, metropolitan and regional (average of 2010-2014)</w:t>
      </w:r>
      <w:r w:rsidR="00F3615A">
        <w:rPr>
          <w:noProof/>
        </w:rPr>
        <w:tab/>
        <w:t>128</w:t>
      </w:r>
    </w:p>
    <w:p w14:paraId="4078B17E" w14:textId="1201431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10.4</w:t>
      </w:r>
      <w:r>
        <w:rPr>
          <w:rFonts w:asciiTheme="minorHAnsi" w:eastAsiaTheme="minorEastAsia" w:hAnsiTheme="minorHAnsi"/>
          <w:caps w:val="0"/>
          <w:noProof/>
          <w:spacing w:val="0"/>
          <w:sz w:val="22"/>
          <w:lang w:eastAsia="en-AU"/>
        </w:rPr>
        <w:tab/>
      </w:r>
      <w:r w:rsidRPr="005C49A4">
        <w:rPr>
          <w:noProof/>
        </w:rPr>
        <w:t>University HEPPP funding and proportion of all universities combined low SEs students, 2010 to 2015</w:t>
      </w:r>
      <w:r w:rsidR="00F3615A">
        <w:rPr>
          <w:noProof/>
        </w:rPr>
        <w:tab/>
        <w:t>129</w:t>
      </w:r>
    </w:p>
    <w:p w14:paraId="713E1832" w14:textId="405C0367"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10.5</w:t>
      </w:r>
      <w:r>
        <w:rPr>
          <w:rFonts w:asciiTheme="minorHAnsi" w:eastAsiaTheme="minorEastAsia" w:hAnsiTheme="minorHAnsi"/>
          <w:caps w:val="0"/>
          <w:noProof/>
          <w:spacing w:val="0"/>
          <w:sz w:val="22"/>
          <w:lang w:eastAsia="en-AU"/>
        </w:rPr>
        <w:tab/>
      </w:r>
      <w:r w:rsidRPr="005C49A4">
        <w:rPr>
          <w:noProof/>
        </w:rPr>
        <w:t>University HEPPP funding and proportion of all universities combined low ses students, 2010 to 2015</w:t>
      </w:r>
      <w:r w:rsidR="00F3615A">
        <w:rPr>
          <w:noProof/>
        </w:rPr>
        <w:tab/>
        <w:t>130</w:t>
      </w:r>
    </w:p>
    <w:p w14:paraId="763325CE" w14:textId="59BA0062" w:rsidR="002E3AB5" w:rsidRDefault="002E3AB5" w:rsidP="002E3AB5">
      <w:pPr>
        <w:pStyle w:val="TableofFigures"/>
        <w:rPr>
          <w:rFonts w:asciiTheme="minorHAnsi" w:eastAsiaTheme="minorEastAsia" w:hAnsiTheme="minorHAnsi"/>
          <w:caps w:val="0"/>
          <w:noProof/>
          <w:spacing w:val="0"/>
          <w:sz w:val="22"/>
          <w:lang w:eastAsia="en-AU"/>
        </w:rPr>
      </w:pPr>
      <w:r w:rsidRPr="005C49A4">
        <w:rPr>
          <w:b/>
          <w:iCs/>
          <w:noProof/>
        </w:rPr>
        <w:t>Figure 10.6</w:t>
      </w:r>
      <w:r>
        <w:rPr>
          <w:rFonts w:asciiTheme="minorHAnsi" w:eastAsiaTheme="minorEastAsia" w:hAnsiTheme="minorHAnsi"/>
          <w:caps w:val="0"/>
          <w:noProof/>
          <w:spacing w:val="0"/>
          <w:sz w:val="22"/>
          <w:lang w:eastAsia="en-AU"/>
        </w:rPr>
        <w:tab/>
      </w:r>
      <w:r w:rsidRPr="005C49A4">
        <w:rPr>
          <w:iCs/>
          <w:noProof/>
        </w:rPr>
        <w:t>university HEPPP funding and proportion and number of low SES students, 2010</w:t>
      </w:r>
      <w:r w:rsidRPr="005C49A4">
        <w:rPr>
          <w:iCs/>
          <w:noProof/>
        </w:rPr>
        <w:noBreakHyphen/>
        <w:t>2015</w:t>
      </w:r>
      <w:r w:rsidR="00F3615A">
        <w:rPr>
          <w:noProof/>
        </w:rPr>
        <w:tab/>
        <w:t>131</w:t>
      </w:r>
    </w:p>
    <w:p w14:paraId="233E428E" w14:textId="4EF1AC0F"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10.7</w:t>
      </w:r>
      <w:r>
        <w:rPr>
          <w:rFonts w:asciiTheme="minorHAnsi" w:eastAsiaTheme="minorEastAsia" w:hAnsiTheme="minorHAnsi"/>
          <w:caps w:val="0"/>
          <w:noProof/>
          <w:spacing w:val="0"/>
          <w:sz w:val="22"/>
          <w:lang w:eastAsia="en-AU"/>
        </w:rPr>
        <w:tab/>
      </w:r>
      <w:r w:rsidRPr="005C49A4">
        <w:rPr>
          <w:noProof/>
        </w:rPr>
        <w:t>Average HEPPP funding per university by university grouping, 2010-2015</w:t>
      </w:r>
      <w:r w:rsidR="00F3615A">
        <w:rPr>
          <w:noProof/>
        </w:rPr>
        <w:tab/>
        <w:t>131</w:t>
      </w:r>
    </w:p>
    <w:p w14:paraId="268BF8A9" w14:textId="6A78D8DF"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10.8</w:t>
      </w:r>
      <w:r>
        <w:rPr>
          <w:rFonts w:asciiTheme="minorHAnsi" w:eastAsiaTheme="minorEastAsia" w:hAnsiTheme="minorHAnsi"/>
          <w:caps w:val="0"/>
          <w:noProof/>
          <w:spacing w:val="0"/>
          <w:sz w:val="22"/>
          <w:lang w:eastAsia="en-AU"/>
        </w:rPr>
        <w:tab/>
      </w:r>
      <w:r w:rsidRPr="005C49A4">
        <w:rPr>
          <w:noProof/>
        </w:rPr>
        <w:t>Average HEPPP funding per university by location, 2010-2015</w:t>
      </w:r>
      <w:r w:rsidR="00F3615A">
        <w:rPr>
          <w:noProof/>
        </w:rPr>
        <w:tab/>
        <w:t>132</w:t>
      </w:r>
    </w:p>
    <w:p w14:paraId="62CF3246" w14:textId="522E6034"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10.9</w:t>
      </w:r>
      <w:r>
        <w:rPr>
          <w:rFonts w:asciiTheme="minorHAnsi" w:eastAsiaTheme="minorEastAsia" w:hAnsiTheme="minorHAnsi"/>
          <w:caps w:val="0"/>
          <w:noProof/>
          <w:spacing w:val="0"/>
          <w:sz w:val="22"/>
          <w:lang w:eastAsia="en-AU"/>
        </w:rPr>
        <w:tab/>
      </w:r>
      <w:r w:rsidRPr="005C49A4">
        <w:rPr>
          <w:noProof/>
        </w:rPr>
        <w:t>Average heppp funding per university by jurisdiction, 2010-2015</w:t>
      </w:r>
      <w:r w:rsidR="00F3615A">
        <w:rPr>
          <w:noProof/>
        </w:rPr>
        <w:tab/>
        <w:t>132</w:t>
      </w:r>
    </w:p>
    <w:p w14:paraId="41C8A130" w14:textId="64163971" w:rsidR="002E3AB5" w:rsidRDefault="002E3AB5" w:rsidP="002E3AB5">
      <w:pPr>
        <w:pStyle w:val="TableofFigures"/>
        <w:tabs>
          <w:tab w:val="left" w:pos="1516"/>
        </w:tabs>
        <w:rPr>
          <w:rFonts w:asciiTheme="minorHAnsi" w:eastAsiaTheme="minorEastAsia" w:hAnsiTheme="minorHAnsi"/>
          <w:caps w:val="0"/>
          <w:noProof/>
          <w:spacing w:val="0"/>
          <w:sz w:val="22"/>
          <w:lang w:eastAsia="en-AU"/>
        </w:rPr>
      </w:pPr>
      <w:r w:rsidRPr="005C49A4">
        <w:rPr>
          <w:b/>
          <w:noProof/>
        </w:rPr>
        <w:t>Figure 10.10</w:t>
      </w:r>
      <w:r>
        <w:rPr>
          <w:rFonts w:asciiTheme="minorHAnsi" w:eastAsiaTheme="minorEastAsia" w:hAnsiTheme="minorHAnsi"/>
          <w:caps w:val="0"/>
          <w:noProof/>
          <w:spacing w:val="0"/>
          <w:sz w:val="22"/>
          <w:lang w:eastAsia="en-AU"/>
        </w:rPr>
        <w:tab/>
      </w:r>
      <w:r w:rsidRPr="005C49A4">
        <w:rPr>
          <w:noProof/>
        </w:rPr>
        <w:t>Total HEPPP funding compared to the Bradley review recommendations</w:t>
      </w:r>
      <w:r w:rsidR="00F3615A">
        <w:rPr>
          <w:noProof/>
        </w:rPr>
        <w:tab/>
        <w:t>133</w:t>
      </w:r>
    </w:p>
    <w:p w14:paraId="48DC8EA5" w14:textId="67FE658E" w:rsidR="002E3AB5" w:rsidRDefault="002E3AB5" w:rsidP="002E3AB5">
      <w:pPr>
        <w:pStyle w:val="TableofFigures"/>
        <w:tabs>
          <w:tab w:val="left" w:pos="1516"/>
        </w:tabs>
        <w:rPr>
          <w:rFonts w:asciiTheme="minorHAnsi" w:eastAsiaTheme="minorEastAsia" w:hAnsiTheme="minorHAnsi"/>
          <w:caps w:val="0"/>
          <w:noProof/>
          <w:spacing w:val="0"/>
          <w:sz w:val="22"/>
          <w:lang w:eastAsia="en-AU"/>
        </w:rPr>
      </w:pPr>
      <w:r w:rsidRPr="005C49A4">
        <w:rPr>
          <w:b/>
          <w:noProof/>
        </w:rPr>
        <w:t>Figure 10.11</w:t>
      </w:r>
      <w:r>
        <w:rPr>
          <w:rFonts w:asciiTheme="minorHAnsi" w:eastAsiaTheme="minorEastAsia" w:hAnsiTheme="minorHAnsi"/>
          <w:caps w:val="0"/>
          <w:noProof/>
          <w:spacing w:val="0"/>
          <w:sz w:val="22"/>
          <w:lang w:eastAsia="en-AU"/>
        </w:rPr>
        <w:tab/>
      </w:r>
      <w:r w:rsidRPr="005C49A4">
        <w:rPr>
          <w:noProof/>
        </w:rPr>
        <w:t>HEPPP Participation funding per low SES EFTSL 2010 to 2020</w:t>
      </w:r>
      <w:r w:rsidR="00F3615A">
        <w:rPr>
          <w:noProof/>
        </w:rPr>
        <w:tab/>
        <w:t>134</w:t>
      </w:r>
    </w:p>
    <w:p w14:paraId="50593279" w14:textId="5C553323" w:rsidR="002E3AB5" w:rsidRDefault="002E3AB5" w:rsidP="002E3AB5">
      <w:pPr>
        <w:pStyle w:val="TableofFigures"/>
        <w:tabs>
          <w:tab w:val="left" w:pos="1516"/>
        </w:tabs>
        <w:rPr>
          <w:rFonts w:asciiTheme="minorHAnsi" w:eastAsiaTheme="minorEastAsia" w:hAnsiTheme="minorHAnsi"/>
          <w:caps w:val="0"/>
          <w:noProof/>
          <w:spacing w:val="0"/>
          <w:sz w:val="22"/>
          <w:lang w:eastAsia="en-AU"/>
        </w:rPr>
      </w:pPr>
      <w:r w:rsidRPr="005C49A4">
        <w:rPr>
          <w:b/>
          <w:noProof/>
        </w:rPr>
        <w:t>Figure 10.12</w:t>
      </w:r>
      <w:r>
        <w:rPr>
          <w:rFonts w:asciiTheme="minorHAnsi" w:eastAsiaTheme="minorEastAsia" w:hAnsiTheme="minorHAnsi"/>
          <w:caps w:val="0"/>
          <w:noProof/>
          <w:spacing w:val="0"/>
          <w:sz w:val="22"/>
          <w:lang w:eastAsia="en-AU"/>
        </w:rPr>
        <w:tab/>
      </w:r>
      <w:r w:rsidRPr="005C49A4">
        <w:rPr>
          <w:noProof/>
        </w:rPr>
        <w:t>Administration costs as a proportion of total HEPPP project budget by university groupings</w:t>
      </w:r>
      <w:r w:rsidR="00F3615A">
        <w:rPr>
          <w:noProof/>
        </w:rPr>
        <w:tab/>
        <w:t>135</w:t>
      </w:r>
    </w:p>
    <w:p w14:paraId="08F22054" w14:textId="12947EFA" w:rsidR="002E3AB5" w:rsidRDefault="002E3AB5" w:rsidP="002E3AB5">
      <w:pPr>
        <w:pStyle w:val="TableofFigures"/>
        <w:tabs>
          <w:tab w:val="left" w:pos="1516"/>
        </w:tabs>
        <w:rPr>
          <w:rFonts w:asciiTheme="minorHAnsi" w:eastAsiaTheme="minorEastAsia" w:hAnsiTheme="minorHAnsi"/>
          <w:caps w:val="0"/>
          <w:noProof/>
          <w:spacing w:val="0"/>
          <w:sz w:val="22"/>
          <w:lang w:eastAsia="en-AU"/>
        </w:rPr>
      </w:pPr>
      <w:r w:rsidRPr="005C49A4">
        <w:rPr>
          <w:b/>
          <w:noProof/>
        </w:rPr>
        <w:t>Figure 10.13</w:t>
      </w:r>
      <w:r>
        <w:rPr>
          <w:rFonts w:asciiTheme="minorHAnsi" w:eastAsiaTheme="minorEastAsia" w:hAnsiTheme="minorHAnsi"/>
          <w:caps w:val="0"/>
          <w:noProof/>
          <w:spacing w:val="0"/>
          <w:sz w:val="22"/>
          <w:lang w:eastAsia="en-AU"/>
        </w:rPr>
        <w:tab/>
      </w:r>
      <w:r w:rsidRPr="005C49A4">
        <w:rPr>
          <w:noProof/>
        </w:rPr>
        <w:t>Administration costs as a proportion of Total HEPPP project budget by METROPOLITAN/regional</w:t>
      </w:r>
      <w:r w:rsidR="00F3615A">
        <w:rPr>
          <w:noProof/>
        </w:rPr>
        <w:tab/>
        <w:t>135</w:t>
      </w:r>
    </w:p>
    <w:p w14:paraId="4BCEFE39" w14:textId="2991B51E" w:rsidR="002E3AB5" w:rsidRDefault="002E3AB5" w:rsidP="002E3AB5">
      <w:pPr>
        <w:pStyle w:val="TableofFigures"/>
        <w:tabs>
          <w:tab w:val="left" w:pos="1516"/>
        </w:tabs>
        <w:rPr>
          <w:rFonts w:asciiTheme="minorHAnsi" w:eastAsiaTheme="minorEastAsia" w:hAnsiTheme="minorHAnsi"/>
          <w:caps w:val="0"/>
          <w:noProof/>
          <w:spacing w:val="0"/>
          <w:sz w:val="22"/>
          <w:lang w:eastAsia="en-AU"/>
        </w:rPr>
      </w:pPr>
      <w:r w:rsidRPr="005C49A4">
        <w:rPr>
          <w:b/>
          <w:noProof/>
        </w:rPr>
        <w:t>Figure 10.14</w:t>
      </w:r>
      <w:r>
        <w:rPr>
          <w:rFonts w:asciiTheme="minorHAnsi" w:eastAsiaTheme="minorEastAsia" w:hAnsiTheme="minorHAnsi"/>
          <w:caps w:val="0"/>
          <w:noProof/>
          <w:spacing w:val="0"/>
          <w:sz w:val="22"/>
          <w:lang w:eastAsia="en-AU"/>
        </w:rPr>
        <w:tab/>
      </w:r>
      <w:r w:rsidRPr="005C49A4">
        <w:rPr>
          <w:noProof/>
        </w:rPr>
        <w:t>Relationship between proportion low SES students and administration costs</w:t>
      </w:r>
      <w:r w:rsidR="00F3615A">
        <w:rPr>
          <w:noProof/>
        </w:rPr>
        <w:tab/>
        <w:t>136</w:t>
      </w:r>
    </w:p>
    <w:p w14:paraId="5EFBA407" w14:textId="4207766E" w:rsidR="002E3AB5" w:rsidRDefault="002E3AB5" w:rsidP="002E3AB5">
      <w:pPr>
        <w:pStyle w:val="TableofFigures"/>
        <w:tabs>
          <w:tab w:val="left" w:pos="1516"/>
        </w:tabs>
        <w:rPr>
          <w:rFonts w:asciiTheme="minorHAnsi" w:eastAsiaTheme="minorEastAsia" w:hAnsiTheme="minorHAnsi"/>
          <w:caps w:val="0"/>
          <w:noProof/>
          <w:spacing w:val="0"/>
          <w:sz w:val="22"/>
          <w:lang w:eastAsia="en-AU"/>
        </w:rPr>
      </w:pPr>
      <w:r w:rsidRPr="005C49A4">
        <w:rPr>
          <w:b/>
          <w:noProof/>
        </w:rPr>
        <w:t>Figure 10.15</w:t>
      </w:r>
      <w:r>
        <w:rPr>
          <w:rFonts w:asciiTheme="minorHAnsi" w:eastAsiaTheme="minorEastAsia" w:hAnsiTheme="minorHAnsi"/>
          <w:caps w:val="0"/>
          <w:noProof/>
          <w:spacing w:val="0"/>
          <w:sz w:val="22"/>
          <w:lang w:eastAsia="en-AU"/>
        </w:rPr>
        <w:tab/>
      </w:r>
      <w:r w:rsidRPr="005C49A4">
        <w:rPr>
          <w:noProof/>
        </w:rPr>
        <w:t>University Staff survey, HEPPP and university Funding</w:t>
      </w:r>
      <w:r w:rsidR="00F3615A">
        <w:rPr>
          <w:noProof/>
        </w:rPr>
        <w:tab/>
        <w:t>137</w:t>
      </w:r>
    </w:p>
    <w:p w14:paraId="76D079C8" w14:textId="3453E6AC" w:rsidR="002E3AB5" w:rsidRDefault="002E3AB5" w:rsidP="002E3AB5">
      <w:pPr>
        <w:pStyle w:val="TableofFigures"/>
        <w:tabs>
          <w:tab w:val="left" w:pos="1516"/>
        </w:tabs>
        <w:rPr>
          <w:rFonts w:asciiTheme="minorHAnsi" w:eastAsiaTheme="minorEastAsia" w:hAnsiTheme="minorHAnsi"/>
          <w:caps w:val="0"/>
          <w:noProof/>
          <w:spacing w:val="0"/>
          <w:sz w:val="22"/>
          <w:lang w:eastAsia="en-AU"/>
        </w:rPr>
      </w:pPr>
      <w:r w:rsidRPr="005C49A4">
        <w:rPr>
          <w:b/>
          <w:noProof/>
        </w:rPr>
        <w:t>Figure 10.16</w:t>
      </w:r>
      <w:r>
        <w:rPr>
          <w:rFonts w:asciiTheme="minorHAnsi" w:eastAsiaTheme="minorEastAsia" w:hAnsiTheme="minorHAnsi"/>
          <w:caps w:val="0"/>
          <w:noProof/>
          <w:spacing w:val="0"/>
          <w:sz w:val="22"/>
          <w:lang w:eastAsia="en-AU"/>
        </w:rPr>
        <w:tab/>
      </w:r>
      <w:r w:rsidRPr="005C49A4">
        <w:rPr>
          <w:noProof/>
        </w:rPr>
        <w:t>Proportion of total HEPPP budget by source</w:t>
      </w:r>
      <w:r w:rsidR="00F3615A">
        <w:rPr>
          <w:noProof/>
        </w:rPr>
        <w:tab/>
        <w:t>137</w:t>
      </w:r>
    </w:p>
    <w:p w14:paraId="36DCD44F" w14:textId="5075C707" w:rsidR="002E3AB5" w:rsidRDefault="002E3AB5" w:rsidP="002E3AB5">
      <w:pPr>
        <w:pStyle w:val="TableofFigures"/>
        <w:tabs>
          <w:tab w:val="left" w:pos="1516"/>
        </w:tabs>
        <w:rPr>
          <w:rFonts w:asciiTheme="minorHAnsi" w:eastAsiaTheme="minorEastAsia" w:hAnsiTheme="minorHAnsi"/>
          <w:caps w:val="0"/>
          <w:noProof/>
          <w:spacing w:val="0"/>
          <w:sz w:val="22"/>
          <w:lang w:eastAsia="en-AU"/>
        </w:rPr>
      </w:pPr>
      <w:r w:rsidRPr="005C49A4">
        <w:rPr>
          <w:b/>
          <w:noProof/>
        </w:rPr>
        <w:t>Figure 10.17</w:t>
      </w:r>
      <w:r>
        <w:rPr>
          <w:rFonts w:asciiTheme="minorHAnsi" w:eastAsiaTheme="minorEastAsia" w:hAnsiTheme="minorHAnsi"/>
          <w:caps w:val="0"/>
          <w:noProof/>
          <w:spacing w:val="0"/>
          <w:sz w:val="22"/>
          <w:lang w:eastAsia="en-AU"/>
        </w:rPr>
        <w:tab/>
      </w:r>
      <w:r w:rsidRPr="005C49A4">
        <w:rPr>
          <w:noProof/>
        </w:rPr>
        <w:t>Proportion of additional HEPPP funding by source</w:t>
      </w:r>
      <w:r w:rsidR="00F3615A">
        <w:rPr>
          <w:noProof/>
        </w:rPr>
        <w:tab/>
        <w:t>138</w:t>
      </w:r>
    </w:p>
    <w:p w14:paraId="50C9AED8" w14:textId="19D2A137"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11.1</w:t>
      </w:r>
      <w:r>
        <w:rPr>
          <w:rFonts w:asciiTheme="minorHAnsi" w:eastAsiaTheme="minorEastAsia" w:hAnsiTheme="minorHAnsi"/>
          <w:caps w:val="0"/>
          <w:noProof/>
          <w:spacing w:val="0"/>
          <w:sz w:val="22"/>
          <w:lang w:eastAsia="en-AU"/>
        </w:rPr>
        <w:tab/>
      </w:r>
      <w:r w:rsidRPr="005C49A4">
        <w:rPr>
          <w:noProof/>
        </w:rPr>
        <w:t>modelling of potential HEPPP funding changes</w:t>
      </w:r>
      <w:r w:rsidR="00F3615A">
        <w:rPr>
          <w:noProof/>
        </w:rPr>
        <w:tab/>
        <w:t>150</w:t>
      </w:r>
    </w:p>
    <w:p w14:paraId="64456DA2" w14:textId="748966FE"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11.2</w:t>
      </w:r>
      <w:r>
        <w:rPr>
          <w:rFonts w:asciiTheme="minorHAnsi" w:eastAsiaTheme="minorEastAsia" w:hAnsiTheme="minorHAnsi"/>
          <w:caps w:val="0"/>
          <w:noProof/>
          <w:spacing w:val="0"/>
          <w:sz w:val="22"/>
          <w:lang w:eastAsia="en-AU"/>
        </w:rPr>
        <w:tab/>
      </w:r>
      <w:r w:rsidRPr="005C49A4">
        <w:rPr>
          <w:noProof/>
          <w:lang w:eastAsia="en-AU"/>
        </w:rPr>
        <w:t>Relationship between low SES success rate and low SES enrolment shares</w:t>
      </w:r>
      <w:r w:rsidR="00F3615A">
        <w:rPr>
          <w:noProof/>
        </w:rPr>
        <w:tab/>
        <w:t>151</w:t>
      </w:r>
    </w:p>
    <w:p w14:paraId="568BBF89" w14:textId="178F0A4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Figure 11.3</w:t>
      </w:r>
      <w:r>
        <w:rPr>
          <w:rFonts w:asciiTheme="minorHAnsi" w:eastAsiaTheme="minorEastAsia" w:hAnsiTheme="minorHAnsi"/>
          <w:caps w:val="0"/>
          <w:noProof/>
          <w:spacing w:val="0"/>
          <w:sz w:val="22"/>
          <w:lang w:eastAsia="en-AU"/>
        </w:rPr>
        <w:tab/>
      </w:r>
      <w:r w:rsidRPr="005C49A4">
        <w:rPr>
          <w:noProof/>
        </w:rPr>
        <w:t>minimum and maximum annual success rates for each university, 2006-2015</w:t>
      </w:r>
      <w:r w:rsidR="00F3615A">
        <w:rPr>
          <w:noProof/>
        </w:rPr>
        <w:tab/>
        <w:t>152</w:t>
      </w:r>
    </w:p>
    <w:p w14:paraId="4A3FC2E3" w14:textId="3DC06143" w:rsidR="002E3AB5" w:rsidRPr="0069617A" w:rsidRDefault="002E3AB5" w:rsidP="002E3AB5">
      <w:pPr>
        <w:pStyle w:val="TableofFigures"/>
        <w:rPr>
          <w:rFonts w:asciiTheme="minorHAnsi" w:eastAsiaTheme="minorEastAsia" w:hAnsiTheme="minorHAnsi"/>
          <w:caps w:val="0"/>
          <w:noProof/>
          <w:spacing w:val="0"/>
          <w:sz w:val="22"/>
          <w:lang w:eastAsia="en-AU"/>
        </w:rPr>
      </w:pPr>
      <w:r w:rsidRPr="0069617A">
        <w:rPr>
          <w:b/>
          <w:noProof/>
        </w:rPr>
        <w:t>Figure B.1</w:t>
      </w:r>
      <w:r w:rsidRPr="0069617A">
        <w:rPr>
          <w:rFonts w:asciiTheme="minorHAnsi" w:eastAsiaTheme="minorEastAsia" w:hAnsiTheme="minorHAnsi"/>
          <w:caps w:val="0"/>
          <w:noProof/>
          <w:spacing w:val="0"/>
          <w:sz w:val="22"/>
          <w:lang w:eastAsia="en-AU"/>
        </w:rPr>
        <w:tab/>
      </w:r>
      <w:r w:rsidRPr="0069617A">
        <w:rPr>
          <w:noProof/>
        </w:rPr>
        <w:t>Percentage of 25-64 year olds with tertiary education, by education level, 2015</w:t>
      </w:r>
      <w:r w:rsidRPr="0069617A">
        <w:rPr>
          <w:noProof/>
        </w:rPr>
        <w:tab/>
      </w:r>
      <w:r w:rsidR="0050114B" w:rsidRPr="0069617A">
        <w:rPr>
          <w:noProof/>
        </w:rPr>
        <w:t>B–1</w:t>
      </w:r>
    </w:p>
    <w:p w14:paraId="0B244952" w14:textId="5A8197A3" w:rsidR="002E3AB5" w:rsidRDefault="002E3AB5" w:rsidP="002E3AB5">
      <w:pPr>
        <w:pStyle w:val="TableofFigures"/>
        <w:rPr>
          <w:rFonts w:asciiTheme="minorHAnsi" w:eastAsiaTheme="minorEastAsia" w:hAnsiTheme="minorHAnsi"/>
          <w:caps w:val="0"/>
          <w:noProof/>
          <w:spacing w:val="0"/>
          <w:sz w:val="22"/>
          <w:lang w:eastAsia="en-AU"/>
        </w:rPr>
      </w:pPr>
      <w:r w:rsidRPr="0069617A">
        <w:rPr>
          <w:b/>
          <w:noProof/>
        </w:rPr>
        <w:t>Figure B.2</w:t>
      </w:r>
      <w:r w:rsidRPr="0069617A">
        <w:rPr>
          <w:rFonts w:asciiTheme="minorHAnsi" w:eastAsiaTheme="minorEastAsia" w:hAnsiTheme="minorHAnsi"/>
          <w:caps w:val="0"/>
          <w:noProof/>
          <w:spacing w:val="0"/>
          <w:sz w:val="22"/>
          <w:lang w:eastAsia="en-AU"/>
        </w:rPr>
        <w:tab/>
      </w:r>
      <w:r w:rsidRPr="0069617A">
        <w:rPr>
          <w:noProof/>
        </w:rPr>
        <w:t>Total HEFCE Student Opportunity Funding, 2013-2017</w:t>
      </w:r>
      <w:r w:rsidRPr="0069617A">
        <w:rPr>
          <w:noProof/>
        </w:rPr>
        <w:tab/>
        <w:t>B–</w:t>
      </w:r>
      <w:r w:rsidR="0050114B" w:rsidRPr="0069617A">
        <w:rPr>
          <w:noProof/>
        </w:rPr>
        <w:t>5</w:t>
      </w:r>
    </w:p>
    <w:p w14:paraId="1C96F404" w14:textId="718BBD6C" w:rsidR="003D3445" w:rsidRDefault="002E3AB5" w:rsidP="003D3445">
      <w:pPr>
        <w:pStyle w:val="TableofFigures"/>
        <w:rPr>
          <w:noProof/>
        </w:rPr>
      </w:pPr>
      <w:r w:rsidRPr="005C49A4">
        <w:rPr>
          <w:b/>
          <w:noProof/>
        </w:rPr>
        <w:t>Figure D.1</w:t>
      </w:r>
      <w:r>
        <w:rPr>
          <w:rFonts w:asciiTheme="minorHAnsi" w:eastAsiaTheme="minorEastAsia" w:hAnsiTheme="minorHAnsi"/>
          <w:caps w:val="0"/>
          <w:noProof/>
          <w:spacing w:val="0"/>
          <w:sz w:val="22"/>
          <w:lang w:eastAsia="en-AU"/>
        </w:rPr>
        <w:tab/>
      </w:r>
      <w:r w:rsidR="003D3445" w:rsidRPr="003D3445">
        <w:rPr>
          <w:noProof/>
        </w:rPr>
        <w:t>Proportion of Outreach to schools and communities projects by priority target groups, by metropolitan and regional (average of 2010-2015)</w:t>
      </w:r>
      <w:r>
        <w:rPr>
          <w:noProof/>
        </w:rPr>
        <w:tab/>
        <w:t>D–1</w:t>
      </w:r>
    </w:p>
    <w:p w14:paraId="5D9B9F7A" w14:textId="610AB879" w:rsidR="003D3445" w:rsidRDefault="003D3445" w:rsidP="003D3445">
      <w:pPr>
        <w:pStyle w:val="TableofFigures"/>
        <w:rPr>
          <w:rFonts w:asciiTheme="minorHAnsi" w:eastAsiaTheme="minorEastAsia" w:hAnsiTheme="minorHAnsi"/>
          <w:caps w:val="0"/>
          <w:noProof/>
          <w:spacing w:val="0"/>
          <w:sz w:val="22"/>
          <w:lang w:eastAsia="en-AU"/>
        </w:rPr>
      </w:pPr>
      <w:r w:rsidRPr="005C49A4">
        <w:rPr>
          <w:b/>
          <w:noProof/>
        </w:rPr>
        <w:t>Figure </w:t>
      </w:r>
      <w:r>
        <w:rPr>
          <w:b/>
          <w:noProof/>
        </w:rPr>
        <w:t>D</w:t>
      </w:r>
      <w:r w:rsidRPr="005C49A4">
        <w:rPr>
          <w:b/>
          <w:noProof/>
        </w:rPr>
        <w:t>.2</w:t>
      </w:r>
      <w:r>
        <w:rPr>
          <w:rFonts w:asciiTheme="minorHAnsi" w:eastAsiaTheme="minorEastAsia" w:hAnsiTheme="minorHAnsi"/>
          <w:caps w:val="0"/>
          <w:noProof/>
          <w:spacing w:val="0"/>
          <w:sz w:val="22"/>
          <w:lang w:eastAsia="en-AU"/>
        </w:rPr>
        <w:tab/>
      </w:r>
      <w:r w:rsidRPr="003D3445">
        <w:rPr>
          <w:noProof/>
        </w:rPr>
        <w:t>Proportion of Pathways and Admissions projects by priority target groups, by metropolitan and regional (average of 2010-2015)</w:t>
      </w:r>
      <w:r>
        <w:rPr>
          <w:noProof/>
        </w:rPr>
        <w:tab/>
        <w:t>d–2</w:t>
      </w:r>
    </w:p>
    <w:p w14:paraId="3641F80B" w14:textId="0B55C407" w:rsidR="003D3445" w:rsidRDefault="003D3445" w:rsidP="003D3445">
      <w:pPr>
        <w:pStyle w:val="TableofFigures"/>
        <w:rPr>
          <w:noProof/>
        </w:rPr>
      </w:pPr>
      <w:r w:rsidRPr="005C49A4">
        <w:rPr>
          <w:b/>
          <w:noProof/>
        </w:rPr>
        <w:t>Figure D.</w:t>
      </w:r>
      <w:r>
        <w:rPr>
          <w:b/>
          <w:noProof/>
        </w:rPr>
        <w:t>3</w:t>
      </w:r>
      <w:r>
        <w:rPr>
          <w:rFonts w:asciiTheme="minorHAnsi" w:eastAsiaTheme="minorEastAsia" w:hAnsiTheme="minorHAnsi"/>
          <w:caps w:val="0"/>
          <w:noProof/>
          <w:spacing w:val="0"/>
          <w:sz w:val="22"/>
          <w:lang w:eastAsia="en-AU"/>
        </w:rPr>
        <w:tab/>
      </w:r>
      <w:r w:rsidRPr="003D3445">
        <w:rPr>
          <w:noProof/>
        </w:rPr>
        <w:t>Proportion of Transition, Engagement and Progression projects by priority target groups, by metropolitan and regional (Average of 2010-2015)</w:t>
      </w:r>
      <w:r>
        <w:rPr>
          <w:noProof/>
        </w:rPr>
        <w:tab/>
        <w:t>D–2</w:t>
      </w:r>
    </w:p>
    <w:p w14:paraId="47DBC035" w14:textId="68493B11" w:rsidR="003D3445" w:rsidRDefault="003D3445" w:rsidP="003D3445">
      <w:pPr>
        <w:pStyle w:val="TableofFigures"/>
        <w:rPr>
          <w:rFonts w:asciiTheme="minorHAnsi" w:eastAsiaTheme="minorEastAsia" w:hAnsiTheme="minorHAnsi"/>
          <w:caps w:val="0"/>
          <w:noProof/>
          <w:spacing w:val="0"/>
          <w:sz w:val="22"/>
          <w:lang w:eastAsia="en-AU"/>
        </w:rPr>
      </w:pPr>
      <w:r w:rsidRPr="005C49A4">
        <w:rPr>
          <w:b/>
          <w:noProof/>
        </w:rPr>
        <w:t>Figure </w:t>
      </w:r>
      <w:r>
        <w:rPr>
          <w:b/>
          <w:noProof/>
        </w:rPr>
        <w:t>D</w:t>
      </w:r>
      <w:r w:rsidRPr="005C49A4">
        <w:rPr>
          <w:b/>
          <w:noProof/>
        </w:rPr>
        <w:t>.</w:t>
      </w:r>
      <w:r>
        <w:rPr>
          <w:b/>
          <w:noProof/>
        </w:rPr>
        <w:t>4</w:t>
      </w:r>
      <w:r>
        <w:rPr>
          <w:rFonts w:asciiTheme="minorHAnsi" w:eastAsiaTheme="minorEastAsia" w:hAnsiTheme="minorHAnsi"/>
          <w:caps w:val="0"/>
          <w:noProof/>
          <w:spacing w:val="0"/>
          <w:sz w:val="22"/>
          <w:lang w:eastAsia="en-AU"/>
        </w:rPr>
        <w:tab/>
      </w:r>
      <w:r w:rsidRPr="003D3445">
        <w:rPr>
          <w:noProof/>
        </w:rPr>
        <w:t>Proportion of Attainment and Transition out projects by priority target groups, by metropolitan and regional (Average of 2010-2015)</w:t>
      </w:r>
      <w:r>
        <w:rPr>
          <w:noProof/>
        </w:rPr>
        <w:tab/>
        <w:t>d–3</w:t>
      </w:r>
    </w:p>
    <w:p w14:paraId="546984A6" w14:textId="1E734DA9" w:rsidR="003D3445" w:rsidRPr="003D3445" w:rsidRDefault="003D3445" w:rsidP="003D3445">
      <w:pPr>
        <w:pStyle w:val="TableofFigures"/>
        <w:rPr>
          <w:noProof/>
        </w:rPr>
      </w:pPr>
      <w:r w:rsidRPr="005C49A4">
        <w:rPr>
          <w:b/>
          <w:noProof/>
        </w:rPr>
        <w:t>Figure D.</w:t>
      </w:r>
      <w:r>
        <w:rPr>
          <w:b/>
          <w:noProof/>
        </w:rPr>
        <w:t>5</w:t>
      </w:r>
      <w:r>
        <w:rPr>
          <w:rFonts w:asciiTheme="minorHAnsi" w:eastAsiaTheme="minorEastAsia" w:hAnsiTheme="minorHAnsi"/>
          <w:caps w:val="0"/>
          <w:noProof/>
          <w:spacing w:val="0"/>
          <w:sz w:val="22"/>
          <w:lang w:eastAsia="en-AU"/>
        </w:rPr>
        <w:tab/>
      </w:r>
      <w:r w:rsidRPr="003D3445">
        <w:rPr>
          <w:noProof/>
        </w:rPr>
        <w:t>Proportion of Outreach to Schools and Communities projects by priority target groups, by university grouping (Average of 2010-2015)</w:t>
      </w:r>
      <w:r>
        <w:rPr>
          <w:noProof/>
        </w:rPr>
        <w:tab/>
        <w:t>D–3</w:t>
      </w:r>
    </w:p>
    <w:p w14:paraId="6F12B483" w14:textId="62B09ECA" w:rsidR="003D3445" w:rsidRDefault="003D3445" w:rsidP="003D3445">
      <w:pPr>
        <w:pStyle w:val="TableofFigures"/>
        <w:rPr>
          <w:rFonts w:asciiTheme="minorHAnsi" w:eastAsiaTheme="minorEastAsia" w:hAnsiTheme="minorHAnsi"/>
          <w:caps w:val="0"/>
          <w:noProof/>
          <w:spacing w:val="0"/>
          <w:sz w:val="22"/>
          <w:lang w:eastAsia="en-AU"/>
        </w:rPr>
      </w:pPr>
      <w:r w:rsidRPr="005C49A4">
        <w:rPr>
          <w:b/>
          <w:noProof/>
        </w:rPr>
        <w:t>Figure </w:t>
      </w:r>
      <w:r>
        <w:rPr>
          <w:b/>
          <w:noProof/>
        </w:rPr>
        <w:t>D</w:t>
      </w:r>
      <w:r w:rsidRPr="005C49A4">
        <w:rPr>
          <w:b/>
          <w:noProof/>
        </w:rPr>
        <w:t>.</w:t>
      </w:r>
      <w:r>
        <w:rPr>
          <w:b/>
          <w:noProof/>
        </w:rPr>
        <w:t>6</w:t>
      </w:r>
      <w:r>
        <w:rPr>
          <w:rFonts w:asciiTheme="minorHAnsi" w:eastAsiaTheme="minorEastAsia" w:hAnsiTheme="minorHAnsi"/>
          <w:caps w:val="0"/>
          <w:noProof/>
          <w:spacing w:val="0"/>
          <w:sz w:val="22"/>
          <w:lang w:eastAsia="en-AU"/>
        </w:rPr>
        <w:tab/>
      </w:r>
      <w:r>
        <w:t>Proportion of Pathways and admissions projects by priority target groups, by university grouping (Average of 2010-2015)</w:t>
      </w:r>
      <w:r>
        <w:rPr>
          <w:noProof/>
        </w:rPr>
        <w:tab/>
        <w:t>d–4</w:t>
      </w:r>
    </w:p>
    <w:p w14:paraId="3BA3E81F" w14:textId="5AA83D58" w:rsidR="003D3445" w:rsidRPr="003D3445" w:rsidRDefault="003D3445" w:rsidP="003D3445">
      <w:pPr>
        <w:pStyle w:val="TableofFigures"/>
        <w:rPr>
          <w:noProof/>
        </w:rPr>
      </w:pPr>
      <w:r w:rsidRPr="005C49A4">
        <w:rPr>
          <w:b/>
          <w:noProof/>
        </w:rPr>
        <w:t>Figure D.</w:t>
      </w:r>
      <w:r>
        <w:rPr>
          <w:b/>
          <w:noProof/>
        </w:rPr>
        <w:t>7</w:t>
      </w:r>
      <w:r>
        <w:rPr>
          <w:rFonts w:asciiTheme="minorHAnsi" w:eastAsiaTheme="minorEastAsia" w:hAnsiTheme="minorHAnsi"/>
          <w:caps w:val="0"/>
          <w:noProof/>
          <w:spacing w:val="0"/>
          <w:sz w:val="22"/>
          <w:lang w:eastAsia="en-AU"/>
        </w:rPr>
        <w:tab/>
      </w:r>
      <w:r>
        <w:t>Proportion of Transition, engagement and progression projects by priority target groups, by university grouping (Average of 2010-2015)</w:t>
      </w:r>
      <w:r>
        <w:rPr>
          <w:noProof/>
        </w:rPr>
        <w:tab/>
        <w:t>D–4</w:t>
      </w:r>
    </w:p>
    <w:p w14:paraId="76700B6D" w14:textId="628D2916" w:rsidR="003D3445" w:rsidRPr="003D3445" w:rsidRDefault="003D3445" w:rsidP="003D3445">
      <w:pPr>
        <w:pStyle w:val="TableofFigures"/>
        <w:rPr>
          <w:noProof/>
        </w:rPr>
      </w:pPr>
      <w:r w:rsidRPr="005C49A4">
        <w:rPr>
          <w:b/>
          <w:noProof/>
        </w:rPr>
        <w:t>Figure D.</w:t>
      </w:r>
      <w:r>
        <w:rPr>
          <w:b/>
          <w:noProof/>
        </w:rPr>
        <w:t>8</w:t>
      </w:r>
      <w:r>
        <w:rPr>
          <w:rFonts w:asciiTheme="minorHAnsi" w:eastAsiaTheme="minorEastAsia" w:hAnsiTheme="minorHAnsi"/>
          <w:caps w:val="0"/>
          <w:noProof/>
          <w:spacing w:val="0"/>
          <w:sz w:val="22"/>
          <w:lang w:eastAsia="en-AU"/>
        </w:rPr>
        <w:tab/>
      </w:r>
      <w:r>
        <w:t>Proportion of Attainment and transition out projects by priority target groups, by university grouping (Average of 2010-2015)</w:t>
      </w:r>
      <w:r>
        <w:rPr>
          <w:noProof/>
        </w:rPr>
        <w:tab/>
        <w:t>D–5</w:t>
      </w:r>
    </w:p>
    <w:p w14:paraId="2BBEBDFC" w14:textId="77777777" w:rsidR="002E3AB5" w:rsidRPr="001A2F85" w:rsidRDefault="002E3AB5" w:rsidP="002E3AB5">
      <w:pPr>
        <w:pStyle w:val="TOCGeneral"/>
      </w:pPr>
    </w:p>
    <w:p w14:paraId="4F8B3C92" w14:textId="77777777" w:rsidR="002E3AB5" w:rsidRPr="001A2F85" w:rsidRDefault="002E3AB5" w:rsidP="002E3AB5">
      <w:pPr>
        <w:pStyle w:val="TOC7"/>
      </w:pPr>
      <w:r w:rsidRPr="001A2F85">
        <w:t>Tables</w:t>
      </w:r>
    </w:p>
    <w:p w14:paraId="2B9F8694" w14:textId="1B90FB37" w:rsidR="002E3AB5" w:rsidRDefault="002E3AB5" w:rsidP="002E3AB5">
      <w:pPr>
        <w:pStyle w:val="TableofFigures"/>
        <w:tabs>
          <w:tab w:val="left" w:pos="1450"/>
        </w:tabs>
        <w:rPr>
          <w:rFonts w:asciiTheme="minorHAnsi" w:eastAsiaTheme="minorEastAsia" w:hAnsiTheme="minorHAnsi"/>
          <w:caps w:val="0"/>
          <w:noProof/>
          <w:spacing w:val="0"/>
          <w:sz w:val="22"/>
          <w:lang w:eastAsia="en-AU"/>
        </w:rPr>
      </w:pPr>
      <w:r w:rsidRPr="005C49A4">
        <w:rPr>
          <w:b/>
          <w:noProof/>
        </w:rPr>
        <w:t>Table ES 1</w:t>
      </w:r>
      <w:r>
        <w:rPr>
          <w:rFonts w:asciiTheme="minorHAnsi" w:eastAsiaTheme="minorEastAsia" w:hAnsiTheme="minorHAnsi"/>
          <w:caps w:val="0"/>
          <w:noProof/>
          <w:spacing w:val="0"/>
          <w:sz w:val="22"/>
          <w:lang w:eastAsia="en-AU"/>
        </w:rPr>
        <w:tab/>
      </w:r>
      <w:r w:rsidRPr="005C49A4">
        <w:rPr>
          <w:noProof/>
        </w:rPr>
        <w:t>Terms of REFERENCE and relevant report sections</w:t>
      </w:r>
      <w:r>
        <w:rPr>
          <w:noProof/>
        </w:rPr>
        <w:tab/>
        <w:t>x</w:t>
      </w:r>
      <w:r w:rsidR="000B0B11">
        <w:rPr>
          <w:noProof/>
        </w:rPr>
        <w:t>x</w:t>
      </w:r>
      <w:r>
        <w:rPr>
          <w:noProof/>
        </w:rPr>
        <w:t>i</w:t>
      </w:r>
      <w:r w:rsidR="000B0B11">
        <w:rPr>
          <w:noProof/>
        </w:rPr>
        <w:t>v</w:t>
      </w:r>
    </w:p>
    <w:p w14:paraId="21FAB7EE" w14:textId="3CEBEBC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1.1</w:t>
      </w:r>
      <w:r>
        <w:rPr>
          <w:rFonts w:asciiTheme="minorHAnsi" w:eastAsiaTheme="minorEastAsia" w:hAnsiTheme="minorHAnsi"/>
          <w:caps w:val="0"/>
          <w:noProof/>
          <w:spacing w:val="0"/>
          <w:sz w:val="22"/>
          <w:lang w:eastAsia="en-AU"/>
        </w:rPr>
        <w:tab/>
      </w:r>
      <w:r w:rsidRPr="005C49A4">
        <w:rPr>
          <w:noProof/>
        </w:rPr>
        <w:t>Heppp activities mapped to the EIF Student Life Cycle stages and HEPPP components</w:t>
      </w:r>
      <w:r>
        <w:rPr>
          <w:noProof/>
        </w:rPr>
        <w:tab/>
      </w:r>
      <w:r w:rsidR="009254F1">
        <w:rPr>
          <w:noProof/>
        </w:rPr>
        <w:t>9</w:t>
      </w:r>
    </w:p>
    <w:p w14:paraId="2A6EE8F9" w14:textId="20F4C05A"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1.2</w:t>
      </w:r>
      <w:r>
        <w:rPr>
          <w:rFonts w:asciiTheme="minorHAnsi" w:eastAsiaTheme="minorEastAsia" w:hAnsiTheme="minorHAnsi"/>
          <w:caps w:val="0"/>
          <w:noProof/>
          <w:spacing w:val="0"/>
          <w:sz w:val="22"/>
          <w:lang w:eastAsia="en-AU"/>
        </w:rPr>
        <w:tab/>
      </w:r>
      <w:r w:rsidRPr="005C49A4">
        <w:rPr>
          <w:noProof/>
        </w:rPr>
        <w:t>project inventory fields</w:t>
      </w:r>
      <w:r>
        <w:rPr>
          <w:noProof/>
        </w:rPr>
        <w:tab/>
      </w:r>
      <w:r w:rsidR="00313A17">
        <w:rPr>
          <w:noProof/>
        </w:rPr>
        <w:t>11</w:t>
      </w:r>
    </w:p>
    <w:p w14:paraId="7BEC652E" w14:textId="345CBF64"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2.1</w:t>
      </w:r>
      <w:r>
        <w:rPr>
          <w:rFonts w:asciiTheme="minorHAnsi" w:eastAsiaTheme="minorEastAsia" w:hAnsiTheme="minorHAnsi"/>
          <w:caps w:val="0"/>
          <w:noProof/>
          <w:spacing w:val="0"/>
          <w:sz w:val="22"/>
          <w:lang w:eastAsia="en-AU"/>
        </w:rPr>
        <w:tab/>
      </w:r>
      <w:r w:rsidRPr="005C49A4">
        <w:rPr>
          <w:noProof/>
        </w:rPr>
        <w:t>Additional higher education support, 2016</w:t>
      </w:r>
      <w:r>
        <w:rPr>
          <w:noProof/>
        </w:rPr>
        <w:tab/>
      </w:r>
      <w:r w:rsidR="00313A17">
        <w:rPr>
          <w:noProof/>
        </w:rPr>
        <w:t>20</w:t>
      </w:r>
    </w:p>
    <w:p w14:paraId="36F295EA" w14:textId="7B259BC8"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3.1</w:t>
      </w:r>
      <w:r>
        <w:rPr>
          <w:rFonts w:asciiTheme="minorHAnsi" w:eastAsiaTheme="minorEastAsia" w:hAnsiTheme="minorHAnsi"/>
          <w:caps w:val="0"/>
          <w:noProof/>
          <w:spacing w:val="0"/>
          <w:sz w:val="22"/>
          <w:lang w:eastAsia="en-AU"/>
        </w:rPr>
        <w:tab/>
      </w:r>
      <w:r w:rsidRPr="005C49A4">
        <w:rPr>
          <w:noProof/>
        </w:rPr>
        <w:t>university groupings and REGIONAL universities</w:t>
      </w:r>
      <w:r>
        <w:rPr>
          <w:noProof/>
        </w:rPr>
        <w:tab/>
      </w:r>
      <w:r w:rsidR="00005BEC">
        <w:rPr>
          <w:noProof/>
        </w:rPr>
        <w:t>33</w:t>
      </w:r>
    </w:p>
    <w:p w14:paraId="136E03C2" w14:textId="761CD678"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3.2</w:t>
      </w:r>
      <w:r>
        <w:rPr>
          <w:rFonts w:asciiTheme="minorHAnsi" w:eastAsiaTheme="minorEastAsia" w:hAnsiTheme="minorHAnsi"/>
          <w:caps w:val="0"/>
          <w:noProof/>
          <w:spacing w:val="0"/>
          <w:sz w:val="22"/>
          <w:lang w:eastAsia="en-AU"/>
        </w:rPr>
        <w:tab/>
      </w:r>
      <w:r w:rsidRPr="005C49A4">
        <w:rPr>
          <w:noProof/>
        </w:rPr>
        <w:t>HEPPP projects by activity type</w:t>
      </w:r>
      <w:r>
        <w:rPr>
          <w:noProof/>
        </w:rPr>
        <w:tab/>
      </w:r>
      <w:r w:rsidR="00005BEC">
        <w:rPr>
          <w:noProof/>
        </w:rPr>
        <w:t>36</w:t>
      </w:r>
    </w:p>
    <w:p w14:paraId="7E92E378" w14:textId="3B5146E6"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4.1</w:t>
      </w:r>
      <w:r>
        <w:rPr>
          <w:rFonts w:asciiTheme="minorHAnsi" w:eastAsiaTheme="minorEastAsia" w:hAnsiTheme="minorHAnsi"/>
          <w:caps w:val="0"/>
          <w:noProof/>
          <w:spacing w:val="0"/>
          <w:sz w:val="22"/>
          <w:lang w:eastAsia="en-AU"/>
        </w:rPr>
        <w:tab/>
      </w:r>
      <w:r w:rsidRPr="005C49A4">
        <w:rPr>
          <w:noProof/>
        </w:rPr>
        <w:t>Proportion of schools involved in HEPPP outreach activities, 2010-2016</w:t>
      </w:r>
      <w:r w:rsidR="00005BEC">
        <w:rPr>
          <w:noProof/>
        </w:rPr>
        <w:tab/>
        <w:t>48</w:t>
      </w:r>
    </w:p>
    <w:p w14:paraId="642D630F" w14:textId="44537934" w:rsidR="002E3AB5" w:rsidRDefault="002E3AB5" w:rsidP="002E3AB5">
      <w:pPr>
        <w:pStyle w:val="TableofFigures"/>
        <w:rPr>
          <w:rFonts w:asciiTheme="minorHAnsi" w:eastAsiaTheme="minorEastAsia" w:hAnsiTheme="minorHAnsi"/>
          <w:caps w:val="0"/>
          <w:noProof/>
          <w:spacing w:val="0"/>
          <w:sz w:val="22"/>
          <w:lang w:eastAsia="en-AU"/>
        </w:rPr>
      </w:pPr>
      <w:r w:rsidRPr="0069617A">
        <w:rPr>
          <w:b/>
          <w:noProof/>
        </w:rPr>
        <w:t>Table 6.</w:t>
      </w:r>
      <w:r w:rsidR="0069617A">
        <w:rPr>
          <w:b/>
          <w:noProof/>
        </w:rPr>
        <w:t>1</w:t>
      </w:r>
      <w:r w:rsidRPr="0069617A">
        <w:rPr>
          <w:rFonts w:asciiTheme="minorHAnsi" w:eastAsiaTheme="minorEastAsia" w:hAnsiTheme="minorHAnsi"/>
          <w:caps w:val="0"/>
          <w:noProof/>
          <w:spacing w:val="0"/>
          <w:sz w:val="22"/>
          <w:lang w:eastAsia="en-AU"/>
        </w:rPr>
        <w:tab/>
      </w:r>
      <w:r w:rsidR="0069617A" w:rsidRPr="0069617A">
        <w:t>DIFFERENCES IN RETENTION RATE for students with and without scholarships, BY EQUITY GROUP, BY UNIVERSITY, 2013</w:t>
      </w:r>
      <w:r w:rsidRPr="0069617A">
        <w:rPr>
          <w:noProof/>
        </w:rPr>
        <w:tab/>
      </w:r>
      <w:r w:rsidR="00005BEC" w:rsidRPr="0069617A">
        <w:rPr>
          <w:noProof/>
        </w:rPr>
        <w:t>8</w:t>
      </w:r>
      <w:r w:rsidR="0069617A">
        <w:rPr>
          <w:noProof/>
        </w:rPr>
        <w:t>5</w:t>
      </w:r>
    </w:p>
    <w:p w14:paraId="3C3E2904" w14:textId="3E0D08E6" w:rsidR="002E3AB5" w:rsidRDefault="002E3AB5" w:rsidP="002E3AB5">
      <w:pPr>
        <w:pStyle w:val="TableofFigures"/>
        <w:rPr>
          <w:rFonts w:asciiTheme="minorHAnsi" w:eastAsiaTheme="minorEastAsia" w:hAnsiTheme="minorHAnsi"/>
          <w:caps w:val="0"/>
          <w:noProof/>
          <w:spacing w:val="0"/>
          <w:sz w:val="22"/>
          <w:lang w:eastAsia="en-AU"/>
        </w:rPr>
      </w:pPr>
      <w:r w:rsidRPr="0069617A">
        <w:rPr>
          <w:b/>
          <w:noProof/>
        </w:rPr>
        <w:t>Table 6.</w:t>
      </w:r>
      <w:r w:rsidR="0069617A" w:rsidRPr="0069617A">
        <w:rPr>
          <w:b/>
          <w:noProof/>
        </w:rPr>
        <w:t>2</w:t>
      </w:r>
      <w:r w:rsidRPr="0069617A">
        <w:rPr>
          <w:rFonts w:asciiTheme="minorHAnsi" w:eastAsiaTheme="minorEastAsia" w:hAnsiTheme="minorHAnsi"/>
          <w:caps w:val="0"/>
          <w:noProof/>
          <w:spacing w:val="0"/>
          <w:sz w:val="22"/>
          <w:lang w:eastAsia="en-AU"/>
        </w:rPr>
        <w:tab/>
      </w:r>
      <w:r w:rsidR="0069617A" w:rsidRPr="0069617A">
        <w:t>DIFFERENCES IN success RATE for students with and without scholarships, BY EQUITY GROUP, BY UNIVERSITY, 2013</w:t>
      </w:r>
      <w:r w:rsidRPr="0069617A">
        <w:rPr>
          <w:noProof/>
        </w:rPr>
        <w:tab/>
      </w:r>
      <w:r w:rsidR="0069617A" w:rsidRPr="0069617A">
        <w:rPr>
          <w:noProof/>
        </w:rPr>
        <w:t>86</w:t>
      </w:r>
    </w:p>
    <w:p w14:paraId="37B84DE1" w14:textId="23673805"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8.1</w:t>
      </w:r>
      <w:r>
        <w:rPr>
          <w:rFonts w:asciiTheme="minorHAnsi" w:eastAsiaTheme="minorEastAsia" w:hAnsiTheme="minorHAnsi"/>
          <w:caps w:val="0"/>
          <w:noProof/>
          <w:spacing w:val="0"/>
          <w:sz w:val="22"/>
          <w:lang w:eastAsia="en-AU"/>
        </w:rPr>
        <w:tab/>
      </w:r>
      <w:r w:rsidRPr="005C49A4">
        <w:rPr>
          <w:noProof/>
        </w:rPr>
        <w:t xml:space="preserve"> NPP application data for university proposed projects, 2014 and 2015</w:t>
      </w:r>
      <w:r>
        <w:rPr>
          <w:noProof/>
        </w:rPr>
        <w:tab/>
      </w:r>
      <w:r w:rsidR="00005BEC">
        <w:rPr>
          <w:noProof/>
        </w:rPr>
        <w:t>96</w:t>
      </w:r>
    </w:p>
    <w:p w14:paraId="349078E5" w14:textId="1A651A55"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8.2</w:t>
      </w:r>
      <w:r>
        <w:rPr>
          <w:rFonts w:asciiTheme="minorHAnsi" w:eastAsiaTheme="minorEastAsia" w:hAnsiTheme="minorHAnsi"/>
          <w:caps w:val="0"/>
          <w:noProof/>
          <w:spacing w:val="0"/>
          <w:sz w:val="22"/>
          <w:lang w:eastAsia="en-AU"/>
        </w:rPr>
        <w:tab/>
      </w:r>
      <w:r w:rsidR="00005BEC">
        <w:rPr>
          <w:noProof/>
        </w:rPr>
        <w:t>overview of npp projects in 2014, 2015</w:t>
      </w:r>
      <w:r>
        <w:rPr>
          <w:noProof/>
        </w:rPr>
        <w:tab/>
      </w:r>
      <w:r w:rsidR="00005BEC">
        <w:rPr>
          <w:noProof/>
        </w:rPr>
        <w:t>97</w:t>
      </w:r>
    </w:p>
    <w:p w14:paraId="257ABFF6" w14:textId="7EF9A431"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8.3</w:t>
      </w:r>
      <w:r>
        <w:rPr>
          <w:rFonts w:asciiTheme="minorHAnsi" w:eastAsiaTheme="minorEastAsia" w:hAnsiTheme="minorHAnsi"/>
          <w:caps w:val="0"/>
          <w:noProof/>
          <w:spacing w:val="0"/>
          <w:sz w:val="22"/>
          <w:lang w:eastAsia="en-AU"/>
        </w:rPr>
        <w:tab/>
      </w:r>
      <w:r w:rsidR="00005BEC">
        <w:rPr>
          <w:noProof/>
        </w:rPr>
        <w:t>npp trial projects and it-based solutions projects</w:t>
      </w:r>
      <w:r>
        <w:rPr>
          <w:noProof/>
        </w:rPr>
        <w:tab/>
      </w:r>
      <w:r w:rsidR="00005BEC">
        <w:rPr>
          <w:noProof/>
        </w:rPr>
        <w:t>103</w:t>
      </w:r>
    </w:p>
    <w:p w14:paraId="712300E1" w14:textId="5237577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8.4</w:t>
      </w:r>
      <w:r>
        <w:rPr>
          <w:rFonts w:asciiTheme="minorHAnsi" w:eastAsiaTheme="minorEastAsia" w:hAnsiTheme="minorHAnsi"/>
          <w:caps w:val="0"/>
          <w:noProof/>
          <w:spacing w:val="0"/>
          <w:sz w:val="22"/>
          <w:lang w:eastAsia="en-AU"/>
        </w:rPr>
        <w:tab/>
      </w:r>
      <w:r w:rsidR="0069617A" w:rsidRPr="0069617A">
        <w:rPr>
          <w:noProof/>
        </w:rPr>
        <w:t>Knowledge-sharing through NPP projects</w:t>
      </w:r>
      <w:r>
        <w:rPr>
          <w:noProof/>
        </w:rPr>
        <w:tab/>
      </w:r>
      <w:r w:rsidR="00005BEC">
        <w:rPr>
          <w:noProof/>
        </w:rPr>
        <w:t>105</w:t>
      </w:r>
    </w:p>
    <w:p w14:paraId="364BAC3F" w14:textId="2E73DA2B"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9.1</w:t>
      </w:r>
      <w:r>
        <w:rPr>
          <w:rFonts w:asciiTheme="minorHAnsi" w:eastAsiaTheme="minorEastAsia" w:hAnsiTheme="minorHAnsi"/>
          <w:caps w:val="0"/>
          <w:noProof/>
          <w:spacing w:val="0"/>
          <w:sz w:val="22"/>
          <w:lang w:eastAsia="en-AU"/>
        </w:rPr>
        <w:tab/>
      </w:r>
      <w:r w:rsidRPr="005C49A4">
        <w:rPr>
          <w:noProof/>
        </w:rPr>
        <w:t>ECONOMETRICS analysis RESULTS: retention and success rates by SES groups</w:t>
      </w:r>
      <w:r>
        <w:rPr>
          <w:noProof/>
        </w:rPr>
        <w:tab/>
      </w:r>
      <w:r w:rsidR="00005BEC">
        <w:rPr>
          <w:noProof/>
        </w:rPr>
        <w:t>122</w:t>
      </w:r>
    </w:p>
    <w:p w14:paraId="101BCDB3" w14:textId="709BAED6"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9.2</w:t>
      </w:r>
      <w:r>
        <w:rPr>
          <w:rFonts w:asciiTheme="minorHAnsi" w:eastAsiaTheme="minorEastAsia" w:hAnsiTheme="minorHAnsi"/>
          <w:caps w:val="0"/>
          <w:noProof/>
          <w:spacing w:val="0"/>
          <w:sz w:val="22"/>
          <w:lang w:eastAsia="en-AU"/>
        </w:rPr>
        <w:tab/>
      </w:r>
      <w:r w:rsidRPr="005C49A4">
        <w:rPr>
          <w:noProof/>
        </w:rPr>
        <w:t>ECONOMETRICS analysis RESULTS: difference in retention and success rates by SES groups</w:t>
      </w:r>
      <w:r>
        <w:rPr>
          <w:noProof/>
        </w:rPr>
        <w:tab/>
      </w:r>
      <w:r w:rsidR="00005BEC">
        <w:rPr>
          <w:noProof/>
        </w:rPr>
        <w:t>123</w:t>
      </w:r>
    </w:p>
    <w:p w14:paraId="15AEF338" w14:textId="6956A424"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10.1</w:t>
      </w:r>
      <w:r>
        <w:rPr>
          <w:rFonts w:asciiTheme="minorHAnsi" w:eastAsiaTheme="minorEastAsia" w:hAnsiTheme="minorHAnsi"/>
          <w:caps w:val="0"/>
          <w:noProof/>
          <w:spacing w:val="0"/>
          <w:sz w:val="22"/>
          <w:lang w:eastAsia="en-AU"/>
        </w:rPr>
        <w:tab/>
      </w:r>
      <w:r w:rsidRPr="005C49A4">
        <w:rPr>
          <w:noProof/>
        </w:rPr>
        <w:t>REporting costs of heppp and three other AUSTRALIAN government UNIVERSITY equity programs</w:t>
      </w:r>
      <w:r>
        <w:rPr>
          <w:noProof/>
        </w:rPr>
        <w:tab/>
      </w:r>
      <w:r w:rsidR="00005BEC">
        <w:rPr>
          <w:noProof/>
        </w:rPr>
        <w:t>136</w:t>
      </w:r>
    </w:p>
    <w:p w14:paraId="73B55EBE" w14:textId="31B729A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11.1</w:t>
      </w:r>
      <w:r>
        <w:rPr>
          <w:rFonts w:asciiTheme="minorHAnsi" w:eastAsiaTheme="minorEastAsia" w:hAnsiTheme="minorHAnsi"/>
          <w:caps w:val="0"/>
          <w:noProof/>
          <w:spacing w:val="0"/>
          <w:sz w:val="22"/>
          <w:lang w:eastAsia="en-AU"/>
        </w:rPr>
        <w:tab/>
      </w:r>
      <w:r w:rsidRPr="005C49A4">
        <w:rPr>
          <w:noProof/>
        </w:rPr>
        <w:t>equity groups share of ENROLMENTS and population, 2015</w:t>
      </w:r>
      <w:r>
        <w:rPr>
          <w:noProof/>
        </w:rPr>
        <w:tab/>
        <w:t>14</w:t>
      </w:r>
      <w:r w:rsidR="00005BEC">
        <w:rPr>
          <w:noProof/>
        </w:rPr>
        <w:t>7</w:t>
      </w:r>
    </w:p>
    <w:p w14:paraId="10009018" w14:textId="797D3312"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B.1</w:t>
      </w:r>
      <w:r>
        <w:rPr>
          <w:rFonts w:asciiTheme="minorHAnsi" w:eastAsiaTheme="minorEastAsia" w:hAnsiTheme="minorHAnsi"/>
          <w:caps w:val="0"/>
          <w:noProof/>
          <w:spacing w:val="0"/>
          <w:sz w:val="22"/>
          <w:lang w:eastAsia="en-AU"/>
        </w:rPr>
        <w:tab/>
      </w:r>
      <w:r w:rsidRPr="005C49A4">
        <w:rPr>
          <w:noProof/>
        </w:rPr>
        <w:t>Summary of approaches</w:t>
      </w:r>
      <w:r>
        <w:rPr>
          <w:noProof/>
        </w:rPr>
        <w:tab/>
      </w:r>
      <w:r w:rsidR="0050114B">
        <w:rPr>
          <w:noProof/>
        </w:rPr>
        <w:t>B–</w:t>
      </w:r>
      <w:r w:rsidR="00005BEC">
        <w:rPr>
          <w:noProof/>
        </w:rPr>
        <w:t>1</w:t>
      </w:r>
    </w:p>
    <w:p w14:paraId="00A49FF2" w14:textId="28B82685"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Table B.2</w:t>
      </w:r>
      <w:r>
        <w:rPr>
          <w:rFonts w:asciiTheme="minorHAnsi" w:eastAsiaTheme="minorEastAsia" w:hAnsiTheme="minorHAnsi"/>
          <w:caps w:val="0"/>
          <w:noProof/>
          <w:spacing w:val="0"/>
          <w:sz w:val="22"/>
          <w:lang w:eastAsia="en-AU"/>
        </w:rPr>
        <w:tab/>
      </w:r>
      <w:r w:rsidRPr="005C49A4">
        <w:rPr>
          <w:noProof/>
        </w:rPr>
        <w:t>US TRIO programs</w:t>
      </w:r>
      <w:r>
        <w:rPr>
          <w:noProof/>
        </w:rPr>
        <w:tab/>
        <w:t>B–</w:t>
      </w:r>
      <w:r w:rsidR="00743A8F">
        <w:rPr>
          <w:noProof/>
        </w:rPr>
        <w:t>12</w:t>
      </w:r>
    </w:p>
    <w:p w14:paraId="4698B55F" w14:textId="77777777" w:rsidR="002E3AB5" w:rsidRPr="0069617A" w:rsidRDefault="002E3AB5" w:rsidP="002E3AB5">
      <w:pPr>
        <w:pStyle w:val="TableofFigures"/>
        <w:rPr>
          <w:rFonts w:asciiTheme="minorHAnsi" w:eastAsiaTheme="minorEastAsia" w:hAnsiTheme="minorHAnsi"/>
          <w:caps w:val="0"/>
          <w:noProof/>
          <w:spacing w:val="0"/>
          <w:sz w:val="22"/>
          <w:lang w:eastAsia="en-AU"/>
        </w:rPr>
      </w:pPr>
      <w:r w:rsidRPr="0069617A">
        <w:rPr>
          <w:b/>
          <w:noProof/>
        </w:rPr>
        <w:t>Table C.1</w:t>
      </w:r>
      <w:r w:rsidRPr="0069617A">
        <w:rPr>
          <w:rFonts w:asciiTheme="minorHAnsi" w:eastAsiaTheme="minorEastAsia" w:hAnsiTheme="minorHAnsi"/>
          <w:caps w:val="0"/>
          <w:noProof/>
          <w:spacing w:val="0"/>
          <w:sz w:val="22"/>
          <w:lang w:eastAsia="en-AU"/>
        </w:rPr>
        <w:tab/>
      </w:r>
      <w:r w:rsidRPr="0069617A">
        <w:rPr>
          <w:noProof/>
        </w:rPr>
        <w:t>wRITTEN submissions</w:t>
      </w:r>
      <w:r w:rsidRPr="0069617A">
        <w:rPr>
          <w:noProof/>
        </w:rPr>
        <w:tab/>
        <w:t>C–1</w:t>
      </w:r>
    </w:p>
    <w:p w14:paraId="6B72C8AA" w14:textId="3A3FB0D6" w:rsidR="002E3AB5" w:rsidRDefault="002E3AB5" w:rsidP="002E3AB5">
      <w:pPr>
        <w:pStyle w:val="TableofFigures"/>
        <w:rPr>
          <w:rFonts w:asciiTheme="minorHAnsi" w:eastAsiaTheme="minorEastAsia" w:hAnsiTheme="minorHAnsi"/>
          <w:caps w:val="0"/>
          <w:noProof/>
          <w:spacing w:val="0"/>
          <w:sz w:val="22"/>
          <w:lang w:eastAsia="en-AU"/>
        </w:rPr>
      </w:pPr>
      <w:r w:rsidRPr="0069617A">
        <w:rPr>
          <w:b/>
          <w:noProof/>
        </w:rPr>
        <w:t>Table </w:t>
      </w:r>
      <w:r w:rsidR="000B0B11" w:rsidRPr="0069617A">
        <w:rPr>
          <w:b/>
          <w:noProof/>
        </w:rPr>
        <w:t>e</w:t>
      </w:r>
      <w:r w:rsidRPr="0069617A">
        <w:rPr>
          <w:b/>
          <w:noProof/>
        </w:rPr>
        <w:t>.1</w:t>
      </w:r>
      <w:r w:rsidRPr="0069617A">
        <w:rPr>
          <w:rFonts w:asciiTheme="minorHAnsi" w:eastAsiaTheme="minorEastAsia" w:hAnsiTheme="minorHAnsi"/>
          <w:caps w:val="0"/>
          <w:noProof/>
          <w:spacing w:val="0"/>
          <w:sz w:val="22"/>
          <w:lang w:eastAsia="en-AU"/>
        </w:rPr>
        <w:tab/>
      </w:r>
      <w:r w:rsidRPr="0069617A">
        <w:rPr>
          <w:noProof/>
        </w:rPr>
        <w:t>SEIFA IEO VARIABLES</w:t>
      </w:r>
      <w:r w:rsidRPr="0069617A">
        <w:rPr>
          <w:noProof/>
        </w:rPr>
        <w:tab/>
      </w:r>
      <w:r w:rsidR="000B0B11" w:rsidRPr="0069617A">
        <w:rPr>
          <w:noProof/>
        </w:rPr>
        <w:t>e</w:t>
      </w:r>
      <w:r w:rsidRPr="0069617A">
        <w:rPr>
          <w:noProof/>
        </w:rPr>
        <w:t>–</w:t>
      </w:r>
      <w:r w:rsidR="000B0B11" w:rsidRPr="0069617A">
        <w:rPr>
          <w:noProof/>
        </w:rPr>
        <w:t>3</w:t>
      </w:r>
    </w:p>
    <w:p w14:paraId="2D890E2E" w14:textId="77777777" w:rsidR="002E3AB5" w:rsidRPr="001A2F85" w:rsidRDefault="002E3AB5" w:rsidP="002E3AB5">
      <w:pPr>
        <w:pStyle w:val="TOCGeneral"/>
      </w:pPr>
    </w:p>
    <w:p w14:paraId="7DF1CE41" w14:textId="77777777" w:rsidR="002E3AB5" w:rsidRPr="001A2F85" w:rsidRDefault="002E3AB5" w:rsidP="002E3AB5">
      <w:pPr>
        <w:pStyle w:val="TOC7"/>
      </w:pPr>
      <w:r w:rsidRPr="001A2F85">
        <w:t>Boxes</w:t>
      </w:r>
    </w:p>
    <w:p w14:paraId="408281C2" w14:textId="7DF5A55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2.1</w:t>
      </w:r>
      <w:r>
        <w:rPr>
          <w:rFonts w:asciiTheme="minorHAnsi" w:eastAsiaTheme="minorEastAsia" w:hAnsiTheme="minorHAnsi"/>
          <w:caps w:val="0"/>
          <w:noProof/>
          <w:spacing w:val="0"/>
          <w:sz w:val="22"/>
          <w:lang w:eastAsia="en-AU"/>
        </w:rPr>
        <w:tab/>
      </w:r>
      <w:r w:rsidRPr="005C49A4">
        <w:rPr>
          <w:noProof/>
        </w:rPr>
        <w:t>NPP priority funding areas 2014-2016</w:t>
      </w:r>
      <w:r>
        <w:rPr>
          <w:noProof/>
        </w:rPr>
        <w:tab/>
      </w:r>
      <w:r w:rsidR="00313A17">
        <w:rPr>
          <w:noProof/>
        </w:rPr>
        <w:t>16</w:t>
      </w:r>
    </w:p>
    <w:p w14:paraId="69B8C9EA" w14:textId="5FC198B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2.2</w:t>
      </w:r>
      <w:r>
        <w:rPr>
          <w:rFonts w:asciiTheme="minorHAnsi" w:eastAsiaTheme="minorEastAsia" w:hAnsiTheme="minorHAnsi"/>
          <w:caps w:val="0"/>
          <w:noProof/>
          <w:spacing w:val="0"/>
          <w:sz w:val="22"/>
          <w:lang w:eastAsia="en-AU"/>
        </w:rPr>
        <w:tab/>
      </w:r>
      <w:r w:rsidRPr="005C49A4">
        <w:rPr>
          <w:noProof/>
        </w:rPr>
        <w:t>HEPPP funding formula, 2010-2014</w:t>
      </w:r>
      <w:r>
        <w:rPr>
          <w:noProof/>
        </w:rPr>
        <w:tab/>
      </w:r>
      <w:r w:rsidR="00313A17">
        <w:rPr>
          <w:noProof/>
        </w:rPr>
        <w:t>17</w:t>
      </w:r>
    </w:p>
    <w:p w14:paraId="7126F90F" w14:textId="7296B704"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2.3</w:t>
      </w:r>
      <w:r>
        <w:rPr>
          <w:rFonts w:asciiTheme="minorHAnsi" w:eastAsiaTheme="minorEastAsia" w:hAnsiTheme="minorHAnsi"/>
          <w:caps w:val="0"/>
          <w:noProof/>
          <w:spacing w:val="0"/>
          <w:sz w:val="22"/>
          <w:lang w:eastAsia="en-AU"/>
        </w:rPr>
        <w:tab/>
      </w:r>
      <w:r w:rsidRPr="005C49A4">
        <w:rPr>
          <w:noProof/>
        </w:rPr>
        <w:t>HE equity policy direction from the Dawkins White Paper</w:t>
      </w:r>
      <w:r>
        <w:rPr>
          <w:noProof/>
        </w:rPr>
        <w:tab/>
      </w:r>
      <w:r w:rsidR="00313A17">
        <w:rPr>
          <w:noProof/>
        </w:rPr>
        <w:t>24</w:t>
      </w:r>
    </w:p>
    <w:p w14:paraId="7F2DB998" w14:textId="7F0B100F"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2.4</w:t>
      </w:r>
      <w:r>
        <w:rPr>
          <w:rFonts w:asciiTheme="minorHAnsi" w:eastAsiaTheme="minorEastAsia" w:hAnsiTheme="minorHAnsi"/>
          <w:caps w:val="0"/>
          <w:noProof/>
          <w:spacing w:val="0"/>
          <w:sz w:val="22"/>
          <w:lang w:eastAsia="en-AU"/>
        </w:rPr>
        <w:tab/>
      </w:r>
      <w:r w:rsidRPr="005C49A4">
        <w:rPr>
          <w:noProof/>
        </w:rPr>
        <w:t>Objectives, targets and strategies for people from socio</w:t>
      </w:r>
      <w:r w:rsidRPr="005C49A4">
        <w:rPr>
          <w:noProof/>
        </w:rPr>
        <w:noBreakHyphen/>
        <w:t xml:space="preserve">economically disadvantaged backgrounds, </w:t>
      </w:r>
      <w:r w:rsidRPr="005C49A4">
        <w:rPr>
          <w:i/>
          <w:noProof/>
        </w:rPr>
        <w:t>A Fair Chance for All</w:t>
      </w:r>
      <w:r>
        <w:rPr>
          <w:noProof/>
        </w:rPr>
        <w:tab/>
      </w:r>
      <w:r w:rsidR="00313A17">
        <w:rPr>
          <w:noProof/>
        </w:rPr>
        <w:t>25</w:t>
      </w:r>
    </w:p>
    <w:p w14:paraId="1835F3E2" w14:textId="0CF58694"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2.5</w:t>
      </w:r>
      <w:r>
        <w:rPr>
          <w:rFonts w:asciiTheme="minorHAnsi" w:eastAsiaTheme="minorEastAsia" w:hAnsiTheme="minorHAnsi"/>
          <w:caps w:val="0"/>
          <w:noProof/>
          <w:spacing w:val="0"/>
          <w:sz w:val="22"/>
          <w:lang w:eastAsia="en-AU"/>
        </w:rPr>
        <w:tab/>
      </w:r>
      <w:r w:rsidRPr="005C49A4">
        <w:rPr>
          <w:noProof/>
        </w:rPr>
        <w:t>Commonwealth and Institutional equity responsibilities</w:t>
      </w:r>
      <w:r>
        <w:rPr>
          <w:noProof/>
        </w:rPr>
        <w:tab/>
      </w:r>
      <w:r w:rsidR="00313A17">
        <w:rPr>
          <w:noProof/>
        </w:rPr>
        <w:t>26</w:t>
      </w:r>
    </w:p>
    <w:p w14:paraId="68D9DBB9" w14:textId="4C288F27"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Box 4.1</w:t>
      </w:r>
      <w:r>
        <w:rPr>
          <w:rFonts w:asciiTheme="minorHAnsi" w:eastAsiaTheme="minorEastAsia" w:hAnsiTheme="minorHAnsi"/>
          <w:caps w:val="0"/>
          <w:noProof/>
          <w:spacing w:val="0"/>
          <w:sz w:val="22"/>
          <w:lang w:eastAsia="en-AU"/>
        </w:rPr>
        <w:tab/>
      </w:r>
      <w:r w:rsidRPr="005C49A4">
        <w:rPr>
          <w:noProof/>
          <w:lang w:val="en-US"/>
        </w:rPr>
        <w:t>Aspire UWA, The University of Western Australia</w:t>
      </w:r>
      <w:r>
        <w:rPr>
          <w:noProof/>
        </w:rPr>
        <w:tab/>
      </w:r>
      <w:r w:rsidR="00671E51">
        <w:rPr>
          <w:noProof/>
        </w:rPr>
        <w:t>52</w:t>
      </w:r>
    </w:p>
    <w:p w14:paraId="08CF3202" w14:textId="3DEFACB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Box 4.2</w:t>
      </w:r>
      <w:r>
        <w:rPr>
          <w:rFonts w:asciiTheme="minorHAnsi" w:eastAsiaTheme="minorEastAsia" w:hAnsiTheme="minorHAnsi"/>
          <w:caps w:val="0"/>
          <w:noProof/>
          <w:spacing w:val="0"/>
          <w:sz w:val="22"/>
          <w:lang w:eastAsia="en-AU"/>
        </w:rPr>
        <w:tab/>
      </w:r>
      <w:r w:rsidRPr="005C49A4">
        <w:rPr>
          <w:noProof/>
          <w:lang w:val="en-US"/>
        </w:rPr>
        <w:t>Children’s University, the University of Adelaide</w:t>
      </w:r>
      <w:r>
        <w:rPr>
          <w:noProof/>
        </w:rPr>
        <w:tab/>
      </w:r>
      <w:r w:rsidR="00671E51">
        <w:rPr>
          <w:noProof/>
        </w:rPr>
        <w:t>53</w:t>
      </w:r>
    </w:p>
    <w:p w14:paraId="0FBE3C7D" w14:textId="76DB185E"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4.3</w:t>
      </w:r>
      <w:r>
        <w:rPr>
          <w:rFonts w:asciiTheme="minorHAnsi" w:eastAsiaTheme="minorEastAsia" w:hAnsiTheme="minorHAnsi"/>
          <w:caps w:val="0"/>
          <w:noProof/>
          <w:spacing w:val="0"/>
          <w:sz w:val="22"/>
          <w:lang w:eastAsia="en-AU"/>
        </w:rPr>
        <w:tab/>
      </w:r>
      <w:r w:rsidRPr="005C49A4">
        <w:rPr>
          <w:noProof/>
          <w:lang w:val="en-US"/>
        </w:rPr>
        <w:t>Mentoring and peer support through the Queensland Widening Participation Consortium</w:t>
      </w:r>
      <w:r>
        <w:rPr>
          <w:noProof/>
        </w:rPr>
        <w:tab/>
      </w:r>
      <w:r w:rsidR="00671E51">
        <w:rPr>
          <w:noProof/>
        </w:rPr>
        <w:t>55</w:t>
      </w:r>
    </w:p>
    <w:p w14:paraId="10233F03" w14:textId="2270EA62"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lang w:val="en-US"/>
        </w:rPr>
        <w:t>Box 4.4</w:t>
      </w:r>
      <w:r>
        <w:rPr>
          <w:rFonts w:asciiTheme="minorHAnsi" w:eastAsiaTheme="minorEastAsia" w:hAnsiTheme="minorHAnsi"/>
          <w:caps w:val="0"/>
          <w:noProof/>
          <w:spacing w:val="0"/>
          <w:sz w:val="22"/>
          <w:lang w:eastAsia="en-AU"/>
        </w:rPr>
        <w:tab/>
      </w:r>
      <w:r w:rsidRPr="005C49A4">
        <w:rPr>
          <w:noProof/>
          <w:lang w:val="en-US"/>
        </w:rPr>
        <w:t>Uni Bridges Program, La Trobe University</w:t>
      </w:r>
      <w:r>
        <w:rPr>
          <w:noProof/>
        </w:rPr>
        <w:tab/>
      </w:r>
      <w:r w:rsidR="00671E51">
        <w:rPr>
          <w:noProof/>
        </w:rPr>
        <w:t>56</w:t>
      </w:r>
    </w:p>
    <w:p w14:paraId="33350106" w14:textId="04EBF365"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5.1</w:t>
      </w:r>
      <w:r>
        <w:rPr>
          <w:rFonts w:asciiTheme="minorHAnsi" w:eastAsiaTheme="minorEastAsia" w:hAnsiTheme="minorHAnsi"/>
          <w:caps w:val="0"/>
          <w:noProof/>
          <w:spacing w:val="0"/>
          <w:sz w:val="22"/>
          <w:lang w:eastAsia="en-AU"/>
        </w:rPr>
        <w:tab/>
      </w:r>
      <w:r w:rsidRPr="005C49A4">
        <w:rPr>
          <w:noProof/>
        </w:rPr>
        <w:t>Adult Learner project, Griffith University</w:t>
      </w:r>
      <w:r>
        <w:rPr>
          <w:noProof/>
        </w:rPr>
        <w:tab/>
      </w:r>
      <w:r w:rsidR="00671E51">
        <w:rPr>
          <w:noProof/>
        </w:rPr>
        <w:t>65</w:t>
      </w:r>
    </w:p>
    <w:p w14:paraId="13752018" w14:textId="56A78F15"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5.2</w:t>
      </w:r>
      <w:r>
        <w:rPr>
          <w:rFonts w:asciiTheme="minorHAnsi" w:eastAsiaTheme="minorEastAsia" w:hAnsiTheme="minorHAnsi"/>
          <w:caps w:val="0"/>
          <w:noProof/>
          <w:spacing w:val="0"/>
          <w:sz w:val="22"/>
          <w:lang w:eastAsia="en-AU"/>
        </w:rPr>
        <w:tab/>
      </w:r>
      <w:r w:rsidRPr="005C49A4">
        <w:rPr>
          <w:noProof/>
        </w:rPr>
        <w:t>Open Foundation support, University of Newcastle</w:t>
      </w:r>
      <w:r>
        <w:rPr>
          <w:noProof/>
        </w:rPr>
        <w:tab/>
      </w:r>
      <w:r w:rsidR="00671E51">
        <w:rPr>
          <w:noProof/>
        </w:rPr>
        <w:t>67</w:t>
      </w:r>
    </w:p>
    <w:p w14:paraId="0F5CF530" w14:textId="5AD5C1B0"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5.3</w:t>
      </w:r>
      <w:r>
        <w:rPr>
          <w:rFonts w:asciiTheme="minorHAnsi" w:eastAsiaTheme="minorEastAsia" w:hAnsiTheme="minorHAnsi"/>
          <w:caps w:val="0"/>
          <w:noProof/>
          <w:spacing w:val="0"/>
          <w:sz w:val="22"/>
          <w:lang w:eastAsia="en-AU"/>
        </w:rPr>
        <w:tab/>
      </w:r>
      <w:r w:rsidRPr="005C49A4">
        <w:rPr>
          <w:noProof/>
        </w:rPr>
        <w:t>ACU Smart, Australian Catholic University</w:t>
      </w:r>
      <w:r>
        <w:rPr>
          <w:noProof/>
        </w:rPr>
        <w:tab/>
      </w:r>
      <w:r w:rsidR="00671E51">
        <w:rPr>
          <w:noProof/>
        </w:rPr>
        <w:t>69</w:t>
      </w:r>
    </w:p>
    <w:p w14:paraId="7C36FC50" w14:textId="77270AE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5.4</w:t>
      </w:r>
      <w:r>
        <w:rPr>
          <w:rFonts w:asciiTheme="minorHAnsi" w:eastAsiaTheme="minorEastAsia" w:hAnsiTheme="minorHAnsi"/>
          <w:caps w:val="0"/>
          <w:noProof/>
          <w:spacing w:val="0"/>
          <w:sz w:val="22"/>
          <w:lang w:eastAsia="en-AU"/>
        </w:rPr>
        <w:tab/>
      </w:r>
      <w:r w:rsidRPr="005C49A4">
        <w:rPr>
          <w:noProof/>
        </w:rPr>
        <w:t>Q-Step Scheme, Queensland University of Technology</w:t>
      </w:r>
      <w:r>
        <w:rPr>
          <w:noProof/>
        </w:rPr>
        <w:tab/>
      </w:r>
      <w:r w:rsidR="00671E51">
        <w:rPr>
          <w:noProof/>
        </w:rPr>
        <w:t>70</w:t>
      </w:r>
    </w:p>
    <w:p w14:paraId="2FDB0BA0" w14:textId="6D40C9EF" w:rsidR="00671E51" w:rsidRPr="00671E51" w:rsidRDefault="00671E51" w:rsidP="00671E51">
      <w:pPr>
        <w:pStyle w:val="TableofFigures"/>
        <w:rPr>
          <w:rFonts w:asciiTheme="minorHAnsi" w:eastAsiaTheme="minorEastAsia" w:hAnsiTheme="minorHAnsi"/>
          <w:caps w:val="0"/>
          <w:noProof/>
          <w:spacing w:val="0"/>
          <w:sz w:val="22"/>
          <w:lang w:eastAsia="en-AU"/>
        </w:rPr>
      </w:pPr>
      <w:r w:rsidRPr="0069617A">
        <w:rPr>
          <w:b/>
          <w:noProof/>
        </w:rPr>
        <w:t>Box 6.1</w:t>
      </w:r>
      <w:r w:rsidRPr="0069617A">
        <w:rPr>
          <w:rFonts w:asciiTheme="minorHAnsi" w:eastAsiaTheme="minorEastAsia" w:hAnsiTheme="minorHAnsi"/>
          <w:caps w:val="0"/>
          <w:noProof/>
          <w:spacing w:val="0"/>
          <w:sz w:val="22"/>
          <w:lang w:eastAsia="en-AU"/>
        </w:rPr>
        <w:tab/>
      </w:r>
      <w:r w:rsidR="0069617A" w:rsidRPr="0069617A">
        <w:t>tRACKS pRE-oRIENTATION PROGRAMS FOR Indigenous sTUDENTS, THE UNIVERSITY OF nEW eNGLAND</w:t>
      </w:r>
      <w:r w:rsidRPr="0069617A">
        <w:rPr>
          <w:noProof/>
        </w:rPr>
        <w:tab/>
        <w:t>79</w:t>
      </w:r>
    </w:p>
    <w:p w14:paraId="647A8D02" w14:textId="33E470F9"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6.</w:t>
      </w:r>
      <w:r w:rsidR="00671E51">
        <w:rPr>
          <w:b/>
          <w:noProof/>
        </w:rPr>
        <w:t>2</w:t>
      </w:r>
      <w:r>
        <w:rPr>
          <w:rFonts w:asciiTheme="minorHAnsi" w:eastAsiaTheme="minorEastAsia" w:hAnsiTheme="minorHAnsi"/>
          <w:caps w:val="0"/>
          <w:noProof/>
          <w:spacing w:val="0"/>
          <w:sz w:val="22"/>
          <w:lang w:eastAsia="en-AU"/>
        </w:rPr>
        <w:tab/>
      </w:r>
      <w:r w:rsidRPr="005C49A4">
        <w:rPr>
          <w:noProof/>
        </w:rPr>
        <w:t>Peer Assisted Study Sessions, Western Sydney University</w:t>
      </w:r>
      <w:r>
        <w:rPr>
          <w:noProof/>
        </w:rPr>
        <w:tab/>
      </w:r>
      <w:r w:rsidR="00671E51">
        <w:rPr>
          <w:noProof/>
        </w:rPr>
        <w:t>80</w:t>
      </w:r>
    </w:p>
    <w:p w14:paraId="4C8080FC" w14:textId="142942A3"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6.</w:t>
      </w:r>
      <w:r w:rsidR="00671E51">
        <w:rPr>
          <w:b/>
          <w:noProof/>
        </w:rPr>
        <w:t>3</w:t>
      </w:r>
      <w:r>
        <w:rPr>
          <w:rFonts w:asciiTheme="minorHAnsi" w:eastAsiaTheme="minorEastAsia" w:hAnsiTheme="minorHAnsi"/>
          <w:caps w:val="0"/>
          <w:noProof/>
          <w:spacing w:val="0"/>
          <w:sz w:val="22"/>
          <w:lang w:eastAsia="en-AU"/>
        </w:rPr>
        <w:tab/>
      </w:r>
      <w:r w:rsidRPr="005C49A4">
        <w:rPr>
          <w:noProof/>
        </w:rPr>
        <w:t>REaching on, University of southern Queensland</w:t>
      </w:r>
      <w:r>
        <w:rPr>
          <w:noProof/>
        </w:rPr>
        <w:tab/>
      </w:r>
      <w:r w:rsidR="00671E51">
        <w:rPr>
          <w:noProof/>
        </w:rPr>
        <w:t>81</w:t>
      </w:r>
    </w:p>
    <w:p w14:paraId="78E115AA" w14:textId="0D9EB3D2"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6.</w:t>
      </w:r>
      <w:r w:rsidR="00671E51">
        <w:rPr>
          <w:b/>
          <w:noProof/>
        </w:rPr>
        <w:t>4</w:t>
      </w:r>
      <w:r>
        <w:rPr>
          <w:rFonts w:asciiTheme="minorHAnsi" w:eastAsiaTheme="minorEastAsia" w:hAnsiTheme="minorHAnsi"/>
          <w:caps w:val="0"/>
          <w:noProof/>
          <w:spacing w:val="0"/>
          <w:sz w:val="22"/>
          <w:lang w:eastAsia="en-AU"/>
        </w:rPr>
        <w:tab/>
      </w:r>
      <w:r w:rsidRPr="005C49A4">
        <w:rPr>
          <w:noProof/>
        </w:rPr>
        <w:t>Automated Wellness Engine, University of New England</w:t>
      </w:r>
      <w:r w:rsidR="00671E51">
        <w:rPr>
          <w:noProof/>
        </w:rPr>
        <w:tab/>
        <w:t>82</w:t>
      </w:r>
    </w:p>
    <w:p w14:paraId="6E091DF4" w14:textId="6FDDEBF2"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6.</w:t>
      </w:r>
      <w:r w:rsidR="00671E51">
        <w:rPr>
          <w:b/>
          <w:noProof/>
        </w:rPr>
        <w:t>5</w:t>
      </w:r>
      <w:r>
        <w:rPr>
          <w:rFonts w:asciiTheme="minorHAnsi" w:eastAsiaTheme="minorEastAsia" w:hAnsiTheme="minorHAnsi"/>
          <w:caps w:val="0"/>
          <w:noProof/>
          <w:spacing w:val="0"/>
          <w:sz w:val="22"/>
          <w:lang w:eastAsia="en-AU"/>
        </w:rPr>
        <w:tab/>
      </w:r>
      <w:r w:rsidRPr="005C49A4">
        <w:rPr>
          <w:noProof/>
        </w:rPr>
        <w:t>Student Futures Program (Mentoring), Federation University</w:t>
      </w:r>
      <w:r>
        <w:rPr>
          <w:noProof/>
        </w:rPr>
        <w:tab/>
      </w:r>
      <w:r w:rsidR="00671E51">
        <w:rPr>
          <w:noProof/>
        </w:rPr>
        <w:t>8</w:t>
      </w:r>
      <w:r>
        <w:rPr>
          <w:noProof/>
        </w:rPr>
        <w:t>4</w:t>
      </w:r>
    </w:p>
    <w:p w14:paraId="6ECF1BF0" w14:textId="5717CEB2"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6.</w:t>
      </w:r>
      <w:r w:rsidR="00671E51">
        <w:rPr>
          <w:b/>
          <w:noProof/>
        </w:rPr>
        <w:t>6</w:t>
      </w:r>
      <w:r>
        <w:rPr>
          <w:rFonts w:asciiTheme="minorHAnsi" w:eastAsiaTheme="minorEastAsia" w:hAnsiTheme="minorHAnsi"/>
          <w:caps w:val="0"/>
          <w:noProof/>
          <w:spacing w:val="0"/>
          <w:sz w:val="22"/>
          <w:lang w:eastAsia="en-AU"/>
        </w:rPr>
        <w:tab/>
      </w:r>
      <w:r w:rsidRPr="005C49A4">
        <w:rPr>
          <w:noProof/>
        </w:rPr>
        <w:t>Lin Martin global scholarships, The University of Melbourne</w:t>
      </w:r>
      <w:r>
        <w:rPr>
          <w:noProof/>
        </w:rPr>
        <w:tab/>
      </w:r>
      <w:r w:rsidR="00671E51">
        <w:rPr>
          <w:noProof/>
        </w:rPr>
        <w:t>8</w:t>
      </w:r>
      <w:r>
        <w:rPr>
          <w:noProof/>
        </w:rPr>
        <w:t>5</w:t>
      </w:r>
    </w:p>
    <w:p w14:paraId="1A6FC199" w14:textId="01738102"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7.1</w:t>
      </w:r>
      <w:r>
        <w:rPr>
          <w:rFonts w:asciiTheme="minorHAnsi" w:eastAsiaTheme="minorEastAsia" w:hAnsiTheme="minorHAnsi"/>
          <w:caps w:val="0"/>
          <w:noProof/>
          <w:spacing w:val="0"/>
          <w:sz w:val="22"/>
          <w:lang w:eastAsia="en-AU"/>
        </w:rPr>
        <w:tab/>
      </w:r>
      <w:r w:rsidRPr="005C49A4">
        <w:rPr>
          <w:noProof/>
        </w:rPr>
        <w:t>LUCY Mentoring Program, University of Technology Sydney</w:t>
      </w:r>
      <w:r w:rsidR="00671E51">
        <w:rPr>
          <w:noProof/>
        </w:rPr>
        <w:tab/>
        <w:t>9</w:t>
      </w:r>
      <w:r>
        <w:rPr>
          <w:noProof/>
        </w:rPr>
        <w:t>2</w:t>
      </w:r>
    </w:p>
    <w:p w14:paraId="4C62C45A" w14:textId="664AFCCD"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7.2</w:t>
      </w:r>
      <w:r>
        <w:rPr>
          <w:rFonts w:asciiTheme="minorHAnsi" w:eastAsiaTheme="minorEastAsia" w:hAnsiTheme="minorHAnsi"/>
          <w:caps w:val="0"/>
          <w:noProof/>
          <w:spacing w:val="0"/>
          <w:sz w:val="22"/>
          <w:lang w:eastAsia="en-AU"/>
        </w:rPr>
        <w:tab/>
      </w:r>
      <w:r w:rsidRPr="005C49A4">
        <w:rPr>
          <w:noProof/>
        </w:rPr>
        <w:t>Work-integrated Learning, Curtin University</w:t>
      </w:r>
      <w:r>
        <w:rPr>
          <w:noProof/>
        </w:rPr>
        <w:tab/>
      </w:r>
      <w:r w:rsidR="00671E51">
        <w:rPr>
          <w:noProof/>
        </w:rPr>
        <w:t>93</w:t>
      </w:r>
    </w:p>
    <w:p w14:paraId="04138C43" w14:textId="6F08378F" w:rsidR="002E3AB5" w:rsidRDefault="002E3AB5" w:rsidP="002E3AB5">
      <w:pPr>
        <w:pStyle w:val="TableofFigures"/>
        <w:rPr>
          <w:rFonts w:asciiTheme="minorHAnsi" w:eastAsiaTheme="minorEastAsia" w:hAnsiTheme="minorHAnsi"/>
          <w:caps w:val="0"/>
          <w:noProof/>
          <w:spacing w:val="0"/>
          <w:sz w:val="22"/>
          <w:lang w:eastAsia="en-AU"/>
        </w:rPr>
      </w:pPr>
      <w:r w:rsidRPr="005C49A4">
        <w:rPr>
          <w:b/>
          <w:noProof/>
        </w:rPr>
        <w:t>Box 8.</w:t>
      </w:r>
      <w:r>
        <w:rPr>
          <w:b/>
          <w:noProof/>
        </w:rPr>
        <w:t>1</w:t>
      </w:r>
      <w:r>
        <w:rPr>
          <w:rFonts w:asciiTheme="minorHAnsi" w:eastAsiaTheme="minorEastAsia" w:hAnsiTheme="minorHAnsi"/>
          <w:caps w:val="0"/>
          <w:noProof/>
          <w:spacing w:val="0"/>
          <w:sz w:val="22"/>
          <w:lang w:eastAsia="en-AU"/>
        </w:rPr>
        <w:tab/>
      </w:r>
      <w:r w:rsidRPr="005C49A4">
        <w:rPr>
          <w:noProof/>
        </w:rPr>
        <w:t>Longitudinal study, University of Newcastle</w:t>
      </w:r>
      <w:r>
        <w:rPr>
          <w:noProof/>
        </w:rPr>
        <w:tab/>
      </w:r>
      <w:r w:rsidR="00671E51">
        <w:rPr>
          <w:noProof/>
        </w:rPr>
        <w:t>96</w:t>
      </w:r>
    </w:p>
    <w:p w14:paraId="7CF89877" w14:textId="3859B59A" w:rsidR="002E3AB5" w:rsidRPr="00E0253C" w:rsidRDefault="002E3AB5" w:rsidP="002E3AB5">
      <w:pPr>
        <w:pStyle w:val="TableofFigures"/>
        <w:rPr>
          <w:rFonts w:asciiTheme="minorHAnsi" w:eastAsiaTheme="minorEastAsia" w:hAnsiTheme="minorHAnsi"/>
          <w:caps w:val="0"/>
          <w:noProof/>
          <w:spacing w:val="0"/>
          <w:sz w:val="22"/>
          <w:lang w:eastAsia="en-AU"/>
        </w:rPr>
      </w:pPr>
      <w:r w:rsidRPr="00DF571E">
        <w:rPr>
          <w:b/>
          <w:noProof/>
        </w:rPr>
        <w:t>Box 8.2</w:t>
      </w:r>
      <w:r w:rsidRPr="00DF571E">
        <w:rPr>
          <w:rFonts w:asciiTheme="minorHAnsi" w:eastAsiaTheme="minorEastAsia" w:hAnsiTheme="minorHAnsi"/>
          <w:caps w:val="0"/>
          <w:noProof/>
          <w:spacing w:val="0"/>
          <w:sz w:val="22"/>
          <w:lang w:eastAsia="en-AU"/>
        </w:rPr>
        <w:tab/>
      </w:r>
      <w:r w:rsidRPr="00E0253C">
        <w:rPr>
          <w:noProof/>
        </w:rPr>
        <w:t>Meeting great expectatio</w:t>
      </w:r>
      <w:r w:rsidR="00DF571E" w:rsidRPr="00E0253C">
        <w:rPr>
          <w:noProof/>
        </w:rPr>
        <w:t>ns trial, Victoria University</w:t>
      </w:r>
      <w:r w:rsidR="00DF571E" w:rsidRPr="00E0253C">
        <w:rPr>
          <w:noProof/>
        </w:rPr>
        <w:tab/>
        <w:t>104</w:t>
      </w:r>
    </w:p>
    <w:p w14:paraId="67FDFAEC" w14:textId="17445141" w:rsidR="002E3AB5" w:rsidRPr="00E0253C" w:rsidRDefault="002E3AB5" w:rsidP="002E3AB5">
      <w:pPr>
        <w:pStyle w:val="TableofFigures"/>
        <w:rPr>
          <w:rFonts w:asciiTheme="minorHAnsi" w:eastAsiaTheme="minorEastAsia" w:hAnsiTheme="minorHAnsi"/>
          <w:caps w:val="0"/>
          <w:noProof/>
          <w:spacing w:val="0"/>
          <w:sz w:val="22"/>
          <w:lang w:eastAsia="en-AU"/>
        </w:rPr>
      </w:pPr>
      <w:r w:rsidRPr="00E0253C">
        <w:rPr>
          <w:b/>
          <w:noProof/>
        </w:rPr>
        <w:t>Box B.1</w:t>
      </w:r>
      <w:r w:rsidRPr="00E0253C">
        <w:rPr>
          <w:rFonts w:asciiTheme="minorHAnsi" w:eastAsiaTheme="minorEastAsia" w:hAnsiTheme="minorHAnsi"/>
          <w:caps w:val="0"/>
          <w:noProof/>
          <w:spacing w:val="0"/>
          <w:sz w:val="22"/>
          <w:lang w:eastAsia="en-AU"/>
        </w:rPr>
        <w:tab/>
      </w:r>
      <w:r w:rsidRPr="00E0253C">
        <w:rPr>
          <w:noProof/>
        </w:rPr>
        <w:t>English Government’s Higher Education equity goals</w:t>
      </w:r>
      <w:r w:rsidRPr="00E0253C">
        <w:rPr>
          <w:noProof/>
        </w:rPr>
        <w:tab/>
        <w:t>B–</w:t>
      </w:r>
      <w:r w:rsidR="00743A8F" w:rsidRPr="00E0253C">
        <w:rPr>
          <w:noProof/>
        </w:rPr>
        <w:t>4</w:t>
      </w:r>
    </w:p>
    <w:p w14:paraId="15902CF1" w14:textId="6B00836E" w:rsidR="002E3AB5" w:rsidRDefault="002E3AB5" w:rsidP="002E3AB5">
      <w:pPr>
        <w:pStyle w:val="TableofFigures"/>
        <w:rPr>
          <w:rFonts w:asciiTheme="minorHAnsi" w:eastAsiaTheme="minorEastAsia" w:hAnsiTheme="minorHAnsi"/>
          <w:caps w:val="0"/>
          <w:noProof/>
          <w:spacing w:val="0"/>
          <w:sz w:val="22"/>
          <w:lang w:eastAsia="en-AU"/>
        </w:rPr>
      </w:pPr>
      <w:r w:rsidRPr="00E0253C">
        <w:rPr>
          <w:b/>
          <w:noProof/>
        </w:rPr>
        <w:t>Box B.2</w:t>
      </w:r>
      <w:r w:rsidRPr="00E0253C">
        <w:rPr>
          <w:rFonts w:asciiTheme="minorHAnsi" w:eastAsiaTheme="minorEastAsia" w:hAnsiTheme="minorHAnsi"/>
          <w:caps w:val="0"/>
          <w:noProof/>
          <w:spacing w:val="0"/>
          <w:sz w:val="22"/>
          <w:lang w:eastAsia="en-AU"/>
        </w:rPr>
        <w:tab/>
      </w:r>
      <w:r w:rsidRPr="00E0253C">
        <w:rPr>
          <w:noProof/>
        </w:rPr>
        <w:t>Scottish Government’s targets for equality of access to Higher Education</w:t>
      </w:r>
      <w:r w:rsidRPr="00E0253C">
        <w:rPr>
          <w:noProof/>
        </w:rPr>
        <w:tab/>
        <w:t>B–</w:t>
      </w:r>
      <w:r w:rsidR="00743A8F" w:rsidRPr="00E0253C">
        <w:rPr>
          <w:noProof/>
        </w:rPr>
        <w:t>7</w:t>
      </w:r>
    </w:p>
    <w:p w14:paraId="5718E108" w14:textId="77777777" w:rsidR="002E3AB5" w:rsidRPr="001A2F85" w:rsidRDefault="002E3AB5" w:rsidP="002E3AB5">
      <w:pPr>
        <w:pStyle w:val="TOCGeneral"/>
      </w:pPr>
    </w:p>
    <w:p w14:paraId="707DD4AF" w14:textId="77777777" w:rsidR="002E3AB5" w:rsidRPr="001A2F85" w:rsidRDefault="002E3AB5" w:rsidP="002E3AB5">
      <w:pPr>
        <w:pStyle w:val="TOCGeneral"/>
      </w:pPr>
    </w:p>
    <w:p w14:paraId="2655232E" w14:textId="77777777" w:rsidR="002E3AB5" w:rsidRPr="001A2F85" w:rsidRDefault="002E3AB5" w:rsidP="002E3AB5">
      <w:pPr>
        <w:pStyle w:val="TOCGeneral"/>
      </w:pPr>
    </w:p>
    <w:p w14:paraId="76691E0D" w14:textId="77777777" w:rsidR="00EA6577" w:rsidRPr="001A2F85" w:rsidRDefault="00EA6577" w:rsidP="000B6604">
      <w:pPr>
        <w:sectPr w:rsidR="00EA6577" w:rsidRPr="001A2F85" w:rsidSect="00AD49C8">
          <w:headerReference w:type="even" r:id="rId20"/>
          <w:headerReference w:type="default" r:id="rId21"/>
          <w:footerReference w:type="even" r:id="rId22"/>
          <w:footerReference w:type="default" r:id="rId23"/>
          <w:headerReference w:type="first" r:id="rId24"/>
          <w:footerReference w:type="first" r:id="rId25"/>
          <w:pgSz w:w="11907" w:h="16839" w:code="9"/>
          <w:pgMar w:top="2502" w:right="443" w:bottom="960" w:left="2976" w:header="456" w:footer="262"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2356"/>
      </w:tblGrid>
      <w:tr w:rsidR="00EA6577" w:rsidRPr="001A2F85" w14:paraId="3AE111DF" w14:textId="77777777" w:rsidTr="00737CF5">
        <w:trPr>
          <w:trHeight w:hRule="exact" w:val="382"/>
        </w:trPr>
        <w:tc>
          <w:tcPr>
            <w:tcW w:w="5812" w:type="dxa"/>
            <w:shd w:val="clear" w:color="auto" w:fill="9D57A6"/>
          </w:tcPr>
          <w:p w14:paraId="39B2DB8C" w14:textId="77777777" w:rsidR="00EA6577" w:rsidRPr="001A2F85" w:rsidRDefault="00A45AB3" w:rsidP="000B6604">
            <w:pPr>
              <w:pStyle w:val="tagchapterBanner"/>
            </w:pPr>
            <w:r>
              <w:rPr>
                <w:noProof/>
                <w:lang w:eastAsia="en-AU"/>
              </w:rPr>
              <mc:AlternateContent>
                <mc:Choice Requires="wps">
                  <w:drawing>
                    <wp:anchor distT="0" distB="0" distL="114300" distR="114300" simplePos="0" relativeHeight="251633152" behindDoc="0" locked="1" layoutInCell="1" allowOverlap="1" wp14:anchorId="489CF73D" wp14:editId="72BC077E">
                      <wp:simplePos x="0" y="0"/>
                      <wp:positionH relativeFrom="page">
                        <wp:posOffset>158750</wp:posOffset>
                      </wp:positionH>
                      <wp:positionV relativeFrom="page">
                        <wp:posOffset>6350</wp:posOffset>
                      </wp:positionV>
                      <wp:extent cx="439420" cy="215265"/>
                      <wp:effectExtent l="0" t="0" r="0" b="0"/>
                      <wp:wrapNone/>
                      <wp:docPr id="1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39D09F" id="Freeform 5" o:spid="_x0000_s1026" style="position:absolute;margin-left:12.5pt;margin-top:.5pt;width:34.6pt;height:16.9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r1eHwn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2356" w:type="dxa"/>
            <w:shd w:val="clear" w:color="auto" w:fill="9D57A6"/>
          </w:tcPr>
          <w:p w14:paraId="1D9D6965" w14:textId="77777777" w:rsidR="00EA6577" w:rsidRPr="001A2F85" w:rsidRDefault="00EA6577" w:rsidP="000B6604">
            <w:pPr>
              <w:pStyle w:val="spacer"/>
            </w:pPr>
          </w:p>
        </w:tc>
      </w:tr>
      <w:tr w:rsidR="00EA6577" w:rsidRPr="001A2F85" w14:paraId="308FA8E1" w14:textId="77777777" w:rsidTr="00737CF5">
        <w:trPr>
          <w:trHeight w:hRule="exact" w:val="3665"/>
        </w:trPr>
        <w:tc>
          <w:tcPr>
            <w:tcW w:w="5812" w:type="dxa"/>
            <w:shd w:val="clear" w:color="auto" w:fill="9D57A6"/>
            <w:tcMar>
              <w:left w:w="0" w:type="dxa"/>
              <w:bottom w:w="0" w:type="dxa"/>
            </w:tcMar>
            <w:vAlign w:val="bottom"/>
          </w:tcPr>
          <w:p w14:paraId="67776B1B" w14:textId="77777777" w:rsidR="00EA6577" w:rsidRPr="001A2F85" w:rsidRDefault="00EA6577" w:rsidP="000B6604">
            <w:pPr>
              <w:pStyle w:val="Headingglossary"/>
            </w:pPr>
            <w:bookmarkStart w:id="1" w:name="_Toc466657098"/>
            <w:r w:rsidRPr="001A2F85">
              <w:t>Acknowledgements</w:t>
            </w:r>
            <w:bookmarkEnd w:id="1"/>
          </w:p>
        </w:tc>
        <w:tc>
          <w:tcPr>
            <w:tcW w:w="2356" w:type="dxa"/>
            <w:shd w:val="clear" w:color="auto" w:fill="9D57A6"/>
            <w:tcMar>
              <w:right w:w="344" w:type="dxa"/>
            </w:tcMar>
          </w:tcPr>
          <w:p w14:paraId="6B54D581" w14:textId="77777777" w:rsidR="00EA6577" w:rsidRPr="001A2F85" w:rsidRDefault="00EA6577" w:rsidP="000B6604">
            <w:pPr>
              <w:pStyle w:val="Normal-nospace"/>
            </w:pPr>
          </w:p>
        </w:tc>
      </w:tr>
      <w:tr w:rsidR="00EA6577" w:rsidRPr="001A2F85" w14:paraId="150B5824" w14:textId="77777777" w:rsidTr="00737CF5">
        <w:trPr>
          <w:trHeight w:hRule="exact" w:val="232"/>
        </w:trPr>
        <w:tc>
          <w:tcPr>
            <w:tcW w:w="5812" w:type="dxa"/>
            <w:shd w:val="clear" w:color="auto" w:fill="9D57A6"/>
          </w:tcPr>
          <w:p w14:paraId="124E92B0" w14:textId="77777777" w:rsidR="00EA6577" w:rsidRPr="001A2F85" w:rsidRDefault="00EA6577" w:rsidP="000B6604">
            <w:pPr>
              <w:pStyle w:val="Chpt-Context"/>
            </w:pPr>
          </w:p>
        </w:tc>
        <w:tc>
          <w:tcPr>
            <w:tcW w:w="2356" w:type="dxa"/>
            <w:shd w:val="clear" w:color="auto" w:fill="9D57A6"/>
          </w:tcPr>
          <w:p w14:paraId="6B5E2055" w14:textId="77777777" w:rsidR="00EA6577" w:rsidRPr="001A2F85" w:rsidRDefault="00EA6577" w:rsidP="000B6604">
            <w:pPr>
              <w:pStyle w:val="spacer"/>
            </w:pPr>
          </w:p>
        </w:tc>
      </w:tr>
      <w:tr w:rsidR="00EA6577" w:rsidRPr="001A2F85" w14:paraId="69073184" w14:textId="77777777" w:rsidTr="00737CF5">
        <w:trPr>
          <w:trHeight w:hRule="exact" w:val="668"/>
        </w:trPr>
        <w:tc>
          <w:tcPr>
            <w:tcW w:w="5812" w:type="dxa"/>
            <w:tcBorders>
              <w:top w:val="single" w:sz="4" w:space="0" w:color="9D57A6"/>
            </w:tcBorders>
          </w:tcPr>
          <w:p w14:paraId="6F4108E9" w14:textId="77777777" w:rsidR="00EA6577" w:rsidRPr="001A2F85" w:rsidRDefault="00EA6577" w:rsidP="000B6604">
            <w:pPr>
              <w:pStyle w:val="spacer"/>
            </w:pPr>
          </w:p>
        </w:tc>
        <w:tc>
          <w:tcPr>
            <w:tcW w:w="2356" w:type="dxa"/>
            <w:tcBorders>
              <w:top w:val="single" w:sz="4" w:space="0" w:color="9D57A6"/>
            </w:tcBorders>
          </w:tcPr>
          <w:p w14:paraId="2CFFB673" w14:textId="77777777" w:rsidR="00EA6577" w:rsidRPr="001A2F85" w:rsidRDefault="00EA6577" w:rsidP="000B6604">
            <w:pPr>
              <w:pStyle w:val="spacer"/>
            </w:pPr>
          </w:p>
        </w:tc>
      </w:tr>
    </w:tbl>
    <w:p w14:paraId="540389B1" w14:textId="77777777" w:rsidR="00EA6577" w:rsidRPr="001A2F85" w:rsidRDefault="00D442B8" w:rsidP="000B6604">
      <w:pPr>
        <w:pStyle w:val="BodyText"/>
      </w:pPr>
      <w:r>
        <w:t xml:space="preserve">The evaluation team would like to acknowledge the contribution of the universities to the evaluation, including participation in interviews, provision of data and evaluation documents, and facilitation of the surveys. The evaluation team would also like to thank all students and staff who participated in interviews and surveys, and all individuals and organisations that provided a written submission to the evaluation. </w:t>
      </w:r>
    </w:p>
    <w:p w14:paraId="26C624FE" w14:textId="77777777" w:rsidR="00EA6577" w:rsidRPr="001A2F85" w:rsidRDefault="00EA6577" w:rsidP="000B6604">
      <w:pPr>
        <w:pStyle w:val="BodyText"/>
      </w:pPr>
    </w:p>
    <w:p w14:paraId="1A85E803" w14:textId="77777777" w:rsidR="006407F6" w:rsidRPr="001A2F85" w:rsidRDefault="006407F6" w:rsidP="000B6604">
      <w:pPr>
        <w:pStyle w:val="BodyText"/>
        <w:sectPr w:rsidR="006407F6" w:rsidRPr="001A2F85" w:rsidSect="000B6604">
          <w:headerReference w:type="even" r:id="rId26"/>
          <w:headerReference w:type="default" r:id="rId27"/>
          <w:footerReference w:type="even" r:id="rId28"/>
          <w:footerReference w:type="default" r:id="rId29"/>
          <w:headerReference w:type="first" r:id="rId30"/>
          <w:footerReference w:type="first" r:id="rId31"/>
          <w:pgSz w:w="11907" w:h="16839" w:code="9"/>
          <w:pgMar w:top="1100" w:right="443" w:bottom="1320" w:left="3296" w:header="456" w:footer="262" w:gutter="0"/>
          <w:pgNumType w:fmt="lowerRoman"/>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2356"/>
      </w:tblGrid>
      <w:tr w:rsidR="006407F6" w:rsidRPr="001A2F85" w14:paraId="17BE4186" w14:textId="77777777" w:rsidTr="00C13ABA">
        <w:trPr>
          <w:trHeight w:hRule="exact" w:val="382"/>
        </w:trPr>
        <w:tc>
          <w:tcPr>
            <w:tcW w:w="5812" w:type="dxa"/>
            <w:shd w:val="clear" w:color="auto" w:fill="9D57A6"/>
          </w:tcPr>
          <w:p w14:paraId="1E22765C" w14:textId="77777777" w:rsidR="006407F6" w:rsidRPr="001A2F85" w:rsidRDefault="006407F6" w:rsidP="000B6604">
            <w:pPr>
              <w:pStyle w:val="BodyText"/>
            </w:pPr>
          </w:p>
          <w:p w14:paraId="2B2374E6" w14:textId="77777777" w:rsidR="006407F6" w:rsidRPr="001A2F85" w:rsidRDefault="00A45AB3" w:rsidP="000B6604">
            <w:pPr>
              <w:pStyle w:val="tagchapterBanner"/>
            </w:pPr>
            <w:r>
              <w:rPr>
                <w:noProof/>
                <w:lang w:eastAsia="en-AU"/>
              </w:rPr>
              <mc:AlternateContent>
                <mc:Choice Requires="wps">
                  <w:drawing>
                    <wp:anchor distT="0" distB="0" distL="114300" distR="114300" simplePos="0" relativeHeight="251680256" behindDoc="0" locked="1" layoutInCell="1" allowOverlap="1" wp14:anchorId="649EE370" wp14:editId="327863C3">
                      <wp:simplePos x="0" y="0"/>
                      <wp:positionH relativeFrom="page">
                        <wp:posOffset>158750</wp:posOffset>
                      </wp:positionH>
                      <wp:positionV relativeFrom="page">
                        <wp:posOffset>6350</wp:posOffset>
                      </wp:positionV>
                      <wp:extent cx="439420" cy="215265"/>
                      <wp:effectExtent l="0" t="0" r="0" b="0"/>
                      <wp:wrapNone/>
                      <wp:docPr id="15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6E4CDB" id="Freeform 5" o:spid="_x0000_s1026" style="position:absolute;margin-left:12.5pt;margin-top:.5pt;width:34.6pt;height:16.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2356" w:type="dxa"/>
            <w:shd w:val="clear" w:color="auto" w:fill="9D57A6"/>
          </w:tcPr>
          <w:p w14:paraId="0A486E5B" w14:textId="77777777" w:rsidR="006407F6" w:rsidRPr="001A2F85" w:rsidRDefault="006407F6" w:rsidP="000B6604">
            <w:pPr>
              <w:pStyle w:val="spacer"/>
            </w:pPr>
          </w:p>
        </w:tc>
      </w:tr>
      <w:tr w:rsidR="006407F6" w:rsidRPr="001A2F85" w14:paraId="14C8B49F" w14:textId="77777777" w:rsidTr="00C13ABA">
        <w:trPr>
          <w:trHeight w:hRule="exact" w:val="3665"/>
        </w:trPr>
        <w:tc>
          <w:tcPr>
            <w:tcW w:w="5812" w:type="dxa"/>
            <w:shd w:val="clear" w:color="auto" w:fill="9D57A6"/>
            <w:tcMar>
              <w:left w:w="0" w:type="dxa"/>
              <w:bottom w:w="0" w:type="dxa"/>
            </w:tcMar>
            <w:vAlign w:val="bottom"/>
          </w:tcPr>
          <w:p w14:paraId="78E46873" w14:textId="77777777" w:rsidR="006407F6" w:rsidRPr="001A2F85" w:rsidRDefault="00C13ABA" w:rsidP="000B6604">
            <w:pPr>
              <w:pStyle w:val="Headingglossary"/>
            </w:pPr>
            <w:bookmarkStart w:id="2" w:name="_Toc466657099"/>
            <w:r w:rsidRPr="001A2F85">
              <w:t>List of acronyms</w:t>
            </w:r>
            <w:bookmarkEnd w:id="2"/>
          </w:p>
        </w:tc>
        <w:tc>
          <w:tcPr>
            <w:tcW w:w="2356" w:type="dxa"/>
            <w:shd w:val="clear" w:color="auto" w:fill="9D57A6"/>
            <w:tcMar>
              <w:right w:w="344" w:type="dxa"/>
            </w:tcMar>
          </w:tcPr>
          <w:p w14:paraId="6D87FB83" w14:textId="77777777" w:rsidR="006407F6" w:rsidRPr="001A2F85" w:rsidRDefault="006407F6" w:rsidP="000B6604">
            <w:pPr>
              <w:pStyle w:val="Normal-nospace"/>
            </w:pPr>
          </w:p>
        </w:tc>
      </w:tr>
      <w:tr w:rsidR="006407F6" w:rsidRPr="001A2F85" w14:paraId="52B9855D" w14:textId="77777777" w:rsidTr="00C13ABA">
        <w:trPr>
          <w:trHeight w:hRule="exact" w:val="232"/>
        </w:trPr>
        <w:tc>
          <w:tcPr>
            <w:tcW w:w="5812" w:type="dxa"/>
            <w:shd w:val="clear" w:color="auto" w:fill="9D57A6"/>
          </w:tcPr>
          <w:p w14:paraId="72C5FE1E" w14:textId="77777777" w:rsidR="006407F6" w:rsidRPr="001A2F85" w:rsidRDefault="006407F6" w:rsidP="000B6604">
            <w:pPr>
              <w:pStyle w:val="Chpt-Context"/>
            </w:pPr>
          </w:p>
        </w:tc>
        <w:tc>
          <w:tcPr>
            <w:tcW w:w="2356" w:type="dxa"/>
            <w:shd w:val="clear" w:color="auto" w:fill="9D57A6"/>
          </w:tcPr>
          <w:p w14:paraId="30B2B43E" w14:textId="77777777" w:rsidR="006407F6" w:rsidRPr="001A2F85" w:rsidRDefault="006407F6" w:rsidP="000B6604">
            <w:pPr>
              <w:pStyle w:val="spacer"/>
            </w:pPr>
          </w:p>
        </w:tc>
      </w:tr>
      <w:tr w:rsidR="006407F6" w:rsidRPr="001A2F85" w14:paraId="2310054F" w14:textId="77777777" w:rsidTr="00C13ABA">
        <w:trPr>
          <w:trHeight w:hRule="exact" w:val="668"/>
        </w:trPr>
        <w:tc>
          <w:tcPr>
            <w:tcW w:w="5812" w:type="dxa"/>
            <w:tcBorders>
              <w:top w:val="single" w:sz="4" w:space="0" w:color="9D57A6"/>
            </w:tcBorders>
          </w:tcPr>
          <w:p w14:paraId="323E2EA2" w14:textId="77777777" w:rsidR="006407F6" w:rsidRPr="001A2F85" w:rsidRDefault="006407F6" w:rsidP="000B6604">
            <w:pPr>
              <w:pStyle w:val="spacer"/>
            </w:pPr>
          </w:p>
        </w:tc>
        <w:tc>
          <w:tcPr>
            <w:tcW w:w="2356" w:type="dxa"/>
            <w:tcBorders>
              <w:top w:val="single" w:sz="4" w:space="0" w:color="9D57A6"/>
            </w:tcBorders>
          </w:tcPr>
          <w:p w14:paraId="168FBB45" w14:textId="77777777" w:rsidR="006407F6" w:rsidRPr="001A2F85" w:rsidRDefault="006407F6" w:rsidP="000B6604">
            <w:pPr>
              <w:pStyle w:val="spacer"/>
            </w:pPr>
          </w:p>
        </w:tc>
      </w:tr>
    </w:tbl>
    <w:tbl>
      <w:tblPr>
        <w:tblW w:w="8172" w:type="dxa"/>
        <w:tblLayout w:type="fixed"/>
        <w:tblCellMar>
          <w:left w:w="0" w:type="dxa"/>
          <w:right w:w="0" w:type="dxa"/>
        </w:tblCellMar>
        <w:tblLook w:val="04A0" w:firstRow="1" w:lastRow="0" w:firstColumn="1" w:lastColumn="0" w:noHBand="0" w:noVBand="1"/>
      </w:tblPr>
      <w:tblGrid>
        <w:gridCol w:w="1809"/>
        <w:gridCol w:w="6363"/>
      </w:tblGrid>
      <w:tr w:rsidR="006407F6" w:rsidRPr="001A2F85" w14:paraId="37CFE326" w14:textId="77777777" w:rsidTr="000B6604">
        <w:tc>
          <w:tcPr>
            <w:tcW w:w="1809" w:type="dxa"/>
          </w:tcPr>
          <w:p w14:paraId="38A866DD" w14:textId="77777777" w:rsidR="006407F6" w:rsidRPr="001A2F85" w:rsidRDefault="006407F6" w:rsidP="000B6604">
            <w:pPr>
              <w:pStyle w:val="BodyText"/>
              <w:tabs>
                <w:tab w:val="left" w:pos="1125"/>
              </w:tabs>
            </w:pPr>
            <w:r w:rsidRPr="001A2F85">
              <w:t>ABS</w:t>
            </w:r>
          </w:p>
        </w:tc>
        <w:tc>
          <w:tcPr>
            <w:tcW w:w="6363" w:type="dxa"/>
          </w:tcPr>
          <w:p w14:paraId="2F7F0AD9" w14:textId="77777777" w:rsidR="006407F6" w:rsidRPr="001A2F85" w:rsidRDefault="006407F6" w:rsidP="000B6604">
            <w:pPr>
              <w:pStyle w:val="BodyText"/>
            </w:pPr>
            <w:r w:rsidRPr="001A2F85">
              <w:t>Australian Bureau of Statistics</w:t>
            </w:r>
          </w:p>
        </w:tc>
      </w:tr>
      <w:tr w:rsidR="006407F6" w:rsidRPr="001A2F85" w14:paraId="78142F11" w14:textId="77777777" w:rsidTr="000B6604">
        <w:tc>
          <w:tcPr>
            <w:tcW w:w="1809" w:type="dxa"/>
          </w:tcPr>
          <w:p w14:paraId="3D4A0B1C" w14:textId="77777777" w:rsidR="006407F6" w:rsidRPr="001A2F85" w:rsidRDefault="006407F6" w:rsidP="000B6604">
            <w:pPr>
              <w:pStyle w:val="BodyText"/>
              <w:tabs>
                <w:tab w:val="left" w:pos="1125"/>
              </w:tabs>
            </w:pPr>
            <w:r w:rsidRPr="001A2F85">
              <w:t>ACARA</w:t>
            </w:r>
          </w:p>
        </w:tc>
        <w:tc>
          <w:tcPr>
            <w:tcW w:w="6363" w:type="dxa"/>
          </w:tcPr>
          <w:p w14:paraId="5C9916FF" w14:textId="77777777" w:rsidR="006407F6" w:rsidRPr="001A2F85" w:rsidRDefault="006407F6" w:rsidP="000B6604">
            <w:pPr>
              <w:pStyle w:val="BodyText"/>
            </w:pPr>
            <w:r w:rsidRPr="001A2F85">
              <w:t>Australian Curriculum, Assessment and Reporting Authority</w:t>
            </w:r>
          </w:p>
        </w:tc>
      </w:tr>
      <w:tr w:rsidR="00A969E5" w:rsidRPr="001A2F85" w14:paraId="1B1DFC0F" w14:textId="77777777" w:rsidTr="000B6604">
        <w:tc>
          <w:tcPr>
            <w:tcW w:w="1809" w:type="dxa"/>
          </w:tcPr>
          <w:p w14:paraId="395E97BC" w14:textId="77777777" w:rsidR="00A969E5" w:rsidRPr="001A2F85" w:rsidRDefault="00A969E5" w:rsidP="000B6604">
            <w:pPr>
              <w:pStyle w:val="BodyText"/>
              <w:tabs>
                <w:tab w:val="left" w:pos="1125"/>
              </w:tabs>
            </w:pPr>
            <w:r>
              <w:t>ACU</w:t>
            </w:r>
          </w:p>
        </w:tc>
        <w:tc>
          <w:tcPr>
            <w:tcW w:w="6363" w:type="dxa"/>
          </w:tcPr>
          <w:p w14:paraId="7CEFEB2C" w14:textId="77777777" w:rsidR="00A969E5" w:rsidRPr="001A2F85" w:rsidRDefault="00A969E5" w:rsidP="000B6604">
            <w:pPr>
              <w:pStyle w:val="BodyText"/>
            </w:pPr>
            <w:r>
              <w:t>Australian Catholic University</w:t>
            </w:r>
          </w:p>
        </w:tc>
      </w:tr>
      <w:tr w:rsidR="006407F6" w:rsidRPr="001A2F85" w14:paraId="19D0ECB8" w14:textId="77777777" w:rsidTr="000B6604">
        <w:tc>
          <w:tcPr>
            <w:tcW w:w="1809" w:type="dxa"/>
          </w:tcPr>
          <w:p w14:paraId="685B95B3" w14:textId="77777777" w:rsidR="006407F6" w:rsidRPr="001A2F85" w:rsidRDefault="006407F6" w:rsidP="000B6604">
            <w:pPr>
              <w:pStyle w:val="BodyText"/>
              <w:tabs>
                <w:tab w:val="left" w:pos="1125"/>
              </w:tabs>
            </w:pPr>
            <w:r w:rsidRPr="001A2F85">
              <w:t>ADCET</w:t>
            </w:r>
          </w:p>
        </w:tc>
        <w:tc>
          <w:tcPr>
            <w:tcW w:w="6363" w:type="dxa"/>
          </w:tcPr>
          <w:p w14:paraId="1C8AF475" w14:textId="77777777" w:rsidR="006407F6" w:rsidRPr="001A2F85" w:rsidRDefault="006407F6" w:rsidP="000B6604">
            <w:pPr>
              <w:pStyle w:val="BodyText"/>
            </w:pPr>
            <w:r w:rsidRPr="001A2F85">
              <w:t>The Australian Disability Clearinghouse on Education and Training</w:t>
            </w:r>
          </w:p>
        </w:tc>
      </w:tr>
      <w:tr w:rsidR="006407F6" w:rsidRPr="001A2F85" w14:paraId="16CBF60D" w14:textId="77777777" w:rsidTr="000B6604">
        <w:tc>
          <w:tcPr>
            <w:tcW w:w="1809" w:type="dxa"/>
          </w:tcPr>
          <w:p w14:paraId="7F161BDE" w14:textId="77777777" w:rsidR="006407F6" w:rsidRPr="001A2F85" w:rsidRDefault="006407F6" w:rsidP="000B6604">
            <w:pPr>
              <w:pStyle w:val="BodyText"/>
              <w:tabs>
                <w:tab w:val="left" w:pos="1125"/>
              </w:tabs>
            </w:pPr>
            <w:r w:rsidRPr="001A2F85">
              <w:t>AHEAD</w:t>
            </w:r>
          </w:p>
        </w:tc>
        <w:tc>
          <w:tcPr>
            <w:tcW w:w="6363" w:type="dxa"/>
          </w:tcPr>
          <w:p w14:paraId="0E38095D" w14:textId="77777777" w:rsidR="006407F6" w:rsidRPr="001A2F85" w:rsidRDefault="006407F6" w:rsidP="000729C9">
            <w:pPr>
              <w:pStyle w:val="BodyText"/>
            </w:pPr>
            <w:r w:rsidRPr="001A2F85">
              <w:t>Addressing Higher Education Access Disadvantage</w:t>
            </w:r>
          </w:p>
        </w:tc>
      </w:tr>
      <w:tr w:rsidR="006407F6" w:rsidRPr="001A2F85" w14:paraId="07AFC239" w14:textId="77777777" w:rsidTr="000B6604">
        <w:tc>
          <w:tcPr>
            <w:tcW w:w="1809" w:type="dxa"/>
          </w:tcPr>
          <w:p w14:paraId="29AB0C38" w14:textId="77777777" w:rsidR="006407F6" w:rsidRPr="001A2F85" w:rsidRDefault="006407F6" w:rsidP="000B6604">
            <w:pPr>
              <w:pStyle w:val="BodyText"/>
              <w:tabs>
                <w:tab w:val="left" w:pos="1125"/>
              </w:tabs>
            </w:pPr>
            <w:r w:rsidRPr="001A2F85">
              <w:t>AIME</w:t>
            </w:r>
          </w:p>
        </w:tc>
        <w:tc>
          <w:tcPr>
            <w:tcW w:w="6363" w:type="dxa"/>
          </w:tcPr>
          <w:p w14:paraId="22007C5D" w14:textId="77777777" w:rsidR="006407F6" w:rsidRPr="001A2F85" w:rsidRDefault="006407F6" w:rsidP="000B6604">
            <w:pPr>
              <w:pStyle w:val="BodyText"/>
            </w:pPr>
            <w:r w:rsidRPr="001A2F85">
              <w:t>Australian Indigenous Mentoring Experience</w:t>
            </w:r>
          </w:p>
        </w:tc>
      </w:tr>
      <w:tr w:rsidR="003441F8" w:rsidRPr="001A2F85" w14:paraId="182C435C" w14:textId="77777777" w:rsidTr="000B6604">
        <w:tc>
          <w:tcPr>
            <w:tcW w:w="1809" w:type="dxa"/>
          </w:tcPr>
          <w:p w14:paraId="7CBAAE4A" w14:textId="77777777" w:rsidR="003441F8" w:rsidRPr="001A2F85" w:rsidRDefault="003441F8" w:rsidP="000B6604">
            <w:pPr>
              <w:pStyle w:val="BodyText"/>
              <w:tabs>
                <w:tab w:val="left" w:pos="1125"/>
              </w:tabs>
            </w:pPr>
            <w:r>
              <w:t>ANU</w:t>
            </w:r>
          </w:p>
        </w:tc>
        <w:tc>
          <w:tcPr>
            <w:tcW w:w="6363" w:type="dxa"/>
          </w:tcPr>
          <w:p w14:paraId="20BD45D2" w14:textId="77777777" w:rsidR="003441F8" w:rsidRPr="001A2F85" w:rsidRDefault="003441F8" w:rsidP="000B6604">
            <w:pPr>
              <w:pStyle w:val="BodyText"/>
            </w:pPr>
            <w:r>
              <w:t>The Australian National University</w:t>
            </w:r>
          </w:p>
        </w:tc>
      </w:tr>
      <w:tr w:rsidR="00DE5050" w:rsidRPr="001A2F85" w14:paraId="464B1D59" w14:textId="77777777" w:rsidTr="000B6604">
        <w:tc>
          <w:tcPr>
            <w:tcW w:w="1809" w:type="dxa"/>
          </w:tcPr>
          <w:p w14:paraId="7520F17E" w14:textId="77777777" w:rsidR="00DE5050" w:rsidRPr="001A2F85" w:rsidRDefault="00DE5050" w:rsidP="000B6604">
            <w:pPr>
              <w:pStyle w:val="BodyText"/>
              <w:tabs>
                <w:tab w:val="left" w:pos="1125"/>
              </w:tabs>
            </w:pPr>
            <w:r>
              <w:t>ATAR</w:t>
            </w:r>
          </w:p>
        </w:tc>
        <w:tc>
          <w:tcPr>
            <w:tcW w:w="6363" w:type="dxa"/>
          </w:tcPr>
          <w:p w14:paraId="0BDD5D25" w14:textId="77777777" w:rsidR="00DE5050" w:rsidRPr="001A2F85" w:rsidRDefault="00DE5050" w:rsidP="000B6604">
            <w:pPr>
              <w:pStyle w:val="BodyText"/>
            </w:pPr>
            <w:r>
              <w:t>Australian Tertiary Admission Rank</w:t>
            </w:r>
          </w:p>
        </w:tc>
      </w:tr>
      <w:tr w:rsidR="006407F6" w:rsidRPr="001A2F85" w14:paraId="0DC6952F" w14:textId="77777777" w:rsidTr="000B6604">
        <w:tc>
          <w:tcPr>
            <w:tcW w:w="1809" w:type="dxa"/>
          </w:tcPr>
          <w:p w14:paraId="4AB1AF0E" w14:textId="77777777" w:rsidR="006407F6" w:rsidRPr="001A2F85" w:rsidRDefault="006407F6" w:rsidP="000B6604">
            <w:pPr>
              <w:pStyle w:val="BodyText"/>
              <w:tabs>
                <w:tab w:val="left" w:pos="1125"/>
              </w:tabs>
            </w:pPr>
            <w:r w:rsidRPr="001A2F85">
              <w:t>ATN</w:t>
            </w:r>
          </w:p>
        </w:tc>
        <w:tc>
          <w:tcPr>
            <w:tcW w:w="6363" w:type="dxa"/>
          </w:tcPr>
          <w:p w14:paraId="1D95901E" w14:textId="77777777" w:rsidR="006407F6" w:rsidRPr="001A2F85" w:rsidRDefault="006407F6" w:rsidP="000B6604">
            <w:pPr>
              <w:pStyle w:val="BodyText"/>
            </w:pPr>
            <w:r w:rsidRPr="001A2F85">
              <w:t>Australian Technology Network</w:t>
            </w:r>
            <w:r w:rsidR="00655909">
              <w:t xml:space="preserve"> of Universities</w:t>
            </w:r>
          </w:p>
        </w:tc>
      </w:tr>
      <w:tr w:rsidR="007950D7" w:rsidRPr="001A2F85" w14:paraId="61DB6A5E" w14:textId="77777777" w:rsidTr="000B6604">
        <w:tc>
          <w:tcPr>
            <w:tcW w:w="1809" w:type="dxa"/>
          </w:tcPr>
          <w:p w14:paraId="1655EE17" w14:textId="77777777" w:rsidR="007950D7" w:rsidRPr="001A2F85" w:rsidRDefault="007950D7" w:rsidP="000B6604">
            <w:pPr>
              <w:pStyle w:val="BodyText"/>
              <w:tabs>
                <w:tab w:val="left" w:pos="1125"/>
              </w:tabs>
            </w:pPr>
            <w:r>
              <w:t>CALD</w:t>
            </w:r>
          </w:p>
        </w:tc>
        <w:tc>
          <w:tcPr>
            <w:tcW w:w="6363" w:type="dxa"/>
          </w:tcPr>
          <w:p w14:paraId="799B9CCD" w14:textId="77777777" w:rsidR="007950D7" w:rsidRPr="001A2F85" w:rsidRDefault="007950D7" w:rsidP="000B6604">
            <w:pPr>
              <w:pStyle w:val="BodyText"/>
            </w:pPr>
            <w:r>
              <w:t>Culturally and Linguistically Diverse people</w:t>
            </w:r>
          </w:p>
        </w:tc>
      </w:tr>
      <w:tr w:rsidR="00F903F2" w:rsidRPr="001A2F85" w14:paraId="25A29448" w14:textId="77777777" w:rsidTr="000B6604">
        <w:tc>
          <w:tcPr>
            <w:tcW w:w="1809" w:type="dxa"/>
          </w:tcPr>
          <w:p w14:paraId="398C88C4" w14:textId="77777777" w:rsidR="00F903F2" w:rsidRPr="001A2F85" w:rsidRDefault="00F903F2" w:rsidP="000B6604">
            <w:pPr>
              <w:pStyle w:val="BodyText"/>
              <w:tabs>
                <w:tab w:val="left" w:pos="1125"/>
              </w:tabs>
            </w:pPr>
            <w:r w:rsidRPr="001A2F85">
              <w:t>CIF</w:t>
            </w:r>
          </w:p>
        </w:tc>
        <w:tc>
          <w:tcPr>
            <w:tcW w:w="6363" w:type="dxa"/>
          </w:tcPr>
          <w:p w14:paraId="5F67A144" w14:textId="77777777" w:rsidR="00F903F2" w:rsidRPr="001A2F85" w:rsidRDefault="00F903F2" w:rsidP="000B6604">
            <w:pPr>
              <w:pStyle w:val="BodyText"/>
            </w:pPr>
            <w:r w:rsidRPr="001A2F85">
              <w:t>Critical Interventions Framework Part II</w:t>
            </w:r>
          </w:p>
        </w:tc>
      </w:tr>
      <w:tr w:rsidR="003441F8" w:rsidRPr="001A2F85" w14:paraId="787CBBC8" w14:textId="77777777" w:rsidTr="000B6604">
        <w:tc>
          <w:tcPr>
            <w:tcW w:w="1809" w:type="dxa"/>
          </w:tcPr>
          <w:p w14:paraId="691F5B2E" w14:textId="77777777" w:rsidR="003441F8" w:rsidRDefault="003441F8" w:rsidP="000B6604">
            <w:pPr>
              <w:pStyle w:val="BodyText"/>
              <w:tabs>
                <w:tab w:val="left" w:pos="1125"/>
              </w:tabs>
            </w:pPr>
            <w:r>
              <w:t>CDU</w:t>
            </w:r>
          </w:p>
        </w:tc>
        <w:tc>
          <w:tcPr>
            <w:tcW w:w="6363" w:type="dxa"/>
          </w:tcPr>
          <w:p w14:paraId="72F9E96C" w14:textId="77777777" w:rsidR="003441F8" w:rsidRDefault="003441F8" w:rsidP="000B6604">
            <w:pPr>
              <w:pStyle w:val="BodyText"/>
            </w:pPr>
            <w:r>
              <w:t>Charles Darwin University</w:t>
            </w:r>
          </w:p>
        </w:tc>
      </w:tr>
      <w:tr w:rsidR="003441F8" w:rsidRPr="001A2F85" w14:paraId="2E6182BB" w14:textId="77777777" w:rsidTr="000B6604">
        <w:tc>
          <w:tcPr>
            <w:tcW w:w="1809" w:type="dxa"/>
          </w:tcPr>
          <w:p w14:paraId="643CE90E" w14:textId="77777777" w:rsidR="003441F8" w:rsidRDefault="003441F8" w:rsidP="000B6604">
            <w:pPr>
              <w:pStyle w:val="BodyText"/>
              <w:tabs>
                <w:tab w:val="left" w:pos="1125"/>
              </w:tabs>
            </w:pPr>
            <w:r>
              <w:t>CSU</w:t>
            </w:r>
          </w:p>
        </w:tc>
        <w:tc>
          <w:tcPr>
            <w:tcW w:w="6363" w:type="dxa"/>
          </w:tcPr>
          <w:p w14:paraId="0FC5B29A" w14:textId="77777777" w:rsidR="003441F8" w:rsidRDefault="003441F8" w:rsidP="000B6604">
            <w:pPr>
              <w:pStyle w:val="BodyText"/>
            </w:pPr>
            <w:r>
              <w:t>Charles Sturt University</w:t>
            </w:r>
          </w:p>
        </w:tc>
      </w:tr>
      <w:tr w:rsidR="006407F6" w:rsidRPr="001A2F85" w14:paraId="6491318C" w14:textId="77777777" w:rsidTr="000B6604">
        <w:tc>
          <w:tcPr>
            <w:tcW w:w="1809" w:type="dxa"/>
          </w:tcPr>
          <w:p w14:paraId="6DE11008" w14:textId="77777777" w:rsidR="006407F6" w:rsidRPr="001A2F85" w:rsidRDefault="006407F6" w:rsidP="000B6604">
            <w:pPr>
              <w:pStyle w:val="BodyText"/>
              <w:tabs>
                <w:tab w:val="left" w:pos="1125"/>
              </w:tabs>
            </w:pPr>
            <w:r w:rsidRPr="001A2F85">
              <w:t>CUA</w:t>
            </w:r>
          </w:p>
        </w:tc>
        <w:tc>
          <w:tcPr>
            <w:tcW w:w="6363" w:type="dxa"/>
          </w:tcPr>
          <w:p w14:paraId="6E30E369" w14:textId="77777777" w:rsidR="006407F6" w:rsidRPr="001A2F85" w:rsidRDefault="006407F6" w:rsidP="000B6604">
            <w:pPr>
              <w:pStyle w:val="BodyText"/>
            </w:pPr>
            <w:r w:rsidRPr="001A2F85">
              <w:t>Children’s University Australia</w:t>
            </w:r>
          </w:p>
        </w:tc>
      </w:tr>
      <w:tr w:rsidR="008B3FD3" w:rsidRPr="001A2F85" w14:paraId="5A9AA95D" w14:textId="77777777" w:rsidTr="000B6604">
        <w:tc>
          <w:tcPr>
            <w:tcW w:w="1809" w:type="dxa"/>
          </w:tcPr>
          <w:p w14:paraId="3126B22F" w14:textId="77777777" w:rsidR="008B3FD3" w:rsidRPr="001A2F85" w:rsidRDefault="008B3FD3" w:rsidP="000B6604">
            <w:pPr>
              <w:pStyle w:val="BodyText"/>
              <w:tabs>
                <w:tab w:val="left" w:pos="1125"/>
              </w:tabs>
            </w:pPr>
            <w:r>
              <w:t>DDS</w:t>
            </w:r>
          </w:p>
        </w:tc>
        <w:tc>
          <w:tcPr>
            <w:tcW w:w="6363" w:type="dxa"/>
          </w:tcPr>
          <w:p w14:paraId="348E8540" w14:textId="77777777" w:rsidR="008B3FD3" w:rsidRPr="001A2F85" w:rsidRDefault="008B3FD3" w:rsidP="000B6604">
            <w:pPr>
              <w:pStyle w:val="BodyText"/>
            </w:pPr>
            <w:r>
              <w:t>Demand Driven System</w:t>
            </w:r>
          </w:p>
        </w:tc>
      </w:tr>
      <w:tr w:rsidR="0009162D" w:rsidRPr="001A2F85" w14:paraId="4F6A9B36" w14:textId="77777777" w:rsidTr="000B6604">
        <w:tc>
          <w:tcPr>
            <w:tcW w:w="1809" w:type="dxa"/>
          </w:tcPr>
          <w:p w14:paraId="7A6028B4" w14:textId="77777777" w:rsidR="0009162D" w:rsidRPr="001A2F85" w:rsidRDefault="0009162D" w:rsidP="000B6604">
            <w:pPr>
              <w:pStyle w:val="BodyText"/>
              <w:tabs>
                <w:tab w:val="left" w:pos="1125"/>
              </w:tabs>
            </w:pPr>
            <w:r>
              <w:t>DEEWR</w:t>
            </w:r>
          </w:p>
        </w:tc>
        <w:tc>
          <w:tcPr>
            <w:tcW w:w="6363" w:type="dxa"/>
          </w:tcPr>
          <w:p w14:paraId="56066C03" w14:textId="77777777" w:rsidR="0009162D" w:rsidRPr="001A2F85" w:rsidRDefault="0009162D" w:rsidP="000B6604">
            <w:pPr>
              <w:pStyle w:val="BodyText"/>
            </w:pPr>
            <w:r w:rsidRPr="0009162D">
              <w:t>Department of Education, Employment and Workplace Relations</w:t>
            </w:r>
          </w:p>
        </w:tc>
      </w:tr>
      <w:tr w:rsidR="00135E5A" w:rsidRPr="001A2F85" w14:paraId="472249B9" w14:textId="77777777" w:rsidTr="000B6604">
        <w:tc>
          <w:tcPr>
            <w:tcW w:w="1809" w:type="dxa"/>
          </w:tcPr>
          <w:p w14:paraId="47D14494" w14:textId="77777777" w:rsidR="00135E5A" w:rsidRDefault="00135E5A" w:rsidP="000B6604">
            <w:pPr>
              <w:pStyle w:val="BodyText"/>
              <w:tabs>
                <w:tab w:val="left" w:pos="1125"/>
              </w:tabs>
            </w:pPr>
            <w:r>
              <w:t>DET</w:t>
            </w:r>
          </w:p>
        </w:tc>
        <w:tc>
          <w:tcPr>
            <w:tcW w:w="6363" w:type="dxa"/>
          </w:tcPr>
          <w:p w14:paraId="4240B310" w14:textId="77777777" w:rsidR="00135E5A" w:rsidRPr="0009162D" w:rsidRDefault="00135E5A" w:rsidP="000B6604">
            <w:pPr>
              <w:pStyle w:val="BodyText"/>
            </w:pPr>
            <w:r w:rsidRPr="0009162D">
              <w:t>Department of Education</w:t>
            </w:r>
            <w:r>
              <w:t xml:space="preserve"> and Training (also referred to as the Department throughout the report)</w:t>
            </w:r>
          </w:p>
        </w:tc>
      </w:tr>
      <w:tr w:rsidR="006407F6" w:rsidRPr="001A2F85" w14:paraId="17E8ED2E" w14:textId="77777777" w:rsidTr="000B6604">
        <w:tc>
          <w:tcPr>
            <w:tcW w:w="1809" w:type="dxa"/>
          </w:tcPr>
          <w:p w14:paraId="0973210B" w14:textId="77777777" w:rsidR="006407F6" w:rsidRPr="001A2F85" w:rsidRDefault="006407F6" w:rsidP="000B6604">
            <w:pPr>
              <w:pStyle w:val="BodyText"/>
              <w:tabs>
                <w:tab w:val="left" w:pos="1125"/>
              </w:tabs>
            </w:pPr>
            <w:r w:rsidRPr="001A2F85">
              <w:t>DEST</w:t>
            </w:r>
          </w:p>
        </w:tc>
        <w:tc>
          <w:tcPr>
            <w:tcW w:w="6363" w:type="dxa"/>
          </w:tcPr>
          <w:p w14:paraId="20C74684" w14:textId="77777777" w:rsidR="006407F6" w:rsidRPr="001A2F85" w:rsidRDefault="006407F6" w:rsidP="00135E5A">
            <w:pPr>
              <w:pStyle w:val="BodyText"/>
            </w:pPr>
            <w:r w:rsidRPr="001A2F85">
              <w:t>Department of Education, Science and Training</w:t>
            </w:r>
          </w:p>
        </w:tc>
      </w:tr>
      <w:tr w:rsidR="0009162D" w:rsidRPr="001A2F85" w14:paraId="76A964E2" w14:textId="77777777" w:rsidTr="000B6604">
        <w:tc>
          <w:tcPr>
            <w:tcW w:w="1809" w:type="dxa"/>
          </w:tcPr>
          <w:p w14:paraId="5DDFAC2A" w14:textId="77777777" w:rsidR="0009162D" w:rsidRDefault="0009162D" w:rsidP="000B6604">
            <w:pPr>
              <w:pStyle w:val="BodyText"/>
              <w:tabs>
                <w:tab w:val="left" w:pos="1125"/>
              </w:tabs>
            </w:pPr>
            <w:r>
              <w:t>DIICCSRTE</w:t>
            </w:r>
          </w:p>
        </w:tc>
        <w:tc>
          <w:tcPr>
            <w:tcW w:w="6363" w:type="dxa"/>
          </w:tcPr>
          <w:p w14:paraId="68DCB8C6" w14:textId="77777777" w:rsidR="0009162D" w:rsidRPr="001A2F85" w:rsidRDefault="0009162D" w:rsidP="000B6604">
            <w:pPr>
              <w:pStyle w:val="BodyText"/>
            </w:pPr>
            <w:r w:rsidRPr="0009162D">
              <w:t>Department of Industry, Innovation, Climate Change, Science, Research and Tertiary Education</w:t>
            </w:r>
          </w:p>
        </w:tc>
      </w:tr>
      <w:tr w:rsidR="0009162D" w:rsidRPr="001A2F85" w14:paraId="37719B95" w14:textId="77777777" w:rsidTr="000B6604">
        <w:tc>
          <w:tcPr>
            <w:tcW w:w="1809" w:type="dxa"/>
          </w:tcPr>
          <w:p w14:paraId="5B9033F3" w14:textId="77777777" w:rsidR="0009162D" w:rsidRPr="001A2F85" w:rsidRDefault="0009162D" w:rsidP="000B6604">
            <w:pPr>
              <w:pStyle w:val="BodyText"/>
              <w:tabs>
                <w:tab w:val="left" w:pos="1125"/>
              </w:tabs>
            </w:pPr>
            <w:r>
              <w:t>DIISRTE</w:t>
            </w:r>
          </w:p>
        </w:tc>
        <w:tc>
          <w:tcPr>
            <w:tcW w:w="6363" w:type="dxa"/>
          </w:tcPr>
          <w:p w14:paraId="4625E93D" w14:textId="77777777" w:rsidR="0009162D" w:rsidRPr="001A2F85" w:rsidRDefault="0009162D" w:rsidP="000B6604">
            <w:pPr>
              <w:pStyle w:val="BodyText"/>
            </w:pPr>
            <w:r w:rsidRPr="0009162D">
              <w:t>Department of Industry, Innovation, Science, Research and Tertiary Education</w:t>
            </w:r>
          </w:p>
        </w:tc>
      </w:tr>
      <w:tr w:rsidR="006407F6" w:rsidRPr="001A2F85" w14:paraId="453A6687" w14:textId="77777777" w:rsidTr="000B6604">
        <w:tc>
          <w:tcPr>
            <w:tcW w:w="1809" w:type="dxa"/>
          </w:tcPr>
          <w:p w14:paraId="1C6A757A" w14:textId="77777777" w:rsidR="006407F6" w:rsidRPr="001A2F85" w:rsidRDefault="006407F6" w:rsidP="000B6604">
            <w:pPr>
              <w:pStyle w:val="BodyText"/>
              <w:tabs>
                <w:tab w:val="left" w:pos="1125"/>
              </w:tabs>
            </w:pPr>
            <w:r w:rsidRPr="001A2F85">
              <w:t>EIF</w:t>
            </w:r>
          </w:p>
        </w:tc>
        <w:tc>
          <w:tcPr>
            <w:tcW w:w="6363" w:type="dxa"/>
          </w:tcPr>
          <w:p w14:paraId="3B2994B3" w14:textId="77777777" w:rsidR="006407F6" w:rsidRPr="001A2F85" w:rsidRDefault="006407F6" w:rsidP="000B6604">
            <w:pPr>
              <w:pStyle w:val="BodyText"/>
            </w:pPr>
            <w:r w:rsidRPr="001A2F85">
              <w:t>Equity Initiatives Framework</w:t>
            </w:r>
          </w:p>
        </w:tc>
      </w:tr>
      <w:tr w:rsidR="00655909" w:rsidRPr="001A2F85" w14:paraId="0055A409" w14:textId="77777777" w:rsidTr="000B6604">
        <w:tc>
          <w:tcPr>
            <w:tcW w:w="1809" w:type="dxa"/>
          </w:tcPr>
          <w:p w14:paraId="6C7C182A" w14:textId="77777777" w:rsidR="00655909" w:rsidRPr="001A2F85" w:rsidRDefault="00655909" w:rsidP="000B6604">
            <w:pPr>
              <w:pStyle w:val="BodyText"/>
              <w:tabs>
                <w:tab w:val="left" w:pos="1125"/>
              </w:tabs>
            </w:pPr>
            <w:r>
              <w:t>EPHEA</w:t>
            </w:r>
          </w:p>
        </w:tc>
        <w:tc>
          <w:tcPr>
            <w:tcW w:w="6363" w:type="dxa"/>
          </w:tcPr>
          <w:p w14:paraId="6FB7FC44" w14:textId="77777777" w:rsidR="00655909" w:rsidRPr="001A2F85" w:rsidRDefault="00655909" w:rsidP="000B6604">
            <w:pPr>
              <w:pStyle w:val="BodyText"/>
            </w:pPr>
            <w:r w:rsidRPr="00655909">
              <w:t>Equity Practitioners in Higher Education Australasia</w:t>
            </w:r>
          </w:p>
        </w:tc>
      </w:tr>
      <w:tr w:rsidR="006407F6" w:rsidRPr="001A2F85" w14:paraId="0DF5A118" w14:textId="77777777" w:rsidTr="000B6604">
        <w:tc>
          <w:tcPr>
            <w:tcW w:w="1809" w:type="dxa"/>
          </w:tcPr>
          <w:p w14:paraId="70828CF6" w14:textId="77777777" w:rsidR="006407F6" w:rsidRPr="001A2F85" w:rsidRDefault="006407F6" w:rsidP="000B6604">
            <w:pPr>
              <w:pStyle w:val="BodyText"/>
              <w:tabs>
                <w:tab w:val="left" w:pos="1125"/>
              </w:tabs>
            </w:pPr>
            <w:r w:rsidRPr="001A2F85">
              <w:t>ESP</w:t>
            </w:r>
          </w:p>
        </w:tc>
        <w:tc>
          <w:tcPr>
            <w:tcW w:w="6363" w:type="dxa"/>
          </w:tcPr>
          <w:p w14:paraId="5B66B333" w14:textId="77777777" w:rsidR="006407F6" w:rsidRPr="001A2F85" w:rsidRDefault="006407F6" w:rsidP="000B6604">
            <w:pPr>
              <w:pStyle w:val="BodyText"/>
            </w:pPr>
            <w:r w:rsidRPr="001A2F85">
              <w:t>Higher Education Equity Support Program</w:t>
            </w:r>
          </w:p>
        </w:tc>
      </w:tr>
      <w:tr w:rsidR="006407F6" w:rsidRPr="001A2F85" w14:paraId="04F03177" w14:textId="77777777" w:rsidTr="000B6604">
        <w:tc>
          <w:tcPr>
            <w:tcW w:w="1809" w:type="dxa"/>
          </w:tcPr>
          <w:p w14:paraId="2331C8F9" w14:textId="77777777" w:rsidR="006407F6" w:rsidRPr="001A2F85" w:rsidRDefault="006407F6" w:rsidP="000B6604">
            <w:pPr>
              <w:pStyle w:val="BodyText"/>
              <w:tabs>
                <w:tab w:val="left" w:pos="1125"/>
              </w:tabs>
            </w:pPr>
            <w:r w:rsidRPr="001A2F85">
              <w:t>FEE-HELP</w:t>
            </w:r>
          </w:p>
        </w:tc>
        <w:tc>
          <w:tcPr>
            <w:tcW w:w="6363" w:type="dxa"/>
          </w:tcPr>
          <w:p w14:paraId="47F7B539" w14:textId="77777777" w:rsidR="006407F6" w:rsidRPr="001A2F85" w:rsidRDefault="006407F6" w:rsidP="000B6604">
            <w:pPr>
              <w:pStyle w:val="BodyText"/>
            </w:pPr>
            <w:r w:rsidRPr="001A2F85">
              <w:t>Fee Paying Higher Education Loans Program</w:t>
            </w:r>
          </w:p>
        </w:tc>
      </w:tr>
      <w:tr w:rsidR="006407F6" w:rsidRPr="001A2F85" w14:paraId="1AFD2794" w14:textId="77777777" w:rsidTr="007A3CBE">
        <w:trPr>
          <w:trHeight w:val="448"/>
        </w:trPr>
        <w:tc>
          <w:tcPr>
            <w:tcW w:w="1809" w:type="dxa"/>
          </w:tcPr>
          <w:p w14:paraId="0DA648F9" w14:textId="77777777" w:rsidR="006407F6" w:rsidRPr="001A2F85" w:rsidRDefault="006407F6" w:rsidP="000B6604">
            <w:pPr>
              <w:pStyle w:val="BodyText"/>
              <w:tabs>
                <w:tab w:val="left" w:pos="1125"/>
              </w:tabs>
            </w:pPr>
            <w:r w:rsidRPr="001A2F85">
              <w:t>FTE</w:t>
            </w:r>
          </w:p>
        </w:tc>
        <w:tc>
          <w:tcPr>
            <w:tcW w:w="6363" w:type="dxa"/>
          </w:tcPr>
          <w:p w14:paraId="3F4A2869" w14:textId="77777777" w:rsidR="006407F6" w:rsidRPr="001A2F85" w:rsidRDefault="006407F6" w:rsidP="000B6604">
            <w:pPr>
              <w:pStyle w:val="BodyText"/>
            </w:pPr>
            <w:r w:rsidRPr="001A2F85">
              <w:t>Full-time equivalent</w:t>
            </w:r>
          </w:p>
        </w:tc>
      </w:tr>
      <w:tr w:rsidR="006407F6" w:rsidRPr="001A2F85" w14:paraId="4967CB8D" w14:textId="77777777" w:rsidTr="000B6604">
        <w:tc>
          <w:tcPr>
            <w:tcW w:w="1809" w:type="dxa"/>
          </w:tcPr>
          <w:p w14:paraId="7CE40DA9" w14:textId="77777777" w:rsidR="006407F6" w:rsidRPr="001A2F85" w:rsidRDefault="006407F6" w:rsidP="000B6604">
            <w:pPr>
              <w:pStyle w:val="BodyText"/>
              <w:tabs>
                <w:tab w:val="left" w:pos="1125"/>
              </w:tabs>
            </w:pPr>
            <w:r w:rsidRPr="001A2F85">
              <w:t>Go8</w:t>
            </w:r>
          </w:p>
        </w:tc>
        <w:tc>
          <w:tcPr>
            <w:tcW w:w="6363" w:type="dxa"/>
          </w:tcPr>
          <w:p w14:paraId="53ED15BD" w14:textId="77777777" w:rsidR="006407F6" w:rsidRPr="001A2F85" w:rsidRDefault="006407F6" w:rsidP="000B6604">
            <w:pPr>
              <w:pStyle w:val="BodyText"/>
            </w:pPr>
            <w:r w:rsidRPr="001A2F85">
              <w:t>Group of Eight</w:t>
            </w:r>
          </w:p>
        </w:tc>
      </w:tr>
      <w:tr w:rsidR="006407F6" w:rsidRPr="001A2F85" w14:paraId="688019D3" w14:textId="77777777" w:rsidTr="000B6604">
        <w:tc>
          <w:tcPr>
            <w:tcW w:w="1809" w:type="dxa"/>
          </w:tcPr>
          <w:p w14:paraId="2DF8BC89" w14:textId="77777777" w:rsidR="006407F6" w:rsidRPr="001A2F85" w:rsidRDefault="006407F6" w:rsidP="000B6604">
            <w:pPr>
              <w:pStyle w:val="BodyText"/>
              <w:tabs>
                <w:tab w:val="left" w:pos="1125"/>
              </w:tabs>
            </w:pPr>
            <w:r w:rsidRPr="001A2F85">
              <w:t>HECS-HELP</w:t>
            </w:r>
          </w:p>
        </w:tc>
        <w:tc>
          <w:tcPr>
            <w:tcW w:w="6363" w:type="dxa"/>
          </w:tcPr>
          <w:p w14:paraId="3A65A538" w14:textId="77777777" w:rsidR="006407F6" w:rsidRPr="001A2F85" w:rsidRDefault="006407F6" w:rsidP="000B6604">
            <w:pPr>
              <w:pStyle w:val="BodyText"/>
            </w:pPr>
            <w:r w:rsidRPr="001A2F85">
              <w:t>Higher Education Contribution Scheme</w:t>
            </w:r>
          </w:p>
        </w:tc>
      </w:tr>
      <w:tr w:rsidR="006407F6" w:rsidRPr="001A2F85" w14:paraId="715295BA" w14:textId="77777777" w:rsidTr="000B6604">
        <w:tc>
          <w:tcPr>
            <w:tcW w:w="1809" w:type="dxa"/>
          </w:tcPr>
          <w:p w14:paraId="156BB49B" w14:textId="77777777" w:rsidR="006407F6" w:rsidRPr="001A2F85" w:rsidRDefault="006407F6" w:rsidP="000B6604">
            <w:pPr>
              <w:pStyle w:val="BodyText"/>
              <w:tabs>
                <w:tab w:val="left" w:pos="1125"/>
              </w:tabs>
            </w:pPr>
            <w:r w:rsidRPr="001A2F85">
              <w:t>HEEP</w:t>
            </w:r>
          </w:p>
        </w:tc>
        <w:tc>
          <w:tcPr>
            <w:tcW w:w="6363" w:type="dxa"/>
          </w:tcPr>
          <w:p w14:paraId="5FFC68F0" w14:textId="77777777" w:rsidR="006407F6" w:rsidRPr="001A2F85" w:rsidRDefault="006407F6" w:rsidP="000B6604">
            <w:pPr>
              <w:pStyle w:val="BodyText"/>
            </w:pPr>
            <w:r w:rsidRPr="001A2F85">
              <w:t>Higher Education Equity Program</w:t>
            </w:r>
          </w:p>
        </w:tc>
      </w:tr>
      <w:tr w:rsidR="006407F6" w:rsidRPr="001A2F85" w14:paraId="7804A78E" w14:textId="77777777" w:rsidTr="000B6604">
        <w:tc>
          <w:tcPr>
            <w:tcW w:w="1809" w:type="dxa"/>
          </w:tcPr>
          <w:p w14:paraId="0846F8E9" w14:textId="77777777" w:rsidR="006407F6" w:rsidRPr="001A2F85" w:rsidRDefault="006407F6" w:rsidP="000B6604">
            <w:pPr>
              <w:pStyle w:val="BodyText"/>
              <w:tabs>
                <w:tab w:val="left" w:pos="1125"/>
              </w:tabs>
            </w:pPr>
            <w:r w:rsidRPr="001A2F85">
              <w:t>HEIMS</w:t>
            </w:r>
          </w:p>
        </w:tc>
        <w:tc>
          <w:tcPr>
            <w:tcW w:w="6363" w:type="dxa"/>
          </w:tcPr>
          <w:p w14:paraId="25C7AB55" w14:textId="77777777" w:rsidR="006407F6" w:rsidRPr="001A2F85" w:rsidRDefault="006407F6" w:rsidP="000B6604">
            <w:pPr>
              <w:pStyle w:val="BodyText"/>
            </w:pPr>
            <w:r w:rsidRPr="001A2F85">
              <w:t>Higher Education Information Management System</w:t>
            </w:r>
          </w:p>
        </w:tc>
      </w:tr>
      <w:tr w:rsidR="006407F6" w:rsidRPr="001A2F85" w14:paraId="539031BE" w14:textId="77777777" w:rsidTr="000B6604">
        <w:tc>
          <w:tcPr>
            <w:tcW w:w="1809" w:type="dxa"/>
          </w:tcPr>
          <w:p w14:paraId="659CDDF5" w14:textId="77777777" w:rsidR="006407F6" w:rsidRPr="001A2F85" w:rsidRDefault="006407F6" w:rsidP="000B6604">
            <w:pPr>
              <w:pStyle w:val="BodyText"/>
              <w:tabs>
                <w:tab w:val="left" w:pos="1125"/>
              </w:tabs>
            </w:pPr>
            <w:r w:rsidRPr="001A2F85">
              <w:t>HELP</w:t>
            </w:r>
          </w:p>
        </w:tc>
        <w:tc>
          <w:tcPr>
            <w:tcW w:w="6363" w:type="dxa"/>
          </w:tcPr>
          <w:p w14:paraId="4DFBE515" w14:textId="77777777" w:rsidR="006407F6" w:rsidRPr="001A2F85" w:rsidRDefault="006407F6" w:rsidP="000B6604">
            <w:pPr>
              <w:pStyle w:val="BodyText"/>
            </w:pPr>
            <w:r w:rsidRPr="001A2F85">
              <w:t>Higher Education Loan Program</w:t>
            </w:r>
          </w:p>
        </w:tc>
      </w:tr>
      <w:tr w:rsidR="006407F6" w:rsidRPr="001A2F85" w14:paraId="68D54164" w14:textId="77777777" w:rsidTr="000B6604">
        <w:tc>
          <w:tcPr>
            <w:tcW w:w="1809" w:type="dxa"/>
          </w:tcPr>
          <w:p w14:paraId="5DD11B11" w14:textId="77777777" w:rsidR="006407F6" w:rsidRPr="001A2F85" w:rsidRDefault="006407F6" w:rsidP="000B6604">
            <w:pPr>
              <w:pStyle w:val="BodyText"/>
            </w:pPr>
            <w:r w:rsidRPr="001A2F85">
              <w:t>HEPPP</w:t>
            </w:r>
          </w:p>
        </w:tc>
        <w:tc>
          <w:tcPr>
            <w:tcW w:w="6363" w:type="dxa"/>
          </w:tcPr>
          <w:p w14:paraId="3A083B3C" w14:textId="77777777" w:rsidR="006407F6" w:rsidRPr="001A2F85" w:rsidRDefault="006407F6" w:rsidP="000B6604">
            <w:pPr>
              <w:pStyle w:val="BodyText"/>
            </w:pPr>
            <w:r w:rsidRPr="001A2F85">
              <w:t>Higher Education Participation and Partnerships Programme</w:t>
            </w:r>
          </w:p>
        </w:tc>
      </w:tr>
      <w:tr w:rsidR="006407F6" w:rsidRPr="001A2F85" w14:paraId="77020696" w14:textId="77777777" w:rsidTr="000B6604">
        <w:tc>
          <w:tcPr>
            <w:tcW w:w="1809" w:type="dxa"/>
          </w:tcPr>
          <w:p w14:paraId="583A75F0" w14:textId="77777777" w:rsidR="006407F6" w:rsidRPr="001A2F85" w:rsidRDefault="006407F6" w:rsidP="000B6604">
            <w:pPr>
              <w:pStyle w:val="BodyText"/>
              <w:tabs>
                <w:tab w:val="left" w:pos="1125"/>
              </w:tabs>
            </w:pPr>
            <w:r w:rsidRPr="001A2F85">
              <w:t>HERR</w:t>
            </w:r>
          </w:p>
        </w:tc>
        <w:tc>
          <w:tcPr>
            <w:tcW w:w="6363" w:type="dxa"/>
          </w:tcPr>
          <w:p w14:paraId="55CB6582" w14:textId="77777777" w:rsidR="006407F6" w:rsidRPr="001A2F85" w:rsidRDefault="006407F6" w:rsidP="000B6604">
            <w:pPr>
              <w:pStyle w:val="BodyText"/>
            </w:pPr>
            <w:r w:rsidRPr="001A2F85">
              <w:t>Higher Education and Research Reform</w:t>
            </w:r>
          </w:p>
        </w:tc>
      </w:tr>
      <w:tr w:rsidR="006407F6" w:rsidRPr="001A2F85" w14:paraId="2110B339" w14:textId="77777777" w:rsidTr="000B6604">
        <w:tc>
          <w:tcPr>
            <w:tcW w:w="1809" w:type="dxa"/>
          </w:tcPr>
          <w:p w14:paraId="23C3AAF2" w14:textId="77777777" w:rsidR="006407F6" w:rsidRPr="001A2F85" w:rsidRDefault="006407F6" w:rsidP="000B6604">
            <w:pPr>
              <w:pStyle w:val="BodyText"/>
              <w:tabs>
                <w:tab w:val="left" w:pos="1125"/>
              </w:tabs>
            </w:pPr>
            <w:r w:rsidRPr="001A2F85">
              <w:t>HESA</w:t>
            </w:r>
          </w:p>
        </w:tc>
        <w:tc>
          <w:tcPr>
            <w:tcW w:w="6363" w:type="dxa"/>
          </w:tcPr>
          <w:p w14:paraId="2481C288" w14:textId="77777777" w:rsidR="006407F6" w:rsidRPr="001A2F85" w:rsidRDefault="006407F6" w:rsidP="000B6604">
            <w:pPr>
              <w:pStyle w:val="BodyText"/>
            </w:pPr>
            <w:r w:rsidRPr="001A2F85">
              <w:t>Higher Education Support Act 2004</w:t>
            </w:r>
          </w:p>
        </w:tc>
      </w:tr>
      <w:tr w:rsidR="006407F6" w:rsidRPr="001A2F85" w14:paraId="06FA885C" w14:textId="77777777" w:rsidTr="000B6604">
        <w:tc>
          <w:tcPr>
            <w:tcW w:w="1809" w:type="dxa"/>
          </w:tcPr>
          <w:p w14:paraId="18B8670E" w14:textId="77777777" w:rsidR="006407F6" w:rsidRPr="001A2F85" w:rsidRDefault="006407F6" w:rsidP="000B6604">
            <w:pPr>
              <w:pStyle w:val="BodyText"/>
              <w:tabs>
                <w:tab w:val="left" w:pos="1125"/>
              </w:tabs>
            </w:pPr>
            <w:r w:rsidRPr="001A2F85">
              <w:t>ICSEA</w:t>
            </w:r>
          </w:p>
        </w:tc>
        <w:tc>
          <w:tcPr>
            <w:tcW w:w="6363" w:type="dxa"/>
          </w:tcPr>
          <w:p w14:paraId="7556334A" w14:textId="77777777" w:rsidR="006407F6" w:rsidRPr="001A2F85" w:rsidRDefault="006407F6" w:rsidP="000B6604">
            <w:pPr>
              <w:pStyle w:val="BodyText"/>
            </w:pPr>
            <w:r w:rsidRPr="001A2F85">
              <w:t>Index of Community Socio-Economic Advantage</w:t>
            </w:r>
          </w:p>
        </w:tc>
      </w:tr>
      <w:tr w:rsidR="006407F6" w:rsidRPr="001A2F85" w14:paraId="4A89111E" w14:textId="77777777" w:rsidTr="000B6604">
        <w:tc>
          <w:tcPr>
            <w:tcW w:w="1809" w:type="dxa"/>
          </w:tcPr>
          <w:p w14:paraId="544DE93E" w14:textId="77777777" w:rsidR="006407F6" w:rsidRPr="001A2F85" w:rsidRDefault="006407F6" w:rsidP="000B6604">
            <w:pPr>
              <w:pStyle w:val="BodyText"/>
              <w:tabs>
                <w:tab w:val="left" w:pos="1125"/>
              </w:tabs>
            </w:pPr>
            <w:r w:rsidRPr="001A2F85">
              <w:t>IEO</w:t>
            </w:r>
          </w:p>
        </w:tc>
        <w:tc>
          <w:tcPr>
            <w:tcW w:w="6363" w:type="dxa"/>
          </w:tcPr>
          <w:p w14:paraId="4BF9D5BA" w14:textId="77777777" w:rsidR="006407F6" w:rsidRPr="001A2F85" w:rsidRDefault="006407F6" w:rsidP="000B6604">
            <w:pPr>
              <w:pStyle w:val="BodyText"/>
            </w:pPr>
            <w:r w:rsidRPr="001A2F85">
              <w:t>The Index of Education and Occupation</w:t>
            </w:r>
          </w:p>
        </w:tc>
      </w:tr>
      <w:tr w:rsidR="006407F6" w:rsidRPr="001A2F85" w14:paraId="7F10EE81" w14:textId="77777777" w:rsidTr="000B6604">
        <w:tc>
          <w:tcPr>
            <w:tcW w:w="1809" w:type="dxa"/>
          </w:tcPr>
          <w:p w14:paraId="07628FDB" w14:textId="77777777" w:rsidR="006407F6" w:rsidRPr="001A2F85" w:rsidRDefault="006407F6" w:rsidP="000B6604">
            <w:pPr>
              <w:pStyle w:val="BodyText"/>
              <w:tabs>
                <w:tab w:val="left" w:pos="1125"/>
              </w:tabs>
            </w:pPr>
            <w:r w:rsidRPr="001A2F85">
              <w:t>IRU</w:t>
            </w:r>
          </w:p>
        </w:tc>
        <w:tc>
          <w:tcPr>
            <w:tcW w:w="6363" w:type="dxa"/>
          </w:tcPr>
          <w:p w14:paraId="6B3583DF" w14:textId="77777777" w:rsidR="006407F6" w:rsidRPr="001A2F85" w:rsidRDefault="006407F6" w:rsidP="000B6604">
            <w:pPr>
              <w:pStyle w:val="BodyText"/>
            </w:pPr>
            <w:r w:rsidRPr="001A2F85">
              <w:t>Innovative Research Universities</w:t>
            </w:r>
          </w:p>
        </w:tc>
      </w:tr>
      <w:tr w:rsidR="006407F6" w:rsidRPr="001A2F85" w14:paraId="1F2EB938" w14:textId="77777777" w:rsidTr="000B6604">
        <w:tc>
          <w:tcPr>
            <w:tcW w:w="1809" w:type="dxa"/>
          </w:tcPr>
          <w:p w14:paraId="479ACBAA" w14:textId="77777777" w:rsidR="006407F6" w:rsidRPr="001A2F85" w:rsidRDefault="006407F6" w:rsidP="000B6604">
            <w:pPr>
              <w:pStyle w:val="BodyText"/>
              <w:tabs>
                <w:tab w:val="left" w:pos="1125"/>
              </w:tabs>
            </w:pPr>
            <w:r w:rsidRPr="001A2F85">
              <w:t>IT</w:t>
            </w:r>
          </w:p>
        </w:tc>
        <w:tc>
          <w:tcPr>
            <w:tcW w:w="6363" w:type="dxa"/>
          </w:tcPr>
          <w:p w14:paraId="18841BE4" w14:textId="77777777" w:rsidR="006407F6" w:rsidRPr="001A2F85" w:rsidRDefault="006407F6" w:rsidP="000B6604">
            <w:pPr>
              <w:pStyle w:val="BodyText"/>
            </w:pPr>
            <w:r w:rsidRPr="001A2F85">
              <w:t>Information Technology</w:t>
            </w:r>
          </w:p>
        </w:tc>
      </w:tr>
      <w:tr w:rsidR="003441F8" w:rsidRPr="001A2F85" w14:paraId="752B5E5C" w14:textId="77777777" w:rsidTr="000B6604">
        <w:tc>
          <w:tcPr>
            <w:tcW w:w="1809" w:type="dxa"/>
          </w:tcPr>
          <w:p w14:paraId="5E846672" w14:textId="77777777" w:rsidR="003441F8" w:rsidRPr="001A2F85" w:rsidRDefault="003441F8" w:rsidP="000B6604">
            <w:pPr>
              <w:pStyle w:val="BodyText"/>
              <w:tabs>
                <w:tab w:val="left" w:pos="1125"/>
              </w:tabs>
            </w:pPr>
            <w:r>
              <w:t>JCU</w:t>
            </w:r>
          </w:p>
        </w:tc>
        <w:tc>
          <w:tcPr>
            <w:tcW w:w="6363" w:type="dxa"/>
          </w:tcPr>
          <w:p w14:paraId="185AF9BC" w14:textId="77777777" w:rsidR="003441F8" w:rsidRPr="001A2F85" w:rsidRDefault="003441F8" w:rsidP="000B6604">
            <w:pPr>
              <w:pStyle w:val="BodyText"/>
            </w:pPr>
            <w:r>
              <w:t>James Cook University</w:t>
            </w:r>
          </w:p>
        </w:tc>
      </w:tr>
      <w:tr w:rsidR="006407F6" w:rsidRPr="001A2F85" w14:paraId="47A06D2A" w14:textId="77777777" w:rsidTr="000B6604">
        <w:tc>
          <w:tcPr>
            <w:tcW w:w="1809" w:type="dxa"/>
          </w:tcPr>
          <w:p w14:paraId="1BCFF10D" w14:textId="77777777" w:rsidR="006407F6" w:rsidRPr="001A2F85" w:rsidRDefault="006407F6" w:rsidP="000B6604">
            <w:pPr>
              <w:pStyle w:val="BodyText"/>
              <w:tabs>
                <w:tab w:val="left" w:pos="1125"/>
              </w:tabs>
            </w:pPr>
            <w:r w:rsidRPr="001A2F85">
              <w:t>MOU</w:t>
            </w:r>
          </w:p>
        </w:tc>
        <w:tc>
          <w:tcPr>
            <w:tcW w:w="6363" w:type="dxa"/>
          </w:tcPr>
          <w:p w14:paraId="135F3C7E" w14:textId="77777777" w:rsidR="006407F6" w:rsidRPr="001A2F85" w:rsidRDefault="006407F6" w:rsidP="000B6604">
            <w:pPr>
              <w:pStyle w:val="BodyText"/>
            </w:pPr>
            <w:r w:rsidRPr="001A2F85">
              <w:t>Memorandum of understanding</w:t>
            </w:r>
          </w:p>
        </w:tc>
      </w:tr>
      <w:tr w:rsidR="006407F6" w:rsidRPr="001A2F85" w14:paraId="3C6EF217" w14:textId="77777777" w:rsidTr="000B6604">
        <w:tc>
          <w:tcPr>
            <w:tcW w:w="1809" w:type="dxa"/>
          </w:tcPr>
          <w:p w14:paraId="7088B15B" w14:textId="77777777" w:rsidR="006407F6" w:rsidRPr="001A2F85" w:rsidRDefault="006407F6" w:rsidP="000B6604">
            <w:pPr>
              <w:pStyle w:val="BodyText"/>
              <w:tabs>
                <w:tab w:val="left" w:pos="1125"/>
              </w:tabs>
            </w:pPr>
            <w:r w:rsidRPr="001A2F85">
              <w:t>MyTED</w:t>
            </w:r>
          </w:p>
        </w:tc>
        <w:tc>
          <w:tcPr>
            <w:tcW w:w="6363" w:type="dxa"/>
          </w:tcPr>
          <w:p w14:paraId="4708ECBD" w14:textId="77777777" w:rsidR="006407F6" w:rsidRPr="001A2F85" w:rsidRDefault="006407F6" w:rsidP="000B6604">
            <w:pPr>
              <w:pStyle w:val="BodyText"/>
            </w:pPr>
            <w:r w:rsidRPr="001A2F85">
              <w:t>My Tertiary Education Day</w:t>
            </w:r>
          </w:p>
        </w:tc>
      </w:tr>
      <w:tr w:rsidR="00655909" w:rsidRPr="001A2F85" w14:paraId="71A3E00D" w14:textId="77777777" w:rsidTr="000B6604">
        <w:tc>
          <w:tcPr>
            <w:tcW w:w="1809" w:type="dxa"/>
          </w:tcPr>
          <w:p w14:paraId="074A379F" w14:textId="77777777" w:rsidR="00655909" w:rsidRPr="001A2F85" w:rsidRDefault="00655909">
            <w:pPr>
              <w:pStyle w:val="BodyText"/>
              <w:tabs>
                <w:tab w:val="left" w:pos="1125"/>
              </w:tabs>
            </w:pPr>
            <w:r>
              <w:t>N</w:t>
            </w:r>
            <w:r w:rsidR="009F5C29">
              <w:t>C</w:t>
            </w:r>
            <w:r>
              <w:t>SEHE</w:t>
            </w:r>
          </w:p>
        </w:tc>
        <w:tc>
          <w:tcPr>
            <w:tcW w:w="6363" w:type="dxa"/>
          </w:tcPr>
          <w:p w14:paraId="45448B61" w14:textId="77777777" w:rsidR="00655909" w:rsidRPr="001A2F85" w:rsidRDefault="00655909" w:rsidP="000B6604">
            <w:pPr>
              <w:pStyle w:val="BodyText"/>
            </w:pPr>
            <w:r>
              <w:t>National Centre for Student Equity in Higher Education</w:t>
            </w:r>
          </w:p>
        </w:tc>
      </w:tr>
      <w:tr w:rsidR="006407F6" w:rsidRPr="001A2F85" w14:paraId="0472B064" w14:textId="77777777" w:rsidTr="000B6604">
        <w:tc>
          <w:tcPr>
            <w:tcW w:w="1809" w:type="dxa"/>
          </w:tcPr>
          <w:p w14:paraId="36D74E6E" w14:textId="77777777" w:rsidR="006407F6" w:rsidRPr="001A2F85" w:rsidRDefault="006407F6" w:rsidP="000B6604">
            <w:pPr>
              <w:pStyle w:val="BodyText"/>
              <w:tabs>
                <w:tab w:val="left" w:pos="1125"/>
              </w:tabs>
            </w:pPr>
            <w:r w:rsidRPr="001A2F85">
              <w:t>NCVER</w:t>
            </w:r>
          </w:p>
        </w:tc>
        <w:tc>
          <w:tcPr>
            <w:tcW w:w="6363" w:type="dxa"/>
          </w:tcPr>
          <w:p w14:paraId="7CE8A79A" w14:textId="77777777" w:rsidR="006407F6" w:rsidRPr="001A2F85" w:rsidRDefault="006407F6" w:rsidP="000B6604">
            <w:pPr>
              <w:pStyle w:val="BodyText"/>
            </w:pPr>
            <w:r w:rsidRPr="001A2F85">
              <w:t>National Centre for Vocational Education Research</w:t>
            </w:r>
          </w:p>
        </w:tc>
      </w:tr>
      <w:tr w:rsidR="006407F6" w:rsidRPr="001A2F85" w14:paraId="38E5C32E" w14:textId="77777777" w:rsidTr="000B6604">
        <w:tc>
          <w:tcPr>
            <w:tcW w:w="1809" w:type="dxa"/>
          </w:tcPr>
          <w:p w14:paraId="3EE5A01B" w14:textId="77777777" w:rsidR="006407F6" w:rsidRPr="001A2F85" w:rsidRDefault="006407F6" w:rsidP="000B6604">
            <w:pPr>
              <w:pStyle w:val="BodyText"/>
              <w:tabs>
                <w:tab w:val="left" w:pos="1125"/>
              </w:tabs>
            </w:pPr>
            <w:r w:rsidRPr="001A2F85">
              <w:t>NDCO</w:t>
            </w:r>
          </w:p>
        </w:tc>
        <w:tc>
          <w:tcPr>
            <w:tcW w:w="6363" w:type="dxa"/>
          </w:tcPr>
          <w:p w14:paraId="0A3BF2FE" w14:textId="77777777" w:rsidR="006407F6" w:rsidRPr="001A2F85" w:rsidRDefault="006407F6" w:rsidP="000B6604">
            <w:pPr>
              <w:pStyle w:val="BodyText"/>
            </w:pPr>
            <w:r w:rsidRPr="001A2F85">
              <w:t>National Disability Coordination Officer Programme</w:t>
            </w:r>
          </w:p>
        </w:tc>
      </w:tr>
      <w:tr w:rsidR="009F5C29" w:rsidRPr="001A2F85" w14:paraId="46E93A57" w14:textId="77777777" w:rsidTr="000B6604">
        <w:tc>
          <w:tcPr>
            <w:tcW w:w="1809" w:type="dxa"/>
          </w:tcPr>
          <w:p w14:paraId="617D8B6F" w14:textId="77777777" w:rsidR="009F5C29" w:rsidRPr="001A2F85" w:rsidRDefault="009F5C29" w:rsidP="000B6604">
            <w:pPr>
              <w:pStyle w:val="BodyText"/>
              <w:tabs>
                <w:tab w:val="left" w:pos="1125"/>
              </w:tabs>
            </w:pPr>
            <w:r>
              <w:t>NESB</w:t>
            </w:r>
          </w:p>
        </w:tc>
        <w:tc>
          <w:tcPr>
            <w:tcW w:w="6363" w:type="dxa"/>
          </w:tcPr>
          <w:p w14:paraId="285B055B" w14:textId="77777777" w:rsidR="009F5C29" w:rsidRPr="001A2F85" w:rsidRDefault="009F5C29" w:rsidP="000B6604">
            <w:pPr>
              <w:pStyle w:val="BodyText"/>
            </w:pPr>
            <w:r>
              <w:t>Students from a non-English speaking background</w:t>
            </w:r>
          </w:p>
        </w:tc>
      </w:tr>
      <w:tr w:rsidR="006407F6" w:rsidRPr="001A2F85" w14:paraId="1D5BAC2C" w14:textId="77777777" w:rsidTr="000B6604">
        <w:tc>
          <w:tcPr>
            <w:tcW w:w="1809" w:type="dxa"/>
          </w:tcPr>
          <w:p w14:paraId="7C7003FA" w14:textId="77777777" w:rsidR="006407F6" w:rsidRPr="001A2F85" w:rsidRDefault="006407F6" w:rsidP="000B6604">
            <w:pPr>
              <w:pStyle w:val="BodyText"/>
              <w:tabs>
                <w:tab w:val="left" w:pos="1125"/>
              </w:tabs>
            </w:pPr>
            <w:r w:rsidRPr="001A2F85">
              <w:t>NPP</w:t>
            </w:r>
          </w:p>
        </w:tc>
        <w:tc>
          <w:tcPr>
            <w:tcW w:w="6363" w:type="dxa"/>
          </w:tcPr>
          <w:p w14:paraId="70558EFE" w14:textId="77777777" w:rsidR="006407F6" w:rsidRPr="001A2F85" w:rsidRDefault="006407F6" w:rsidP="000B6604">
            <w:pPr>
              <w:pStyle w:val="BodyText"/>
            </w:pPr>
            <w:r w:rsidRPr="001A2F85">
              <w:t>National Priorities Pool</w:t>
            </w:r>
          </w:p>
        </w:tc>
      </w:tr>
      <w:tr w:rsidR="00DC6371" w:rsidRPr="001A2F85" w14:paraId="5A830548" w14:textId="77777777" w:rsidTr="000B6604">
        <w:tc>
          <w:tcPr>
            <w:tcW w:w="1809" w:type="dxa"/>
          </w:tcPr>
          <w:p w14:paraId="60E8DE3D" w14:textId="77777777" w:rsidR="00DC6371" w:rsidRDefault="00DC6371" w:rsidP="000B6604">
            <w:pPr>
              <w:pStyle w:val="BodyText"/>
              <w:tabs>
                <w:tab w:val="left" w:pos="1125"/>
              </w:tabs>
            </w:pPr>
            <w:r>
              <w:t>PASS</w:t>
            </w:r>
          </w:p>
        </w:tc>
        <w:tc>
          <w:tcPr>
            <w:tcW w:w="6363" w:type="dxa"/>
          </w:tcPr>
          <w:p w14:paraId="60A2A439" w14:textId="77777777" w:rsidR="00DC6371" w:rsidRDefault="00DC6371" w:rsidP="000B6604">
            <w:pPr>
              <w:pStyle w:val="BodyText"/>
            </w:pPr>
            <w:r>
              <w:t>Peer Assisted Study Sessions</w:t>
            </w:r>
          </w:p>
        </w:tc>
      </w:tr>
      <w:tr w:rsidR="00237276" w:rsidRPr="001A2F85" w14:paraId="08FAB8E2" w14:textId="77777777" w:rsidTr="000B6604">
        <w:tc>
          <w:tcPr>
            <w:tcW w:w="1809" w:type="dxa"/>
          </w:tcPr>
          <w:p w14:paraId="6F6E8E8B" w14:textId="77777777" w:rsidR="00237276" w:rsidRDefault="00237276" w:rsidP="000B6604">
            <w:pPr>
              <w:pStyle w:val="BodyText"/>
              <w:tabs>
                <w:tab w:val="left" w:pos="1125"/>
              </w:tabs>
            </w:pPr>
            <w:r>
              <w:t>QTAC</w:t>
            </w:r>
          </w:p>
        </w:tc>
        <w:tc>
          <w:tcPr>
            <w:tcW w:w="6363" w:type="dxa"/>
          </w:tcPr>
          <w:p w14:paraId="7F5F6034" w14:textId="77777777" w:rsidR="00237276" w:rsidRDefault="00237276" w:rsidP="000B6604">
            <w:pPr>
              <w:pStyle w:val="BodyText"/>
            </w:pPr>
            <w:r>
              <w:t>Queensland Tertiary Admissions Centre</w:t>
            </w:r>
          </w:p>
        </w:tc>
      </w:tr>
      <w:tr w:rsidR="003441F8" w:rsidRPr="001A2F85" w14:paraId="4AA56245" w14:textId="77777777" w:rsidTr="000B6604">
        <w:tc>
          <w:tcPr>
            <w:tcW w:w="1809" w:type="dxa"/>
          </w:tcPr>
          <w:p w14:paraId="159371AC" w14:textId="77777777" w:rsidR="003441F8" w:rsidRPr="001A2F85" w:rsidRDefault="003441F8" w:rsidP="000B6604">
            <w:pPr>
              <w:pStyle w:val="BodyText"/>
              <w:tabs>
                <w:tab w:val="left" w:pos="1125"/>
              </w:tabs>
            </w:pPr>
            <w:r>
              <w:t>QUT</w:t>
            </w:r>
          </w:p>
        </w:tc>
        <w:tc>
          <w:tcPr>
            <w:tcW w:w="6363" w:type="dxa"/>
          </w:tcPr>
          <w:p w14:paraId="547C9678" w14:textId="77777777" w:rsidR="003441F8" w:rsidRPr="001A2F85" w:rsidRDefault="003441F8" w:rsidP="000B6604">
            <w:pPr>
              <w:pStyle w:val="BodyText"/>
            </w:pPr>
            <w:r>
              <w:t>Queensland University of Technology</w:t>
            </w:r>
          </w:p>
        </w:tc>
      </w:tr>
      <w:tr w:rsidR="003441F8" w:rsidRPr="001A2F85" w14:paraId="7A199CEA" w14:textId="77777777" w:rsidTr="000B6604">
        <w:tc>
          <w:tcPr>
            <w:tcW w:w="1809" w:type="dxa"/>
          </w:tcPr>
          <w:p w14:paraId="45B7C164" w14:textId="77777777" w:rsidR="003441F8" w:rsidRPr="001A2F85" w:rsidRDefault="003441F8" w:rsidP="000B6604">
            <w:pPr>
              <w:pStyle w:val="BodyText"/>
              <w:tabs>
                <w:tab w:val="left" w:pos="1125"/>
              </w:tabs>
            </w:pPr>
            <w:r>
              <w:t>RMIT</w:t>
            </w:r>
          </w:p>
        </w:tc>
        <w:tc>
          <w:tcPr>
            <w:tcW w:w="6363" w:type="dxa"/>
          </w:tcPr>
          <w:p w14:paraId="3582E861" w14:textId="77777777" w:rsidR="003441F8" w:rsidRPr="001A2F85" w:rsidRDefault="00940E6E" w:rsidP="000B6604">
            <w:pPr>
              <w:pStyle w:val="BodyText"/>
            </w:pPr>
            <w:r>
              <w:t>RMIT</w:t>
            </w:r>
            <w:r w:rsidR="00AC0C28">
              <w:t xml:space="preserve"> University</w:t>
            </w:r>
          </w:p>
        </w:tc>
      </w:tr>
      <w:tr w:rsidR="006407F6" w:rsidRPr="001A2F85" w14:paraId="487CDC8A" w14:textId="77777777" w:rsidTr="000B6604">
        <w:tc>
          <w:tcPr>
            <w:tcW w:w="1809" w:type="dxa"/>
          </w:tcPr>
          <w:p w14:paraId="43A5A861" w14:textId="77777777" w:rsidR="006407F6" w:rsidRPr="001A2F85" w:rsidRDefault="006407F6" w:rsidP="000B6604">
            <w:pPr>
              <w:pStyle w:val="BodyText"/>
              <w:tabs>
                <w:tab w:val="left" w:pos="1125"/>
              </w:tabs>
            </w:pPr>
            <w:r w:rsidRPr="001A2F85">
              <w:t>RUN</w:t>
            </w:r>
          </w:p>
        </w:tc>
        <w:tc>
          <w:tcPr>
            <w:tcW w:w="6363" w:type="dxa"/>
          </w:tcPr>
          <w:p w14:paraId="45397651" w14:textId="77777777" w:rsidR="006407F6" w:rsidRPr="001A2F85" w:rsidRDefault="006407F6" w:rsidP="000B6604">
            <w:pPr>
              <w:pStyle w:val="BodyText"/>
            </w:pPr>
            <w:r w:rsidRPr="001A2F85">
              <w:t>Regional Universities Network</w:t>
            </w:r>
          </w:p>
        </w:tc>
      </w:tr>
      <w:tr w:rsidR="006407F6" w:rsidRPr="001A2F85" w14:paraId="6D07F786" w14:textId="77777777" w:rsidTr="000B6604">
        <w:tc>
          <w:tcPr>
            <w:tcW w:w="1809" w:type="dxa"/>
          </w:tcPr>
          <w:p w14:paraId="79256F2C" w14:textId="77777777" w:rsidR="006407F6" w:rsidRPr="001A2F85" w:rsidRDefault="006407F6" w:rsidP="000B6604">
            <w:pPr>
              <w:pStyle w:val="BodyText"/>
              <w:tabs>
                <w:tab w:val="left" w:pos="1125"/>
              </w:tabs>
            </w:pPr>
            <w:r w:rsidRPr="001A2F85">
              <w:t>SA1</w:t>
            </w:r>
          </w:p>
        </w:tc>
        <w:tc>
          <w:tcPr>
            <w:tcW w:w="6363" w:type="dxa"/>
          </w:tcPr>
          <w:p w14:paraId="2C26F168" w14:textId="77777777" w:rsidR="006407F6" w:rsidRPr="001A2F85" w:rsidRDefault="006407F6" w:rsidP="000B6604">
            <w:pPr>
              <w:pStyle w:val="BodyText"/>
            </w:pPr>
            <w:r w:rsidRPr="001A2F85">
              <w:t>Statistical Area Level 1</w:t>
            </w:r>
          </w:p>
        </w:tc>
      </w:tr>
      <w:tr w:rsidR="003441F8" w:rsidRPr="001A2F85" w14:paraId="7F7ED4A8" w14:textId="77777777" w:rsidTr="000B6604">
        <w:tc>
          <w:tcPr>
            <w:tcW w:w="1809" w:type="dxa"/>
          </w:tcPr>
          <w:p w14:paraId="65AFBA3A" w14:textId="77777777" w:rsidR="003441F8" w:rsidRPr="001A2F85" w:rsidRDefault="003441F8" w:rsidP="000B6604">
            <w:pPr>
              <w:pStyle w:val="BodyText"/>
              <w:tabs>
                <w:tab w:val="left" w:pos="1125"/>
              </w:tabs>
            </w:pPr>
            <w:r>
              <w:t>SCU</w:t>
            </w:r>
          </w:p>
        </w:tc>
        <w:tc>
          <w:tcPr>
            <w:tcW w:w="6363" w:type="dxa"/>
          </w:tcPr>
          <w:p w14:paraId="2188284D" w14:textId="77777777" w:rsidR="003441F8" w:rsidRPr="001A2F85" w:rsidRDefault="003441F8" w:rsidP="000B6604">
            <w:pPr>
              <w:pStyle w:val="BodyText"/>
            </w:pPr>
            <w:r>
              <w:t>Southern Cross University</w:t>
            </w:r>
          </w:p>
        </w:tc>
      </w:tr>
      <w:tr w:rsidR="006407F6" w:rsidRPr="001A2F85" w14:paraId="1D3867E2" w14:textId="77777777" w:rsidTr="000B6604">
        <w:tc>
          <w:tcPr>
            <w:tcW w:w="1809" w:type="dxa"/>
          </w:tcPr>
          <w:p w14:paraId="3FB12432" w14:textId="77777777" w:rsidR="006407F6" w:rsidRPr="001A2F85" w:rsidRDefault="006407F6" w:rsidP="000B6604">
            <w:pPr>
              <w:pStyle w:val="BodyText"/>
              <w:tabs>
                <w:tab w:val="left" w:pos="1125"/>
              </w:tabs>
            </w:pPr>
            <w:r w:rsidRPr="001A2F85">
              <w:t>SEIFA</w:t>
            </w:r>
          </w:p>
        </w:tc>
        <w:tc>
          <w:tcPr>
            <w:tcW w:w="6363" w:type="dxa"/>
          </w:tcPr>
          <w:p w14:paraId="09C6730D" w14:textId="77777777" w:rsidR="006407F6" w:rsidRPr="001A2F85" w:rsidRDefault="006407F6" w:rsidP="000B6604">
            <w:pPr>
              <w:pStyle w:val="BodyText"/>
            </w:pPr>
            <w:r w:rsidRPr="001A2F85">
              <w:t>Socio-Economic Indexes for Areas</w:t>
            </w:r>
          </w:p>
        </w:tc>
      </w:tr>
      <w:tr w:rsidR="006407F6" w:rsidRPr="001A2F85" w14:paraId="7875F732" w14:textId="77777777" w:rsidTr="000B6604">
        <w:tc>
          <w:tcPr>
            <w:tcW w:w="1809" w:type="dxa"/>
          </w:tcPr>
          <w:p w14:paraId="17F5F862" w14:textId="77777777" w:rsidR="006407F6" w:rsidRPr="001A2F85" w:rsidRDefault="006407F6" w:rsidP="000B6604">
            <w:pPr>
              <w:pStyle w:val="BodyText"/>
              <w:tabs>
                <w:tab w:val="left" w:pos="1125"/>
              </w:tabs>
            </w:pPr>
            <w:r w:rsidRPr="001A2F85">
              <w:t>SES</w:t>
            </w:r>
          </w:p>
        </w:tc>
        <w:tc>
          <w:tcPr>
            <w:tcW w:w="6363" w:type="dxa"/>
          </w:tcPr>
          <w:p w14:paraId="524692AE" w14:textId="77777777" w:rsidR="006407F6" w:rsidRPr="001A2F85" w:rsidRDefault="006407F6" w:rsidP="000B6604">
            <w:pPr>
              <w:pStyle w:val="BodyText"/>
            </w:pPr>
            <w:r w:rsidRPr="001A2F85">
              <w:t>Socioeconomic status</w:t>
            </w:r>
          </w:p>
        </w:tc>
      </w:tr>
      <w:tr w:rsidR="00655909" w:rsidRPr="001A2F85" w14:paraId="1BCCD743" w14:textId="77777777" w:rsidTr="000B6604">
        <w:tc>
          <w:tcPr>
            <w:tcW w:w="1809" w:type="dxa"/>
          </w:tcPr>
          <w:p w14:paraId="60993F22" w14:textId="77777777" w:rsidR="00655909" w:rsidRPr="001A2F85" w:rsidRDefault="00655909" w:rsidP="000B6604">
            <w:pPr>
              <w:pStyle w:val="BodyText"/>
              <w:tabs>
                <w:tab w:val="left" w:pos="1125"/>
              </w:tabs>
            </w:pPr>
            <w:r>
              <w:t>STARS</w:t>
            </w:r>
          </w:p>
        </w:tc>
        <w:tc>
          <w:tcPr>
            <w:tcW w:w="6363" w:type="dxa"/>
          </w:tcPr>
          <w:p w14:paraId="7217F2DC" w14:textId="77777777" w:rsidR="00655909" w:rsidRPr="001A2F85" w:rsidRDefault="00655909">
            <w:pPr>
              <w:pStyle w:val="BodyText"/>
            </w:pPr>
            <w:r w:rsidRPr="00655909">
              <w:t>Students,</w:t>
            </w:r>
            <w:r>
              <w:t xml:space="preserve"> </w:t>
            </w:r>
            <w:r w:rsidRPr="00655909">
              <w:t xml:space="preserve">Transitions, Achievement, Retention </w:t>
            </w:r>
            <w:r>
              <w:t>and</w:t>
            </w:r>
            <w:r w:rsidRPr="00655909">
              <w:t xml:space="preserve"> Success</w:t>
            </w:r>
            <w:r>
              <w:t xml:space="preserve"> Conference</w:t>
            </w:r>
          </w:p>
        </w:tc>
      </w:tr>
      <w:tr w:rsidR="006407F6" w:rsidRPr="001A2F85" w14:paraId="508A0C9B" w14:textId="77777777" w:rsidTr="000B6604">
        <w:tc>
          <w:tcPr>
            <w:tcW w:w="1809" w:type="dxa"/>
          </w:tcPr>
          <w:p w14:paraId="1C6AEA34" w14:textId="77777777" w:rsidR="006407F6" w:rsidRPr="001A2F85" w:rsidRDefault="006407F6" w:rsidP="000B6604">
            <w:pPr>
              <w:pStyle w:val="BodyText"/>
              <w:tabs>
                <w:tab w:val="left" w:pos="1125"/>
              </w:tabs>
            </w:pPr>
            <w:r w:rsidRPr="001A2F85">
              <w:t>STEM</w:t>
            </w:r>
          </w:p>
        </w:tc>
        <w:tc>
          <w:tcPr>
            <w:tcW w:w="6363" w:type="dxa"/>
          </w:tcPr>
          <w:p w14:paraId="4CA77D98" w14:textId="77777777" w:rsidR="006407F6" w:rsidRPr="001A2F85" w:rsidRDefault="006407F6" w:rsidP="000B6604">
            <w:pPr>
              <w:pStyle w:val="BodyText"/>
            </w:pPr>
            <w:r w:rsidRPr="001A2F85">
              <w:t>Science, Technology, Engineering and Mathematics</w:t>
            </w:r>
          </w:p>
        </w:tc>
      </w:tr>
      <w:tr w:rsidR="006407F6" w:rsidRPr="001A2F85" w14:paraId="2F3ACCCA" w14:textId="77777777" w:rsidTr="000B6604">
        <w:tc>
          <w:tcPr>
            <w:tcW w:w="1809" w:type="dxa"/>
          </w:tcPr>
          <w:p w14:paraId="5B126EB9" w14:textId="77777777" w:rsidR="006407F6" w:rsidRPr="001A2F85" w:rsidRDefault="006407F6" w:rsidP="000B6604">
            <w:pPr>
              <w:pStyle w:val="BodyText"/>
              <w:tabs>
                <w:tab w:val="left" w:pos="1125"/>
              </w:tabs>
            </w:pPr>
            <w:r w:rsidRPr="001A2F85">
              <w:t>TAFE</w:t>
            </w:r>
          </w:p>
        </w:tc>
        <w:tc>
          <w:tcPr>
            <w:tcW w:w="6363" w:type="dxa"/>
          </w:tcPr>
          <w:p w14:paraId="6D2E95EE" w14:textId="77777777" w:rsidR="006407F6" w:rsidRPr="001A2F85" w:rsidRDefault="006407F6" w:rsidP="000B6604">
            <w:pPr>
              <w:pStyle w:val="BodyText"/>
            </w:pPr>
            <w:r w:rsidRPr="001A2F85">
              <w:t>Technical and Further Education</w:t>
            </w:r>
          </w:p>
        </w:tc>
      </w:tr>
      <w:tr w:rsidR="00237276" w:rsidRPr="001A2F85" w14:paraId="14938CE5" w14:textId="77777777" w:rsidTr="000B6604">
        <w:tc>
          <w:tcPr>
            <w:tcW w:w="1809" w:type="dxa"/>
          </w:tcPr>
          <w:p w14:paraId="7DCF28A3" w14:textId="77777777" w:rsidR="00237276" w:rsidRPr="001A2F85" w:rsidRDefault="00237276" w:rsidP="000B6604">
            <w:pPr>
              <w:pStyle w:val="BodyText"/>
              <w:tabs>
                <w:tab w:val="left" w:pos="1125"/>
              </w:tabs>
            </w:pPr>
            <w:r>
              <w:t>UAC</w:t>
            </w:r>
          </w:p>
        </w:tc>
        <w:tc>
          <w:tcPr>
            <w:tcW w:w="6363" w:type="dxa"/>
          </w:tcPr>
          <w:p w14:paraId="0F56EB74" w14:textId="77777777" w:rsidR="00237276" w:rsidRPr="001A2F85" w:rsidRDefault="00237276" w:rsidP="000B6604">
            <w:pPr>
              <w:pStyle w:val="BodyText"/>
            </w:pPr>
            <w:r>
              <w:t>Universities Admissions Centre</w:t>
            </w:r>
          </w:p>
        </w:tc>
      </w:tr>
      <w:tr w:rsidR="006407F6" w:rsidRPr="001A2F85" w14:paraId="22F97476" w14:textId="77777777" w:rsidTr="000B6604">
        <w:tc>
          <w:tcPr>
            <w:tcW w:w="1809" w:type="dxa"/>
          </w:tcPr>
          <w:p w14:paraId="7B90F92A" w14:textId="77777777" w:rsidR="006407F6" w:rsidRPr="001A2F85" w:rsidRDefault="006407F6" w:rsidP="000B6604">
            <w:pPr>
              <w:pStyle w:val="BodyText"/>
              <w:tabs>
                <w:tab w:val="left" w:pos="1125"/>
              </w:tabs>
            </w:pPr>
            <w:r w:rsidRPr="001A2F85">
              <w:t>UC</w:t>
            </w:r>
          </w:p>
        </w:tc>
        <w:tc>
          <w:tcPr>
            <w:tcW w:w="6363" w:type="dxa"/>
          </w:tcPr>
          <w:p w14:paraId="03B3C782" w14:textId="77777777" w:rsidR="006407F6" w:rsidRPr="001A2F85" w:rsidRDefault="006407F6" w:rsidP="000B6604">
            <w:pPr>
              <w:pStyle w:val="BodyText"/>
            </w:pPr>
            <w:r w:rsidRPr="001A2F85">
              <w:t>University of Canberra</w:t>
            </w:r>
          </w:p>
        </w:tc>
      </w:tr>
      <w:tr w:rsidR="003441F8" w:rsidRPr="001A2F85" w14:paraId="449F4DEC" w14:textId="77777777" w:rsidTr="000B6604">
        <w:tc>
          <w:tcPr>
            <w:tcW w:w="1809" w:type="dxa"/>
          </w:tcPr>
          <w:p w14:paraId="56F5891D" w14:textId="77777777" w:rsidR="003441F8" w:rsidRPr="001A2F85" w:rsidRDefault="003441F8" w:rsidP="000B6604">
            <w:pPr>
              <w:pStyle w:val="BodyText"/>
              <w:tabs>
                <w:tab w:val="left" w:pos="1125"/>
              </w:tabs>
            </w:pPr>
            <w:r>
              <w:t>UQ</w:t>
            </w:r>
          </w:p>
        </w:tc>
        <w:tc>
          <w:tcPr>
            <w:tcW w:w="6363" w:type="dxa"/>
          </w:tcPr>
          <w:p w14:paraId="249A0ADC" w14:textId="77777777" w:rsidR="003441F8" w:rsidRPr="001A2F85" w:rsidRDefault="003441F8" w:rsidP="000B6604">
            <w:pPr>
              <w:pStyle w:val="BodyText"/>
            </w:pPr>
            <w:r>
              <w:t>The University of Queensland</w:t>
            </w:r>
          </w:p>
        </w:tc>
      </w:tr>
      <w:tr w:rsidR="003441F8" w:rsidRPr="001A2F85" w14:paraId="4BE9A003" w14:textId="77777777" w:rsidTr="000B6604">
        <w:tc>
          <w:tcPr>
            <w:tcW w:w="1809" w:type="dxa"/>
          </w:tcPr>
          <w:p w14:paraId="2E7D32D3" w14:textId="77777777" w:rsidR="003441F8" w:rsidRPr="001A2F85" w:rsidRDefault="003441F8" w:rsidP="000B6604">
            <w:pPr>
              <w:pStyle w:val="BodyText"/>
              <w:tabs>
                <w:tab w:val="left" w:pos="1125"/>
              </w:tabs>
            </w:pPr>
            <w:r>
              <w:t>UNE</w:t>
            </w:r>
          </w:p>
        </w:tc>
        <w:tc>
          <w:tcPr>
            <w:tcW w:w="6363" w:type="dxa"/>
          </w:tcPr>
          <w:p w14:paraId="14138533" w14:textId="77777777" w:rsidR="003441F8" w:rsidRDefault="003441F8" w:rsidP="000B6604">
            <w:pPr>
              <w:pStyle w:val="BodyText"/>
            </w:pPr>
            <w:r>
              <w:t>University of New England</w:t>
            </w:r>
          </w:p>
        </w:tc>
      </w:tr>
      <w:tr w:rsidR="003441F8" w:rsidRPr="001A2F85" w14:paraId="29D3B84A" w14:textId="77777777" w:rsidTr="000B6604">
        <w:tc>
          <w:tcPr>
            <w:tcW w:w="1809" w:type="dxa"/>
          </w:tcPr>
          <w:p w14:paraId="5CAC6C8E" w14:textId="77777777" w:rsidR="003441F8" w:rsidRDefault="003441F8" w:rsidP="000B6604">
            <w:pPr>
              <w:pStyle w:val="BodyText"/>
              <w:tabs>
                <w:tab w:val="left" w:pos="1125"/>
              </w:tabs>
            </w:pPr>
            <w:r>
              <w:t>UniSA</w:t>
            </w:r>
          </w:p>
        </w:tc>
        <w:tc>
          <w:tcPr>
            <w:tcW w:w="6363" w:type="dxa"/>
          </w:tcPr>
          <w:p w14:paraId="5DCD58C7" w14:textId="77777777" w:rsidR="003441F8" w:rsidRDefault="003441F8" w:rsidP="000B6604">
            <w:pPr>
              <w:pStyle w:val="BodyText"/>
            </w:pPr>
            <w:r>
              <w:t>University of South Australia</w:t>
            </w:r>
          </w:p>
        </w:tc>
      </w:tr>
      <w:tr w:rsidR="006407F6" w:rsidRPr="001A2F85" w14:paraId="56C046CF" w14:textId="77777777" w:rsidTr="000B6604">
        <w:tc>
          <w:tcPr>
            <w:tcW w:w="1809" w:type="dxa"/>
          </w:tcPr>
          <w:p w14:paraId="3A51BB3C" w14:textId="77777777" w:rsidR="006407F6" w:rsidRPr="001A2F85" w:rsidRDefault="006407F6" w:rsidP="000B6604">
            <w:pPr>
              <w:pStyle w:val="BodyText"/>
              <w:tabs>
                <w:tab w:val="left" w:pos="1125"/>
              </w:tabs>
            </w:pPr>
            <w:r w:rsidRPr="001A2F85">
              <w:t>UNSW</w:t>
            </w:r>
          </w:p>
        </w:tc>
        <w:tc>
          <w:tcPr>
            <w:tcW w:w="6363" w:type="dxa"/>
          </w:tcPr>
          <w:p w14:paraId="6C88CA28" w14:textId="77777777" w:rsidR="006407F6" w:rsidRPr="001A2F85" w:rsidRDefault="003441F8" w:rsidP="000B6604">
            <w:pPr>
              <w:pStyle w:val="BodyText"/>
            </w:pPr>
            <w:r>
              <w:t xml:space="preserve">The </w:t>
            </w:r>
            <w:r w:rsidR="006407F6" w:rsidRPr="001A2F85">
              <w:t>University of New South Wales</w:t>
            </w:r>
          </w:p>
        </w:tc>
      </w:tr>
      <w:tr w:rsidR="003441F8" w:rsidRPr="001A2F85" w14:paraId="57980301" w14:textId="77777777" w:rsidTr="000B6604">
        <w:tc>
          <w:tcPr>
            <w:tcW w:w="1809" w:type="dxa"/>
          </w:tcPr>
          <w:p w14:paraId="29694ACB" w14:textId="77777777" w:rsidR="003441F8" w:rsidRPr="001A2F85" w:rsidRDefault="003441F8" w:rsidP="000B6604">
            <w:pPr>
              <w:pStyle w:val="BodyText"/>
              <w:tabs>
                <w:tab w:val="left" w:pos="1125"/>
              </w:tabs>
            </w:pPr>
            <w:r>
              <w:t>UTS</w:t>
            </w:r>
          </w:p>
        </w:tc>
        <w:tc>
          <w:tcPr>
            <w:tcW w:w="6363" w:type="dxa"/>
          </w:tcPr>
          <w:p w14:paraId="47670E2F" w14:textId="77777777" w:rsidR="003441F8" w:rsidRDefault="003441F8" w:rsidP="000729C9">
            <w:pPr>
              <w:pStyle w:val="BodyText"/>
            </w:pPr>
            <w:r>
              <w:t>University of Technology Sydney</w:t>
            </w:r>
          </w:p>
        </w:tc>
      </w:tr>
      <w:tr w:rsidR="006407F6" w:rsidRPr="001A2F85" w14:paraId="733BC824" w14:textId="77777777" w:rsidTr="000B6604">
        <w:tc>
          <w:tcPr>
            <w:tcW w:w="1809" w:type="dxa"/>
          </w:tcPr>
          <w:p w14:paraId="7DB826B6" w14:textId="77777777" w:rsidR="006407F6" w:rsidRPr="001A2F85" w:rsidRDefault="006407F6" w:rsidP="000B6604">
            <w:pPr>
              <w:pStyle w:val="BodyText"/>
              <w:tabs>
                <w:tab w:val="left" w:pos="1125"/>
              </w:tabs>
            </w:pPr>
            <w:r w:rsidRPr="001A2F85">
              <w:t>UWA</w:t>
            </w:r>
          </w:p>
        </w:tc>
        <w:tc>
          <w:tcPr>
            <w:tcW w:w="6363" w:type="dxa"/>
          </w:tcPr>
          <w:p w14:paraId="1CB1FCCB" w14:textId="77777777" w:rsidR="006407F6" w:rsidRPr="001A2F85" w:rsidRDefault="003441F8" w:rsidP="000B6604">
            <w:pPr>
              <w:pStyle w:val="BodyText"/>
            </w:pPr>
            <w:r>
              <w:t xml:space="preserve">The </w:t>
            </w:r>
            <w:r w:rsidR="006407F6" w:rsidRPr="001A2F85">
              <w:t>University of Western Australia</w:t>
            </w:r>
          </w:p>
        </w:tc>
      </w:tr>
      <w:tr w:rsidR="006407F6" w:rsidRPr="001A2F85" w14:paraId="792809FA" w14:textId="77777777" w:rsidTr="000B6604">
        <w:tc>
          <w:tcPr>
            <w:tcW w:w="1809" w:type="dxa"/>
          </w:tcPr>
          <w:p w14:paraId="577A0975" w14:textId="77777777" w:rsidR="006407F6" w:rsidRPr="001A2F85" w:rsidRDefault="006407F6" w:rsidP="000B6604">
            <w:pPr>
              <w:pStyle w:val="BodyText"/>
              <w:tabs>
                <w:tab w:val="left" w:pos="1125"/>
              </w:tabs>
            </w:pPr>
            <w:r w:rsidRPr="001A2F85">
              <w:t>VET</w:t>
            </w:r>
          </w:p>
        </w:tc>
        <w:tc>
          <w:tcPr>
            <w:tcW w:w="6363" w:type="dxa"/>
          </w:tcPr>
          <w:p w14:paraId="7FC9BB6C" w14:textId="77777777" w:rsidR="006407F6" w:rsidRPr="001A2F85" w:rsidRDefault="006407F6" w:rsidP="000B6604">
            <w:pPr>
              <w:pStyle w:val="BodyText"/>
            </w:pPr>
            <w:r w:rsidRPr="001A2F85">
              <w:t>Vocational Education and Training</w:t>
            </w:r>
          </w:p>
        </w:tc>
      </w:tr>
      <w:tr w:rsidR="00A969E5" w:rsidRPr="001A2F85" w14:paraId="3A3B8016" w14:textId="77777777" w:rsidTr="000B6604">
        <w:tc>
          <w:tcPr>
            <w:tcW w:w="1809" w:type="dxa"/>
          </w:tcPr>
          <w:p w14:paraId="1013C3D2" w14:textId="77777777" w:rsidR="00A969E5" w:rsidRPr="001A2F85" w:rsidRDefault="00A969E5" w:rsidP="000B6604">
            <w:pPr>
              <w:pStyle w:val="BodyText"/>
              <w:tabs>
                <w:tab w:val="left" w:pos="1125"/>
              </w:tabs>
            </w:pPr>
            <w:r>
              <w:t>VU</w:t>
            </w:r>
          </w:p>
        </w:tc>
        <w:tc>
          <w:tcPr>
            <w:tcW w:w="6363" w:type="dxa"/>
          </w:tcPr>
          <w:p w14:paraId="614BF67A" w14:textId="77777777" w:rsidR="00A969E5" w:rsidRPr="001A2F85" w:rsidRDefault="00A969E5" w:rsidP="000B6604">
            <w:pPr>
              <w:pStyle w:val="BodyText"/>
            </w:pPr>
            <w:r>
              <w:t>Victoria University</w:t>
            </w:r>
          </w:p>
        </w:tc>
      </w:tr>
      <w:tr w:rsidR="003441F8" w:rsidRPr="001A2F85" w14:paraId="7FF57432" w14:textId="77777777" w:rsidTr="000B6604">
        <w:tc>
          <w:tcPr>
            <w:tcW w:w="1809" w:type="dxa"/>
          </w:tcPr>
          <w:p w14:paraId="17AD96B3" w14:textId="77777777" w:rsidR="003441F8" w:rsidRDefault="003441F8" w:rsidP="000B6604">
            <w:pPr>
              <w:pStyle w:val="BodyText"/>
              <w:tabs>
                <w:tab w:val="left" w:pos="1125"/>
              </w:tabs>
            </w:pPr>
            <w:r>
              <w:t>WINTA</w:t>
            </w:r>
          </w:p>
        </w:tc>
        <w:tc>
          <w:tcPr>
            <w:tcW w:w="6363" w:type="dxa"/>
          </w:tcPr>
          <w:p w14:paraId="797B082C" w14:textId="77777777" w:rsidR="003441F8" w:rsidRDefault="003441F8" w:rsidP="000B6604">
            <w:pPr>
              <w:pStyle w:val="BodyText"/>
            </w:pPr>
            <w:r>
              <w:t>Women [studying] in Non-Traditional Areas</w:t>
            </w:r>
          </w:p>
        </w:tc>
      </w:tr>
      <w:tr w:rsidR="006407F6" w:rsidRPr="001A2F85" w14:paraId="684565DB" w14:textId="77777777" w:rsidTr="000B6604">
        <w:tc>
          <w:tcPr>
            <w:tcW w:w="1809" w:type="dxa"/>
          </w:tcPr>
          <w:p w14:paraId="067797E1" w14:textId="77777777" w:rsidR="006407F6" w:rsidRPr="001A2F85" w:rsidRDefault="003441F8" w:rsidP="000B6604">
            <w:pPr>
              <w:pStyle w:val="BodyText"/>
              <w:tabs>
                <w:tab w:val="left" w:pos="1125"/>
              </w:tabs>
            </w:pPr>
            <w:r>
              <w:t>WSU</w:t>
            </w:r>
          </w:p>
        </w:tc>
        <w:tc>
          <w:tcPr>
            <w:tcW w:w="6363" w:type="dxa"/>
          </w:tcPr>
          <w:p w14:paraId="350A5400" w14:textId="77777777" w:rsidR="006407F6" w:rsidRPr="001A2F85" w:rsidRDefault="003441F8" w:rsidP="000B6604">
            <w:pPr>
              <w:pStyle w:val="BodyText"/>
            </w:pPr>
            <w:r>
              <w:t>Western Sydney University</w:t>
            </w:r>
          </w:p>
        </w:tc>
      </w:tr>
    </w:tbl>
    <w:p w14:paraId="496164F0" w14:textId="77777777" w:rsidR="00EA6577" w:rsidRPr="001A2F85" w:rsidRDefault="00EA6577" w:rsidP="000B6604">
      <w:pPr>
        <w:pStyle w:val="BodyText"/>
        <w:sectPr w:rsidR="00EA6577" w:rsidRPr="001A2F85" w:rsidSect="000B6604">
          <w:headerReference w:type="even" r:id="rId32"/>
          <w:headerReference w:type="default" r:id="rId33"/>
          <w:footerReference w:type="even" r:id="rId34"/>
          <w:footerReference w:type="default" r:id="rId35"/>
          <w:headerReference w:type="first" r:id="rId36"/>
          <w:footerReference w:type="first" r:id="rId37"/>
          <w:pgSz w:w="11907" w:h="16839" w:code="9"/>
          <w:pgMar w:top="1100" w:right="443" w:bottom="1320" w:left="3296" w:header="456" w:footer="262" w:gutter="0"/>
          <w:pgNumType w:fmt="lowerRoman"/>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EA6577" w:rsidRPr="001A2F85" w14:paraId="3D5170B5" w14:textId="77777777" w:rsidTr="000B6604">
        <w:trPr>
          <w:trHeight w:hRule="exact" w:val="382"/>
        </w:trPr>
        <w:tc>
          <w:tcPr>
            <w:tcW w:w="4738" w:type="dxa"/>
            <w:shd w:val="clear" w:color="auto" w:fill="9D57A6"/>
          </w:tcPr>
          <w:p w14:paraId="386A37FC" w14:textId="77777777" w:rsidR="00EA6577" w:rsidRPr="001A2F85" w:rsidRDefault="00A45AB3" w:rsidP="000B6604">
            <w:pPr>
              <w:pStyle w:val="tagexecBanner"/>
            </w:pPr>
            <w:r>
              <w:rPr>
                <w:noProof/>
                <w:lang w:eastAsia="en-AU"/>
              </w:rPr>
              <mc:AlternateContent>
                <mc:Choice Requires="wps">
                  <w:drawing>
                    <wp:anchor distT="0" distB="0" distL="114300" distR="114300" simplePos="0" relativeHeight="251638272" behindDoc="0" locked="1" layoutInCell="1" allowOverlap="1" wp14:anchorId="0805ADAC" wp14:editId="4F97F466">
                      <wp:simplePos x="0" y="0"/>
                      <wp:positionH relativeFrom="page">
                        <wp:posOffset>158750</wp:posOffset>
                      </wp:positionH>
                      <wp:positionV relativeFrom="page">
                        <wp:posOffset>6350</wp:posOffset>
                      </wp:positionV>
                      <wp:extent cx="439420" cy="215265"/>
                      <wp:effectExtent l="0" t="0" r="0" b="0"/>
                      <wp:wrapNone/>
                      <wp:docPr id="15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DB598B" id="Freeform 5" o:spid="_x0000_s1026" style="position:absolute;margin-left:12.5pt;margin-top:.5pt;width:34.6pt;height:16.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R6OzuH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5DF28E7E" w14:textId="77777777" w:rsidR="00EA6577" w:rsidRPr="001A2F85" w:rsidRDefault="00EA6577" w:rsidP="000B6604">
            <w:pPr>
              <w:pStyle w:val="spacer"/>
            </w:pPr>
          </w:p>
        </w:tc>
      </w:tr>
      <w:tr w:rsidR="00EA6577" w:rsidRPr="001A2F85" w14:paraId="09A37FD1" w14:textId="77777777" w:rsidTr="000B6604">
        <w:trPr>
          <w:trHeight w:hRule="exact" w:val="3665"/>
        </w:trPr>
        <w:tc>
          <w:tcPr>
            <w:tcW w:w="4738" w:type="dxa"/>
            <w:shd w:val="clear" w:color="auto" w:fill="9D57A6"/>
            <w:tcMar>
              <w:left w:w="0" w:type="dxa"/>
            </w:tcMar>
            <w:vAlign w:val="bottom"/>
          </w:tcPr>
          <w:p w14:paraId="785DB009" w14:textId="77777777" w:rsidR="00EA6577" w:rsidRPr="001A2F85" w:rsidRDefault="00EA6577" w:rsidP="003A3517">
            <w:pPr>
              <w:pStyle w:val="Exec-HeadingBanner"/>
            </w:pPr>
            <w:bookmarkStart w:id="3" w:name="_Toc408649189"/>
            <w:bookmarkStart w:id="4" w:name="_Toc408655752"/>
            <w:bookmarkStart w:id="5" w:name="_Toc404971734"/>
            <w:bookmarkStart w:id="6" w:name="_Toc406666847"/>
            <w:bookmarkStart w:id="7" w:name="_Toc408644059"/>
            <w:bookmarkStart w:id="8" w:name="_Toc412810397"/>
            <w:bookmarkStart w:id="9" w:name="_Toc466657100"/>
            <w:r w:rsidRPr="001A2F85">
              <w:t>Executive Summary</w:t>
            </w:r>
            <w:bookmarkEnd w:id="3"/>
            <w:bookmarkEnd w:id="4"/>
            <w:bookmarkEnd w:id="5"/>
            <w:bookmarkEnd w:id="6"/>
            <w:bookmarkEnd w:id="7"/>
            <w:bookmarkEnd w:id="8"/>
            <w:bookmarkEnd w:id="9"/>
          </w:p>
        </w:tc>
        <w:tc>
          <w:tcPr>
            <w:tcW w:w="3430" w:type="dxa"/>
            <w:shd w:val="clear" w:color="auto" w:fill="9D57A6"/>
            <w:tcMar>
              <w:right w:w="344" w:type="dxa"/>
            </w:tcMar>
          </w:tcPr>
          <w:p w14:paraId="3D3732C5" w14:textId="77777777" w:rsidR="00EA6577" w:rsidRPr="001A2F85" w:rsidRDefault="00EA6577" w:rsidP="000B6604">
            <w:pPr>
              <w:pStyle w:val="Normal-nospace"/>
              <w:rPr>
                <w:noProof/>
              </w:rPr>
            </w:pPr>
          </w:p>
        </w:tc>
      </w:tr>
      <w:tr w:rsidR="00EA6577" w:rsidRPr="001A2F85" w14:paraId="444810AD" w14:textId="77777777" w:rsidTr="000B6604">
        <w:trPr>
          <w:trHeight w:hRule="exact" w:val="232"/>
        </w:trPr>
        <w:tc>
          <w:tcPr>
            <w:tcW w:w="4738" w:type="dxa"/>
            <w:shd w:val="clear" w:color="auto" w:fill="9D57A6"/>
            <w:tcMar>
              <w:left w:w="0" w:type="dxa"/>
            </w:tcMar>
          </w:tcPr>
          <w:p w14:paraId="606B3D01" w14:textId="77777777" w:rsidR="00EA6577" w:rsidRPr="001A2F85" w:rsidRDefault="00EA6577" w:rsidP="000B6604">
            <w:pPr>
              <w:pStyle w:val="spacer"/>
            </w:pPr>
          </w:p>
        </w:tc>
        <w:tc>
          <w:tcPr>
            <w:tcW w:w="3430" w:type="dxa"/>
            <w:shd w:val="clear" w:color="auto" w:fill="9D57A6"/>
            <w:tcMar>
              <w:right w:w="344" w:type="dxa"/>
            </w:tcMar>
          </w:tcPr>
          <w:p w14:paraId="0D104587" w14:textId="77777777" w:rsidR="00EA6577" w:rsidRPr="001A2F85" w:rsidRDefault="00EA6577" w:rsidP="000B6604">
            <w:pPr>
              <w:pStyle w:val="spacer"/>
              <w:rPr>
                <w:noProof/>
              </w:rPr>
            </w:pPr>
          </w:p>
        </w:tc>
      </w:tr>
      <w:tr w:rsidR="00EA6577" w:rsidRPr="001A2F85" w14:paraId="3517DFA2" w14:textId="77777777" w:rsidTr="000B6604">
        <w:trPr>
          <w:trHeight w:hRule="exact" w:val="228"/>
        </w:trPr>
        <w:tc>
          <w:tcPr>
            <w:tcW w:w="4738" w:type="dxa"/>
            <w:tcBorders>
              <w:top w:val="single" w:sz="4" w:space="0" w:color="9D57A6"/>
            </w:tcBorders>
          </w:tcPr>
          <w:p w14:paraId="1BB4A560" w14:textId="77777777" w:rsidR="00EA6577" w:rsidRPr="001A2F85" w:rsidRDefault="00EA6577" w:rsidP="000B6604">
            <w:pPr>
              <w:pStyle w:val="spacer"/>
            </w:pPr>
          </w:p>
        </w:tc>
        <w:tc>
          <w:tcPr>
            <w:tcW w:w="3430" w:type="dxa"/>
            <w:tcBorders>
              <w:top w:val="single" w:sz="4" w:space="0" w:color="9D57A6"/>
            </w:tcBorders>
          </w:tcPr>
          <w:p w14:paraId="7C391642" w14:textId="77777777" w:rsidR="00EA6577" w:rsidRPr="001A2F85" w:rsidRDefault="00EA6577" w:rsidP="000B6604">
            <w:pPr>
              <w:pStyle w:val="spacer"/>
            </w:pPr>
          </w:p>
        </w:tc>
      </w:tr>
    </w:tbl>
    <w:p w14:paraId="6FEB14DA" w14:textId="77777777" w:rsidR="00272CA4" w:rsidRDefault="00272CA4" w:rsidP="00AD49C8">
      <w:pPr>
        <w:pStyle w:val="Heading2nonumber"/>
      </w:pPr>
      <w:r>
        <w:t>Introduction</w:t>
      </w:r>
    </w:p>
    <w:p w14:paraId="288BE895" w14:textId="77777777" w:rsidR="00BD71AA" w:rsidRDefault="00BD71AA" w:rsidP="00BD71AA">
      <w:pPr>
        <w:pStyle w:val="BodyText"/>
      </w:pPr>
      <w:r>
        <w:t xml:space="preserve">This report presents the findings and </w:t>
      </w:r>
      <w:r w:rsidR="000A54A7">
        <w:t xml:space="preserve">recommendations </w:t>
      </w:r>
      <w:r>
        <w:t xml:space="preserve">of the 2016 evaluation of the </w:t>
      </w:r>
      <w:r w:rsidRPr="00572166">
        <w:t>Higher Education Participation and Partnerships Program</w:t>
      </w:r>
      <w:r>
        <w:t xml:space="preserve"> (HEPPP). </w:t>
      </w:r>
    </w:p>
    <w:p w14:paraId="1A66597F" w14:textId="77777777" w:rsidR="00BD71AA" w:rsidRDefault="00BD71AA" w:rsidP="00BD71AA">
      <w:pPr>
        <w:pStyle w:val="BodyText"/>
      </w:pPr>
      <w:r>
        <w:t>The HEPPP was established in 2010 and funds universities</w:t>
      </w:r>
      <w:r>
        <w:rPr>
          <w:rStyle w:val="FootnoteReference"/>
        </w:rPr>
        <w:footnoteReference w:id="1"/>
      </w:r>
      <w:r>
        <w:t xml:space="preserve"> to ‘</w:t>
      </w:r>
      <w:r w:rsidRPr="00572166">
        <w:t>undertake activities and implement strategies that improve access to undergraduate courses for people from low SES backgrounds and improve their retention and completion rates.</w:t>
      </w:r>
      <w:r>
        <w:t>’</w:t>
      </w:r>
      <w:r>
        <w:rPr>
          <w:rStyle w:val="FootnoteReference"/>
        </w:rPr>
        <w:footnoteReference w:id="2"/>
      </w:r>
    </w:p>
    <w:p w14:paraId="63842DE8" w14:textId="77777777" w:rsidR="00BD71AA" w:rsidRDefault="00BD71AA" w:rsidP="00BD71AA">
      <w:pPr>
        <w:pStyle w:val="BodyText"/>
      </w:pPr>
      <w:r>
        <w:t xml:space="preserve">ACIL Allen Consulting (ACIL Allen) and the Wallis Consulting Group (Wallis) were engaged by the Department of Education and Training (the Department) to undertake the evaluation of the HEPPP. The purpose of the evaluation is to </w:t>
      </w:r>
      <w:r w:rsidR="00DC1CA9">
        <w:t>assess</w:t>
      </w:r>
      <w:r w:rsidR="00DC1CA9" w:rsidDel="00DC1CA9">
        <w:t xml:space="preserve"> </w:t>
      </w:r>
      <w:r>
        <w:t>the effectiveness, efficiency and appropriateness of the program, in particular examining:</w:t>
      </w:r>
    </w:p>
    <w:p w14:paraId="60E21624" w14:textId="77777777" w:rsidR="00BD71AA" w:rsidRDefault="00BD71AA" w:rsidP="00A45AB3">
      <w:pPr>
        <w:numPr>
          <w:ilvl w:val="0"/>
          <w:numId w:val="44"/>
        </w:numPr>
        <w:spacing w:before="60" w:after="60"/>
      </w:pPr>
      <w:r>
        <w:t>the outcomes achieved by the program</w:t>
      </w:r>
    </w:p>
    <w:p w14:paraId="5C783C64" w14:textId="77777777" w:rsidR="00BD71AA" w:rsidRDefault="00BD71AA" w:rsidP="00A45AB3">
      <w:pPr>
        <w:numPr>
          <w:ilvl w:val="0"/>
          <w:numId w:val="44"/>
        </w:numPr>
        <w:spacing w:before="60" w:after="60"/>
      </w:pPr>
      <w:r>
        <w:t>who has benefited from the activities of the program, with particular reference to all disadvantaged groups, including people from regional and remote Australia</w:t>
      </w:r>
    </w:p>
    <w:p w14:paraId="0BB1B5F4" w14:textId="77777777" w:rsidR="00BD71AA" w:rsidRDefault="00BD71AA" w:rsidP="00A45AB3">
      <w:pPr>
        <w:numPr>
          <w:ilvl w:val="0"/>
          <w:numId w:val="44"/>
        </w:numPr>
        <w:spacing w:before="60" w:after="60"/>
      </w:pPr>
      <w:r>
        <w:t xml:space="preserve">whether the program provides good value for money </w:t>
      </w:r>
    </w:p>
    <w:p w14:paraId="3B9DFB27" w14:textId="0A611EB4" w:rsidR="00BD71AA" w:rsidRDefault="00BD71AA" w:rsidP="00A45AB3">
      <w:pPr>
        <w:numPr>
          <w:ilvl w:val="0"/>
          <w:numId w:val="44"/>
        </w:numPr>
        <w:spacing w:before="60" w:after="60"/>
      </w:pPr>
      <w:r>
        <w:t>what changes might be required to the program</w:t>
      </w:r>
    </w:p>
    <w:p w14:paraId="36B8D2C6" w14:textId="77777777" w:rsidR="00BD71AA" w:rsidRDefault="00BD71AA" w:rsidP="00BD71AA">
      <w:pPr>
        <w:pStyle w:val="BodyText"/>
      </w:pPr>
      <w:r>
        <w:t>The terms of reference for the evaluation and the sections of the report where they are addressed are provided at the end of the Executive Summary.</w:t>
      </w:r>
    </w:p>
    <w:p w14:paraId="6B7AB3F8" w14:textId="77777777" w:rsidR="00BD71AA" w:rsidRDefault="00BD71AA" w:rsidP="00BD71AA">
      <w:pPr>
        <w:pStyle w:val="BodyText"/>
      </w:pPr>
      <w:r>
        <w:t>The evaluation drew on information from the following sources:</w:t>
      </w:r>
    </w:p>
    <w:p w14:paraId="5D571A37" w14:textId="77777777" w:rsidR="00BD71AA" w:rsidRDefault="00BD71AA" w:rsidP="00A45AB3">
      <w:pPr>
        <w:pStyle w:val="ListBullet"/>
        <w:numPr>
          <w:ilvl w:val="0"/>
          <w:numId w:val="44"/>
        </w:numPr>
      </w:pPr>
      <w:r>
        <w:t xml:space="preserve">Document analysis—of program documentation, university reporting and evaluations, and international higher education equity programs. </w:t>
      </w:r>
    </w:p>
    <w:p w14:paraId="7195AA30" w14:textId="77777777" w:rsidR="00BD71AA" w:rsidRDefault="00BD71AA" w:rsidP="00A45AB3">
      <w:pPr>
        <w:pStyle w:val="ListBullet"/>
        <w:numPr>
          <w:ilvl w:val="0"/>
          <w:numId w:val="44"/>
        </w:numPr>
      </w:pPr>
      <w:r>
        <w:t>Quantitative data analysis—of implementation and outcomes data.</w:t>
      </w:r>
    </w:p>
    <w:p w14:paraId="15AED718" w14:textId="77777777" w:rsidR="00BD71AA" w:rsidRDefault="00BD71AA" w:rsidP="00A45AB3">
      <w:pPr>
        <w:pStyle w:val="ListBullet"/>
        <w:numPr>
          <w:ilvl w:val="0"/>
          <w:numId w:val="44"/>
        </w:numPr>
      </w:pPr>
      <w:r>
        <w:t>Consultations—including interviews, surveys and a written submission process.</w:t>
      </w:r>
    </w:p>
    <w:p w14:paraId="6F7E7DAC" w14:textId="77777777" w:rsidR="00272CA4" w:rsidRDefault="00272CA4" w:rsidP="00A45AB3">
      <w:pPr>
        <w:pStyle w:val="Heading2nonumber"/>
        <w:numPr>
          <w:ilvl w:val="1"/>
          <w:numId w:val="48"/>
        </w:numPr>
      </w:pPr>
      <w:r>
        <w:t>Implementation</w:t>
      </w:r>
    </w:p>
    <w:p w14:paraId="62A81409" w14:textId="77777777" w:rsidR="00BD71AA" w:rsidRDefault="00BD71AA" w:rsidP="006640EC">
      <w:pPr>
        <w:pStyle w:val="BodyText"/>
        <w:keepNext/>
      </w:pPr>
      <w:r>
        <w:t>The HEPPP consists of three components, each with specific objectives and funding arrangements:</w:t>
      </w:r>
    </w:p>
    <w:p w14:paraId="6515947A" w14:textId="77777777" w:rsidR="00BD71AA" w:rsidRDefault="00BD71AA" w:rsidP="006640EC">
      <w:pPr>
        <w:pStyle w:val="ListBullet"/>
        <w:keepNext/>
      </w:pPr>
      <w:r>
        <w:t xml:space="preserve">Participation component—aimed at </w:t>
      </w:r>
      <w:r w:rsidR="00DC1CA9">
        <w:t xml:space="preserve">supporting </w:t>
      </w:r>
      <w:r>
        <w:t>the participation of current and prospective domestic students from low SES backgrounds in accredited undergraduate qualifications</w:t>
      </w:r>
    </w:p>
    <w:p w14:paraId="07EE0C27" w14:textId="77777777" w:rsidR="00BD71AA" w:rsidRDefault="00BD71AA" w:rsidP="006640EC">
      <w:pPr>
        <w:pStyle w:val="ListBullet"/>
        <w:keepNext/>
      </w:pPr>
      <w:r>
        <w:t>Partnership component—aimed at increasing the number of people from low SES backgrounds who access and participate in higher education through effective outreach and related activities</w:t>
      </w:r>
    </w:p>
    <w:p w14:paraId="5254E2FF" w14:textId="77777777" w:rsidR="00BD71AA" w:rsidRDefault="00BD71AA" w:rsidP="006640EC">
      <w:pPr>
        <w:pStyle w:val="ListBullet"/>
        <w:keepNext/>
      </w:pPr>
      <w:r>
        <w:t>National Priorities Pool (NPP)—aimed at increasing the effectiveness of the implementation of HEPPP nationally and at an institutional level.</w:t>
      </w:r>
    </w:p>
    <w:p w14:paraId="1D953EA2" w14:textId="77777777" w:rsidR="00573001" w:rsidRDefault="00BD71AA" w:rsidP="00573001">
      <w:pPr>
        <w:pStyle w:val="BodyText"/>
      </w:pPr>
      <w:r>
        <w:t xml:space="preserve">Across the three components there have been some 2679 projects implemented at the 37 HEPPP universities between 2010 and 2015. This is an average of around 70 projects per university. More than 40 per cent of projects and expenditure have been targeted at directly assisting low SES </w:t>
      </w:r>
      <w:r w:rsidR="00985BC8">
        <w:t>students’</w:t>
      </w:r>
      <w:r w:rsidR="00573001">
        <w:t xml:space="preserve"> transition into engag</w:t>
      </w:r>
      <w:r w:rsidR="00985BC8">
        <w:t>ing</w:t>
      </w:r>
      <w:r w:rsidR="00573001">
        <w:t xml:space="preserve"> with and progress</w:t>
      </w:r>
      <w:r w:rsidR="00985BC8">
        <w:t>ing</w:t>
      </w:r>
      <w:r w:rsidR="00573001">
        <w:t xml:space="preserve"> through university. Around 40 per cent of projects have worked with external partners, </w:t>
      </w:r>
      <w:r w:rsidR="00B22972">
        <w:t xml:space="preserve">usually </w:t>
      </w:r>
      <w:r w:rsidR="00573001">
        <w:t>schools, to increase low SES applications to, offers from and commencements at university. The remaining HEPPP activity includes projects that have focused on pathways to university, the admissions process, and transitioning out of university. The HEPPP has also supported research to improve</w:t>
      </w:r>
      <w:r w:rsidR="0009162D">
        <w:t xml:space="preserve"> the effectiveness and impact of</w:t>
      </w:r>
      <w:r w:rsidR="00573001">
        <w:t xml:space="preserve"> low SES equity practice</w:t>
      </w:r>
      <w:r w:rsidR="0009162D">
        <w:t>s</w:t>
      </w:r>
      <w:r w:rsidR="00573001">
        <w:t xml:space="preserve"> in higher education. </w:t>
      </w:r>
    </w:p>
    <w:p w14:paraId="01909935" w14:textId="77777777" w:rsidR="00BD71AA" w:rsidRDefault="00BD71AA" w:rsidP="00BD71AA">
      <w:pPr>
        <w:pStyle w:val="BodyText"/>
      </w:pPr>
      <w:r>
        <w:t>Academic preparation</w:t>
      </w:r>
      <w:r w:rsidR="00573001">
        <w:t xml:space="preserve"> and </w:t>
      </w:r>
      <w:r>
        <w:t xml:space="preserve">support has been the most </w:t>
      </w:r>
      <w:r w:rsidR="00985BC8">
        <w:t xml:space="preserve">common </w:t>
      </w:r>
      <w:r>
        <w:t xml:space="preserve">activity </w:t>
      </w:r>
      <w:r w:rsidR="00985BC8">
        <w:t xml:space="preserve">undertaken through </w:t>
      </w:r>
      <w:r w:rsidR="00DC1CA9">
        <w:t xml:space="preserve">the </w:t>
      </w:r>
      <w:r>
        <w:t xml:space="preserve">HEPPP, appearing in around one third of all projects reported </w:t>
      </w:r>
      <w:r w:rsidR="00985BC8">
        <w:t xml:space="preserve">from </w:t>
      </w:r>
      <w:r>
        <w:t>2010</w:t>
      </w:r>
      <w:r w:rsidR="00985BC8">
        <w:t>-</w:t>
      </w:r>
      <w:r>
        <w:t xml:space="preserve">2015. Mentoring and peer support, and first year transition support were the two next most utilised activities. </w:t>
      </w:r>
    </w:p>
    <w:p w14:paraId="23523D41" w14:textId="15A0562E" w:rsidR="00573001" w:rsidRDefault="00573001" w:rsidP="00573001">
      <w:pPr>
        <w:pStyle w:val="BodyText"/>
      </w:pPr>
      <w:r>
        <w:t xml:space="preserve">Data provided by 28 universities indicate that around 310,000 students have participated in HEPPP projects at these universities, though this figure may be higher as not all contact may have been recorded. Further, many of these students have participated in multiple HEPPP projects (more than 30 per cent). The data provided also indicate that at least 2,913 partner organisations participated in HEPPP outreach activities over 2010 to 2016. </w:t>
      </w:r>
      <w:r w:rsidR="00023C28">
        <w:t>In addition, HEPPP projects may also involve participation by school students and other people such as teachers and parents.</w:t>
      </w:r>
    </w:p>
    <w:p w14:paraId="2504A688" w14:textId="77777777" w:rsidR="00BD71AA" w:rsidRDefault="00BD71AA" w:rsidP="00BD71AA">
      <w:pPr>
        <w:pStyle w:val="BodyText"/>
      </w:pPr>
      <w:r>
        <w:t xml:space="preserve">The NPP was introduced in 2014 and a total of 65 projects were funded in </w:t>
      </w:r>
      <w:r w:rsidR="003B6920">
        <w:t xml:space="preserve">either </w:t>
      </w:r>
      <w:r>
        <w:t xml:space="preserve">2014 </w:t>
      </w:r>
      <w:r w:rsidR="003B6920">
        <w:t xml:space="preserve">or </w:t>
      </w:r>
      <w:r>
        <w:t xml:space="preserve">2015. These projects </w:t>
      </w:r>
      <w:r w:rsidR="004F03C4">
        <w:t>focused</w:t>
      </w:r>
      <w:r>
        <w:t xml:space="preserve"> on b</w:t>
      </w:r>
      <w:r w:rsidRPr="00CD516C">
        <w:t xml:space="preserve">uilding the evidence base </w:t>
      </w:r>
      <w:r>
        <w:t xml:space="preserve">for </w:t>
      </w:r>
      <w:r w:rsidRPr="00CD516C">
        <w:t>future policy development</w:t>
      </w:r>
      <w:r>
        <w:t>, innovation in equity practice, or research to facilitate m</w:t>
      </w:r>
      <w:r w:rsidRPr="00CD516C">
        <w:t xml:space="preserve">ore effective </w:t>
      </w:r>
      <w:r>
        <w:t>HEPPP</w:t>
      </w:r>
      <w:r w:rsidRPr="00CD516C">
        <w:t xml:space="preserve"> implementation</w:t>
      </w:r>
      <w:r>
        <w:t xml:space="preserve">. </w:t>
      </w:r>
    </w:p>
    <w:p w14:paraId="3E756C10" w14:textId="77777777" w:rsidR="00BD71AA" w:rsidRDefault="00272CA4" w:rsidP="00A45AB3">
      <w:pPr>
        <w:pStyle w:val="Heading2nonumber"/>
        <w:numPr>
          <w:ilvl w:val="1"/>
          <w:numId w:val="48"/>
        </w:numPr>
      </w:pPr>
      <w:r>
        <w:t>Effectiveness</w:t>
      </w:r>
    </w:p>
    <w:p w14:paraId="39BF69EF" w14:textId="77777777" w:rsidR="00BD71AA" w:rsidRDefault="00573001" w:rsidP="00BD71AA">
      <w:pPr>
        <w:pStyle w:val="BodyText"/>
      </w:pPr>
      <w:r>
        <w:t xml:space="preserve">In this report, the </w:t>
      </w:r>
      <w:r w:rsidR="00BD71AA">
        <w:t xml:space="preserve">effectiveness of </w:t>
      </w:r>
      <w:r w:rsidR="00DC1CA9">
        <w:t xml:space="preserve">the </w:t>
      </w:r>
      <w:r w:rsidR="00BD71AA">
        <w:t xml:space="preserve">HEPPP </w:t>
      </w:r>
      <w:r w:rsidR="00037F2B">
        <w:t>is</w:t>
      </w:r>
      <w:r w:rsidR="00BD71AA">
        <w:t xml:space="preserve"> considered within the four stages of the student life cycle in which equity initiatives can take place:</w:t>
      </w:r>
    </w:p>
    <w:p w14:paraId="7F4FB5F6" w14:textId="77777777" w:rsidR="00BD71AA" w:rsidRDefault="00BD71AA" w:rsidP="00BD71AA">
      <w:pPr>
        <w:pStyle w:val="ListBullet"/>
      </w:pPr>
      <w:r>
        <w:t>Pre-Access: Outreach to Schools and Communities</w:t>
      </w:r>
    </w:p>
    <w:p w14:paraId="30048ACA" w14:textId="77777777" w:rsidR="00BD71AA" w:rsidRDefault="00BD71AA" w:rsidP="00BD71AA">
      <w:pPr>
        <w:pStyle w:val="ListBullet"/>
      </w:pPr>
      <w:r>
        <w:t>Access: Pathways and Admissions (including Enabling Pathways)</w:t>
      </w:r>
    </w:p>
    <w:p w14:paraId="394D3AEE" w14:textId="77777777" w:rsidR="00BD71AA" w:rsidRDefault="00BD71AA" w:rsidP="00BD71AA">
      <w:pPr>
        <w:pStyle w:val="ListBullet"/>
      </w:pPr>
      <w:r>
        <w:t>Participation: Transition, Engagement and Progression</w:t>
      </w:r>
    </w:p>
    <w:p w14:paraId="62DA843E" w14:textId="77777777" w:rsidR="00BD71AA" w:rsidRDefault="00BD71AA" w:rsidP="00BD71AA">
      <w:pPr>
        <w:pStyle w:val="ListBullet"/>
      </w:pPr>
      <w:r>
        <w:t>Attainment and Transition Out</w:t>
      </w:r>
      <w:r w:rsidR="0009162D">
        <w:t>.</w:t>
      </w:r>
    </w:p>
    <w:p w14:paraId="741018CF" w14:textId="77777777" w:rsidR="00272CA4" w:rsidRDefault="00B22972">
      <w:pPr>
        <w:pStyle w:val="BodyText"/>
      </w:pPr>
      <w:r>
        <w:t>Also considered are t</w:t>
      </w:r>
      <w:r w:rsidR="0009162D">
        <w:t xml:space="preserve">he effectiveness </w:t>
      </w:r>
      <w:r w:rsidR="001075DB">
        <w:t xml:space="preserve">of HEPPP-supported </w:t>
      </w:r>
      <w:r w:rsidR="00BD71AA">
        <w:t>research and the program</w:t>
      </w:r>
      <w:r w:rsidRPr="00B22972">
        <w:t xml:space="preserve"> </w:t>
      </w:r>
      <w:r>
        <w:t>overall</w:t>
      </w:r>
      <w:r w:rsidR="00BD71AA">
        <w:t>.</w:t>
      </w:r>
    </w:p>
    <w:p w14:paraId="2894B8AF" w14:textId="77777777" w:rsidR="00272CA4" w:rsidRDefault="00272CA4" w:rsidP="00A45AB3">
      <w:pPr>
        <w:pStyle w:val="Heading3nonumber"/>
        <w:numPr>
          <w:ilvl w:val="2"/>
          <w:numId w:val="48"/>
        </w:numPr>
      </w:pPr>
      <w:r>
        <w:t>Pre-Access: Outreach to Schools and Communities</w:t>
      </w:r>
    </w:p>
    <w:p w14:paraId="6C7DD23C" w14:textId="77777777" w:rsidR="00BD71AA" w:rsidRDefault="00BD71AA" w:rsidP="00AD49C8">
      <w:pPr>
        <w:pStyle w:val="BodyText"/>
      </w:pPr>
      <w:r>
        <w:t xml:space="preserve">Outreach projects under the HEPPP often </w:t>
      </w:r>
      <w:r w:rsidRPr="006570C6">
        <w:t>combine a</w:t>
      </w:r>
      <w:r>
        <w:t xml:space="preserve"> number of different activities</w:t>
      </w:r>
      <w:r w:rsidR="0078586D">
        <w:t>; they frequently</w:t>
      </w:r>
      <w:r>
        <w:t xml:space="preserve"> </w:t>
      </w:r>
      <w:r w:rsidR="0078586D">
        <w:t xml:space="preserve">include </w:t>
      </w:r>
      <w:r>
        <w:t>a</w:t>
      </w:r>
      <w:r w:rsidRPr="006570C6">
        <w:t>spiration raising and academic preparation</w:t>
      </w:r>
      <w:r w:rsidR="00721AEB">
        <w:t xml:space="preserve"> and </w:t>
      </w:r>
      <w:r w:rsidRPr="006570C6">
        <w:t xml:space="preserve">support </w:t>
      </w:r>
      <w:r>
        <w:t>for school students and other individuals. While the lead times for this stage mean that the impact of some activities may not yet be observable, there is emerging evidence that the HEPPP objective ‘to increase the total number of people from low SES backgrounds who access and participate in higher education through effective outreach and related activities’ (the Guidelines) is being met by HEPPP outreach activities.</w:t>
      </w:r>
    </w:p>
    <w:p w14:paraId="31F73EA2" w14:textId="77777777" w:rsidR="00721AEB" w:rsidRDefault="00721AEB" w:rsidP="00721AEB">
      <w:pPr>
        <w:pStyle w:val="BodyText"/>
      </w:pPr>
      <w:r>
        <w:t xml:space="preserve">The surveys and interviews carried out for this evaluation indicate that university staff </w:t>
      </w:r>
      <w:r w:rsidR="0009162D">
        <w:t>b</w:t>
      </w:r>
      <w:r>
        <w:t>e</w:t>
      </w:r>
      <w:r w:rsidR="0009162D">
        <w:t>l</w:t>
      </w:r>
      <w:r>
        <w:t>i</w:t>
      </w:r>
      <w:r w:rsidR="0009162D">
        <w:t xml:space="preserve">eve that HEPPP activities have had </w:t>
      </w:r>
      <w:r>
        <w:t xml:space="preserve">an impact on the higher education aspirations of school students and other participants. Similarly, the majority of the 98 written submissions from schools and other HEPPP outreach partner organisations and participants expressed strong support for the HEPPP and </w:t>
      </w:r>
      <w:r w:rsidR="00B22972">
        <w:t>described</w:t>
      </w:r>
      <w:r>
        <w:t xml:space="preserve"> </w:t>
      </w:r>
      <w:r w:rsidR="00776729">
        <w:t xml:space="preserve">seeing </w:t>
      </w:r>
      <w:r>
        <w:t xml:space="preserve">positive impacts of HEPPP activities on students’, teachers’ and other individuals’ understanding of university pathways. Many of these submissions also </w:t>
      </w:r>
      <w:r w:rsidR="00B22972">
        <w:t xml:space="preserve">noted </w:t>
      </w:r>
      <w:r w:rsidR="00985BC8">
        <w:t>observ</w:t>
      </w:r>
      <w:r w:rsidR="00B22972">
        <w:t>ance of</w:t>
      </w:r>
      <w:r w:rsidR="00985BC8">
        <w:t xml:space="preserve"> </w:t>
      </w:r>
      <w:r>
        <w:t xml:space="preserve">positive increases in students’ confidence and aspirations to attend university, as well as in the number of </w:t>
      </w:r>
      <w:r w:rsidR="00985BC8">
        <w:t xml:space="preserve">students’ </w:t>
      </w:r>
      <w:r>
        <w:t>applications and enrolments</w:t>
      </w:r>
      <w:r w:rsidR="00985BC8">
        <w:t xml:space="preserve"> to higher education</w:t>
      </w:r>
      <w:r>
        <w:t>.</w:t>
      </w:r>
    </w:p>
    <w:p w14:paraId="752AA9FC" w14:textId="77777777" w:rsidR="00BD71AA" w:rsidRDefault="00BD71AA" w:rsidP="00AD49C8">
      <w:pPr>
        <w:pStyle w:val="BodyText"/>
      </w:pPr>
      <w:r>
        <w:t>Consistent with this, evaluations carried out by universities indicate that program recipients consider HEPPP outreach activities to have had positive impacts. Surveys of participants indicate</w:t>
      </w:r>
      <w:r w:rsidR="00B22972">
        <w:t>d</w:t>
      </w:r>
      <w:r>
        <w:t xml:space="preserve"> that HEPPP outreach activities appear to be shifting the perceptions of low SES students regarding the feasibility of attending university, and improving their ability to undertake higher education through targeted academic support. Notwithstanding these shifts, application and enrolment data from participating schools show that the impact of HEPPP outreach activities has not been consistent across all such schools. Moreover, the evaluations conducted </w:t>
      </w:r>
      <w:r w:rsidR="00721AEB">
        <w:t xml:space="preserve">by universities </w:t>
      </w:r>
      <w:r>
        <w:t xml:space="preserve">have rarely included counterfactual or control groups with which to establish positive causation. </w:t>
      </w:r>
    </w:p>
    <w:p w14:paraId="00C82049" w14:textId="77777777" w:rsidR="00272CA4" w:rsidRDefault="00272CA4" w:rsidP="00A45AB3">
      <w:pPr>
        <w:pStyle w:val="Heading3nonumber"/>
        <w:numPr>
          <w:ilvl w:val="2"/>
          <w:numId w:val="48"/>
        </w:numPr>
      </w:pPr>
      <w:r>
        <w:t>Access: Pathways and Admissions</w:t>
      </w:r>
    </w:p>
    <w:p w14:paraId="188B4E30" w14:textId="77777777" w:rsidR="00BD71AA" w:rsidRDefault="00BD71AA" w:rsidP="00AD49C8">
      <w:pPr>
        <w:pStyle w:val="BodyText"/>
      </w:pPr>
      <w:r>
        <w:t xml:space="preserve">Access projects </w:t>
      </w:r>
      <w:r w:rsidR="00F86012">
        <w:t xml:space="preserve">under the HEPPP </w:t>
      </w:r>
      <w:r>
        <w:t xml:space="preserve">have included the development and implementation of inclusive entry processes, and the facilitation of </w:t>
      </w:r>
      <w:r w:rsidRPr="006570C6">
        <w:t>pre-university qualification pathways</w:t>
      </w:r>
      <w:r>
        <w:t xml:space="preserve">. There have been relatively few university evaluations undertaken of Access projects but a high proportion of students participating in these activities proceed to study degree programs and </w:t>
      </w:r>
      <w:r w:rsidR="00DC1CA9">
        <w:t xml:space="preserve">there is some evidence that they have </w:t>
      </w:r>
      <w:r>
        <w:t>higher retention rates than for students overall.</w:t>
      </w:r>
    </w:p>
    <w:p w14:paraId="33434DB9" w14:textId="77777777" w:rsidR="00BD71AA" w:rsidRDefault="00BD71AA" w:rsidP="00AD49C8">
      <w:pPr>
        <w:pStyle w:val="BodyText"/>
      </w:pPr>
      <w:r>
        <w:t>Where projects have had student surveys or other feedback mechanisms, they have been found to improve student confidence and preparedness for university, as well as helping to develop supporti</w:t>
      </w:r>
      <w:r w:rsidR="00F86012">
        <w:t>ve</w:t>
      </w:r>
      <w:r>
        <w:t xml:space="preserve"> peer relationships. </w:t>
      </w:r>
    </w:p>
    <w:p w14:paraId="38097FB9" w14:textId="77777777" w:rsidR="00272CA4" w:rsidRDefault="00BD71AA" w:rsidP="00272CA4">
      <w:pPr>
        <w:pStyle w:val="BodyText"/>
      </w:pPr>
      <w:r>
        <w:t>Such evidence was reaffirmed through the evaluation’s consultations and suggests that the HEPPP is having a positive impact at the Access stage through extending existing university activities and initiating new measures to encourage low SES students into higher education pathways.</w:t>
      </w:r>
    </w:p>
    <w:p w14:paraId="5F759F4E" w14:textId="77777777" w:rsidR="00272CA4" w:rsidRPr="00AD49C8" w:rsidRDefault="00272CA4" w:rsidP="00A45AB3">
      <w:pPr>
        <w:pStyle w:val="Heading3nonumber"/>
        <w:numPr>
          <w:ilvl w:val="2"/>
          <w:numId w:val="48"/>
        </w:numPr>
      </w:pPr>
      <w:r w:rsidRPr="00AD49C8">
        <w:t>Participation: Transition, Engagement and Progression</w:t>
      </w:r>
    </w:p>
    <w:p w14:paraId="3E6D533F" w14:textId="77777777" w:rsidR="00BD71AA" w:rsidRDefault="00BD71AA" w:rsidP="00BD71AA">
      <w:pPr>
        <w:pStyle w:val="BodyText"/>
      </w:pPr>
      <w:r>
        <w:t>HEPPP Participation projects most commonly involve academic preparation/support</w:t>
      </w:r>
      <w:r w:rsidR="00125681">
        <w:t>,</w:t>
      </w:r>
      <w:r>
        <w:t xml:space="preserve"> and activities to support transition to university for low SES first year students. The academic skills gained in this first year </w:t>
      </w:r>
      <w:r w:rsidR="00125681">
        <w:t xml:space="preserve">are also aimed at </w:t>
      </w:r>
      <w:r>
        <w:t>support</w:t>
      </w:r>
      <w:r w:rsidR="00125681">
        <w:t>ing</w:t>
      </w:r>
      <w:r>
        <w:t xml:space="preserve"> retention into second and later years of study. </w:t>
      </w:r>
      <w:r w:rsidR="00F86012">
        <w:t>U</w:t>
      </w:r>
      <w:r>
        <w:t xml:space="preserve">niversities have reviewed student data to identify courses with high enrolments of students from </w:t>
      </w:r>
      <w:r w:rsidR="00125681">
        <w:t>equity</w:t>
      </w:r>
      <w:r>
        <w:t xml:space="preserve"> cohorts and have introduced academic programs that complement the coursework, either </w:t>
      </w:r>
      <w:r w:rsidR="00125681">
        <w:t xml:space="preserve">embedded </w:t>
      </w:r>
      <w:r>
        <w:t xml:space="preserve">within the course or delivered concurrently to the coursework, and where the learning support is heavily contextualised. </w:t>
      </w:r>
    </w:p>
    <w:p w14:paraId="031F5E8C" w14:textId="77777777" w:rsidR="00BD71AA" w:rsidRDefault="00BD71AA" w:rsidP="00BD71AA">
      <w:pPr>
        <w:pStyle w:val="BodyText"/>
      </w:pPr>
      <w:r>
        <w:t xml:space="preserve">There </w:t>
      </w:r>
      <w:r w:rsidR="0078586D">
        <w:t>have</w:t>
      </w:r>
      <w:r>
        <w:t xml:space="preserve"> been a considerable number of evaluations carried out by universities of HEPPP Participation stage activities. These evaluations </w:t>
      </w:r>
      <w:r w:rsidR="00F86012">
        <w:t xml:space="preserve">have </w:t>
      </w:r>
      <w:r>
        <w:t>often involved surveys of participating students which the universities have used to improve the design of their HEPPP projects. Some evaluations have also examined participating student academic outcomes, but have not been able to establish definitive impact and effect sizes for HEPPP projects due to issues around small sample sizes and a lack of suitable counterfactuals. Despite this, the evaluations do indicate that the activities in this area are likely to be having a positive impact on student retention and success, and hence course completion.</w:t>
      </w:r>
    </w:p>
    <w:p w14:paraId="657ADF59" w14:textId="77777777" w:rsidR="00272CA4" w:rsidRDefault="00BD71AA" w:rsidP="00BD71AA">
      <w:pPr>
        <w:pStyle w:val="BodyText"/>
      </w:pPr>
      <w:r>
        <w:t xml:space="preserve">This is further supported by the evidence collected as part of this evaluation, including staff and student surveys, stakeholder interviews and written submissions, indicating increases in the participation, retention and completion of </w:t>
      </w:r>
      <w:r w:rsidR="00125681">
        <w:t>equity</w:t>
      </w:r>
      <w:r>
        <w:t xml:space="preserve"> cohorts arising from HEPPP activities.</w:t>
      </w:r>
    </w:p>
    <w:p w14:paraId="35D745E8" w14:textId="77777777" w:rsidR="00272CA4" w:rsidRPr="00AD49C8" w:rsidRDefault="00272CA4" w:rsidP="00A45AB3">
      <w:pPr>
        <w:pStyle w:val="Heading3nonumber"/>
        <w:numPr>
          <w:ilvl w:val="2"/>
          <w:numId w:val="48"/>
        </w:numPr>
      </w:pPr>
      <w:r w:rsidRPr="00AD49C8">
        <w:t>Attainment and Transition Out</w:t>
      </w:r>
    </w:p>
    <w:p w14:paraId="1EA1A755" w14:textId="77777777" w:rsidR="00272CA4" w:rsidRDefault="00776729" w:rsidP="00272CA4">
      <w:pPr>
        <w:pStyle w:val="BodyText"/>
      </w:pPr>
      <w:r>
        <w:t>The Guidelines specify that the HEPPP is intended to improve higher education access, retention and completion rates for students from low SES backgrounds. Activities to assist students after they have graduated from university are not included in the HEPPP. As such, a</w:t>
      </w:r>
      <w:r w:rsidR="00BD71AA" w:rsidRPr="00BD71AA">
        <w:t xml:space="preserve">ctivities at </w:t>
      </w:r>
      <w:r>
        <w:t>the Attainment and Transition Out</w:t>
      </w:r>
      <w:r w:rsidRPr="00BD71AA">
        <w:t xml:space="preserve"> </w:t>
      </w:r>
      <w:r w:rsidR="00BD71AA" w:rsidRPr="00BD71AA">
        <w:t>stage</w:t>
      </w:r>
      <w:r>
        <w:t xml:space="preserve"> of the student life cycle</w:t>
      </w:r>
      <w:r w:rsidR="00BD71AA" w:rsidRPr="00BD71AA">
        <w:t xml:space="preserve"> represent a relatively small component of HEPPP (around 1 per cent of all HEPPP expenditure). They have tended to focus on career guidance and work-based learning during study, with a small number of activities focusing on the transition between study and employment. At this stage, there are limited data with which to assess the impact of these activities on low SES students.</w:t>
      </w:r>
    </w:p>
    <w:p w14:paraId="3A9D1762" w14:textId="77777777" w:rsidR="00BD71AA" w:rsidRPr="00BD71AA" w:rsidRDefault="00272CA4" w:rsidP="00AD49C8">
      <w:pPr>
        <w:pStyle w:val="Heading3nonumber"/>
      </w:pPr>
      <w:r>
        <w:t>Research and other activities</w:t>
      </w:r>
    </w:p>
    <w:p w14:paraId="3796EA96" w14:textId="77777777" w:rsidR="00BD71AA" w:rsidRPr="00BD71AA" w:rsidRDefault="00776729" w:rsidP="00AD49C8">
      <w:pPr>
        <w:pStyle w:val="BodyText"/>
      </w:pPr>
      <w:r>
        <w:t>R</w:t>
      </w:r>
      <w:r w:rsidR="00BD71AA" w:rsidRPr="00BD71AA">
        <w:t xml:space="preserve">esearch </w:t>
      </w:r>
      <w:r w:rsidR="00F86012">
        <w:t xml:space="preserve">projects </w:t>
      </w:r>
      <w:r w:rsidR="00BD71AA" w:rsidRPr="00BD71AA">
        <w:t>ha</w:t>
      </w:r>
      <w:r w:rsidR="00F86012">
        <w:t>ve</w:t>
      </w:r>
      <w:r w:rsidR="00BD71AA" w:rsidRPr="00BD71AA">
        <w:t xml:space="preserve"> only been funded </w:t>
      </w:r>
      <w:r>
        <w:t>through the NPP</w:t>
      </w:r>
      <w:r w:rsidR="00BD71AA" w:rsidRPr="00BD71AA">
        <w:t xml:space="preserve"> </w:t>
      </w:r>
      <w:r>
        <w:t xml:space="preserve">component of the HEPPP </w:t>
      </w:r>
      <w:r w:rsidR="00BD71AA" w:rsidRPr="00BD71AA">
        <w:t xml:space="preserve">since 2014, </w:t>
      </w:r>
      <w:r>
        <w:t xml:space="preserve">so </w:t>
      </w:r>
      <w:r w:rsidR="00F86012">
        <w:t>many of these</w:t>
      </w:r>
      <w:r w:rsidR="00BD71AA" w:rsidRPr="00BD71AA">
        <w:t xml:space="preserve"> </w:t>
      </w:r>
      <w:r w:rsidR="00F86012">
        <w:t>are</w:t>
      </w:r>
      <w:r w:rsidR="00BD71AA" w:rsidRPr="00BD71AA">
        <w:t xml:space="preserve"> still ongoing or in the pre-publication process. Of projects funded in 2014, the majority have led to conference presentations, and almost half</w:t>
      </w:r>
      <w:r w:rsidR="00474A02">
        <w:t xml:space="preserve"> have</w:t>
      </w:r>
      <w:r w:rsidR="00BD71AA" w:rsidRPr="00BD71AA">
        <w:t xml:space="preserve"> led to journal or other publication submissions. </w:t>
      </w:r>
    </w:p>
    <w:p w14:paraId="33B24A1E" w14:textId="77777777" w:rsidR="00272CA4" w:rsidRDefault="00BD71AA" w:rsidP="00AD49C8">
      <w:pPr>
        <w:pStyle w:val="BodyText"/>
      </w:pPr>
      <w:r w:rsidRPr="00BD71AA">
        <w:t xml:space="preserve">Feedback collected through this evaluation and provided in NPP reports shows that NPP funding has encouraged universities to explore new approaches and </w:t>
      </w:r>
      <w:r w:rsidR="00474A02">
        <w:t>analyses</w:t>
      </w:r>
      <w:r w:rsidR="00F86012">
        <w:t>, and</w:t>
      </w:r>
      <w:r w:rsidRPr="00BD71AA">
        <w:t xml:space="preserve"> that </w:t>
      </w:r>
      <w:r w:rsidR="00474A02">
        <w:t>these have</w:t>
      </w:r>
      <w:r w:rsidR="00474A02" w:rsidRPr="00BD71AA">
        <w:t xml:space="preserve"> </w:t>
      </w:r>
      <w:r w:rsidRPr="00BD71AA">
        <w:t xml:space="preserve">informed university decisions on how to best meet the needs of disadvantaged students. Many research teams indicated that they would continue to collect data or undertake longitudinal research </w:t>
      </w:r>
      <w:r w:rsidR="00125681" w:rsidRPr="00BD71AA">
        <w:t>emanating</w:t>
      </w:r>
      <w:r w:rsidRPr="00BD71AA">
        <w:t xml:space="preserve"> from the NPP project. University submissions also expressed strong support for the NPP, particularly the value of the unique funding pool and the opportunity to undertake trials as well as research. </w:t>
      </w:r>
    </w:p>
    <w:p w14:paraId="59D241A1" w14:textId="77777777" w:rsidR="00272CA4" w:rsidRPr="00AD49C8" w:rsidRDefault="00272CA4" w:rsidP="00A45AB3">
      <w:pPr>
        <w:pStyle w:val="Heading3nonumber"/>
        <w:numPr>
          <w:ilvl w:val="2"/>
          <w:numId w:val="48"/>
        </w:numPr>
      </w:pPr>
      <w:r w:rsidRPr="00AD49C8">
        <w:t>Overall effectiveness analysis</w:t>
      </w:r>
    </w:p>
    <w:p w14:paraId="722CAA6E" w14:textId="77777777" w:rsidR="00BD71AA" w:rsidRDefault="00BD71AA" w:rsidP="00BD71AA">
      <w:pPr>
        <w:pStyle w:val="BodyText"/>
      </w:pPr>
      <w:r>
        <w:t xml:space="preserve">The collective impact of all HEPPP components was examined through data on </w:t>
      </w:r>
      <w:r w:rsidR="00F86012">
        <w:t xml:space="preserve">university </w:t>
      </w:r>
      <w:r>
        <w:t>applications, offers, commencements, enrolments, retention, success, and completions.</w:t>
      </w:r>
    </w:p>
    <w:p w14:paraId="36934236" w14:textId="387515F9" w:rsidR="00BD71AA" w:rsidRDefault="00BD71AA" w:rsidP="00BD71AA">
      <w:pPr>
        <w:pStyle w:val="BodyText"/>
      </w:pPr>
      <w:r>
        <w:t>Across a number of measures, low SES individuals are increasingly accessing higher education—the number of low SES individuals applying for, being offered a place at, commencing at and enrolling in university has increased considerably. Growth on each of these measures is highe</w:t>
      </w:r>
      <w:r w:rsidR="00125681">
        <w:t>r</w:t>
      </w:r>
      <w:r>
        <w:t xml:space="preserve"> in the low SES group</w:t>
      </w:r>
      <w:r w:rsidR="00125681">
        <w:t xml:space="preserve"> than the medium and high SES cohorts</w:t>
      </w:r>
      <w:r>
        <w:t xml:space="preserve">. </w:t>
      </w:r>
      <w:r w:rsidRPr="00A25ABA">
        <w:t xml:space="preserve">This growth </w:t>
      </w:r>
      <w:r w:rsidR="00F86012" w:rsidRPr="00A25ABA">
        <w:t>has seen</w:t>
      </w:r>
      <w:r w:rsidR="00125681" w:rsidRPr="00A25ABA">
        <w:t xml:space="preserve"> </w:t>
      </w:r>
      <w:r w:rsidR="000D5029">
        <w:t>the share of higher education students from low SES background increase from 14.8 per cent to 16.1 per cent</w:t>
      </w:r>
      <w:r w:rsidR="000D5029" w:rsidRPr="00A25ABA">
        <w:t xml:space="preserve"> </w:t>
      </w:r>
      <w:r w:rsidR="000D5029">
        <w:t xml:space="preserve">and </w:t>
      </w:r>
      <w:r w:rsidR="00125681" w:rsidRPr="00A25ABA">
        <w:t>the</w:t>
      </w:r>
      <w:r w:rsidRPr="00A25ABA">
        <w:t xml:space="preserve"> </w:t>
      </w:r>
      <w:r w:rsidR="000D5029">
        <w:t xml:space="preserve">proportion of low SES individuals </w:t>
      </w:r>
      <w:r w:rsidR="000B7E9A">
        <w:t xml:space="preserve">from the Australian population </w:t>
      </w:r>
      <w:r w:rsidR="000D5029">
        <w:t xml:space="preserve">in </w:t>
      </w:r>
      <w:r w:rsidRPr="00A25ABA">
        <w:t xml:space="preserve">higher education </w:t>
      </w:r>
      <w:r w:rsidR="000D5029">
        <w:t xml:space="preserve">increase </w:t>
      </w:r>
      <w:r w:rsidRPr="00A25ABA">
        <w:t>from 2 per cent</w:t>
      </w:r>
      <w:r w:rsidR="00A25ABA" w:rsidRPr="006640EC">
        <w:t xml:space="preserve"> </w:t>
      </w:r>
      <w:r w:rsidRPr="00A25ABA">
        <w:t>to 2.5 per cent</w:t>
      </w:r>
      <w:r>
        <w:t xml:space="preserve"> </w:t>
      </w:r>
      <w:r w:rsidR="00DF6F0E">
        <w:t>over 2010-2015</w:t>
      </w:r>
      <w:r>
        <w:t>. Despite this growth</w:t>
      </w:r>
      <w:r w:rsidR="00F86012">
        <w:t>, however,</w:t>
      </w:r>
      <w:r>
        <w:t xml:space="preserve"> low SES students continue to be </w:t>
      </w:r>
      <w:r w:rsidR="00FE4817">
        <w:t>under-represented</w:t>
      </w:r>
      <w:r>
        <w:t xml:space="preserve"> in higher education.</w:t>
      </w:r>
    </w:p>
    <w:p w14:paraId="4A5FDC05" w14:textId="77777777" w:rsidR="00BD71AA" w:rsidRDefault="00B915A3" w:rsidP="00BD71AA">
      <w:pPr>
        <w:pStyle w:val="BodyText"/>
      </w:pPr>
      <w:r>
        <w:t>The data that would allow the separation of</w:t>
      </w:r>
      <w:r w:rsidR="00BD71AA">
        <w:t xml:space="preserve"> the impact of the HEPPP</w:t>
      </w:r>
      <w:r w:rsidR="00F86012">
        <w:t xml:space="preserve"> </w:t>
      </w:r>
      <w:r>
        <w:t xml:space="preserve">on these trends </w:t>
      </w:r>
      <w:r w:rsidR="00F86012">
        <w:t>from</w:t>
      </w:r>
      <w:r>
        <w:t xml:space="preserve"> the impact due to</w:t>
      </w:r>
      <w:r w:rsidR="00BD71AA">
        <w:t xml:space="preserve"> the co-introduction of the demand driven system (DDS), or</w:t>
      </w:r>
      <w:r>
        <w:t xml:space="preserve"> from the impact due to</w:t>
      </w:r>
      <w:r w:rsidR="00BD71AA">
        <w:t xml:space="preserve"> other government programs and societal changes</w:t>
      </w:r>
      <w:r>
        <w:t>, are not available</w:t>
      </w:r>
      <w:r w:rsidR="00BD71AA">
        <w:t xml:space="preserve">. </w:t>
      </w:r>
      <w:r w:rsidR="00F86012">
        <w:t>As such, w</w:t>
      </w:r>
      <w:r w:rsidR="00BD71AA">
        <w:t xml:space="preserve">hile it is likely that the HEPPP is contributing to the increase in applications and enrolments, the extent of this impact is not able to be quantified. </w:t>
      </w:r>
    </w:p>
    <w:p w14:paraId="5A8893D1" w14:textId="77777777" w:rsidR="00272CA4" w:rsidRDefault="00BD71AA" w:rsidP="00BD71AA">
      <w:pPr>
        <w:pStyle w:val="BodyText"/>
      </w:pPr>
      <w:r>
        <w:t xml:space="preserve">Once at university, low SES students have lower retention, success and completion </w:t>
      </w:r>
      <w:r w:rsidR="00EC1FF7">
        <w:t xml:space="preserve">rates </w:t>
      </w:r>
      <w:r>
        <w:t xml:space="preserve">than other students—econometric analysis indicates that </w:t>
      </w:r>
      <w:r w:rsidR="00EC1FF7">
        <w:t xml:space="preserve">the extents of these differences have </w:t>
      </w:r>
      <w:r>
        <w:t>fallen slightly relative to the pre</w:t>
      </w:r>
      <w:r w:rsidR="00DF6F0E">
        <w:noBreakHyphen/>
      </w:r>
      <w:r>
        <w:t>HEPPP period 2006-2009. Again it is not possible to directly attribute this change to the HEPPP. Low SES student outcomes have varied across universities, but there is no apparent pattern that indicates any particular mix or focus of HEPPP activities is correlated with improvements in low SES student retention and success. As with enrolment outcomes, other evidence analysed in the evaluation suggests it is likely that HEPPP is contributing to improvements in student outcome</w:t>
      </w:r>
      <w:r w:rsidR="00DF6F0E">
        <w:t>s</w:t>
      </w:r>
      <w:r>
        <w:t>, but the extent of this impact is not able to be quantified with the currently available data.</w:t>
      </w:r>
    </w:p>
    <w:p w14:paraId="449B9743" w14:textId="77777777" w:rsidR="00272CA4" w:rsidRDefault="00272CA4" w:rsidP="00A45AB3">
      <w:pPr>
        <w:pStyle w:val="Heading3nonumber"/>
        <w:numPr>
          <w:ilvl w:val="2"/>
          <w:numId w:val="48"/>
        </w:numPr>
      </w:pPr>
      <w:r>
        <w:t>Efficiency</w:t>
      </w:r>
    </w:p>
    <w:p w14:paraId="2006B31E" w14:textId="77777777" w:rsidR="00BD71AA" w:rsidRDefault="00BD71AA" w:rsidP="00AD49C8">
      <w:pPr>
        <w:pStyle w:val="BodyText"/>
      </w:pPr>
      <w:r w:rsidRPr="00E50F9D">
        <w:t xml:space="preserve">Total HEPPP funding grew from $56 million in 2010 to a peak of $189 million in 2013, </w:t>
      </w:r>
      <w:r>
        <w:t>before</w:t>
      </w:r>
      <w:r w:rsidRPr="00E50F9D">
        <w:t xml:space="preserve"> falling to $172 million in 2015. Between 2010 and 2014 the majority of funding was provided through the Participation component (69 per cent) </w:t>
      </w:r>
      <w:r>
        <w:t xml:space="preserve">and </w:t>
      </w:r>
      <w:r w:rsidRPr="00E50F9D">
        <w:t>the Partnership component (30 per cent)</w:t>
      </w:r>
      <w:r w:rsidR="006157C3">
        <w:t>, mainly</w:t>
      </w:r>
      <w:r>
        <w:t xml:space="preserve"> allocated on a formula basis, with around a quarter </w:t>
      </w:r>
      <w:r w:rsidR="00776729">
        <w:t xml:space="preserve">of total HEPPP funding </w:t>
      </w:r>
      <w:r>
        <w:t xml:space="preserve">allocated through grants processes. </w:t>
      </w:r>
    </w:p>
    <w:p w14:paraId="3C124E34" w14:textId="7ED8C872" w:rsidR="00BD71AA" w:rsidRDefault="00BD71AA" w:rsidP="00AD49C8">
      <w:pPr>
        <w:pStyle w:val="BodyText"/>
      </w:pPr>
      <w:r w:rsidRPr="00566459">
        <w:t>Funding levels per university have differed based on the share of low SES students</w:t>
      </w:r>
      <w:r w:rsidR="004B2108" w:rsidRPr="00566459">
        <w:t xml:space="preserve"> </w:t>
      </w:r>
      <w:r w:rsidR="00023C28">
        <w:t>enrolled at</w:t>
      </w:r>
      <w:r w:rsidR="004B2108" w:rsidRPr="00566459">
        <w:t xml:space="preserve"> the university</w:t>
      </w:r>
      <w:r w:rsidRPr="00CB6487">
        <w:t xml:space="preserve"> and the success of each university </w:t>
      </w:r>
      <w:r w:rsidR="004B2108" w:rsidRPr="00F27D0D">
        <w:t xml:space="preserve">in </w:t>
      </w:r>
      <w:r w:rsidR="006157C3" w:rsidRPr="00F27D0D">
        <w:t>being awarded</w:t>
      </w:r>
      <w:r w:rsidRPr="00F27D0D">
        <w:t xml:space="preserve"> competitive grants under the program. </w:t>
      </w:r>
      <w:r w:rsidR="00A951EF">
        <w:t>The</w:t>
      </w:r>
      <w:r w:rsidR="00F27D0D" w:rsidRPr="006640EC">
        <w:t xml:space="preserve"> a</w:t>
      </w:r>
      <w:r w:rsidR="004B2108" w:rsidRPr="00566459">
        <w:t>verage</w:t>
      </w:r>
      <w:r w:rsidR="00A951EF">
        <w:t xml:space="preserve"> </w:t>
      </w:r>
      <w:r w:rsidR="00F27D0D" w:rsidRPr="006640EC">
        <w:t>amount of</w:t>
      </w:r>
      <w:r w:rsidR="004B2108" w:rsidRPr="00566459">
        <w:t xml:space="preserve"> </w:t>
      </w:r>
      <w:r w:rsidRPr="00566459">
        <w:t xml:space="preserve">HEPPP funding </w:t>
      </w:r>
      <w:r w:rsidR="00F27D0D" w:rsidRPr="006640EC">
        <w:t>received by</w:t>
      </w:r>
      <w:r w:rsidRPr="00566459">
        <w:t xml:space="preserve"> metropolitan </w:t>
      </w:r>
      <w:r w:rsidR="00F27D0D" w:rsidRPr="006640EC">
        <w:t xml:space="preserve">universities </w:t>
      </w:r>
      <w:r w:rsidRPr="00566459">
        <w:t>and regional universities</w:t>
      </w:r>
      <w:r w:rsidR="00F27D0D" w:rsidRPr="006640EC">
        <w:t xml:space="preserve"> </w:t>
      </w:r>
      <w:r w:rsidR="00F27D0D">
        <w:t xml:space="preserve">was </w:t>
      </w:r>
      <w:r w:rsidR="00A951EF">
        <w:t>similar</w:t>
      </w:r>
      <w:r w:rsidR="00F27D0D">
        <w:t xml:space="preserve">—$22.4 million </w:t>
      </w:r>
      <w:r w:rsidR="007835AA">
        <w:t xml:space="preserve">per university </w:t>
      </w:r>
      <w:r w:rsidR="00F27D0D">
        <w:t xml:space="preserve">compared with </w:t>
      </w:r>
      <w:r w:rsidR="00F27D0D" w:rsidRPr="00F27D0D">
        <w:t>$21.9 million</w:t>
      </w:r>
      <w:r w:rsidR="00F27D0D">
        <w:t>.</w:t>
      </w:r>
    </w:p>
    <w:p w14:paraId="254F0599" w14:textId="77777777" w:rsidR="00BD71AA" w:rsidRDefault="00BD71AA" w:rsidP="00AD49C8">
      <w:pPr>
        <w:pStyle w:val="BodyText"/>
      </w:pPr>
      <w:r>
        <w:t xml:space="preserve">While there is no clear definition of administrative costs under the HEPPP (or in the higher education sector more broadly), an analysis of university HEPPP reporting indicates that the share of administrative costs relative to </w:t>
      </w:r>
      <w:r w:rsidRPr="00566459">
        <w:t>total expenditure is around 2 per cent</w:t>
      </w:r>
      <w:r w:rsidRPr="00DD1304">
        <w:t xml:space="preserve"> of the total HEPPP budget.</w:t>
      </w:r>
      <w:r>
        <w:t xml:space="preserve"> </w:t>
      </w:r>
    </w:p>
    <w:p w14:paraId="639676DA" w14:textId="77777777" w:rsidR="00272CA4" w:rsidRDefault="00BD71AA" w:rsidP="00272CA4">
      <w:pPr>
        <w:pStyle w:val="BodyText"/>
      </w:pPr>
      <w:r>
        <w:t>While there is some evidence that the HEPPP may be displacing funding universities would otherwise expend on student support services, it is also leading to additional sources of funding that are being used to enhance or extend equity projects</w:t>
      </w:r>
      <w:r w:rsidR="00272CA4">
        <w:t>.</w:t>
      </w:r>
    </w:p>
    <w:p w14:paraId="1E5A72D9" w14:textId="77777777" w:rsidR="00272CA4" w:rsidRPr="00AD49C8" w:rsidRDefault="00272CA4" w:rsidP="00A45AB3">
      <w:pPr>
        <w:pStyle w:val="Heading2nonumber"/>
        <w:numPr>
          <w:ilvl w:val="1"/>
          <w:numId w:val="48"/>
        </w:numPr>
      </w:pPr>
      <w:r w:rsidRPr="00AD49C8">
        <w:t>Recommendations</w:t>
      </w:r>
    </w:p>
    <w:p w14:paraId="0EF4A6A8" w14:textId="77777777" w:rsidR="00BD71AA" w:rsidRDefault="00BD71AA" w:rsidP="00A45AB3">
      <w:pPr>
        <w:pStyle w:val="Heading4nonumber"/>
        <w:numPr>
          <w:ilvl w:val="3"/>
          <w:numId w:val="48"/>
        </w:numPr>
      </w:pPr>
      <w:r>
        <w:t>Continuing the HEPPP</w:t>
      </w:r>
    </w:p>
    <w:p w14:paraId="5AAA3ADE" w14:textId="77777777" w:rsidR="00BD71AA" w:rsidRDefault="00BD71AA" w:rsidP="00BD71AA">
      <w:pPr>
        <w:pStyle w:val="BodyText"/>
      </w:pPr>
      <w:r>
        <w:t>Overall, HEPPP funding has encouraged universities to implement a wide variety of activities and projects aimed at increasing the number of low SES students interested in attending university, being prepared for and admitted to university, and progressing through and graduating from university.</w:t>
      </w:r>
      <w:r w:rsidRPr="009C3370">
        <w:t xml:space="preserve"> </w:t>
      </w:r>
    </w:p>
    <w:p w14:paraId="4FA14D8F" w14:textId="77777777" w:rsidR="00BD71AA" w:rsidRDefault="00BD71AA" w:rsidP="00BD71AA">
      <w:pPr>
        <w:pStyle w:val="BodyText"/>
      </w:pPr>
      <w:r>
        <w:t xml:space="preserve">A large number of evaluations have been carried out by universities and the qualitative impacts identified by these evaluations are almost universally positive, and accord with the </w:t>
      </w:r>
      <w:r w:rsidR="009E25E8">
        <w:t xml:space="preserve">various stakeholder </w:t>
      </w:r>
      <w:r>
        <w:t>consultations carried out as part of this evaluation.</w:t>
      </w:r>
    </w:p>
    <w:p w14:paraId="7A294AE6" w14:textId="77777777" w:rsidR="00BD71AA" w:rsidRDefault="00BD71AA" w:rsidP="00BD71AA">
      <w:pPr>
        <w:pStyle w:val="BodyText"/>
      </w:pPr>
      <w:r>
        <w:t>Administrative data also show that the key indicators HEPPP is designed to impact are mostly moving in the right direction—importantly, low SES enrolments have increased considerably since 2010, including as a share of all enrolments—though it is not possible to separate the precise role or contribution of the HEPPP</w:t>
      </w:r>
      <w:r w:rsidR="004F03C4">
        <w:t xml:space="preserve"> to this</w:t>
      </w:r>
      <w:r>
        <w:t xml:space="preserve">, particularly in relation to the co-introduction of the </w:t>
      </w:r>
      <w:r w:rsidR="007B5594">
        <w:t>DDS</w:t>
      </w:r>
      <w:r>
        <w:t>.</w:t>
      </w:r>
    </w:p>
    <w:p w14:paraId="1D2B6599" w14:textId="77777777" w:rsidR="00721AEB" w:rsidRDefault="00721AEB" w:rsidP="00721AEB">
      <w:pPr>
        <w:pStyle w:val="BodyText"/>
      </w:pPr>
      <w:r>
        <w:t>Overall, therefore, the HEPPP appears to be positively influencing the quantity and rigour of higher education equity activities and policies,</w:t>
      </w:r>
      <w:r w:rsidRPr="009E25E8">
        <w:t xml:space="preserve"> </w:t>
      </w:r>
      <w:r>
        <w:t xml:space="preserve">even though HEPPP funding is not a large proportion of universities’ revenue or of government funding for universities. Notwithstanding this, low SES individuals are still under-represented in higher education as compared with their population presence, so there is a continued need for </w:t>
      </w:r>
      <w:r w:rsidR="00776729">
        <w:t>action</w:t>
      </w:r>
      <w:r>
        <w:t xml:space="preserve"> if the low SES equity target is to be achieved. A potential contributing factor is that not all of the HEPPP funding is targeting </w:t>
      </w:r>
      <w:r w:rsidR="00957BF0">
        <w:t xml:space="preserve">the </w:t>
      </w:r>
      <w:r>
        <w:t>intended low SES cohort, with evidence that some HEPPP projects are aimed at other equity groups, and in some cases even at the broader student cohort. It is also not clear to what extent some projects funded under the HEPPP are additional to what would be implemented as part of normal university operations.</w:t>
      </w:r>
    </w:p>
    <w:p w14:paraId="24E564CB" w14:textId="77777777" w:rsidR="00BD71AA" w:rsidRPr="00AD49C8" w:rsidRDefault="00BD71AA" w:rsidP="00AD49C8">
      <w:pPr>
        <w:pStyle w:val="BodyText"/>
      </w:pPr>
      <w:r>
        <w:t xml:space="preserve">As such, improvements </w:t>
      </w:r>
      <w:r w:rsidR="009E25E8">
        <w:t>have been identified</w:t>
      </w:r>
      <w:r>
        <w:t xml:space="preserve"> in a number of areas </w:t>
      </w:r>
      <w:r w:rsidR="009E25E8">
        <w:t>which could</w:t>
      </w:r>
      <w:r>
        <w:t xml:space="preserve"> further increase the effectiveness of the HEPPP—first in sharpening its focus on the activities, projects and equity groups to be targeted, second in revising the funding arrangements to support this focus, and third in designing and embedding a stronger evaluation framework with which to collect the necessary data to better measure and monitor its impact and inform future improvements.</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77651B" w:rsidRPr="0022286A" w14:paraId="506B7651" w14:textId="77777777" w:rsidTr="00A75892">
        <w:trPr>
          <w:cantSplit/>
        </w:trPr>
        <w:tc>
          <w:tcPr>
            <w:tcW w:w="8614" w:type="dxa"/>
            <w:shd w:val="clear" w:color="auto" w:fill="auto"/>
            <w:tcMar>
              <w:top w:w="160" w:type="dxa"/>
              <w:left w:w="446" w:type="dxa"/>
            </w:tcMar>
          </w:tcPr>
          <w:p w14:paraId="0F587ACB" w14:textId="77777777" w:rsidR="0077651B" w:rsidRPr="003006F4" w:rsidRDefault="0077651B" w:rsidP="00FE4817">
            <w:pPr>
              <w:pStyle w:val="Caption"/>
            </w:pPr>
            <w:r w:rsidRPr="00185145">
              <w:rPr>
                <w:rStyle w:val="CaptionLabel"/>
              </w:rPr>
              <w:t>Recommendation </w:t>
            </w:r>
            <w:r w:rsidR="008C090E" w:rsidRPr="00F30CC3">
              <w:rPr>
                <w:rStyle w:val="CaptionLabel"/>
                <w:noProof/>
              </w:rPr>
              <w:t>1</w:t>
            </w:r>
            <w:r>
              <w:tab/>
            </w:r>
          </w:p>
        </w:tc>
      </w:tr>
      <w:tr w:rsidR="0077651B" w14:paraId="2E02A832" w14:textId="77777777" w:rsidTr="00A75892">
        <w:trPr>
          <w:cantSplit/>
        </w:trPr>
        <w:tc>
          <w:tcPr>
            <w:tcW w:w="8614" w:type="dxa"/>
            <w:shd w:val="clear" w:color="auto" w:fill="E4E0DD"/>
            <w:tcMar>
              <w:top w:w="276" w:type="dxa"/>
              <w:bottom w:w="0" w:type="dxa"/>
              <w:right w:w="120" w:type="dxa"/>
            </w:tcMar>
          </w:tcPr>
          <w:p w14:paraId="45A6E096" w14:textId="518CAC61" w:rsidR="0077651B" w:rsidRDefault="00642FBA" w:rsidP="00E54ABD">
            <w:pPr>
              <w:pStyle w:val="BoxText"/>
            </w:pPr>
            <w:r>
              <w:t xml:space="preserve">That, given the </w:t>
            </w:r>
            <w:r w:rsidRPr="000B3B11">
              <w:t xml:space="preserve">evidence of emerging impact </w:t>
            </w:r>
            <w:r>
              <w:t xml:space="preserve">on student access and equity, </w:t>
            </w:r>
            <w:r w:rsidRPr="000B3B11">
              <w:t xml:space="preserve">HEPPP be </w:t>
            </w:r>
            <w:r>
              <w:t>continued</w:t>
            </w:r>
            <w:r w:rsidRPr="000B3B11">
              <w:t xml:space="preserve"> as a funded program </w:t>
            </w:r>
            <w:r>
              <w:t>to further encourage and build on the progress achieved. At the same time, there are a number of areas which have been identified as requiring improvement</w:t>
            </w:r>
            <w:r w:rsidR="00095DF0">
              <w:t>. The</w:t>
            </w:r>
            <w:r w:rsidR="00095DF0" w:rsidRPr="001C5235">
              <w:t xml:space="preserve"> </w:t>
            </w:r>
            <w:r w:rsidRPr="001C5235">
              <w:t xml:space="preserve">focus </w:t>
            </w:r>
            <w:r>
              <w:t>of</w:t>
            </w:r>
            <w:r w:rsidRPr="001C5235">
              <w:t xml:space="preserve"> the activities, projects and equity groups to be targeted</w:t>
            </w:r>
            <w:r w:rsidR="00095DF0">
              <w:t xml:space="preserve"> and</w:t>
            </w:r>
            <w:r>
              <w:t xml:space="preserve"> </w:t>
            </w:r>
            <w:r w:rsidRPr="001C5235">
              <w:t>the funding arrangements to support this focus</w:t>
            </w:r>
            <w:r w:rsidR="00095DF0">
              <w:t xml:space="preserve"> require improvement</w:t>
            </w:r>
            <w:r w:rsidR="00A951EF">
              <w:t xml:space="preserve">. Also required is </w:t>
            </w:r>
            <w:r w:rsidR="00095DF0">
              <w:t>the</w:t>
            </w:r>
            <w:r w:rsidR="00095DF0" w:rsidRPr="001C5235">
              <w:t xml:space="preserve"> </w:t>
            </w:r>
            <w:r w:rsidR="00095DF0">
              <w:t xml:space="preserve">development of </w:t>
            </w:r>
            <w:r>
              <w:t>an embedded</w:t>
            </w:r>
            <w:r w:rsidRPr="001C5235">
              <w:t xml:space="preserve"> evaluation framework with which to collect the necessary data to better measure and monitor impact</w:t>
            </w:r>
            <w:r w:rsidR="007835AA">
              <w:t>,</w:t>
            </w:r>
            <w:r>
              <w:t xml:space="preserve"> and inform future improvements.</w:t>
            </w:r>
          </w:p>
        </w:tc>
      </w:tr>
      <w:tr w:rsidR="0077651B" w:rsidRPr="008B3E19" w14:paraId="60F2E253" w14:textId="77777777" w:rsidTr="00A75892">
        <w:trPr>
          <w:cantSplit/>
          <w:trHeight w:hRule="exact" w:val="376"/>
        </w:trPr>
        <w:tc>
          <w:tcPr>
            <w:tcW w:w="8614" w:type="dxa"/>
            <w:shd w:val="clear" w:color="auto" w:fill="E4E0DD"/>
            <w:tcMar>
              <w:top w:w="0" w:type="dxa"/>
              <w:bottom w:w="0" w:type="dxa"/>
              <w:right w:w="0" w:type="dxa"/>
            </w:tcMar>
          </w:tcPr>
          <w:p w14:paraId="36FB4781" w14:textId="77777777" w:rsidR="0077651B" w:rsidRPr="008B3E19" w:rsidRDefault="0077651B" w:rsidP="000A6C1F">
            <w:pPr>
              <w:pStyle w:val="spacer"/>
            </w:pPr>
          </w:p>
        </w:tc>
      </w:tr>
      <w:tr w:rsidR="0077651B" w:rsidRPr="008B3E19" w14:paraId="426F7151" w14:textId="77777777" w:rsidTr="00A75892">
        <w:trPr>
          <w:cantSplit/>
          <w:trHeight w:hRule="exact" w:val="180"/>
        </w:trPr>
        <w:tc>
          <w:tcPr>
            <w:tcW w:w="8614" w:type="dxa"/>
            <w:tcMar>
              <w:top w:w="0" w:type="dxa"/>
              <w:left w:w="446" w:type="dxa"/>
              <w:bottom w:w="0" w:type="dxa"/>
            </w:tcMar>
          </w:tcPr>
          <w:p w14:paraId="60E16869" w14:textId="77777777" w:rsidR="0077651B" w:rsidRPr="008B3E19" w:rsidRDefault="00A45AB3" w:rsidP="000A6C1F">
            <w:pPr>
              <w:pStyle w:val="spacertbl"/>
            </w:pPr>
            <w:r>
              <w:rPr>
                <w:noProof/>
                <w:lang w:eastAsia="en-AU"/>
              </w:rPr>
              <mc:AlternateContent>
                <mc:Choice Requires="wps">
                  <w:drawing>
                    <wp:anchor distT="0" distB="0" distL="114300" distR="114300" simplePos="0" relativeHeight="251661312" behindDoc="0" locked="1" layoutInCell="1" allowOverlap="1" wp14:anchorId="4040C2AA" wp14:editId="1387CE9D">
                      <wp:simplePos x="0" y="0"/>
                      <wp:positionH relativeFrom="rightMargin">
                        <wp:posOffset>-772795</wp:posOffset>
                      </wp:positionH>
                      <wp:positionV relativeFrom="page">
                        <wp:posOffset>-237490</wp:posOffset>
                      </wp:positionV>
                      <wp:extent cx="436880" cy="213360"/>
                      <wp:effectExtent l="0" t="0" r="1270" b="0"/>
                      <wp:wrapNone/>
                      <wp:docPr id="14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5367FF" id="Freeform 5" o:spid="_x0000_s1026" style="position:absolute;margin-left:-60.85pt;margin-top:-18.7pt;width:34.4pt;height:16.8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485AFCDA" w14:textId="77777777" w:rsidR="00BD71AA" w:rsidRDefault="00BD71AA" w:rsidP="00BD71AA">
      <w:pPr>
        <w:pStyle w:val="Heading4nonumber"/>
      </w:pPr>
      <w:r>
        <w:t>Focusing the HEPPP</w:t>
      </w:r>
    </w:p>
    <w:p w14:paraId="65A31B86" w14:textId="77777777" w:rsidR="00BD71AA" w:rsidRPr="00E50F9D" w:rsidRDefault="00315EFF" w:rsidP="00BD71AA">
      <w:pPr>
        <w:pStyle w:val="BodyText"/>
      </w:pPr>
      <w:r w:rsidRPr="00E50F9D">
        <w:t xml:space="preserve">Three </w:t>
      </w:r>
      <w:r w:rsidR="00BD71AA" w:rsidRPr="00E50F9D">
        <w:t xml:space="preserve">key issues </w:t>
      </w:r>
      <w:r w:rsidR="005E06AF">
        <w:t xml:space="preserve">have been identified </w:t>
      </w:r>
      <w:r w:rsidR="00C82AC3">
        <w:t xml:space="preserve">in </w:t>
      </w:r>
      <w:r w:rsidR="00BD71AA" w:rsidRPr="00E50F9D">
        <w:t xml:space="preserve">the Participation component: </w:t>
      </w:r>
    </w:p>
    <w:p w14:paraId="3D63C5D6" w14:textId="77777777" w:rsidR="00BD71AA" w:rsidRPr="00E50F9D" w:rsidRDefault="009E25E8" w:rsidP="00BD71AA">
      <w:pPr>
        <w:pStyle w:val="ListBullet"/>
      </w:pPr>
      <w:r>
        <w:t xml:space="preserve">First, </w:t>
      </w:r>
      <w:r w:rsidR="00315EFF">
        <w:t xml:space="preserve">the Participation component </w:t>
      </w:r>
      <w:r>
        <w:t xml:space="preserve">should </w:t>
      </w:r>
      <w:r w:rsidR="00BD71AA" w:rsidRPr="00E50F9D">
        <w:t xml:space="preserve">provide universities with a clear incentive to target HEPPP projects at low SES students, and to ensure HEPPP projects are additional to what they would otherwise deliver in the area of university student support. The current HEPPP </w:t>
      </w:r>
      <w:r w:rsidR="00776729">
        <w:t>P</w:t>
      </w:r>
      <w:r w:rsidR="00BD71AA" w:rsidRPr="00E50F9D">
        <w:t>articipation component does provide some incentive for universities to enrol and retain low SES students (as, all things being equal, funding increases for each low SES student a university has enrolled), but current practice suggests that this could be strengthened</w:t>
      </w:r>
      <w:r w:rsidR="004F03C4">
        <w:t xml:space="preserve"> through improved targeting</w:t>
      </w:r>
      <w:r w:rsidR="00BD71AA" w:rsidRPr="00E50F9D">
        <w:t xml:space="preserve">. </w:t>
      </w:r>
    </w:p>
    <w:p w14:paraId="37A97AA2" w14:textId="77777777" w:rsidR="00BD71AA" w:rsidRPr="00E50F9D" w:rsidRDefault="009E25E8" w:rsidP="00BD71AA">
      <w:pPr>
        <w:pStyle w:val="ListBullet"/>
      </w:pPr>
      <w:r>
        <w:t>Second, i</w:t>
      </w:r>
      <w:r w:rsidR="00BD71AA" w:rsidRPr="00E50F9D">
        <w:t xml:space="preserve">ncentives around success and completion could also be strengthened—success and completion rates for low SES students continue to track below those of medium and high SES students. </w:t>
      </w:r>
    </w:p>
    <w:p w14:paraId="7BD27529" w14:textId="77777777" w:rsidR="00BD71AA" w:rsidRPr="00E50F9D" w:rsidRDefault="009E25E8" w:rsidP="00BD71AA">
      <w:pPr>
        <w:pStyle w:val="ListBullet"/>
      </w:pPr>
      <w:r>
        <w:t xml:space="preserve">Third, </w:t>
      </w:r>
      <w:r w:rsidR="00776729">
        <w:t>more spec</w:t>
      </w:r>
      <w:r>
        <w:t>i</w:t>
      </w:r>
      <w:r w:rsidR="00776729">
        <w:t>fic</w:t>
      </w:r>
      <w:r>
        <w:t xml:space="preserve"> </w:t>
      </w:r>
      <w:r w:rsidR="00BD71AA" w:rsidRPr="00E50F9D">
        <w:t>data on whether Participation activities are impacting low SES students’ retention, success and completion rates</w:t>
      </w:r>
      <w:r w:rsidR="00776729">
        <w:t xml:space="preserve"> would </w:t>
      </w:r>
      <w:r w:rsidR="00BD71AA" w:rsidRPr="00E50F9D">
        <w:t xml:space="preserve">help universities </w:t>
      </w:r>
      <w:r w:rsidR="00A951EF">
        <w:t xml:space="preserve">better </w:t>
      </w:r>
      <w:r w:rsidR="00BD71AA" w:rsidRPr="00E50F9D">
        <w:t xml:space="preserve">evaluate and determine which types of equity projects are the most effective to implement. </w:t>
      </w:r>
    </w:p>
    <w:p w14:paraId="53E59DB4" w14:textId="77777777" w:rsidR="00BD71AA" w:rsidRDefault="00E25E6F" w:rsidP="00BD71AA">
      <w:pPr>
        <w:pStyle w:val="BodyText"/>
      </w:pPr>
      <w:r>
        <w:t>Within the general principle of maximising the flexibility of universities to implement projects to suit their specific context, t</w:t>
      </w:r>
      <w:r w:rsidR="00BD71AA">
        <w:t>hese issues</w:t>
      </w:r>
      <w:r w:rsidR="009E25E8">
        <w:t xml:space="preserve"> can be addressed through</w:t>
      </w:r>
      <w:r w:rsidR="00BD71AA">
        <w:t xml:space="preserve"> </w:t>
      </w:r>
      <w:r w:rsidR="00BD71AA" w:rsidRPr="00894665">
        <w:t>a strong</w:t>
      </w:r>
      <w:r>
        <w:t>er</w:t>
      </w:r>
      <w:r w:rsidR="00BD71AA" w:rsidRPr="00894665">
        <w:t xml:space="preserve"> </w:t>
      </w:r>
      <w:r>
        <w:t xml:space="preserve">requirement for standardised </w:t>
      </w:r>
      <w:r w:rsidR="00BD71AA" w:rsidRPr="00894665">
        <w:t>evaluation</w:t>
      </w:r>
      <w:r>
        <w:t>, using this to steer the intended performance and outcomes</w:t>
      </w:r>
      <w:r w:rsidR="00BD71AA" w:rsidRPr="00894665">
        <w:t xml:space="preserve">. </w:t>
      </w:r>
      <w:r w:rsidR="00BD71AA">
        <w:t>F</w:t>
      </w:r>
      <w:r w:rsidR="00BD71AA" w:rsidRPr="00894665">
        <w:t xml:space="preserve">unding </w:t>
      </w:r>
      <w:r w:rsidR="00BD71AA">
        <w:t>sh</w:t>
      </w:r>
      <w:r w:rsidR="00BD71AA" w:rsidRPr="00894665">
        <w:t xml:space="preserve">ould </w:t>
      </w:r>
      <w:r>
        <w:t xml:space="preserve">continue to </w:t>
      </w:r>
      <w:r w:rsidR="00BD71AA" w:rsidRPr="00894665">
        <w:t xml:space="preserve">be based on low SES enrolments and success (weighted towards enrolments), </w:t>
      </w:r>
      <w:r w:rsidR="00BD71AA">
        <w:t xml:space="preserve">and </w:t>
      </w:r>
      <w:r w:rsidR="00BD71AA" w:rsidRPr="00894665">
        <w:t xml:space="preserve">maintain the current Guidelines approach to provide broad direction to universities on the activities which should be delivered. </w:t>
      </w:r>
      <w:r>
        <w:t>The f</w:t>
      </w:r>
      <w:r w:rsidR="00BD71AA" w:rsidRPr="00894665">
        <w:t>unding would be contingent</w:t>
      </w:r>
      <w:r>
        <w:t>, however,</w:t>
      </w:r>
      <w:r w:rsidR="00BD71AA" w:rsidRPr="00894665">
        <w:t xml:space="preserve"> on universities evaluating HEPPP projects using a standardised framework, allowing both individual project </w:t>
      </w:r>
      <w:r w:rsidR="000942D6">
        <w:t xml:space="preserve">evaluations </w:t>
      </w:r>
      <w:r w:rsidR="00BD71AA" w:rsidRPr="00894665">
        <w:t>and an overall program evaluation to take place.</w:t>
      </w:r>
    </w:p>
    <w:p w14:paraId="2ADFED51" w14:textId="77777777" w:rsidR="002E3E62" w:rsidRDefault="00BD71AA" w:rsidP="000B6604">
      <w:pPr>
        <w:pStyle w:val="BodyText"/>
      </w:pPr>
      <w:r w:rsidRPr="00894665">
        <w:t xml:space="preserve">A key feature of this </w:t>
      </w:r>
      <w:r>
        <w:t>approach</w:t>
      </w:r>
      <w:r w:rsidRPr="00894665">
        <w:t xml:space="preserve"> is </w:t>
      </w:r>
      <w:r w:rsidR="00E25E6F">
        <w:t xml:space="preserve">that </w:t>
      </w:r>
      <w:r w:rsidR="000942D6">
        <w:t xml:space="preserve">it </w:t>
      </w:r>
      <w:r w:rsidR="00E25E6F">
        <w:t>does not</w:t>
      </w:r>
      <w:r>
        <w:t xml:space="preserve"> requir</w:t>
      </w:r>
      <w:r w:rsidR="00E25E6F">
        <w:t>e</w:t>
      </w:r>
      <w:r>
        <w:t xml:space="preserve"> the level of </w:t>
      </w:r>
      <w:r w:rsidR="00E25E6F">
        <w:t xml:space="preserve">program </w:t>
      </w:r>
      <w:r w:rsidR="004F03C4">
        <w:t>administration</w:t>
      </w:r>
      <w:r w:rsidRPr="00894665">
        <w:t xml:space="preserve"> </w:t>
      </w:r>
      <w:r w:rsidR="00E25E6F">
        <w:t xml:space="preserve">that would be </w:t>
      </w:r>
      <w:r>
        <w:t>involved in establishing performance or pre-agreement based funding</w:t>
      </w:r>
      <w:r w:rsidRPr="00894665">
        <w:t>. Its effectiveness rests heavily on the design and strength of the evaluation framework adopted</w:t>
      </w:r>
      <w:r>
        <w:t>, through which u</w:t>
      </w:r>
      <w:r w:rsidRPr="00894665">
        <w:t>niversities would need to show the impact of HEPPP on low SES student outcomes, and demonstrate a causal relationship between these outcomes and HEPPP funded projects.</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77651B" w:rsidRPr="0022286A" w14:paraId="72EB5544" w14:textId="77777777" w:rsidTr="00A75892">
        <w:trPr>
          <w:cantSplit/>
        </w:trPr>
        <w:tc>
          <w:tcPr>
            <w:tcW w:w="8614" w:type="dxa"/>
            <w:tcMar>
              <w:top w:w="160" w:type="dxa"/>
              <w:left w:w="446" w:type="dxa"/>
            </w:tcMar>
          </w:tcPr>
          <w:p w14:paraId="6B9FF79E" w14:textId="77777777" w:rsidR="0077651B" w:rsidRPr="003006F4" w:rsidRDefault="0077651B" w:rsidP="004F03C4">
            <w:pPr>
              <w:pStyle w:val="Caption"/>
            </w:pPr>
            <w:r w:rsidRPr="003711E2">
              <w:rPr>
                <w:rStyle w:val="CaptionLabel"/>
              </w:rPr>
              <w:t>Recommendation </w:t>
            </w:r>
            <w:r w:rsidR="008C090E" w:rsidRPr="00B13BB9">
              <w:rPr>
                <w:rStyle w:val="CaptionLabel"/>
                <w:noProof/>
              </w:rPr>
              <w:t>2</w:t>
            </w:r>
            <w:r>
              <w:tab/>
            </w:r>
          </w:p>
        </w:tc>
      </w:tr>
      <w:tr w:rsidR="0077651B" w14:paraId="46D587F1" w14:textId="77777777" w:rsidTr="00A75892">
        <w:trPr>
          <w:cantSplit/>
        </w:trPr>
        <w:tc>
          <w:tcPr>
            <w:tcW w:w="8614" w:type="dxa"/>
            <w:shd w:val="clear" w:color="auto" w:fill="E4E0DD"/>
            <w:tcMar>
              <w:top w:w="276" w:type="dxa"/>
              <w:bottom w:w="0" w:type="dxa"/>
              <w:right w:w="120" w:type="dxa"/>
            </w:tcMar>
          </w:tcPr>
          <w:p w14:paraId="49330F0F" w14:textId="77777777" w:rsidR="0077651B" w:rsidRDefault="002E3E62" w:rsidP="000A6C1F">
            <w:pPr>
              <w:pStyle w:val="BoxText"/>
            </w:pPr>
            <w:r>
              <w:t>That t</w:t>
            </w:r>
            <w:r w:rsidRPr="000B3B11">
              <w:t xml:space="preserve">he Participation component of the HEPPP be </w:t>
            </w:r>
            <w:r>
              <w:t>re</w:t>
            </w:r>
            <w:r w:rsidRPr="000B3B11">
              <w:t xml:space="preserve">tained </w:t>
            </w:r>
            <w:r>
              <w:t>with a requirement that universities adhere to and report using a standardised HEPPP evaluation framework to</w:t>
            </w:r>
            <w:r w:rsidRPr="000B3B11">
              <w:t xml:space="preserve"> </w:t>
            </w:r>
            <w:r>
              <w:t xml:space="preserve">ensure universities are targeting low SES students and are improving outcomes for low SES </w:t>
            </w:r>
            <w:r w:rsidRPr="00F1690D">
              <w:t xml:space="preserve">students. The funding formula for the Participation component should </w:t>
            </w:r>
            <w:r>
              <w:t>include a component</w:t>
            </w:r>
            <w:r w:rsidRPr="00F1690D">
              <w:t xml:space="preserve"> </w:t>
            </w:r>
            <w:r>
              <w:t xml:space="preserve">which accounts </w:t>
            </w:r>
            <w:r w:rsidRPr="00F1690D">
              <w:t>for the success rate of low SES students at each university.</w:t>
            </w:r>
          </w:p>
        </w:tc>
      </w:tr>
      <w:tr w:rsidR="0077651B" w:rsidRPr="008B3E19" w14:paraId="3D545751" w14:textId="77777777" w:rsidTr="00A75892">
        <w:trPr>
          <w:cantSplit/>
          <w:trHeight w:hRule="exact" w:val="376"/>
        </w:trPr>
        <w:tc>
          <w:tcPr>
            <w:tcW w:w="8614" w:type="dxa"/>
            <w:shd w:val="clear" w:color="auto" w:fill="E4E0DD"/>
            <w:tcMar>
              <w:top w:w="0" w:type="dxa"/>
              <w:bottom w:w="0" w:type="dxa"/>
              <w:right w:w="0" w:type="dxa"/>
            </w:tcMar>
          </w:tcPr>
          <w:p w14:paraId="08CD0C0F" w14:textId="77777777" w:rsidR="0077651B" w:rsidRPr="008B3E19" w:rsidRDefault="0077651B" w:rsidP="000A6C1F">
            <w:pPr>
              <w:pStyle w:val="spacer"/>
            </w:pPr>
          </w:p>
        </w:tc>
      </w:tr>
      <w:tr w:rsidR="0077651B" w:rsidRPr="008B3E19" w14:paraId="7DECD1B5" w14:textId="77777777" w:rsidTr="00A75892">
        <w:trPr>
          <w:cantSplit/>
          <w:trHeight w:hRule="exact" w:val="180"/>
        </w:trPr>
        <w:tc>
          <w:tcPr>
            <w:tcW w:w="8614" w:type="dxa"/>
            <w:tcMar>
              <w:top w:w="0" w:type="dxa"/>
              <w:left w:w="446" w:type="dxa"/>
              <w:bottom w:w="0" w:type="dxa"/>
            </w:tcMar>
          </w:tcPr>
          <w:p w14:paraId="67A69D48" w14:textId="77777777" w:rsidR="0077651B" w:rsidRPr="008B3E19" w:rsidRDefault="00A45AB3" w:rsidP="000A6C1F">
            <w:pPr>
              <w:pStyle w:val="spacertbl"/>
            </w:pPr>
            <w:r>
              <w:rPr>
                <w:noProof/>
                <w:lang w:eastAsia="en-AU"/>
              </w:rPr>
              <mc:AlternateContent>
                <mc:Choice Requires="wps">
                  <w:drawing>
                    <wp:anchor distT="0" distB="0" distL="114300" distR="114300" simplePos="0" relativeHeight="251662336" behindDoc="0" locked="1" layoutInCell="1" allowOverlap="1" wp14:anchorId="2AC73D7C" wp14:editId="5C0E238B">
                      <wp:simplePos x="0" y="0"/>
                      <wp:positionH relativeFrom="rightMargin">
                        <wp:posOffset>-772795</wp:posOffset>
                      </wp:positionH>
                      <wp:positionV relativeFrom="page">
                        <wp:posOffset>-237490</wp:posOffset>
                      </wp:positionV>
                      <wp:extent cx="436880" cy="213360"/>
                      <wp:effectExtent l="0" t="0" r="1270" b="0"/>
                      <wp:wrapNone/>
                      <wp:docPr id="32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8E64F0" id="Freeform 5" o:spid="_x0000_s1026" style="position:absolute;margin-left:-60.85pt;margin-top:-18.7pt;width:34.4pt;height:16.8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Ueg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13604F1" w14:textId="3BD60BEB" w:rsidR="00BD71AA" w:rsidRDefault="00E25E6F" w:rsidP="00BD71AA">
      <w:pPr>
        <w:pStyle w:val="BodyText"/>
      </w:pPr>
      <w:r>
        <w:t xml:space="preserve">While the Partnerships component addresses an important aspect of HEPPP, </w:t>
      </w:r>
      <w:r w:rsidR="00BD71AA" w:rsidRPr="00894665">
        <w:t xml:space="preserve">the evaluation </w:t>
      </w:r>
      <w:r w:rsidR="00B02D53">
        <w:t>has found</w:t>
      </w:r>
      <w:r w:rsidR="00BD71AA" w:rsidRPr="00894665">
        <w:t xml:space="preserve"> two key issues that may be impacting </w:t>
      </w:r>
      <w:r w:rsidR="00B02D53">
        <w:t>its</w:t>
      </w:r>
      <w:r w:rsidR="00BD71AA" w:rsidRPr="00894665">
        <w:t xml:space="preserve"> effectiveness—</w:t>
      </w:r>
      <w:r w:rsidR="00B02D53">
        <w:t xml:space="preserve">first, </w:t>
      </w:r>
      <w:r w:rsidR="00BD71AA" w:rsidRPr="00894665">
        <w:t>the unintended use of HEPPP funding for university</w:t>
      </w:r>
      <w:r w:rsidR="00E820F3">
        <w:noBreakHyphen/>
      </w:r>
      <w:r w:rsidR="00BD71AA" w:rsidRPr="00894665">
        <w:t xml:space="preserve">specific </w:t>
      </w:r>
      <w:r w:rsidR="00BD0846" w:rsidRPr="00894665">
        <w:t>promotion/recruitment</w:t>
      </w:r>
      <w:r w:rsidR="00BD71AA" w:rsidRPr="00894665">
        <w:t xml:space="preserve"> and </w:t>
      </w:r>
      <w:r w:rsidR="00B02D53">
        <w:t xml:space="preserve">second, </w:t>
      </w:r>
      <w:r w:rsidR="00BD71AA" w:rsidRPr="00894665">
        <w:t xml:space="preserve">the potential for over- or under-servicing </w:t>
      </w:r>
      <w:r w:rsidR="00E820F3">
        <w:t xml:space="preserve">of </w:t>
      </w:r>
      <w:r w:rsidR="00BD71AA" w:rsidRPr="00894665">
        <w:t>some schools with Partnership activities.</w:t>
      </w:r>
    </w:p>
    <w:p w14:paraId="10685284" w14:textId="680F24C9" w:rsidR="00BD71AA" w:rsidRDefault="00B02D53" w:rsidP="00BD71AA">
      <w:pPr>
        <w:pStyle w:val="BodyText"/>
      </w:pPr>
      <w:r>
        <w:t>T</w:t>
      </w:r>
      <w:r w:rsidR="00BD71AA">
        <w:t xml:space="preserve">here is insufficient direct evidence to draw any strong conclusions regarding the extent to which Partnerships funding is being used for institution-specific promotion/recruitment, or the level of under- or over-servicing, </w:t>
      </w:r>
      <w:r>
        <w:t xml:space="preserve">but </w:t>
      </w:r>
      <w:r w:rsidR="00BD71AA">
        <w:t xml:space="preserve">improvements to the design of the Partnership component could decrease the risk of </w:t>
      </w:r>
      <w:r>
        <w:t xml:space="preserve">any such </w:t>
      </w:r>
      <w:r w:rsidR="00BD71AA">
        <w:t>unintended practices.</w:t>
      </w:r>
    </w:p>
    <w:p w14:paraId="0D3257F1" w14:textId="1D941CCD" w:rsidR="0077651B" w:rsidRDefault="00BD71AA" w:rsidP="000A6C1F">
      <w:pPr>
        <w:pStyle w:val="BodyText"/>
      </w:pPr>
      <w:r>
        <w:t>T</w:t>
      </w:r>
      <w:r w:rsidRPr="00894665">
        <w:t xml:space="preserve">he current Partnership funding approach (that is, allocated by the same formula as the Participation component) </w:t>
      </w:r>
      <w:r>
        <w:t xml:space="preserve">should be maintained </w:t>
      </w:r>
      <w:r w:rsidRPr="00894665">
        <w:t xml:space="preserve">but funding </w:t>
      </w:r>
      <w:r>
        <w:t xml:space="preserve">should </w:t>
      </w:r>
      <w:r w:rsidR="00B02D53">
        <w:t>focus</w:t>
      </w:r>
      <w:r w:rsidRPr="00894665">
        <w:t xml:space="preserve"> on </w:t>
      </w:r>
      <w:r w:rsidR="00E820F3">
        <w:t xml:space="preserve">inter-university </w:t>
      </w:r>
      <w:r w:rsidRPr="00894665">
        <w:t>collaborati</w:t>
      </w:r>
      <w:r>
        <w:t>ve activities</w:t>
      </w:r>
      <w:r w:rsidRPr="00894665">
        <w:t xml:space="preserve">. Universities within a set geographical region would be required </w:t>
      </w:r>
      <w:r w:rsidR="001F367E">
        <w:t xml:space="preserve">to </w:t>
      </w:r>
      <w:r w:rsidRPr="00894665">
        <w:t xml:space="preserve">set out how they will ensure all relevant schools receive an appropriate level of Partnership activity, and their approach for ensuring activities do not unduly promote individual institutions. This </w:t>
      </w:r>
      <w:r>
        <w:t xml:space="preserve">would </w:t>
      </w:r>
      <w:r w:rsidR="00B02D53">
        <w:t>mean that</w:t>
      </w:r>
      <w:r w:rsidRPr="00894665">
        <w:t xml:space="preserve"> all universities </w:t>
      </w:r>
      <w:r>
        <w:t xml:space="preserve">continue to </w:t>
      </w:r>
      <w:r w:rsidRPr="00894665">
        <w:t xml:space="preserve">receive some Partnership funding, and so are all </w:t>
      </w:r>
      <w:r w:rsidR="00A951EF">
        <w:t xml:space="preserve">contributing to </w:t>
      </w:r>
      <w:r w:rsidRPr="00894665">
        <w:t xml:space="preserve">increasing access of low SES individuals to higher education and driving Australia-wide coverage of Partnership activities. It </w:t>
      </w:r>
      <w:r w:rsidR="00B02D53">
        <w:t xml:space="preserve">would </w:t>
      </w:r>
      <w:r w:rsidRPr="00894665">
        <w:t>also offer a ready approach to ensure all relevant schools receive Partnership activities</w:t>
      </w:r>
      <w:r w:rsidR="00B02D53">
        <w:t xml:space="preserve">, and </w:t>
      </w:r>
      <w:r w:rsidRPr="00894665">
        <w:t xml:space="preserve">would require less administrative effort for universities </w:t>
      </w:r>
      <w:r w:rsidR="00E820F3" w:rsidRPr="00894665">
        <w:t xml:space="preserve">and for the </w:t>
      </w:r>
      <w:r w:rsidR="00E820F3" w:rsidRPr="00566459">
        <w:t xml:space="preserve">Department </w:t>
      </w:r>
      <w:r w:rsidRPr="00566459">
        <w:t xml:space="preserve">than </w:t>
      </w:r>
      <w:r w:rsidR="00C9717A" w:rsidRPr="006640EC">
        <w:t>the</w:t>
      </w:r>
      <w:r w:rsidR="00C9717A" w:rsidRPr="00566459">
        <w:t xml:space="preserve"> </w:t>
      </w:r>
      <w:r w:rsidRPr="00566459">
        <w:t>grant-based approach</w:t>
      </w:r>
      <w:r w:rsidR="00C9717A">
        <w:t xml:space="preserve"> </w:t>
      </w:r>
      <w:r w:rsidR="00E54ABD">
        <w:t>to partnership funding that</w:t>
      </w:r>
      <w:r w:rsidR="00C9717A">
        <w:t xml:space="preserve"> was used in previous years</w:t>
      </w:r>
      <w:r w:rsidRPr="00894665">
        <w:t>.</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2A4AAD63" w14:textId="77777777" w:rsidTr="00A75892">
        <w:trPr>
          <w:cantSplit/>
        </w:trPr>
        <w:tc>
          <w:tcPr>
            <w:tcW w:w="8614" w:type="dxa"/>
            <w:tcMar>
              <w:top w:w="160" w:type="dxa"/>
              <w:left w:w="446" w:type="dxa"/>
            </w:tcMar>
          </w:tcPr>
          <w:p w14:paraId="5F646A30" w14:textId="77777777" w:rsidR="002E3E62" w:rsidRPr="003006F4" w:rsidRDefault="002E3E62" w:rsidP="004F03C4">
            <w:pPr>
              <w:pStyle w:val="Caption"/>
            </w:pPr>
            <w:r w:rsidRPr="004D3806">
              <w:rPr>
                <w:rStyle w:val="CaptionLabel"/>
              </w:rPr>
              <w:t>Recommendation</w:t>
            </w:r>
            <w:r>
              <w:rPr>
                <w:rStyle w:val="CaptionLabel"/>
              </w:rPr>
              <w:t> </w:t>
            </w:r>
            <w:r w:rsidR="008C090E">
              <w:rPr>
                <w:rStyle w:val="CaptionLabel"/>
                <w:noProof/>
              </w:rPr>
              <w:t>3</w:t>
            </w:r>
            <w:r>
              <w:tab/>
            </w:r>
          </w:p>
        </w:tc>
      </w:tr>
      <w:tr w:rsidR="002E3E62" w14:paraId="747EB2D5" w14:textId="77777777" w:rsidTr="00A75892">
        <w:trPr>
          <w:cantSplit/>
        </w:trPr>
        <w:tc>
          <w:tcPr>
            <w:tcW w:w="8614" w:type="dxa"/>
            <w:shd w:val="clear" w:color="auto" w:fill="E4E0DD"/>
            <w:tcMar>
              <w:top w:w="276" w:type="dxa"/>
              <w:bottom w:w="0" w:type="dxa"/>
              <w:right w:w="120" w:type="dxa"/>
            </w:tcMar>
          </w:tcPr>
          <w:p w14:paraId="0DEA6704" w14:textId="77777777" w:rsidR="002E3E62" w:rsidRDefault="002E3E62" w:rsidP="000A6C1F">
            <w:pPr>
              <w:pStyle w:val="BoxText"/>
            </w:pPr>
            <w:r w:rsidRPr="000B3B11">
              <w:t>T</w:t>
            </w:r>
            <w:r>
              <w:t>hat t</w:t>
            </w:r>
            <w:r w:rsidRPr="000B3B11">
              <w:t xml:space="preserve">he Partnership component of the HEPPP be </w:t>
            </w:r>
            <w:r>
              <w:t>re</w:t>
            </w:r>
            <w:r w:rsidRPr="000B3B11">
              <w:t xml:space="preserve">tained, with </w:t>
            </w:r>
            <w:r>
              <w:t>universities required to collaborate within defined geographical regions to ensure coverage of relevant schools and to reduce the extent to which Partnership activities promote any particular institution</w:t>
            </w:r>
            <w:r w:rsidRPr="000B3B11">
              <w:t>.</w:t>
            </w:r>
          </w:p>
        </w:tc>
      </w:tr>
      <w:tr w:rsidR="002E3E62" w:rsidRPr="008B3E19" w14:paraId="70FB8C53" w14:textId="77777777" w:rsidTr="00A75892">
        <w:trPr>
          <w:cantSplit/>
          <w:trHeight w:hRule="exact" w:val="376"/>
        </w:trPr>
        <w:tc>
          <w:tcPr>
            <w:tcW w:w="8614" w:type="dxa"/>
            <w:shd w:val="clear" w:color="auto" w:fill="E4E0DD"/>
            <w:tcMar>
              <w:top w:w="0" w:type="dxa"/>
              <w:bottom w:w="0" w:type="dxa"/>
              <w:right w:w="0" w:type="dxa"/>
            </w:tcMar>
          </w:tcPr>
          <w:p w14:paraId="3B9F7FED" w14:textId="77777777" w:rsidR="002E3E62" w:rsidRPr="008B3E19" w:rsidRDefault="002E3E62" w:rsidP="000A6C1F">
            <w:pPr>
              <w:pStyle w:val="spacer"/>
            </w:pPr>
          </w:p>
        </w:tc>
      </w:tr>
      <w:tr w:rsidR="002E3E62" w:rsidRPr="008B3E19" w14:paraId="165CD8D8" w14:textId="77777777" w:rsidTr="00A75892">
        <w:trPr>
          <w:cantSplit/>
          <w:trHeight w:hRule="exact" w:val="180"/>
        </w:trPr>
        <w:tc>
          <w:tcPr>
            <w:tcW w:w="8614" w:type="dxa"/>
            <w:tcMar>
              <w:top w:w="0" w:type="dxa"/>
              <w:left w:w="446" w:type="dxa"/>
              <w:bottom w:w="0" w:type="dxa"/>
            </w:tcMar>
          </w:tcPr>
          <w:p w14:paraId="7D433533"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63360" behindDoc="0" locked="1" layoutInCell="1" allowOverlap="1" wp14:anchorId="4FF8A18F" wp14:editId="2576626A">
                      <wp:simplePos x="0" y="0"/>
                      <wp:positionH relativeFrom="rightMargin">
                        <wp:posOffset>-772795</wp:posOffset>
                      </wp:positionH>
                      <wp:positionV relativeFrom="page">
                        <wp:posOffset>-237490</wp:posOffset>
                      </wp:positionV>
                      <wp:extent cx="436880" cy="213360"/>
                      <wp:effectExtent l="0" t="0" r="1270" b="0"/>
                      <wp:wrapNone/>
                      <wp:docPr id="32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8AC99E" id="Freeform 5" o:spid="_x0000_s1026" style="position:absolute;margin-left:-60.85pt;margin-top:-18.7pt;width:34.4pt;height:16.8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2F79EEE" w14:textId="77777777" w:rsidR="00BD71AA" w:rsidRDefault="00BD71AA" w:rsidP="00BD71AA">
      <w:pPr>
        <w:pStyle w:val="BodyText"/>
      </w:pPr>
      <w:r>
        <w:t>It is clear that university HEPPP implementation could be improved by greater access to evidence on what works, but that this kind of research is unlikely to be generated by universities without dedicated funding. A review of the projects commissioned under the NPP do not clearly point to research that will fill the gaps in evidence identified through this evaluation, namely:</w:t>
      </w:r>
    </w:p>
    <w:p w14:paraId="7098B65F" w14:textId="77777777" w:rsidR="00BD71AA" w:rsidRDefault="00BD71AA" w:rsidP="00BD71AA">
      <w:pPr>
        <w:pStyle w:val="ListBullet"/>
      </w:pPr>
      <w:r>
        <w:t>Which types of activities are more effective than other types of activities, for example, are mentor programs or scholarships more effective in increasing completion rates</w:t>
      </w:r>
    </w:p>
    <w:p w14:paraId="2D995745" w14:textId="77777777" w:rsidR="00BD71AA" w:rsidRDefault="00BD71AA" w:rsidP="00BD71AA">
      <w:pPr>
        <w:pStyle w:val="ListBullet"/>
      </w:pPr>
      <w:r>
        <w:t>Within a type of activity, what are the characteristics of effective projects, for example, what are the characteristics of successful mentoring programs</w:t>
      </w:r>
    </w:p>
    <w:p w14:paraId="6EB5CD1A" w14:textId="5621A390" w:rsidR="00BD71AA" w:rsidRDefault="00BD71AA" w:rsidP="00BD71AA">
      <w:pPr>
        <w:pStyle w:val="ListBullet"/>
      </w:pPr>
      <w:r>
        <w:t>What sustains educational inequity (for example, why intergenerational inequalities in educational mobility continue to persist</w:t>
      </w:r>
      <w:r w:rsidR="00E820F3">
        <w:t>)</w:t>
      </w:r>
      <w:r w:rsidR="005E06AF">
        <w:t>.</w:t>
      </w:r>
    </w:p>
    <w:p w14:paraId="4F8A52E2" w14:textId="638CA2E7" w:rsidR="002E3E62" w:rsidRDefault="00E820F3" w:rsidP="000A6C1F">
      <w:pPr>
        <w:pStyle w:val="BodyText"/>
      </w:pPr>
      <w:r>
        <w:t xml:space="preserve">Research </w:t>
      </w:r>
      <w:r w:rsidR="00B02D53">
        <w:t>into</w:t>
      </w:r>
      <w:r>
        <w:t xml:space="preserve"> t</w:t>
      </w:r>
      <w:r w:rsidR="00BD71AA">
        <w:t xml:space="preserve">hese </w:t>
      </w:r>
      <w:r>
        <w:t xml:space="preserve">areas </w:t>
      </w:r>
      <w:r w:rsidR="00BD71AA">
        <w:t xml:space="preserve">will assist universities with the design of their projects and </w:t>
      </w:r>
      <w:r>
        <w:t>the</w:t>
      </w:r>
      <w:r w:rsidR="00BD71AA">
        <w:t xml:space="preserve"> </w:t>
      </w:r>
      <w:r>
        <w:t>allocation of</w:t>
      </w:r>
      <w:r w:rsidR="00BD71AA">
        <w:t xml:space="preserve"> funding between different types of activities. </w:t>
      </w:r>
      <w:r>
        <w:t xml:space="preserve">The </w:t>
      </w:r>
      <w:r w:rsidR="00BD71AA">
        <w:t xml:space="preserve">research </w:t>
      </w:r>
      <w:r w:rsidR="00B02D53">
        <w:t xml:space="preserve">will likely need to be </w:t>
      </w:r>
      <w:r w:rsidR="00BD71AA">
        <w:t>based on quasi</w:t>
      </w:r>
      <w:r>
        <w:noBreakHyphen/>
      </w:r>
      <w:r w:rsidR="00BD71AA">
        <w:t xml:space="preserve">experimental or experimental </w:t>
      </w:r>
      <w:r w:rsidR="0008156C">
        <w:t>designs</w:t>
      </w:r>
      <w:r w:rsidR="00BD71AA">
        <w:t xml:space="preserve">, which </w:t>
      </w:r>
      <w:r w:rsidR="0008156C">
        <w:t xml:space="preserve">allow </w:t>
      </w:r>
      <w:r w:rsidR="00BD71AA">
        <w:t>for stronger conclusions to</w:t>
      </w:r>
      <w:r>
        <w:t xml:space="preserve"> be</w:t>
      </w:r>
      <w:r w:rsidR="00BD71AA">
        <w:t xml:space="preserve"> drawn on ca</w:t>
      </w:r>
      <w:r w:rsidR="00E54ABD">
        <w:t>usal</w:t>
      </w:r>
      <w:r w:rsidR="00BD71AA">
        <w:t xml:space="preserve"> impact</w:t>
      </w:r>
      <w:r>
        <w:t>s</w:t>
      </w:r>
      <w:r w:rsidR="00BD71AA">
        <w:t>. Such research is normally more resource intensive than the projects funded by the NPP, but would be more effective at building a body of knowledge to inform HEPPP implementation.</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2C0A3A1E" w14:textId="77777777" w:rsidTr="00A75892">
        <w:trPr>
          <w:cantSplit/>
        </w:trPr>
        <w:tc>
          <w:tcPr>
            <w:tcW w:w="8614" w:type="dxa"/>
            <w:shd w:val="clear" w:color="auto" w:fill="auto"/>
            <w:tcMar>
              <w:top w:w="160" w:type="dxa"/>
              <w:left w:w="446" w:type="dxa"/>
            </w:tcMar>
          </w:tcPr>
          <w:p w14:paraId="089A8C6F" w14:textId="77777777" w:rsidR="002E3E62" w:rsidRPr="003006F4" w:rsidRDefault="002E3E62">
            <w:pPr>
              <w:pStyle w:val="Caption"/>
            </w:pPr>
            <w:r w:rsidRPr="004663F9">
              <w:rPr>
                <w:rStyle w:val="CaptionLabel"/>
              </w:rPr>
              <w:t>Recommendation </w:t>
            </w:r>
            <w:r w:rsidR="008C090E" w:rsidRPr="004663F9">
              <w:rPr>
                <w:rStyle w:val="CaptionLabel"/>
                <w:noProof/>
              </w:rPr>
              <w:t>4</w:t>
            </w:r>
            <w:r>
              <w:tab/>
            </w:r>
          </w:p>
        </w:tc>
      </w:tr>
      <w:tr w:rsidR="002E3E62" w14:paraId="6A14E9B1" w14:textId="77777777" w:rsidTr="00A75892">
        <w:trPr>
          <w:cantSplit/>
        </w:trPr>
        <w:tc>
          <w:tcPr>
            <w:tcW w:w="8614" w:type="dxa"/>
            <w:shd w:val="clear" w:color="auto" w:fill="E4E0DD"/>
            <w:tcMar>
              <w:top w:w="276" w:type="dxa"/>
              <w:bottom w:w="0" w:type="dxa"/>
              <w:right w:w="120" w:type="dxa"/>
            </w:tcMar>
          </w:tcPr>
          <w:p w14:paraId="1F6468CB" w14:textId="77777777" w:rsidR="002E3E62" w:rsidRDefault="002E3E62" w:rsidP="00674044">
            <w:pPr>
              <w:pStyle w:val="BoxText"/>
            </w:pPr>
            <w:r w:rsidRPr="000B3B11">
              <w:t>T</w:t>
            </w:r>
            <w:r>
              <w:t>hat t</w:t>
            </w:r>
            <w:r w:rsidRPr="000B3B11">
              <w:t xml:space="preserve">he NPP be </w:t>
            </w:r>
            <w:r>
              <w:t>re</w:t>
            </w:r>
            <w:r w:rsidRPr="000B3B11">
              <w:t xml:space="preserve">tained </w:t>
            </w:r>
            <w:r>
              <w:t xml:space="preserve">to support research on higher education equity, but </w:t>
            </w:r>
            <w:r w:rsidRPr="000B3B11">
              <w:t xml:space="preserve">with a greater focus on </w:t>
            </w:r>
            <w:r w:rsidR="00674044">
              <w:t xml:space="preserve">more rigorous evaluative research that can </w:t>
            </w:r>
            <w:r>
              <w:t>help identify the most effective approaches</w:t>
            </w:r>
            <w:r w:rsidRPr="000B3B11">
              <w:t>.</w:t>
            </w:r>
          </w:p>
        </w:tc>
      </w:tr>
      <w:tr w:rsidR="002E3E62" w:rsidRPr="008B3E19" w14:paraId="668DD405" w14:textId="77777777" w:rsidTr="00A75892">
        <w:trPr>
          <w:cantSplit/>
          <w:trHeight w:hRule="exact" w:val="376"/>
        </w:trPr>
        <w:tc>
          <w:tcPr>
            <w:tcW w:w="8614" w:type="dxa"/>
            <w:shd w:val="clear" w:color="auto" w:fill="E4E0DD"/>
            <w:tcMar>
              <w:top w:w="0" w:type="dxa"/>
              <w:bottom w:w="0" w:type="dxa"/>
              <w:right w:w="0" w:type="dxa"/>
            </w:tcMar>
          </w:tcPr>
          <w:p w14:paraId="3F56231D" w14:textId="77777777" w:rsidR="002E3E62" w:rsidRPr="008B3E19" w:rsidRDefault="002E3E62" w:rsidP="000A6C1F">
            <w:pPr>
              <w:pStyle w:val="spacer"/>
            </w:pPr>
          </w:p>
        </w:tc>
      </w:tr>
      <w:tr w:rsidR="002E3E62" w:rsidRPr="008B3E19" w14:paraId="5AC8C669" w14:textId="77777777" w:rsidTr="00A75892">
        <w:trPr>
          <w:cantSplit/>
          <w:trHeight w:hRule="exact" w:val="180"/>
        </w:trPr>
        <w:tc>
          <w:tcPr>
            <w:tcW w:w="8614" w:type="dxa"/>
            <w:tcMar>
              <w:top w:w="0" w:type="dxa"/>
              <w:left w:w="446" w:type="dxa"/>
              <w:bottom w:w="0" w:type="dxa"/>
            </w:tcMar>
          </w:tcPr>
          <w:p w14:paraId="6A0B9E67"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64384" behindDoc="0" locked="1" layoutInCell="1" allowOverlap="1" wp14:anchorId="08DCC149" wp14:editId="49AA4AF5">
                      <wp:simplePos x="0" y="0"/>
                      <wp:positionH relativeFrom="rightMargin">
                        <wp:posOffset>-772795</wp:posOffset>
                      </wp:positionH>
                      <wp:positionV relativeFrom="page">
                        <wp:posOffset>-237490</wp:posOffset>
                      </wp:positionV>
                      <wp:extent cx="436880" cy="213360"/>
                      <wp:effectExtent l="0" t="0" r="1270" b="0"/>
                      <wp:wrapNone/>
                      <wp:docPr id="32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596242" id="Freeform 5" o:spid="_x0000_s1026" style="position:absolute;margin-left:-60.85pt;margin-top:-18.7pt;width:34.4pt;height:16.8pt;z-index:251664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637080AF" w14:textId="77777777" w:rsidR="00BD71AA" w:rsidRDefault="00BD71AA" w:rsidP="00BD71AA">
      <w:pPr>
        <w:pStyle w:val="BodyText"/>
      </w:pPr>
      <w:r>
        <w:t xml:space="preserve">The </w:t>
      </w:r>
      <w:r w:rsidRPr="00894665">
        <w:t xml:space="preserve">design of the HEPPP explicitly targets individuals from low SES backgrounds. This </w:t>
      </w:r>
      <w:r w:rsidR="00E820F3">
        <w:t xml:space="preserve">is </w:t>
      </w:r>
      <w:r w:rsidRPr="00894665">
        <w:t>evident in the Guidelines</w:t>
      </w:r>
      <w:r w:rsidR="00E820F3">
        <w:t>,</w:t>
      </w:r>
      <w:r w:rsidRPr="00894665">
        <w:t xml:space="preserve"> which set out the </w:t>
      </w:r>
      <w:r w:rsidR="00C9717A" w:rsidRPr="00894665">
        <w:t xml:space="preserve">objectives </w:t>
      </w:r>
      <w:r w:rsidR="00C9717A">
        <w:t xml:space="preserve">for the </w:t>
      </w:r>
      <w:r w:rsidRPr="00894665">
        <w:t xml:space="preserve">HEPPP and </w:t>
      </w:r>
      <w:r w:rsidR="00B02D53">
        <w:t xml:space="preserve">the </w:t>
      </w:r>
      <w:r w:rsidRPr="00894665">
        <w:t>manner in which Participation and Partnership funding is allocated to universities based on each universities’ share of low SES students</w:t>
      </w:r>
      <w:r>
        <w:t>. Despite this, other higher education equity groups have also received project focus under the HEPPP. In part, this is because there is an overlap between low SES and other equity groups</w:t>
      </w:r>
      <w:r w:rsidR="00E820F3">
        <w:t xml:space="preserve"> (this was </w:t>
      </w:r>
      <w:r>
        <w:t xml:space="preserve">reflected </w:t>
      </w:r>
      <w:r w:rsidR="00E820F3">
        <w:t>in a round of Partnership grants which focused on low SES Indigenous students)</w:t>
      </w:r>
      <w:r>
        <w:t xml:space="preserve">, </w:t>
      </w:r>
      <w:r w:rsidR="00E820F3">
        <w:t xml:space="preserve">and because </w:t>
      </w:r>
      <w:r>
        <w:t>universities find it difficult to target low SES students as a specific cohort.</w:t>
      </w:r>
    </w:p>
    <w:p w14:paraId="6E05B1E8" w14:textId="77777777" w:rsidR="00BD71AA" w:rsidRDefault="00BD71AA" w:rsidP="00BD71AA">
      <w:pPr>
        <w:pStyle w:val="BodyText"/>
      </w:pPr>
      <w:r>
        <w:t xml:space="preserve">There is also evidence that some universities target HEPPP projects at other equity groups, regardless of their overlap with the low SES cohort. This can be based on universities’ own analysis and identification of groups they see as facing barriers to higher education participation and success. </w:t>
      </w:r>
    </w:p>
    <w:p w14:paraId="6B87068B" w14:textId="77777777" w:rsidR="00B02D53" w:rsidRDefault="00BD71AA" w:rsidP="000A6C1F">
      <w:pPr>
        <w:pStyle w:val="BodyText"/>
      </w:pPr>
      <w:r w:rsidRPr="00566459">
        <w:t>There is a strong case for maintaining low SES individuals as a target group of the HEPPP</w:t>
      </w:r>
      <w:r w:rsidRPr="001B14B4">
        <w:t xml:space="preserve">—low SES individuals remain </w:t>
      </w:r>
      <w:r w:rsidR="00FE4817" w:rsidRPr="001B14B4">
        <w:t>under-represented</w:t>
      </w:r>
      <w:r w:rsidRPr="001B14B4">
        <w:t xml:space="preserve"> in higher education, and there is considerable evidence that this is due to the fact they come from low SES backgrounds.</w:t>
      </w:r>
      <w:r>
        <w:t xml:space="preserve"> </w:t>
      </w:r>
    </w:p>
    <w:p w14:paraId="3612E6AD" w14:textId="721A7EFC" w:rsidR="002E3E62" w:rsidRDefault="00BD71AA" w:rsidP="000A6C1F">
      <w:pPr>
        <w:pStyle w:val="BodyText"/>
      </w:pPr>
      <w:r>
        <w:t xml:space="preserve">The case for inclusion of other equity groups </w:t>
      </w:r>
      <w:r w:rsidR="00B02D53">
        <w:t>with</w:t>
      </w:r>
      <w:r>
        <w:t>in HEPPP is less clear</w:t>
      </w:r>
      <w:r w:rsidR="00B02D53">
        <w:t xml:space="preserve"> and would need to be considered alongside other funding available for these groups</w:t>
      </w:r>
      <w:r>
        <w:t>.</w:t>
      </w:r>
      <w:r w:rsidR="00B02D53">
        <w:t xml:space="preserve"> </w:t>
      </w:r>
      <w:r>
        <w:t>T</w:t>
      </w:r>
      <w:r w:rsidRPr="007E3F7A">
        <w:t xml:space="preserve">here is currently underway a NPP funded Review of Identified Equity Groups. This is expected to report </w:t>
      </w:r>
      <w:r w:rsidR="00EC488F">
        <w:t xml:space="preserve">in November 2017 </w:t>
      </w:r>
      <w:r w:rsidRPr="007E3F7A">
        <w:t xml:space="preserve">and will be able to examine </w:t>
      </w:r>
      <w:r w:rsidR="00E820F3">
        <w:t xml:space="preserve">the suitability of other target groups </w:t>
      </w:r>
      <w:r w:rsidRPr="007E3F7A">
        <w:t>in more depth.</w:t>
      </w:r>
      <w:r w:rsidR="00C9717A">
        <w:t xml:space="preserve"> Additionally, the</w:t>
      </w:r>
      <w:r w:rsidR="001B14B4">
        <w:t>se</w:t>
      </w:r>
      <w:r w:rsidR="00C9717A">
        <w:t xml:space="preserve"> equity groups are not exclusive and often people may belong to more than one group</w:t>
      </w:r>
      <w:r w:rsidR="00E54ABD">
        <w:t xml:space="preserve">. </w:t>
      </w:r>
      <w:r w:rsidR="00C9717A">
        <w:t xml:space="preserve"> </w:t>
      </w:r>
      <w:r w:rsidR="00E54ABD">
        <w:t>F</w:t>
      </w:r>
      <w:r w:rsidR="00C9717A">
        <w:t xml:space="preserve">or example, a person from a low SES background </w:t>
      </w:r>
      <w:r w:rsidR="00E54ABD">
        <w:t xml:space="preserve">may also be </w:t>
      </w:r>
      <w:r w:rsidR="00C9717A">
        <w:t>from a remote area</w:t>
      </w:r>
      <w:r w:rsidR="001B14B4">
        <w:t xml:space="preserve">, which means that targeting low SES individuals </w:t>
      </w:r>
      <w:r w:rsidR="00E54ABD">
        <w:t xml:space="preserve">also targets people from other equity groups who are most financially disadvantaged. </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3B70FF2E" w14:textId="77777777" w:rsidTr="00A75892">
        <w:trPr>
          <w:cantSplit/>
        </w:trPr>
        <w:tc>
          <w:tcPr>
            <w:tcW w:w="8614" w:type="dxa"/>
            <w:tcMar>
              <w:top w:w="160" w:type="dxa"/>
              <w:left w:w="446" w:type="dxa"/>
            </w:tcMar>
          </w:tcPr>
          <w:p w14:paraId="0E284F25" w14:textId="77777777" w:rsidR="002E3E62" w:rsidRPr="003006F4" w:rsidRDefault="002E3E62">
            <w:pPr>
              <w:pStyle w:val="Caption"/>
            </w:pPr>
            <w:r w:rsidRPr="004D3806">
              <w:rPr>
                <w:rStyle w:val="CaptionLabel"/>
              </w:rPr>
              <w:t>Recommendation</w:t>
            </w:r>
            <w:r>
              <w:rPr>
                <w:rStyle w:val="CaptionLabel"/>
              </w:rPr>
              <w:t> </w:t>
            </w:r>
            <w:r w:rsidR="008C090E">
              <w:rPr>
                <w:rStyle w:val="CaptionLabel"/>
                <w:noProof/>
              </w:rPr>
              <w:t>5</w:t>
            </w:r>
          </w:p>
        </w:tc>
      </w:tr>
      <w:tr w:rsidR="002E3E62" w14:paraId="38213409" w14:textId="77777777" w:rsidTr="00A75892">
        <w:trPr>
          <w:cantSplit/>
        </w:trPr>
        <w:tc>
          <w:tcPr>
            <w:tcW w:w="8614" w:type="dxa"/>
            <w:shd w:val="clear" w:color="auto" w:fill="E4E0DD"/>
            <w:tcMar>
              <w:top w:w="276" w:type="dxa"/>
              <w:bottom w:w="0" w:type="dxa"/>
              <w:right w:w="120" w:type="dxa"/>
            </w:tcMar>
          </w:tcPr>
          <w:p w14:paraId="78FA5F26" w14:textId="77777777" w:rsidR="002E3E62" w:rsidRDefault="002E3E62" w:rsidP="000A6C1F">
            <w:pPr>
              <w:pStyle w:val="BoxText"/>
            </w:pPr>
            <w:r w:rsidRPr="00717B9C">
              <w:t>That</w:t>
            </w:r>
            <w:r>
              <w:t xml:space="preserve">, pending the results of the </w:t>
            </w:r>
            <w:r w:rsidRPr="004A62E5">
              <w:t>NPP funded Review of Identified Equity Groups</w:t>
            </w:r>
            <w:r>
              <w:t>, the HEPPP continue to be targeted at low SES students.</w:t>
            </w:r>
          </w:p>
        </w:tc>
      </w:tr>
      <w:tr w:rsidR="002E3E62" w:rsidRPr="008B3E19" w14:paraId="68FA049B" w14:textId="77777777" w:rsidTr="00A75892">
        <w:trPr>
          <w:cantSplit/>
          <w:trHeight w:hRule="exact" w:val="376"/>
        </w:trPr>
        <w:tc>
          <w:tcPr>
            <w:tcW w:w="8614" w:type="dxa"/>
            <w:shd w:val="clear" w:color="auto" w:fill="E4E0DD"/>
            <w:tcMar>
              <w:top w:w="0" w:type="dxa"/>
              <w:bottom w:w="0" w:type="dxa"/>
              <w:right w:w="0" w:type="dxa"/>
            </w:tcMar>
          </w:tcPr>
          <w:p w14:paraId="6CD6013A" w14:textId="77777777" w:rsidR="002E3E62" w:rsidRPr="008B3E19" w:rsidRDefault="002E3E62" w:rsidP="000A6C1F">
            <w:pPr>
              <w:pStyle w:val="spacer"/>
            </w:pPr>
          </w:p>
        </w:tc>
      </w:tr>
      <w:tr w:rsidR="002E3E62" w:rsidRPr="008B3E19" w14:paraId="5177D3AE" w14:textId="77777777" w:rsidTr="00A75892">
        <w:trPr>
          <w:cantSplit/>
          <w:trHeight w:hRule="exact" w:val="180"/>
        </w:trPr>
        <w:tc>
          <w:tcPr>
            <w:tcW w:w="8614" w:type="dxa"/>
            <w:tcMar>
              <w:top w:w="0" w:type="dxa"/>
              <w:left w:w="446" w:type="dxa"/>
              <w:bottom w:w="0" w:type="dxa"/>
            </w:tcMar>
          </w:tcPr>
          <w:p w14:paraId="5A8F95EF"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65408" behindDoc="0" locked="1" layoutInCell="1" allowOverlap="1" wp14:anchorId="65781509" wp14:editId="250A79AA">
                      <wp:simplePos x="0" y="0"/>
                      <wp:positionH relativeFrom="rightMargin">
                        <wp:posOffset>-772795</wp:posOffset>
                      </wp:positionH>
                      <wp:positionV relativeFrom="page">
                        <wp:posOffset>-237490</wp:posOffset>
                      </wp:positionV>
                      <wp:extent cx="436880" cy="213360"/>
                      <wp:effectExtent l="0" t="0" r="1270" b="0"/>
                      <wp:wrapNone/>
                      <wp:docPr id="33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0102E5" id="Freeform 5" o:spid="_x0000_s1026" style="position:absolute;margin-left:-60.85pt;margin-top:-18.7pt;width:34.4pt;height:16.8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7D009C97" w14:textId="77777777" w:rsidR="00BD71AA" w:rsidRDefault="00BD71AA" w:rsidP="00BD71AA">
      <w:pPr>
        <w:pStyle w:val="Heading4nonumber"/>
      </w:pPr>
      <w:r>
        <w:t>Funding the HEPPP</w:t>
      </w:r>
    </w:p>
    <w:p w14:paraId="1B8439A7" w14:textId="0D8CAEAC" w:rsidR="00BD71AA" w:rsidRDefault="00BD71AA" w:rsidP="00BD71AA">
      <w:pPr>
        <w:pStyle w:val="BodyText"/>
      </w:pPr>
      <w:r>
        <w:t xml:space="preserve">The HEPPP funding level was originally set at 2 per cent of </w:t>
      </w:r>
      <w:r w:rsidR="00ED5642" w:rsidRPr="00ED5642">
        <w:t>teaching and learning grants</w:t>
      </w:r>
      <w:r>
        <w:t xml:space="preserve"> funding</w:t>
      </w:r>
      <w:r w:rsidR="00804C62">
        <w:t xml:space="preserve"> in 2010-11</w:t>
      </w:r>
      <w:r>
        <w:t>, and budgeted to increase to 4 per cent by 2012–13</w:t>
      </w:r>
      <w:r w:rsidR="00804C62">
        <w:t>—t</w:t>
      </w:r>
      <w:r>
        <w:t xml:space="preserve">he 4 per cent level was recommended by the Bradley Review (2008). </w:t>
      </w:r>
      <w:r w:rsidR="00804C62">
        <w:t xml:space="preserve">Funding for the program has not reached this level and in </w:t>
      </w:r>
      <w:r>
        <w:t xml:space="preserve">2014 was </w:t>
      </w:r>
      <w:r w:rsidRPr="0090622A">
        <w:t>2.9</w:t>
      </w:r>
      <w:r w:rsidR="00ED5642" w:rsidRPr="0090622A">
        <w:t> </w:t>
      </w:r>
      <w:r w:rsidRPr="0090622A">
        <w:t xml:space="preserve">per cent of </w:t>
      </w:r>
      <w:r w:rsidR="00ED5642" w:rsidRPr="0090622A">
        <w:t>teaching and learning grants</w:t>
      </w:r>
      <w:r w:rsidRPr="0090622A">
        <w:t xml:space="preserve"> funding.</w:t>
      </w:r>
      <w:r w:rsidR="00804C62">
        <w:rPr>
          <w:rStyle w:val="FootnoteReference"/>
        </w:rPr>
        <w:footnoteReference w:id="3"/>
      </w:r>
    </w:p>
    <w:p w14:paraId="3AA48B9E" w14:textId="77777777" w:rsidR="00BD71AA" w:rsidRDefault="00BD71AA" w:rsidP="00BD71AA">
      <w:pPr>
        <w:pStyle w:val="BodyText"/>
      </w:pPr>
      <w:r>
        <w:t xml:space="preserve">The Base Funding Review (2011) recommended that the Participation component of the HEPPP be set at $1,000 per low SES student equivalent full-time student load (EFTSL) in 2012 and maintained in real terms. HEPPP Participation funding exceeded the Base Funding Review recommended level in 2012-2014, before dropping below it in 2015. Based on the forward estimates, HEPPP funding will continue to be below the Base Funding Review recommendation over the coming years. </w:t>
      </w:r>
    </w:p>
    <w:p w14:paraId="558CFEF8" w14:textId="77777777" w:rsidR="002E3E62" w:rsidRDefault="00BD71AA" w:rsidP="000A6C1F">
      <w:pPr>
        <w:pStyle w:val="BodyText"/>
      </w:pPr>
      <w:r>
        <w:t xml:space="preserve">Given the </w:t>
      </w:r>
      <w:r w:rsidR="00B02D53">
        <w:t>demand driven system</w:t>
      </w:r>
      <w:r>
        <w:t xml:space="preserve"> may continue to expand the number of low SES students in higher education—although there is some evidence that enrolments under the </w:t>
      </w:r>
      <w:r w:rsidR="007B5594">
        <w:t>DDS</w:t>
      </w:r>
      <w:r>
        <w:t xml:space="preserve"> may be peaking—the level of HEPPP funding, particularly the level of the Participation component, should be reviewed to establish whether it is </w:t>
      </w:r>
      <w:r w:rsidR="00B02D53">
        <w:t xml:space="preserve">adequate </w:t>
      </w:r>
      <w:r>
        <w:t xml:space="preserve">to enable the HEPPP achievements identified to date to be continued and meet the </w:t>
      </w:r>
      <w:r w:rsidR="00860783">
        <w:t xml:space="preserve">low SES enrolment </w:t>
      </w:r>
      <w:r>
        <w:t>target</w:t>
      </w:r>
      <w:r w:rsidR="00776729">
        <w:t xml:space="preserve"> identified in the Guidelines</w:t>
      </w:r>
      <w:r w:rsidR="00674044">
        <w:t>—namely</w:t>
      </w:r>
      <w:r w:rsidR="00776729">
        <w:t xml:space="preserve"> that</w:t>
      </w:r>
      <w:r w:rsidR="00674044">
        <w:t>,</w:t>
      </w:r>
      <w:r w:rsidR="00776729">
        <w:t xml:space="preserve"> by 2020, 20</w:t>
      </w:r>
      <w:r w:rsidR="00BF2480">
        <w:t> </w:t>
      </w:r>
      <w:r w:rsidR="00776729">
        <w:t>per</w:t>
      </w:r>
      <w:r w:rsidR="00BF2480">
        <w:t> </w:t>
      </w:r>
      <w:r w:rsidR="00776729">
        <w:t>cent of domestic undergraduate students must be from low SES backgrounds</w:t>
      </w:r>
      <w:r>
        <w:t>.</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2EFE5C60" w14:textId="77777777" w:rsidTr="00A75892">
        <w:trPr>
          <w:cantSplit/>
        </w:trPr>
        <w:tc>
          <w:tcPr>
            <w:tcW w:w="8614" w:type="dxa"/>
            <w:tcMar>
              <w:top w:w="160" w:type="dxa"/>
              <w:left w:w="446" w:type="dxa"/>
            </w:tcMar>
          </w:tcPr>
          <w:p w14:paraId="1D1E5061" w14:textId="77777777" w:rsidR="002E3E62" w:rsidRPr="003006F4" w:rsidRDefault="002E3E62" w:rsidP="00D6056D">
            <w:pPr>
              <w:pStyle w:val="Caption"/>
            </w:pPr>
            <w:r w:rsidRPr="004D3806">
              <w:rPr>
                <w:rStyle w:val="CaptionLabel"/>
              </w:rPr>
              <w:t>Recommendation</w:t>
            </w:r>
            <w:r>
              <w:rPr>
                <w:rStyle w:val="CaptionLabel"/>
              </w:rPr>
              <w:t> </w:t>
            </w:r>
            <w:r w:rsidR="008C090E">
              <w:rPr>
                <w:rStyle w:val="CaptionLabel"/>
                <w:noProof/>
              </w:rPr>
              <w:t>6</w:t>
            </w:r>
            <w:r>
              <w:tab/>
            </w:r>
          </w:p>
        </w:tc>
      </w:tr>
      <w:tr w:rsidR="002E3E62" w14:paraId="512756B5" w14:textId="77777777" w:rsidTr="00A75892">
        <w:trPr>
          <w:cantSplit/>
        </w:trPr>
        <w:tc>
          <w:tcPr>
            <w:tcW w:w="8614" w:type="dxa"/>
            <w:shd w:val="clear" w:color="auto" w:fill="E4E0DD"/>
            <w:tcMar>
              <w:top w:w="276" w:type="dxa"/>
              <w:bottom w:w="0" w:type="dxa"/>
              <w:right w:w="120" w:type="dxa"/>
            </w:tcMar>
          </w:tcPr>
          <w:p w14:paraId="6F2A9F1F" w14:textId="77777777" w:rsidR="002E3E62" w:rsidRDefault="002E3E62" w:rsidP="00674044">
            <w:pPr>
              <w:pStyle w:val="BoxText"/>
            </w:pPr>
            <w:r>
              <w:t xml:space="preserve">That, in view of the slower than expected progress towards the low SES enrolment target </w:t>
            </w:r>
            <w:r w:rsidR="00674044">
              <w:t>that, by 2020, 20</w:t>
            </w:r>
            <w:r w:rsidR="00BF2480">
              <w:t> </w:t>
            </w:r>
            <w:r w:rsidR="00674044">
              <w:t>per</w:t>
            </w:r>
            <w:r w:rsidR="00BF2480">
              <w:t> </w:t>
            </w:r>
            <w:r w:rsidR="00674044">
              <w:t xml:space="preserve">cent of domestic undergraduate students are from low SES backgrounds, as well as </w:t>
            </w:r>
            <w:r>
              <w:t>the anticipated future growth in low SES student numbers, funding levels be modelled to determine their adequacy to meet the low SES student target, and revised as appropriate.</w:t>
            </w:r>
          </w:p>
        </w:tc>
      </w:tr>
      <w:tr w:rsidR="002E3E62" w:rsidRPr="008B3E19" w14:paraId="528424F6" w14:textId="77777777" w:rsidTr="00A75892">
        <w:trPr>
          <w:cantSplit/>
          <w:trHeight w:hRule="exact" w:val="376"/>
        </w:trPr>
        <w:tc>
          <w:tcPr>
            <w:tcW w:w="8614" w:type="dxa"/>
            <w:shd w:val="clear" w:color="auto" w:fill="E4E0DD"/>
            <w:tcMar>
              <w:top w:w="0" w:type="dxa"/>
              <w:bottom w:w="0" w:type="dxa"/>
              <w:right w:w="0" w:type="dxa"/>
            </w:tcMar>
          </w:tcPr>
          <w:p w14:paraId="6D362DB3" w14:textId="77777777" w:rsidR="002E3E62" w:rsidRPr="008B3E19" w:rsidRDefault="002E3E62" w:rsidP="000A6C1F">
            <w:pPr>
              <w:pStyle w:val="spacer"/>
            </w:pPr>
          </w:p>
        </w:tc>
      </w:tr>
      <w:tr w:rsidR="002E3E62" w:rsidRPr="008B3E19" w14:paraId="129F768C" w14:textId="77777777" w:rsidTr="00A75892">
        <w:trPr>
          <w:cantSplit/>
          <w:trHeight w:hRule="exact" w:val="180"/>
        </w:trPr>
        <w:tc>
          <w:tcPr>
            <w:tcW w:w="8614" w:type="dxa"/>
            <w:tcMar>
              <w:top w:w="0" w:type="dxa"/>
              <w:left w:w="446" w:type="dxa"/>
              <w:bottom w:w="0" w:type="dxa"/>
            </w:tcMar>
          </w:tcPr>
          <w:p w14:paraId="328AD1CD"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66432" behindDoc="0" locked="1" layoutInCell="1" allowOverlap="1" wp14:anchorId="0E3AE6CC" wp14:editId="1DEA2E60">
                      <wp:simplePos x="0" y="0"/>
                      <wp:positionH relativeFrom="rightMargin">
                        <wp:posOffset>-772795</wp:posOffset>
                      </wp:positionH>
                      <wp:positionV relativeFrom="page">
                        <wp:posOffset>-237490</wp:posOffset>
                      </wp:positionV>
                      <wp:extent cx="436880" cy="213360"/>
                      <wp:effectExtent l="0" t="0" r="1270" b="0"/>
                      <wp:wrapNone/>
                      <wp:docPr id="33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3D97BC" id="Freeform 5" o:spid="_x0000_s1026" style="position:absolute;margin-left:-60.85pt;margin-top:-18.7pt;width:34.4pt;height:16.8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A93A0DE" w14:textId="77777777" w:rsidR="00BD71AA" w:rsidRDefault="00BD71AA" w:rsidP="00BD71AA">
      <w:pPr>
        <w:pStyle w:val="BodyText"/>
      </w:pPr>
      <w:r w:rsidRPr="007E3F7A">
        <w:t xml:space="preserve">Some stakeholders </w:t>
      </w:r>
      <w:r w:rsidR="00860783">
        <w:t xml:space="preserve">argued </w:t>
      </w:r>
      <w:r w:rsidRPr="007E3F7A">
        <w:t>that there are economies of scale in delivering HEPPP projects, particularly if the fixed costs are high. Others contended that a greater concentration of low SES students at a particular university leads to higher per student costs (or diseconomies of scale).</w:t>
      </w:r>
    </w:p>
    <w:p w14:paraId="5C8F2D7A" w14:textId="77777777" w:rsidR="00BD71AA" w:rsidRDefault="00690ADB" w:rsidP="00BD71AA">
      <w:pPr>
        <w:pStyle w:val="BodyText"/>
      </w:pPr>
      <w:r>
        <w:t>The lack of data currently available, particularly in relation to HEPPP administrative expenditure within universities, means that it</w:t>
      </w:r>
      <w:r w:rsidR="00BD71AA">
        <w:t xml:space="preserve"> is difficult to test for economies of scale in HEPPP implementation. Nor is it possible to estimate the impact of greater concentrations of low SES students, although there is a correlation between </w:t>
      </w:r>
      <w:r w:rsidR="00860783">
        <w:t xml:space="preserve">the </w:t>
      </w:r>
      <w:r w:rsidR="00BD71AA">
        <w:t>concentration of low SES students and low SES student outcomes.</w:t>
      </w:r>
    </w:p>
    <w:p w14:paraId="7BD09070" w14:textId="7F3A6B7A" w:rsidR="002E3E62" w:rsidRDefault="00BD71AA" w:rsidP="000A6C1F">
      <w:pPr>
        <w:pStyle w:val="BodyText"/>
      </w:pPr>
      <w:r>
        <w:t>There is a need for further research on economies of scale and the impact of greater concentrations of low SES students. Such research should be used to inform any modification of the funding formula in the same way Gonski et al. (</w:t>
      </w:r>
      <w:r w:rsidR="009533A1">
        <w:t>2011</w:t>
      </w:r>
      <w:r>
        <w:t>) used such research to recommend changes to school funding policy.</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7E26FE29" w14:textId="77777777" w:rsidTr="00A75892">
        <w:trPr>
          <w:cantSplit/>
        </w:trPr>
        <w:tc>
          <w:tcPr>
            <w:tcW w:w="8614" w:type="dxa"/>
            <w:tcMar>
              <w:top w:w="160" w:type="dxa"/>
              <w:left w:w="446" w:type="dxa"/>
            </w:tcMar>
          </w:tcPr>
          <w:p w14:paraId="0B4200D7" w14:textId="77777777" w:rsidR="002E3E62" w:rsidRPr="003006F4" w:rsidRDefault="002E3E62" w:rsidP="00D6056D">
            <w:pPr>
              <w:pStyle w:val="Caption"/>
            </w:pPr>
            <w:r w:rsidRPr="004D3806">
              <w:rPr>
                <w:rStyle w:val="CaptionLabel"/>
              </w:rPr>
              <w:t>Recommendation</w:t>
            </w:r>
            <w:r>
              <w:rPr>
                <w:rStyle w:val="CaptionLabel"/>
              </w:rPr>
              <w:t> </w:t>
            </w:r>
            <w:r w:rsidR="008C090E">
              <w:rPr>
                <w:rStyle w:val="CaptionLabel"/>
                <w:noProof/>
              </w:rPr>
              <w:t>7</w:t>
            </w:r>
            <w:r>
              <w:tab/>
            </w:r>
          </w:p>
        </w:tc>
      </w:tr>
      <w:tr w:rsidR="002E3E62" w14:paraId="1FB21AE6" w14:textId="77777777" w:rsidTr="00A75892">
        <w:trPr>
          <w:cantSplit/>
        </w:trPr>
        <w:tc>
          <w:tcPr>
            <w:tcW w:w="8614" w:type="dxa"/>
            <w:shd w:val="clear" w:color="auto" w:fill="E4E0DD"/>
            <w:tcMar>
              <w:top w:w="276" w:type="dxa"/>
              <w:bottom w:w="0" w:type="dxa"/>
              <w:right w:w="120" w:type="dxa"/>
            </w:tcMar>
          </w:tcPr>
          <w:p w14:paraId="38F164BB" w14:textId="77777777" w:rsidR="002E3E62" w:rsidRDefault="002E3E62" w:rsidP="000A6C1F">
            <w:pPr>
              <w:pStyle w:val="BoxText"/>
            </w:pPr>
            <w:r>
              <w:t>That suitable data be collected and analysed to identify economies of scale and the impact of greater concentrations of low SES students relevant to the HEPPP, and the findings be used to inform the HEPPP funding formula.</w:t>
            </w:r>
          </w:p>
        </w:tc>
      </w:tr>
      <w:tr w:rsidR="002E3E62" w:rsidRPr="008B3E19" w14:paraId="44610DA2" w14:textId="77777777" w:rsidTr="00A75892">
        <w:trPr>
          <w:cantSplit/>
          <w:trHeight w:hRule="exact" w:val="376"/>
        </w:trPr>
        <w:tc>
          <w:tcPr>
            <w:tcW w:w="8614" w:type="dxa"/>
            <w:shd w:val="clear" w:color="auto" w:fill="E4E0DD"/>
            <w:tcMar>
              <w:top w:w="0" w:type="dxa"/>
              <w:bottom w:w="0" w:type="dxa"/>
              <w:right w:w="0" w:type="dxa"/>
            </w:tcMar>
          </w:tcPr>
          <w:p w14:paraId="0EBEAF8B" w14:textId="77777777" w:rsidR="002E3E62" w:rsidRPr="008B3E19" w:rsidRDefault="002E3E62" w:rsidP="000A6C1F">
            <w:pPr>
              <w:pStyle w:val="spacer"/>
            </w:pPr>
          </w:p>
        </w:tc>
      </w:tr>
      <w:tr w:rsidR="002E3E62" w:rsidRPr="008B3E19" w14:paraId="06CDEED8" w14:textId="77777777" w:rsidTr="00A75892">
        <w:trPr>
          <w:cantSplit/>
          <w:trHeight w:hRule="exact" w:val="180"/>
        </w:trPr>
        <w:tc>
          <w:tcPr>
            <w:tcW w:w="8614" w:type="dxa"/>
            <w:tcMar>
              <w:top w:w="0" w:type="dxa"/>
              <w:left w:w="446" w:type="dxa"/>
              <w:bottom w:w="0" w:type="dxa"/>
            </w:tcMar>
          </w:tcPr>
          <w:p w14:paraId="5A54EB26"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67456" behindDoc="0" locked="1" layoutInCell="1" allowOverlap="1" wp14:anchorId="27E3D624" wp14:editId="3C01D485">
                      <wp:simplePos x="0" y="0"/>
                      <wp:positionH relativeFrom="rightMargin">
                        <wp:posOffset>-772795</wp:posOffset>
                      </wp:positionH>
                      <wp:positionV relativeFrom="page">
                        <wp:posOffset>-237490</wp:posOffset>
                      </wp:positionV>
                      <wp:extent cx="436880" cy="213360"/>
                      <wp:effectExtent l="0" t="0" r="1270" b="0"/>
                      <wp:wrapNone/>
                      <wp:docPr id="33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89294E" id="Freeform 5" o:spid="_x0000_s1026" style="position:absolute;margin-left:-60.85pt;margin-top:-18.7pt;width:34.4pt;height:16.8pt;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QcCSinsDAADC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2550865F" w14:textId="77777777" w:rsidR="00BD71AA" w:rsidRDefault="00BD71AA" w:rsidP="00BD71AA">
      <w:pPr>
        <w:pStyle w:val="BodyText"/>
      </w:pPr>
      <w:r w:rsidRPr="007E3F7A">
        <w:t xml:space="preserve">A broader question is whether the HEPPP funding formula should focus purely on enrolment and </w:t>
      </w:r>
      <w:r w:rsidR="00566459">
        <w:t xml:space="preserve">retention of students from </w:t>
      </w:r>
      <w:r w:rsidR="00566459" w:rsidRPr="007E3F7A">
        <w:t>low SES</w:t>
      </w:r>
      <w:r w:rsidR="00566459">
        <w:t xml:space="preserve"> backgrounds</w:t>
      </w:r>
      <w:r w:rsidRPr="007E3F7A">
        <w:t>, or whether it should also take into account</w:t>
      </w:r>
      <w:r w:rsidR="00566459">
        <w:t xml:space="preserve"> a broader suite of measures, such as their </w:t>
      </w:r>
      <w:r w:rsidR="00566459" w:rsidRPr="007E3F7A">
        <w:t>completion</w:t>
      </w:r>
      <w:r w:rsidR="00566459">
        <w:t xml:space="preserve"> rate</w:t>
      </w:r>
      <w:r w:rsidR="00776729" w:rsidRPr="007E3F7A">
        <w:t>s</w:t>
      </w:r>
      <w:r w:rsidR="00566459">
        <w:t xml:space="preserve"> and/or other measures of success</w:t>
      </w:r>
      <w:r w:rsidRPr="007E3F7A">
        <w:t>.</w:t>
      </w:r>
    </w:p>
    <w:p w14:paraId="1D3FC34E" w14:textId="77777777" w:rsidR="00BD71AA" w:rsidRDefault="00BD71AA" w:rsidP="00BD71AA">
      <w:pPr>
        <w:pStyle w:val="BodyText"/>
      </w:pPr>
      <w:r w:rsidRPr="007E3F7A">
        <w:t>The formula could be redesigned to better focus on these student outcomes measures, although the success measure has some advantages over retention and completion measures. Completion rates, while measuring a key outcome for students, have a significant time lag (at least four years) and are generally less reliable, relative to retention and success rate</w:t>
      </w:r>
      <w:r>
        <w:t>s, when disaggregated by SES.</w:t>
      </w:r>
      <w:r w:rsidRPr="007E3F7A">
        <w:t xml:space="preserve"> Success rates, by measuring whether students are passing units of study, </w:t>
      </w:r>
      <w:r w:rsidR="00690ADB">
        <w:t>do</w:t>
      </w:r>
      <w:r w:rsidRPr="007E3F7A">
        <w:t xml:space="preserve"> capture how well low SES students are coping with the level of academic work required at</w:t>
      </w:r>
      <w:r>
        <w:t xml:space="preserve"> </w:t>
      </w:r>
      <w:r w:rsidRPr="007E3F7A">
        <w:t xml:space="preserve">university. </w:t>
      </w:r>
      <w:r w:rsidR="00690ADB">
        <w:t>R</w:t>
      </w:r>
      <w:r w:rsidRPr="007E3F7A">
        <w:t xml:space="preserve">etention rates </w:t>
      </w:r>
      <w:r w:rsidR="00690ADB">
        <w:t xml:space="preserve">on the other hand </w:t>
      </w:r>
      <w:r w:rsidRPr="007E3F7A">
        <w:t>only measure whether students continue their study</w:t>
      </w:r>
      <w:r w:rsidR="00690ADB">
        <w:t xml:space="preserve">, and </w:t>
      </w:r>
      <w:r w:rsidRPr="007E3F7A">
        <w:t>also have a time lag (of one year), while success rates can be calculated based on one year’s worth of data.</w:t>
      </w:r>
    </w:p>
    <w:p w14:paraId="3234442E" w14:textId="77777777" w:rsidR="00BD71AA" w:rsidRDefault="00690ADB" w:rsidP="00BD71AA">
      <w:pPr>
        <w:pStyle w:val="BodyText"/>
      </w:pPr>
      <w:r>
        <w:t>Even though</w:t>
      </w:r>
      <w:r w:rsidR="00BD71AA">
        <w:t xml:space="preserve"> success rates appear to be the best and most practical measure with which to introduce greater incentive into the HEPPP funding formula, care</w:t>
      </w:r>
      <w:r>
        <w:t>ful attention</w:t>
      </w:r>
      <w:r w:rsidR="00BD71AA">
        <w:t xml:space="preserve"> is required in determining how </w:t>
      </w:r>
      <w:r>
        <w:t>to</w:t>
      </w:r>
      <w:r w:rsidR="00BD71AA">
        <w:t xml:space="preserve"> weight success rates in the formula. For example, there is a negative correlation between each university’s share of total low SES enrolments and its low SES student success rate. And over the last 10 years, most universities have seen little variability in their annual low SES success rates, indicating that university success rates are determined, to some extent, by historical and cohort factors.</w:t>
      </w:r>
    </w:p>
    <w:p w14:paraId="1A285F12" w14:textId="77777777" w:rsidR="002E3E62" w:rsidRDefault="00BD71AA" w:rsidP="000A6C1F">
      <w:pPr>
        <w:pStyle w:val="BodyText"/>
      </w:pPr>
      <w:r>
        <w:t xml:space="preserve">To avoid these issues the HEPPP funding formula could incorporate a measure of the annual change in a university’s low SES success rate. This would provide an incentive to improve the success rate of low SES students while </w:t>
      </w:r>
      <w:r w:rsidR="00690ADB">
        <w:t>avoiding</w:t>
      </w:r>
      <w:r>
        <w:t xml:space="preserve"> funding based on raw success rates</w:t>
      </w:r>
      <w:r w:rsidR="00690ADB">
        <w:t>,</w:t>
      </w:r>
      <w:r>
        <w:t xml:space="preserve"> which would unnecessarily advantage those universities that currently have lower numbers of low SES students. The balance between this success rate measure and the ‘share of total low SES enrolments’ </w:t>
      </w:r>
      <w:r w:rsidR="00B111A9">
        <w:t xml:space="preserve">measure in the funding formula </w:t>
      </w:r>
      <w:r>
        <w:t>would also need to be determined.</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74D80B01" w14:textId="77777777" w:rsidTr="00A75892">
        <w:trPr>
          <w:cantSplit/>
        </w:trPr>
        <w:tc>
          <w:tcPr>
            <w:tcW w:w="8614" w:type="dxa"/>
            <w:tcMar>
              <w:top w:w="160" w:type="dxa"/>
              <w:left w:w="446" w:type="dxa"/>
            </w:tcMar>
          </w:tcPr>
          <w:p w14:paraId="19D3FE86" w14:textId="77777777" w:rsidR="002E3E62" w:rsidRPr="003006F4" w:rsidRDefault="002E3E62" w:rsidP="00D6056D">
            <w:pPr>
              <w:pStyle w:val="Caption"/>
            </w:pPr>
            <w:r w:rsidRPr="00A51004">
              <w:rPr>
                <w:rStyle w:val="CaptionLabel"/>
              </w:rPr>
              <w:t>Recommendation </w:t>
            </w:r>
            <w:r w:rsidR="008C090E" w:rsidRPr="00A51004">
              <w:rPr>
                <w:rStyle w:val="CaptionLabel"/>
                <w:noProof/>
              </w:rPr>
              <w:t>8</w:t>
            </w:r>
            <w:r>
              <w:tab/>
            </w:r>
          </w:p>
        </w:tc>
      </w:tr>
      <w:tr w:rsidR="002E3E62" w14:paraId="5635D2DF" w14:textId="77777777" w:rsidTr="00A75892">
        <w:trPr>
          <w:cantSplit/>
        </w:trPr>
        <w:tc>
          <w:tcPr>
            <w:tcW w:w="8614" w:type="dxa"/>
            <w:shd w:val="clear" w:color="auto" w:fill="E4E0DD"/>
            <w:tcMar>
              <w:top w:w="276" w:type="dxa"/>
              <w:bottom w:w="0" w:type="dxa"/>
              <w:right w:w="120" w:type="dxa"/>
            </w:tcMar>
          </w:tcPr>
          <w:p w14:paraId="1F2B2BA3" w14:textId="77777777" w:rsidR="002E3E62" w:rsidRDefault="002E3E62" w:rsidP="00BF2480">
            <w:pPr>
              <w:pStyle w:val="BoxText"/>
            </w:pPr>
            <w:r>
              <w:t xml:space="preserve">That consideration be given to modifying the current funding formula to incorporate an allocation based on the change in each </w:t>
            </w:r>
            <w:r w:rsidRPr="00AE5421">
              <w:t>universit</w:t>
            </w:r>
            <w:r>
              <w:t>y’s low SES</w:t>
            </w:r>
            <w:r w:rsidRPr="00AE5421">
              <w:t xml:space="preserve"> success rate</w:t>
            </w:r>
            <w:r>
              <w:t xml:space="preserve">. </w:t>
            </w:r>
          </w:p>
        </w:tc>
      </w:tr>
      <w:tr w:rsidR="002E3E62" w:rsidRPr="008B3E19" w14:paraId="75069FDA" w14:textId="77777777" w:rsidTr="00A75892">
        <w:trPr>
          <w:cantSplit/>
          <w:trHeight w:hRule="exact" w:val="376"/>
        </w:trPr>
        <w:tc>
          <w:tcPr>
            <w:tcW w:w="8614" w:type="dxa"/>
            <w:shd w:val="clear" w:color="auto" w:fill="E4E0DD"/>
            <w:tcMar>
              <w:top w:w="0" w:type="dxa"/>
              <w:bottom w:w="0" w:type="dxa"/>
              <w:right w:w="0" w:type="dxa"/>
            </w:tcMar>
          </w:tcPr>
          <w:p w14:paraId="69E799DD" w14:textId="77777777" w:rsidR="002E3E62" w:rsidRPr="008B3E19" w:rsidRDefault="002E3E62" w:rsidP="000A6C1F">
            <w:pPr>
              <w:pStyle w:val="spacer"/>
            </w:pPr>
          </w:p>
        </w:tc>
      </w:tr>
      <w:tr w:rsidR="002E3E62" w:rsidRPr="008B3E19" w14:paraId="29CD63AB" w14:textId="77777777" w:rsidTr="00A75892">
        <w:trPr>
          <w:cantSplit/>
          <w:trHeight w:hRule="exact" w:val="180"/>
        </w:trPr>
        <w:tc>
          <w:tcPr>
            <w:tcW w:w="8614" w:type="dxa"/>
            <w:tcMar>
              <w:top w:w="0" w:type="dxa"/>
              <w:left w:w="446" w:type="dxa"/>
              <w:bottom w:w="0" w:type="dxa"/>
            </w:tcMar>
          </w:tcPr>
          <w:p w14:paraId="1A2F75F8"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68480" behindDoc="0" locked="1" layoutInCell="1" allowOverlap="1" wp14:anchorId="53C958DE" wp14:editId="2D42BC46">
                      <wp:simplePos x="0" y="0"/>
                      <wp:positionH relativeFrom="rightMargin">
                        <wp:posOffset>-772795</wp:posOffset>
                      </wp:positionH>
                      <wp:positionV relativeFrom="page">
                        <wp:posOffset>-237490</wp:posOffset>
                      </wp:positionV>
                      <wp:extent cx="436880" cy="213360"/>
                      <wp:effectExtent l="0" t="0" r="1270" b="0"/>
                      <wp:wrapNone/>
                      <wp:docPr id="33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7DC0C8" id="Freeform 5" o:spid="_x0000_s1026" style="position:absolute;margin-left:-60.85pt;margin-top:-18.7pt;width:34.4pt;height:16.8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47754FEB" w14:textId="77777777" w:rsidR="00BD71AA" w:rsidRDefault="00BD71AA" w:rsidP="00BD71AA">
      <w:pPr>
        <w:pStyle w:val="BodyText"/>
      </w:pPr>
      <w:r>
        <w:t>Under the HEPPP, fund</w:t>
      </w:r>
      <w:r w:rsidR="00690ADB">
        <w:t>ing</w:t>
      </w:r>
      <w:r>
        <w:t xml:space="preserve"> </w:t>
      </w:r>
      <w:r w:rsidR="00B111A9">
        <w:t>is currently determined annually</w:t>
      </w:r>
      <w:r>
        <w:t xml:space="preserve">, with universities being informed of their allocation </w:t>
      </w:r>
      <w:r w:rsidR="00894DFE">
        <w:t xml:space="preserve">for the year </w:t>
      </w:r>
      <w:r>
        <w:t xml:space="preserve">in the second half of the preceding year. The evaluation received strong and consistent feedback that the lack of funding certainty year-to-year severely restricts the ability of universities to design and plan projects over multi-year periods, and to develop the necessary partnerships and long-term relationships with schools, other universities and external partners. </w:t>
      </w:r>
    </w:p>
    <w:p w14:paraId="7A87B812" w14:textId="77777777" w:rsidR="002E3E62" w:rsidRDefault="00BD71AA" w:rsidP="000A6C1F">
      <w:pPr>
        <w:pStyle w:val="BodyText"/>
      </w:pPr>
      <w:r>
        <w:t xml:space="preserve">A longer funding cycle would provide greater certainty to universities in managing and resourcing their HEPPP funded projects. In public submissions, some universities propose three year funding cycles, while others recommend a funding cycle of between to three to five years. A three year funding cycle would strike the right balance between providing greater certainty to universities and allowing the Department to </w:t>
      </w:r>
      <w:r w:rsidR="003D4C32">
        <w:t xml:space="preserve">allocate </w:t>
      </w:r>
      <w:r>
        <w:t>funding based on low SES enrolments and success.</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700476FB" w14:textId="77777777" w:rsidTr="00A75892">
        <w:trPr>
          <w:cantSplit/>
        </w:trPr>
        <w:tc>
          <w:tcPr>
            <w:tcW w:w="8614" w:type="dxa"/>
            <w:tcMar>
              <w:top w:w="160" w:type="dxa"/>
              <w:left w:w="446" w:type="dxa"/>
            </w:tcMar>
          </w:tcPr>
          <w:p w14:paraId="43AD723D" w14:textId="77777777" w:rsidR="002E3E62" w:rsidRPr="003006F4" w:rsidRDefault="002E3E62" w:rsidP="00D6056D">
            <w:pPr>
              <w:pStyle w:val="Caption"/>
            </w:pPr>
            <w:r w:rsidRPr="004663F9">
              <w:rPr>
                <w:rStyle w:val="CaptionLabel"/>
              </w:rPr>
              <w:t>Recommendation </w:t>
            </w:r>
            <w:r w:rsidR="008C090E" w:rsidRPr="004663F9">
              <w:rPr>
                <w:rStyle w:val="CaptionLabel"/>
                <w:noProof/>
              </w:rPr>
              <w:t>9</w:t>
            </w:r>
            <w:r>
              <w:tab/>
            </w:r>
          </w:p>
        </w:tc>
      </w:tr>
      <w:tr w:rsidR="002E3E62" w14:paraId="4914EF28" w14:textId="77777777" w:rsidTr="00A75892">
        <w:trPr>
          <w:cantSplit/>
        </w:trPr>
        <w:tc>
          <w:tcPr>
            <w:tcW w:w="8614" w:type="dxa"/>
            <w:shd w:val="clear" w:color="auto" w:fill="E4E0DD"/>
            <w:tcMar>
              <w:top w:w="276" w:type="dxa"/>
              <w:bottom w:w="0" w:type="dxa"/>
              <w:right w:w="120" w:type="dxa"/>
            </w:tcMar>
          </w:tcPr>
          <w:p w14:paraId="76557FCE" w14:textId="77777777" w:rsidR="002E3E62" w:rsidRDefault="002E3E62" w:rsidP="001D2687">
            <w:pPr>
              <w:pStyle w:val="BoxText"/>
            </w:pPr>
            <w:r w:rsidRPr="000B3B11">
              <w:t>T</w:t>
            </w:r>
            <w:r>
              <w:t>hat t</w:t>
            </w:r>
            <w:r w:rsidRPr="000B3B11">
              <w:t xml:space="preserve">he HEPPP be shifted to </w:t>
            </w:r>
            <w:r>
              <w:t>a</w:t>
            </w:r>
            <w:r w:rsidRPr="000B3B11">
              <w:t xml:space="preserve"> three year funding cycle</w:t>
            </w:r>
            <w:r w:rsidR="001D2687">
              <w:t>, along with the appropriate allocation</w:t>
            </w:r>
            <w:r w:rsidRPr="000B3B11">
              <w:t xml:space="preserve"> </w:t>
            </w:r>
            <w:r w:rsidR="001D2687">
              <w:t xml:space="preserve">performance measures, </w:t>
            </w:r>
            <w:r w:rsidRPr="000B3B11">
              <w:t xml:space="preserve">to give greater certainty to universities in managing </w:t>
            </w:r>
            <w:r>
              <w:t xml:space="preserve">and resourcing </w:t>
            </w:r>
            <w:r w:rsidRPr="000B3B11">
              <w:t xml:space="preserve">their HEPPP </w:t>
            </w:r>
            <w:r>
              <w:t xml:space="preserve">funded </w:t>
            </w:r>
            <w:r w:rsidRPr="000B3B11">
              <w:t>projects.</w:t>
            </w:r>
          </w:p>
        </w:tc>
      </w:tr>
      <w:tr w:rsidR="002E3E62" w:rsidRPr="008B3E19" w14:paraId="63FD2C26" w14:textId="77777777" w:rsidTr="00A75892">
        <w:trPr>
          <w:cantSplit/>
          <w:trHeight w:hRule="exact" w:val="376"/>
        </w:trPr>
        <w:tc>
          <w:tcPr>
            <w:tcW w:w="8614" w:type="dxa"/>
            <w:shd w:val="clear" w:color="auto" w:fill="E4E0DD"/>
            <w:tcMar>
              <w:top w:w="0" w:type="dxa"/>
              <w:bottom w:w="0" w:type="dxa"/>
              <w:right w:w="0" w:type="dxa"/>
            </w:tcMar>
          </w:tcPr>
          <w:p w14:paraId="4327ABF8" w14:textId="77777777" w:rsidR="002E3E62" w:rsidRPr="008B3E19" w:rsidRDefault="002E3E62" w:rsidP="000A6C1F">
            <w:pPr>
              <w:pStyle w:val="spacer"/>
            </w:pPr>
          </w:p>
        </w:tc>
      </w:tr>
      <w:tr w:rsidR="002E3E62" w:rsidRPr="008B3E19" w14:paraId="71854E13" w14:textId="77777777" w:rsidTr="00A75892">
        <w:trPr>
          <w:cantSplit/>
          <w:trHeight w:hRule="exact" w:val="180"/>
        </w:trPr>
        <w:tc>
          <w:tcPr>
            <w:tcW w:w="8614" w:type="dxa"/>
            <w:tcMar>
              <w:top w:w="0" w:type="dxa"/>
              <w:left w:w="446" w:type="dxa"/>
              <w:bottom w:w="0" w:type="dxa"/>
            </w:tcMar>
          </w:tcPr>
          <w:p w14:paraId="02938C98"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69504" behindDoc="0" locked="1" layoutInCell="1" allowOverlap="1" wp14:anchorId="68E9FC06" wp14:editId="743D879E">
                      <wp:simplePos x="0" y="0"/>
                      <wp:positionH relativeFrom="rightMargin">
                        <wp:posOffset>-772795</wp:posOffset>
                      </wp:positionH>
                      <wp:positionV relativeFrom="page">
                        <wp:posOffset>-237490</wp:posOffset>
                      </wp:positionV>
                      <wp:extent cx="436880" cy="213360"/>
                      <wp:effectExtent l="0" t="0" r="1270" b="0"/>
                      <wp:wrapNone/>
                      <wp:docPr id="33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E7DE93" id="Freeform 5" o:spid="_x0000_s1026" style="position:absolute;margin-left:-60.85pt;margin-top:-18.7pt;width:34.4pt;height:16.8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ed3PBHsDAADC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22112B36" w14:textId="77777777" w:rsidR="00BD71AA" w:rsidRDefault="00BD71AA" w:rsidP="00BD71AA">
      <w:pPr>
        <w:pStyle w:val="BodyText"/>
      </w:pPr>
      <w:r>
        <w:t xml:space="preserve">Funding for the HEPPP Participation and Partnership components is currently allocated using a formula based on the share of low SES students at each university. To establish whether a student is low SES, all Statistical Area Level 1 (SA1) regions in Australia are ranked using the Socio-Economic Indexes for Areas (SEIFA) Index of Education and Occupation (IEO). The lowest ranked SA1 regions which collectively account for 25 per cent of the total population of all SA1s are determined to be low SES SA1 regions. In the </w:t>
      </w:r>
      <w:r w:rsidR="00894DFE">
        <w:t xml:space="preserve">HEPPP funding </w:t>
      </w:r>
      <w:r>
        <w:t>formula, low SES students are defined as those with a home address in one of these low SES SA1 regions.</w:t>
      </w:r>
    </w:p>
    <w:p w14:paraId="07B38E36" w14:textId="77777777" w:rsidR="00BD71AA" w:rsidRDefault="00BD71AA" w:rsidP="00BD71AA">
      <w:pPr>
        <w:pStyle w:val="BodyText"/>
      </w:pPr>
      <w:r>
        <w:t>SEIFA IEO is an area-based measure, not an individual-based measured</w:t>
      </w:r>
      <w:r w:rsidR="00894DFE">
        <w:t>;</w:t>
      </w:r>
      <w:r>
        <w:t xml:space="preserve"> </w:t>
      </w:r>
      <w:r w:rsidR="00894DFE">
        <w:t>therefore</w:t>
      </w:r>
      <w:r>
        <w:t xml:space="preserve"> relatively disadvantaged area</w:t>
      </w:r>
      <w:r w:rsidR="00894DFE">
        <w:t>s</w:t>
      </w:r>
      <w:r>
        <w:t xml:space="preserve"> can have people who are relatively advantaged (as well as advantaged area</w:t>
      </w:r>
      <w:r w:rsidR="00894DFE">
        <w:t>s</w:t>
      </w:r>
      <w:r>
        <w:t xml:space="preserve"> containing disadvantaged people). This issue could be addressed by using a SES measurement methodology based on the individual circumstances of each student, taking into account factors such as parental education, parental occupation, parental income or household income.</w:t>
      </w:r>
    </w:p>
    <w:p w14:paraId="0E636E0F" w14:textId="77777777" w:rsidR="00BD71AA" w:rsidRDefault="00BD71AA" w:rsidP="00BD71AA">
      <w:pPr>
        <w:pStyle w:val="BodyText"/>
      </w:pPr>
      <w:r>
        <w:t xml:space="preserve">In adopting such an approach it would be necessary to undertake research into the extent which these factors can reliably be used as a measure for the SES of mature-age students. Any changes to the measure of low SES to improve accuracy would also need to take account of the additional costs or reporting requirements for universities and </w:t>
      </w:r>
      <w:r w:rsidR="00A67FA3" w:rsidRPr="00A67FA3">
        <w:t>Tertiary Admission Centres (TACs)</w:t>
      </w:r>
      <w:r>
        <w:t>.</w:t>
      </w:r>
    </w:p>
    <w:p w14:paraId="1781F105" w14:textId="77777777" w:rsidR="002E3E62" w:rsidRDefault="00BD71AA" w:rsidP="000A6C1F">
      <w:pPr>
        <w:pStyle w:val="BodyText"/>
      </w:pPr>
      <w:r>
        <w:t>Beyond informing the allocation of funding under the HEPPP, the collection of data to allow a SES measure to be developed based on the individual circumstances of each student is likely to generate considerable value through supporting and improving research into student equity.</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23531426" w14:textId="77777777" w:rsidTr="00A75892">
        <w:trPr>
          <w:cantSplit/>
        </w:trPr>
        <w:tc>
          <w:tcPr>
            <w:tcW w:w="8614" w:type="dxa"/>
            <w:tcMar>
              <w:top w:w="160" w:type="dxa"/>
              <w:left w:w="446" w:type="dxa"/>
            </w:tcMar>
          </w:tcPr>
          <w:p w14:paraId="6F080FCD" w14:textId="77777777" w:rsidR="002E3E62" w:rsidRPr="003006F4" w:rsidRDefault="002E3E62" w:rsidP="00D6056D">
            <w:pPr>
              <w:pStyle w:val="Caption"/>
            </w:pPr>
            <w:r w:rsidRPr="004D3806">
              <w:rPr>
                <w:rStyle w:val="CaptionLabel"/>
              </w:rPr>
              <w:t>Recommendation</w:t>
            </w:r>
            <w:r>
              <w:rPr>
                <w:rStyle w:val="CaptionLabel"/>
              </w:rPr>
              <w:t> </w:t>
            </w:r>
            <w:r w:rsidR="008C090E">
              <w:rPr>
                <w:rStyle w:val="CaptionLabel"/>
                <w:noProof/>
              </w:rPr>
              <w:t>10</w:t>
            </w:r>
            <w:r>
              <w:tab/>
            </w:r>
          </w:p>
        </w:tc>
      </w:tr>
      <w:tr w:rsidR="002E3E62" w14:paraId="2E188EE9" w14:textId="77777777" w:rsidTr="00A75892">
        <w:trPr>
          <w:cantSplit/>
        </w:trPr>
        <w:tc>
          <w:tcPr>
            <w:tcW w:w="8614" w:type="dxa"/>
            <w:shd w:val="clear" w:color="auto" w:fill="E4E0DD"/>
            <w:tcMar>
              <w:top w:w="276" w:type="dxa"/>
              <w:bottom w:w="0" w:type="dxa"/>
              <w:right w:w="120" w:type="dxa"/>
            </w:tcMar>
          </w:tcPr>
          <w:p w14:paraId="4538C634" w14:textId="77777777" w:rsidR="002E3E62" w:rsidRDefault="002E3E62" w:rsidP="003D4C32">
            <w:pPr>
              <w:pStyle w:val="BoxText"/>
            </w:pPr>
            <w:r>
              <w:t>That a</w:t>
            </w:r>
            <w:r w:rsidRPr="00A17A6E">
              <w:t xml:space="preserve"> cost benefit analysis of implementing a low SES measure based on students’ individual circumstances</w:t>
            </w:r>
            <w:r>
              <w:t xml:space="preserve"> </w:t>
            </w:r>
            <w:r w:rsidRPr="00A17A6E">
              <w:t>be undertaken</w:t>
            </w:r>
            <w:r>
              <w:t xml:space="preserve"> to test whether the costs associated with such a measure would be </w:t>
            </w:r>
            <w:r w:rsidR="003D4C32">
              <w:t xml:space="preserve">outweighed </w:t>
            </w:r>
            <w:r>
              <w:t xml:space="preserve">by the benefits of </w:t>
            </w:r>
            <w:r w:rsidRPr="00A17A6E">
              <w:t>improv</w:t>
            </w:r>
            <w:r>
              <w:t>ing</w:t>
            </w:r>
            <w:r w:rsidRPr="00A17A6E">
              <w:t xml:space="preserve"> the accuracy of the allocation of </w:t>
            </w:r>
            <w:r>
              <w:t xml:space="preserve">HEPPP </w:t>
            </w:r>
            <w:r w:rsidRPr="00A17A6E">
              <w:t>funding.</w:t>
            </w:r>
            <w:r>
              <w:t xml:space="preserve"> The individual circumstances would likely include but not necessarily be limited to parental </w:t>
            </w:r>
            <w:r w:rsidRPr="00480CF4">
              <w:t xml:space="preserve">occupation </w:t>
            </w:r>
            <w:r>
              <w:t>and/or</w:t>
            </w:r>
            <w:r w:rsidRPr="00480CF4">
              <w:t xml:space="preserve"> education</w:t>
            </w:r>
            <w:r>
              <w:t>.</w:t>
            </w:r>
          </w:p>
        </w:tc>
      </w:tr>
      <w:tr w:rsidR="002E3E62" w:rsidRPr="008B3E19" w14:paraId="53F1B846" w14:textId="77777777" w:rsidTr="00A75892">
        <w:trPr>
          <w:cantSplit/>
          <w:trHeight w:hRule="exact" w:val="376"/>
        </w:trPr>
        <w:tc>
          <w:tcPr>
            <w:tcW w:w="8614" w:type="dxa"/>
            <w:shd w:val="clear" w:color="auto" w:fill="E4E0DD"/>
            <w:tcMar>
              <w:top w:w="0" w:type="dxa"/>
              <w:bottom w:w="0" w:type="dxa"/>
              <w:right w:w="0" w:type="dxa"/>
            </w:tcMar>
          </w:tcPr>
          <w:p w14:paraId="7F2F4833" w14:textId="77777777" w:rsidR="002E3E62" w:rsidRPr="008B3E19" w:rsidRDefault="002E3E62" w:rsidP="000A6C1F">
            <w:pPr>
              <w:pStyle w:val="spacer"/>
            </w:pPr>
          </w:p>
        </w:tc>
      </w:tr>
      <w:tr w:rsidR="002E3E62" w:rsidRPr="008B3E19" w14:paraId="10482E4B" w14:textId="77777777" w:rsidTr="00A75892">
        <w:trPr>
          <w:cantSplit/>
          <w:trHeight w:hRule="exact" w:val="180"/>
        </w:trPr>
        <w:tc>
          <w:tcPr>
            <w:tcW w:w="8614" w:type="dxa"/>
            <w:tcMar>
              <w:top w:w="0" w:type="dxa"/>
              <w:left w:w="446" w:type="dxa"/>
              <w:bottom w:w="0" w:type="dxa"/>
            </w:tcMar>
          </w:tcPr>
          <w:p w14:paraId="7B37370F"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70528" behindDoc="0" locked="1" layoutInCell="1" allowOverlap="1" wp14:anchorId="1CAB295A" wp14:editId="7788AF75">
                      <wp:simplePos x="0" y="0"/>
                      <wp:positionH relativeFrom="rightMargin">
                        <wp:posOffset>-772795</wp:posOffset>
                      </wp:positionH>
                      <wp:positionV relativeFrom="page">
                        <wp:posOffset>-237490</wp:posOffset>
                      </wp:positionV>
                      <wp:extent cx="436880" cy="213360"/>
                      <wp:effectExtent l="0" t="0" r="1270" b="0"/>
                      <wp:wrapNone/>
                      <wp:docPr id="33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F7CC9F" id="Freeform 5" o:spid="_x0000_s1026" style="position:absolute;margin-left:-60.85pt;margin-top:-18.7pt;width:34.4pt;height:16.8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3C249FD4" w14:textId="77777777" w:rsidR="00BD71AA" w:rsidRDefault="00BD71AA" w:rsidP="00BD71AA">
      <w:pPr>
        <w:pStyle w:val="Heading4nonumber"/>
      </w:pPr>
      <w:r>
        <w:t>Evaluating the HEPPP</w:t>
      </w:r>
    </w:p>
    <w:p w14:paraId="641464C6" w14:textId="7F3A2100" w:rsidR="00BD71AA" w:rsidRDefault="00BD71AA" w:rsidP="00BD71AA">
      <w:pPr>
        <w:pStyle w:val="BodyText"/>
      </w:pPr>
      <w:r w:rsidRPr="000E28CD">
        <w:t xml:space="preserve">The </w:t>
      </w:r>
      <w:r>
        <w:t xml:space="preserve">evaluation found </w:t>
      </w:r>
      <w:r w:rsidR="00124659">
        <w:t xml:space="preserve">many </w:t>
      </w:r>
      <w:r w:rsidRPr="000E28CD">
        <w:t xml:space="preserve">areas </w:t>
      </w:r>
      <w:r>
        <w:t xml:space="preserve">of the HEPPP </w:t>
      </w:r>
      <w:r w:rsidRPr="000E28CD">
        <w:t>where determining effectiveness and impact has been difficult</w:t>
      </w:r>
      <w:r w:rsidR="00124659">
        <w:t xml:space="preserve"> </w:t>
      </w:r>
      <w:r w:rsidR="00C472A1">
        <w:t>due to a</w:t>
      </w:r>
      <w:r w:rsidRPr="000E28CD">
        <w:t xml:space="preserve"> lack of rigorous collection of data </w:t>
      </w:r>
      <w:r w:rsidR="00124659">
        <w:t>or</w:t>
      </w:r>
      <w:r w:rsidRPr="000E28CD">
        <w:t xml:space="preserve"> consistent ongoing evaluations</w:t>
      </w:r>
      <w:r>
        <w:t>.</w:t>
      </w:r>
    </w:p>
    <w:p w14:paraId="7D6AFB2F" w14:textId="77777777" w:rsidR="00BD71AA" w:rsidRDefault="00124659" w:rsidP="00BD71AA">
      <w:pPr>
        <w:pStyle w:val="BodyText"/>
      </w:pPr>
      <w:r>
        <w:t>Having said this, t</w:t>
      </w:r>
      <w:r w:rsidR="00BD71AA">
        <w:t>here is considerable support within universities for the development and embedding of a HEPPP evaluation framework to enable improved measurement of the impact of the HEPPP and to provide greater guidance on the outcomes sought under the program. Many universities also expressed support for standardising their individual evaluative activities through the development of a national HEPPP evaluation framework</w:t>
      </w:r>
      <w:r w:rsidR="009F5B55">
        <w:t>.</w:t>
      </w:r>
      <w:r w:rsidR="00BD71AA">
        <w:t xml:space="preserve"> </w:t>
      </w:r>
    </w:p>
    <w:p w14:paraId="0C333290" w14:textId="77777777" w:rsidR="00BD71AA" w:rsidRDefault="009F5B55" w:rsidP="00BD71AA">
      <w:pPr>
        <w:pStyle w:val="BodyText"/>
      </w:pPr>
      <w:r>
        <w:t>A</w:t>
      </w:r>
      <w:r w:rsidR="00BD71AA">
        <w:t xml:space="preserve"> national HEPPP evaluation framework should </w:t>
      </w:r>
      <w:r w:rsidR="00124659">
        <w:t xml:space="preserve">be </w:t>
      </w:r>
      <w:r w:rsidR="00BD71AA">
        <w:t>establish</w:t>
      </w:r>
      <w:r w:rsidR="00124659">
        <w:t xml:space="preserve">ed to </w:t>
      </w:r>
      <w:r w:rsidR="00BD71AA">
        <w:t xml:space="preserve">structure and guide three </w:t>
      </w:r>
      <w:r w:rsidR="00124659">
        <w:t>levels</w:t>
      </w:r>
      <w:r w:rsidR="00BD71AA">
        <w:t xml:space="preserve"> of evaluation: </w:t>
      </w:r>
    </w:p>
    <w:p w14:paraId="232774CA" w14:textId="77777777" w:rsidR="00BD71AA" w:rsidRDefault="00BD71AA" w:rsidP="00BD71AA">
      <w:pPr>
        <w:pStyle w:val="ListBullet"/>
      </w:pPr>
      <w:r>
        <w:t xml:space="preserve">overall program evaluation of the HEPPP </w:t>
      </w:r>
    </w:p>
    <w:p w14:paraId="3BB81EE2" w14:textId="77777777" w:rsidR="00BD71AA" w:rsidRDefault="00BD71AA" w:rsidP="00BD71AA">
      <w:pPr>
        <w:pStyle w:val="ListBullet"/>
      </w:pPr>
      <w:r>
        <w:t xml:space="preserve">quality improvement evaluations of HEPPP activities </w:t>
      </w:r>
    </w:p>
    <w:p w14:paraId="2185921B" w14:textId="77777777" w:rsidR="00BD71AA" w:rsidRDefault="00BD71AA" w:rsidP="00BD71AA">
      <w:pPr>
        <w:pStyle w:val="ListBullet"/>
      </w:pPr>
      <w:r>
        <w:t>impact evaluations of HEPPP activities.</w:t>
      </w:r>
    </w:p>
    <w:p w14:paraId="1C42CCA9" w14:textId="77777777" w:rsidR="00BD71AA" w:rsidRDefault="00BD71AA" w:rsidP="00BD71AA">
      <w:pPr>
        <w:pStyle w:val="BodyText"/>
      </w:pPr>
      <w:r>
        <w:t>Evaluation of the overall impact of the HEPPP will require</w:t>
      </w:r>
      <w:r w:rsidR="009F5B55">
        <w:t>,</w:t>
      </w:r>
      <w:r>
        <w:t xml:space="preserve"> at minimum</w:t>
      </w:r>
      <w:r w:rsidR="009F5B55">
        <w:t>,</w:t>
      </w:r>
      <w:r>
        <w:t xml:space="preserve"> information which can be linked to </w:t>
      </w:r>
      <w:r w:rsidR="009F5B55">
        <w:t xml:space="preserve">the </w:t>
      </w:r>
      <w:r w:rsidR="009F5B55">
        <w:rPr>
          <w:lang w:val="en-US"/>
        </w:rPr>
        <w:t>Higher Education Student Data Collection</w:t>
      </w:r>
      <w:r w:rsidR="009F5B55" w:rsidDel="009F5B55">
        <w:t xml:space="preserve"> </w:t>
      </w:r>
      <w:r>
        <w:t>on each student who participates in each HEPPP project</w:t>
      </w:r>
      <w:r w:rsidR="009F5B55">
        <w:t>,</w:t>
      </w:r>
      <w:r>
        <w:t xml:space="preserve"> key standardised characteristics of each HEPPP project</w:t>
      </w:r>
      <w:r w:rsidR="009F5B55">
        <w:t>, and</w:t>
      </w:r>
      <w:r>
        <w:t xml:space="preserve"> </w:t>
      </w:r>
      <w:r w:rsidR="009F5B55">
        <w:t xml:space="preserve">project </w:t>
      </w:r>
      <w:r>
        <w:t>inputs, outputs and outcomes which can be linked to the HEPPP program logic model.</w:t>
      </w:r>
    </w:p>
    <w:p w14:paraId="49B2215F" w14:textId="77777777" w:rsidR="00BD71AA" w:rsidRDefault="00BD71AA" w:rsidP="00BD71AA">
      <w:pPr>
        <w:pStyle w:val="BodyText"/>
      </w:pPr>
      <w:r>
        <w:t xml:space="preserve">The framework would also provide guidance and principles for university-run evaluations aimed at generating evidence for quality improvement as well as impact evaluations. Currently, most HEPPP project evaluations focus on the former, as generating evidence </w:t>
      </w:r>
      <w:r w:rsidR="00336A37">
        <w:t>for such evaluations</w:t>
      </w:r>
      <w:r>
        <w:t xml:space="preserve"> is less resource</w:t>
      </w:r>
      <w:r w:rsidR="00336A37">
        <w:noBreakHyphen/>
      </w:r>
      <w:r>
        <w:t>intensive and allows universities to improve how their HEPPP projects operate.</w:t>
      </w:r>
    </w:p>
    <w:p w14:paraId="51B71945" w14:textId="77777777" w:rsidR="00BD71AA" w:rsidRDefault="00BD71AA" w:rsidP="00BD71AA">
      <w:pPr>
        <w:pStyle w:val="BodyText"/>
      </w:pPr>
      <w:r>
        <w:t xml:space="preserve">As indicated earlier in Recommendation 1, it is important that the evaluation framework support and drive improved targeting and performance measurement of the overall HEPPP investment. As such, a condition of HEPPP funding could be that universities are required to undertake a number of rigorous impact evaluations of HEPPP projects and make these evaluations available to all other universities. The number of rigorous impact evaluations would be less than the number of quality improvement </w:t>
      </w:r>
      <w:r w:rsidRPr="000E28CD">
        <w:t>evaluations, recognising the greater effort and resources required for impact evaluations.</w:t>
      </w:r>
    </w:p>
    <w:p w14:paraId="78514B26" w14:textId="77777777" w:rsidR="00BD71AA" w:rsidRDefault="00BD71AA" w:rsidP="00BD71AA">
      <w:pPr>
        <w:pStyle w:val="BodyText"/>
      </w:pPr>
      <w:r>
        <w:t xml:space="preserve">Currently, universities report to the Department annually on their HEPPP activities funded through the formula-based allocation. Given the establishment of a stronger evaluation framework, there is an opportunity streamline the current annual reporting </w:t>
      </w:r>
      <w:r w:rsidR="00124659">
        <w:t xml:space="preserve">back </w:t>
      </w:r>
      <w:r>
        <w:t>to the minimal information required for funding, audit and acquittal purposes. This could be through a spreadsheet template that complements but does not replicate the information collected and reported for program evaluation.</w:t>
      </w:r>
    </w:p>
    <w:p w14:paraId="61BCDDE6" w14:textId="77777777" w:rsidR="002E3E62" w:rsidRDefault="00BD71AA" w:rsidP="000A6C1F">
      <w:pPr>
        <w:pStyle w:val="BodyText"/>
      </w:pPr>
      <w:r>
        <w:t>To ensure the full value of the revised annual reporting is made available to the sector, all annual reports should be collated and published, similar to the analysis of the project inventory presented in this report.</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22286A" w14:paraId="1376C754" w14:textId="77777777" w:rsidTr="00A75892">
        <w:trPr>
          <w:cantSplit/>
        </w:trPr>
        <w:tc>
          <w:tcPr>
            <w:tcW w:w="8614" w:type="dxa"/>
            <w:tcMar>
              <w:top w:w="160" w:type="dxa"/>
              <w:left w:w="446" w:type="dxa"/>
            </w:tcMar>
          </w:tcPr>
          <w:p w14:paraId="2599AC61" w14:textId="77777777" w:rsidR="002E3E62" w:rsidRPr="003006F4" w:rsidRDefault="002E3E62" w:rsidP="00D6056D">
            <w:pPr>
              <w:pStyle w:val="Caption"/>
            </w:pPr>
            <w:r w:rsidRPr="004D3806">
              <w:rPr>
                <w:rStyle w:val="CaptionLabel"/>
              </w:rPr>
              <w:t>Recommendation</w:t>
            </w:r>
            <w:r>
              <w:rPr>
                <w:rStyle w:val="CaptionLabel"/>
              </w:rPr>
              <w:t> </w:t>
            </w:r>
            <w:r w:rsidR="008C090E">
              <w:rPr>
                <w:rStyle w:val="CaptionLabel"/>
                <w:noProof/>
              </w:rPr>
              <w:t>11</w:t>
            </w:r>
            <w:r>
              <w:tab/>
            </w:r>
          </w:p>
        </w:tc>
      </w:tr>
      <w:tr w:rsidR="002E3E62" w14:paraId="2796583D" w14:textId="77777777" w:rsidTr="00A75892">
        <w:trPr>
          <w:cantSplit/>
        </w:trPr>
        <w:tc>
          <w:tcPr>
            <w:tcW w:w="8614" w:type="dxa"/>
            <w:shd w:val="clear" w:color="auto" w:fill="E4E0DD"/>
            <w:tcMar>
              <w:top w:w="276" w:type="dxa"/>
              <w:bottom w:w="0" w:type="dxa"/>
              <w:right w:w="120" w:type="dxa"/>
            </w:tcMar>
          </w:tcPr>
          <w:p w14:paraId="4EC99CEF" w14:textId="77777777" w:rsidR="002E3E62" w:rsidRDefault="002E3E62" w:rsidP="000A6C1F">
            <w:pPr>
              <w:pStyle w:val="BoxText"/>
            </w:pPr>
            <w:r>
              <w:t xml:space="preserve">That a </w:t>
            </w:r>
            <w:r w:rsidRPr="00A17A6E">
              <w:t xml:space="preserve">HEPPP evaluation framework </w:t>
            </w:r>
            <w:r>
              <w:t>be established to collect information for overall program evaluation of the HEPPP and guide universities in individual project quality improvement and impact evaluations. It should be a condition of HEPPP funding for each university that the overall program evaluation data be collected and a number of each university’s programs be evaluated annually and in accord with the HEPPP evaluation framework. The annual reporting should be streamlined to only require the minimal additional information necessary for funding, audit and acquittal purposes.</w:t>
            </w:r>
          </w:p>
        </w:tc>
      </w:tr>
      <w:tr w:rsidR="002E3E62" w:rsidRPr="008B3E19" w14:paraId="6F76CA0D" w14:textId="77777777" w:rsidTr="00A75892">
        <w:trPr>
          <w:cantSplit/>
          <w:trHeight w:hRule="exact" w:val="376"/>
        </w:trPr>
        <w:tc>
          <w:tcPr>
            <w:tcW w:w="8614" w:type="dxa"/>
            <w:shd w:val="clear" w:color="auto" w:fill="E4E0DD"/>
            <w:tcMar>
              <w:top w:w="0" w:type="dxa"/>
              <w:bottom w:w="0" w:type="dxa"/>
              <w:right w:w="0" w:type="dxa"/>
            </w:tcMar>
          </w:tcPr>
          <w:p w14:paraId="4DC3E6B7" w14:textId="77777777" w:rsidR="002E3E62" w:rsidRPr="008B3E19" w:rsidRDefault="002E3E62" w:rsidP="000A6C1F">
            <w:pPr>
              <w:pStyle w:val="spacer"/>
            </w:pPr>
          </w:p>
        </w:tc>
      </w:tr>
      <w:tr w:rsidR="002E3E62" w:rsidRPr="008B3E19" w14:paraId="14612050" w14:textId="77777777" w:rsidTr="00A75892">
        <w:trPr>
          <w:cantSplit/>
          <w:trHeight w:hRule="exact" w:val="180"/>
        </w:trPr>
        <w:tc>
          <w:tcPr>
            <w:tcW w:w="8614" w:type="dxa"/>
            <w:tcMar>
              <w:top w:w="0" w:type="dxa"/>
              <w:left w:w="446" w:type="dxa"/>
              <w:bottom w:w="0" w:type="dxa"/>
            </w:tcMar>
          </w:tcPr>
          <w:p w14:paraId="3B32512E" w14:textId="77777777" w:rsidR="002E3E62" w:rsidRPr="008B3E19" w:rsidRDefault="00A45AB3" w:rsidP="000A6C1F">
            <w:pPr>
              <w:pStyle w:val="spacertbl"/>
            </w:pPr>
            <w:r>
              <w:rPr>
                <w:noProof/>
                <w:lang w:eastAsia="en-AU"/>
              </w:rPr>
              <mc:AlternateContent>
                <mc:Choice Requires="wps">
                  <w:drawing>
                    <wp:anchor distT="0" distB="0" distL="114300" distR="114300" simplePos="0" relativeHeight="251671552" behindDoc="0" locked="1" layoutInCell="1" allowOverlap="1" wp14:anchorId="508F65ED" wp14:editId="51C00D78">
                      <wp:simplePos x="0" y="0"/>
                      <wp:positionH relativeFrom="rightMargin">
                        <wp:posOffset>-772795</wp:posOffset>
                      </wp:positionH>
                      <wp:positionV relativeFrom="page">
                        <wp:posOffset>-237490</wp:posOffset>
                      </wp:positionV>
                      <wp:extent cx="436880" cy="213360"/>
                      <wp:effectExtent l="0" t="0" r="1270" b="0"/>
                      <wp:wrapNone/>
                      <wp:docPr id="33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C7C94C" id="Freeform 5" o:spid="_x0000_s1026" style="position:absolute;margin-left:-60.85pt;margin-top:-18.7pt;width:34.4pt;height:16.8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6D21654A" w14:textId="77777777" w:rsidR="00BD71AA" w:rsidRDefault="00BD71AA" w:rsidP="00BD71AA">
      <w:pPr>
        <w:pStyle w:val="BodyText"/>
      </w:pPr>
      <w:r>
        <w:t xml:space="preserve">The consultations and written submissions also indicate </w:t>
      </w:r>
      <w:r w:rsidR="00124659">
        <w:t>that</w:t>
      </w:r>
      <w:r>
        <w:t xml:space="preserve"> universities </w:t>
      </w:r>
      <w:r w:rsidR="00124659">
        <w:t xml:space="preserve">are seeking </w:t>
      </w:r>
      <w:r>
        <w:t xml:space="preserve">greater sharing of </w:t>
      </w:r>
      <w:r w:rsidR="00124659">
        <w:t xml:space="preserve">the HEPPP material </w:t>
      </w:r>
      <w:r>
        <w:t>report</w:t>
      </w:r>
      <w:r w:rsidR="00124659">
        <w:t>ed</w:t>
      </w:r>
      <w:r>
        <w:t>—that is, the annual report and evaluations of HEPPP projects carried out by universities.</w:t>
      </w:r>
    </w:p>
    <w:p w14:paraId="3537CBFB" w14:textId="77777777" w:rsidR="00BD71AA" w:rsidRDefault="00BD71AA" w:rsidP="00BD71AA">
      <w:pPr>
        <w:pStyle w:val="BodyText"/>
      </w:pPr>
      <w:r>
        <w:t xml:space="preserve">The revised evaluation reports and annual reports could be published on the Department’s website to promote information sharing and learning across universities, thereby better informing universities of available evidence for different equity activities and assisting to improve the implementation of the HEPPP. This </w:t>
      </w:r>
      <w:r w:rsidR="00336A37">
        <w:t>information sho</w:t>
      </w:r>
      <w:r>
        <w:t xml:space="preserve">uld </w:t>
      </w:r>
      <w:r w:rsidR="00336A37">
        <w:t xml:space="preserve">summarised </w:t>
      </w:r>
      <w:r>
        <w:t>in the form of a ‘state of higher education equity’ report, providing universities and the public with key information on equity practice and outcomes.</w:t>
      </w:r>
    </w:p>
    <w:p w14:paraId="38993F04" w14:textId="7410FC9A" w:rsidR="002E3E62" w:rsidRPr="006640EC" w:rsidRDefault="00BD71AA" w:rsidP="000A6C1F">
      <w:pPr>
        <w:pStyle w:val="BodyText"/>
        <w:rPr>
          <w:highlight w:val="green"/>
        </w:rPr>
      </w:pPr>
      <w:r>
        <w:t xml:space="preserve">There is a precedent for this type of report in the Department’s ‘Higher Education Report’ (the last such report was published for the years 2011-2013). The report could also build on or integrate the </w:t>
      </w:r>
      <w:r w:rsidRPr="00A51004">
        <w:t xml:space="preserve">Department’s statistical publications on equity groups and equity performance, </w:t>
      </w:r>
      <w:r w:rsidRPr="00C032C0">
        <w:t>NCSEHE’s annual report on student equity performance</w:t>
      </w:r>
      <w:r w:rsidR="00C032C0" w:rsidRPr="006640EC">
        <w:t xml:space="preserve">, and other data indices as required, such as QILT, </w:t>
      </w:r>
      <w:r w:rsidR="00A51004">
        <w:t xml:space="preserve">the </w:t>
      </w:r>
      <w:r w:rsidR="00C032C0" w:rsidRPr="006640EC">
        <w:t>Quality Indicators for Learning and Teaching</w:t>
      </w:r>
      <w:r w:rsidR="00A51004">
        <w:t xml:space="preserve"> initiative</w:t>
      </w:r>
      <w:r w:rsidRPr="00A51004">
        <w:t>.</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2E3E62" w:rsidRPr="00776729" w14:paraId="007E0878" w14:textId="77777777" w:rsidTr="00A75892">
        <w:trPr>
          <w:cantSplit/>
        </w:trPr>
        <w:tc>
          <w:tcPr>
            <w:tcW w:w="8614" w:type="dxa"/>
            <w:tcMar>
              <w:top w:w="160" w:type="dxa"/>
              <w:left w:w="446" w:type="dxa"/>
            </w:tcMar>
          </w:tcPr>
          <w:p w14:paraId="6A134655" w14:textId="4AB786AC" w:rsidR="002E3E62" w:rsidRPr="00E50F5E" w:rsidRDefault="002E3E62" w:rsidP="00ED5642">
            <w:pPr>
              <w:pStyle w:val="Caption"/>
            </w:pPr>
            <w:r w:rsidRPr="00E50F5E">
              <w:rPr>
                <w:rStyle w:val="CaptionLabel"/>
              </w:rPr>
              <w:t>Recommendation </w:t>
            </w:r>
            <w:r w:rsidR="008C090E" w:rsidRPr="00E50F5E">
              <w:rPr>
                <w:rStyle w:val="CaptionLabel"/>
                <w:noProof/>
              </w:rPr>
              <w:t>12</w:t>
            </w:r>
            <w:r w:rsidRPr="00E50F5E">
              <w:tab/>
            </w:r>
          </w:p>
        </w:tc>
      </w:tr>
      <w:tr w:rsidR="002E3E62" w:rsidRPr="00776729" w14:paraId="694AC7E0" w14:textId="77777777" w:rsidTr="00A75892">
        <w:trPr>
          <w:cantSplit/>
        </w:trPr>
        <w:tc>
          <w:tcPr>
            <w:tcW w:w="8614" w:type="dxa"/>
            <w:shd w:val="clear" w:color="auto" w:fill="E4E0DD"/>
            <w:tcMar>
              <w:top w:w="276" w:type="dxa"/>
              <w:bottom w:w="0" w:type="dxa"/>
              <w:right w:w="120" w:type="dxa"/>
            </w:tcMar>
          </w:tcPr>
          <w:p w14:paraId="7E17920C" w14:textId="77777777" w:rsidR="002E3E62" w:rsidRPr="006640EC" w:rsidRDefault="002E3E62" w:rsidP="000A6C1F">
            <w:pPr>
              <w:pStyle w:val="BoxText"/>
              <w:rPr>
                <w:highlight w:val="green"/>
              </w:rPr>
            </w:pPr>
            <w:r w:rsidRPr="00A51004">
              <w:t>That a state of higher education equity report be produced annually</w:t>
            </w:r>
            <w:r w:rsidR="00A51004">
              <w:t xml:space="preserve"> by the Department,</w:t>
            </w:r>
            <w:r w:rsidRPr="00A51004">
              <w:t xml:space="preserve"> including reporting of sector-level outcomes and HEPPP activity.</w:t>
            </w:r>
            <w:r w:rsidR="004E16B7" w:rsidRPr="00A51004">
              <w:t xml:space="preserve"> </w:t>
            </w:r>
          </w:p>
        </w:tc>
      </w:tr>
      <w:tr w:rsidR="002E3E62" w:rsidRPr="00776729" w14:paraId="3B43CD52" w14:textId="77777777" w:rsidTr="00A75892">
        <w:trPr>
          <w:cantSplit/>
          <w:trHeight w:hRule="exact" w:val="376"/>
        </w:trPr>
        <w:tc>
          <w:tcPr>
            <w:tcW w:w="8614" w:type="dxa"/>
            <w:shd w:val="clear" w:color="auto" w:fill="E4E0DD"/>
            <w:tcMar>
              <w:top w:w="0" w:type="dxa"/>
              <w:bottom w:w="0" w:type="dxa"/>
              <w:right w:w="0" w:type="dxa"/>
            </w:tcMar>
          </w:tcPr>
          <w:p w14:paraId="74E2C8F1" w14:textId="77777777" w:rsidR="002E3E62" w:rsidRPr="006640EC" w:rsidRDefault="002E3E62" w:rsidP="000A6C1F">
            <w:pPr>
              <w:pStyle w:val="spacer"/>
              <w:rPr>
                <w:highlight w:val="green"/>
              </w:rPr>
            </w:pPr>
          </w:p>
        </w:tc>
      </w:tr>
      <w:tr w:rsidR="002E3E62" w:rsidRPr="008B3E19" w14:paraId="38D1155E" w14:textId="77777777" w:rsidTr="00A75892">
        <w:trPr>
          <w:cantSplit/>
          <w:trHeight w:hRule="exact" w:val="180"/>
        </w:trPr>
        <w:tc>
          <w:tcPr>
            <w:tcW w:w="8614" w:type="dxa"/>
            <w:tcMar>
              <w:top w:w="0" w:type="dxa"/>
              <w:left w:w="446" w:type="dxa"/>
              <w:bottom w:w="0" w:type="dxa"/>
            </w:tcMar>
          </w:tcPr>
          <w:p w14:paraId="3328A1B9" w14:textId="77777777" w:rsidR="002E3E62" w:rsidRPr="008B3E19" w:rsidRDefault="00A45AB3" w:rsidP="000A6C1F">
            <w:pPr>
              <w:pStyle w:val="spacertbl"/>
            </w:pPr>
            <w:r w:rsidRPr="006640EC">
              <w:rPr>
                <w:noProof/>
                <w:highlight w:val="green"/>
                <w:lang w:eastAsia="en-AU"/>
              </w:rPr>
              <mc:AlternateContent>
                <mc:Choice Requires="wps">
                  <w:drawing>
                    <wp:anchor distT="0" distB="0" distL="114300" distR="114300" simplePos="0" relativeHeight="251672576" behindDoc="0" locked="1" layoutInCell="1" allowOverlap="1" wp14:anchorId="2580BECA" wp14:editId="4FD19912">
                      <wp:simplePos x="0" y="0"/>
                      <wp:positionH relativeFrom="rightMargin">
                        <wp:posOffset>-772795</wp:posOffset>
                      </wp:positionH>
                      <wp:positionV relativeFrom="page">
                        <wp:posOffset>-237490</wp:posOffset>
                      </wp:positionV>
                      <wp:extent cx="436880" cy="213360"/>
                      <wp:effectExtent l="0" t="0" r="1270" b="0"/>
                      <wp:wrapNone/>
                      <wp:docPr id="33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E74CB" id="Freeform 5" o:spid="_x0000_s1026" style="position:absolute;margin-left:-60.85pt;margin-top:-18.7pt;width:34.4pt;height:16.8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482D84D9" w14:textId="77777777" w:rsidR="00124659" w:rsidRDefault="00124659">
      <w:pPr>
        <w:spacing w:after="160" w:line="259" w:lineRule="auto"/>
        <w:rPr>
          <w:b/>
          <w:sz w:val="28"/>
        </w:rPr>
      </w:pPr>
      <w:r>
        <w:br w:type="page"/>
      </w:r>
    </w:p>
    <w:p w14:paraId="154E6089" w14:textId="77777777" w:rsidR="00EA6577" w:rsidRPr="001A2F85" w:rsidRDefault="00EC04DF" w:rsidP="00AD49C8">
      <w:pPr>
        <w:pStyle w:val="Heading2nonumber"/>
      </w:pPr>
      <w:r>
        <w:t>Terms of reference</w:t>
      </w:r>
    </w:p>
    <w:p w14:paraId="7ADA2A3A" w14:textId="77777777" w:rsidR="00EC04DF" w:rsidRPr="001A2F85" w:rsidRDefault="00EC04DF" w:rsidP="00EC04DF">
      <w:pPr>
        <w:pStyle w:val="Caption"/>
        <w:spacing w:before="160"/>
        <w:ind w:left="-1753" w:firstLine="0"/>
      </w:pPr>
      <w:bookmarkStart w:id="10" w:name="_Toc466655736"/>
      <w:r w:rsidRPr="001A2F85">
        <w:rPr>
          <w:rStyle w:val="CaptionLabel"/>
        </w:rPr>
        <w:t>Table ES </w:t>
      </w:r>
      <w:r w:rsidR="008C090E">
        <w:rPr>
          <w:rStyle w:val="CaptionLabel"/>
          <w:noProof/>
        </w:rPr>
        <w:t>1</w:t>
      </w:r>
      <w:r w:rsidRPr="001A2F85">
        <w:tab/>
        <w:t>Terms of REFERENCE and relevant report sections</w:t>
      </w:r>
      <w:bookmarkEnd w:id="10"/>
    </w:p>
    <w:tbl>
      <w:tblPr>
        <w:tblW w:w="10287" w:type="dxa"/>
        <w:tblInd w:w="-2207" w:type="dxa"/>
        <w:tblLayout w:type="fixed"/>
        <w:tblCellMar>
          <w:left w:w="0" w:type="dxa"/>
          <w:bottom w:w="40" w:type="dxa"/>
          <w:right w:w="0" w:type="dxa"/>
        </w:tblCellMar>
        <w:tblLook w:val="0000" w:firstRow="0" w:lastRow="0" w:firstColumn="0" w:lastColumn="0" w:noHBand="0" w:noVBand="0"/>
      </w:tblPr>
      <w:tblGrid>
        <w:gridCol w:w="455"/>
        <w:gridCol w:w="477"/>
        <w:gridCol w:w="4962"/>
        <w:gridCol w:w="4393"/>
      </w:tblGrid>
      <w:tr w:rsidR="00EC04DF" w:rsidRPr="001A2F85" w14:paraId="26EFFBB7" w14:textId="77777777" w:rsidTr="000A6C1F">
        <w:trPr>
          <w:cantSplit/>
          <w:tblHeader/>
        </w:trPr>
        <w:tc>
          <w:tcPr>
            <w:tcW w:w="453" w:type="pct"/>
            <w:gridSpan w:val="2"/>
            <w:shd w:val="clear" w:color="auto" w:fill="9D57A6"/>
            <w:tcMar>
              <w:left w:w="454" w:type="dxa"/>
              <w:bottom w:w="0" w:type="dxa"/>
            </w:tcMar>
          </w:tcPr>
          <w:p w14:paraId="1E92F7B2" w14:textId="77777777" w:rsidR="00EC04DF" w:rsidRPr="001A2F85" w:rsidRDefault="00EC04DF" w:rsidP="000A6C1F">
            <w:pPr>
              <w:pStyle w:val="Tablecolumnheadings"/>
            </w:pPr>
          </w:p>
        </w:tc>
        <w:tc>
          <w:tcPr>
            <w:tcW w:w="2412" w:type="pct"/>
            <w:shd w:val="clear" w:color="auto" w:fill="9D57A6"/>
            <w:tcMar>
              <w:bottom w:w="0" w:type="dxa"/>
            </w:tcMar>
          </w:tcPr>
          <w:p w14:paraId="07352EA0" w14:textId="77777777" w:rsidR="00EC04DF" w:rsidRPr="001A2F85" w:rsidRDefault="00EC04DF" w:rsidP="000A6C1F">
            <w:pPr>
              <w:pStyle w:val="Tablecolumnheadings"/>
            </w:pPr>
            <w:r w:rsidRPr="001A2F85">
              <w:t>Terms of reference</w:t>
            </w:r>
          </w:p>
        </w:tc>
        <w:tc>
          <w:tcPr>
            <w:tcW w:w="2135" w:type="pct"/>
            <w:shd w:val="clear" w:color="auto" w:fill="9D57A6"/>
            <w:tcMar>
              <w:bottom w:w="0" w:type="dxa"/>
            </w:tcMar>
          </w:tcPr>
          <w:p w14:paraId="1E4A6421" w14:textId="77777777" w:rsidR="00EC04DF" w:rsidRPr="001A2F85" w:rsidRDefault="00EC04DF" w:rsidP="000A6C1F">
            <w:pPr>
              <w:pStyle w:val="Tablecolumnheadings"/>
            </w:pPr>
            <w:r w:rsidRPr="001A2F85">
              <w:t>Corresponding report section</w:t>
            </w:r>
          </w:p>
        </w:tc>
      </w:tr>
      <w:tr w:rsidR="00EC04DF" w:rsidRPr="001A2F85" w14:paraId="2394965C" w14:textId="77777777" w:rsidTr="000A6C1F">
        <w:tblPrEx>
          <w:tblBorders>
            <w:bottom w:val="single" w:sz="4" w:space="0" w:color="646464"/>
            <w:insideH w:val="single" w:sz="4" w:space="0" w:color="646464"/>
          </w:tblBorders>
        </w:tblPrEx>
        <w:trPr>
          <w:gridBefore w:val="1"/>
          <w:wBefore w:w="221" w:type="pct"/>
          <w:cantSplit/>
        </w:trPr>
        <w:tc>
          <w:tcPr>
            <w:tcW w:w="232" w:type="pct"/>
            <w:tcBorders>
              <w:top w:val="nil"/>
            </w:tcBorders>
          </w:tcPr>
          <w:p w14:paraId="5F985805" w14:textId="77777777" w:rsidR="00EC04DF" w:rsidRPr="001A2F85" w:rsidRDefault="00EC04DF" w:rsidP="000A6C1F">
            <w:pPr>
              <w:pStyle w:val="Tabletext"/>
            </w:pPr>
            <w:r w:rsidRPr="001A2F85">
              <w:t>1</w:t>
            </w:r>
          </w:p>
        </w:tc>
        <w:tc>
          <w:tcPr>
            <w:tcW w:w="2412" w:type="pct"/>
            <w:tcBorders>
              <w:top w:val="nil"/>
            </w:tcBorders>
          </w:tcPr>
          <w:p w14:paraId="7275AF06" w14:textId="77777777" w:rsidR="00EC04DF" w:rsidRPr="001A2F85" w:rsidRDefault="00841EAC" w:rsidP="000A6C1F">
            <w:pPr>
              <w:pStyle w:val="Tabletext"/>
            </w:pPr>
            <w:r>
              <w:t>T</w:t>
            </w:r>
            <w:r w:rsidR="00EC04DF" w:rsidRPr="001A2F85">
              <w:t xml:space="preserve">he extent to which the program is meeting its objectives, as described in the </w:t>
            </w:r>
            <w:r w:rsidR="00EC04DF" w:rsidRPr="001A2F85">
              <w:rPr>
                <w:i/>
              </w:rPr>
              <w:t>Other Grants Guidelines (Education) 2012</w:t>
            </w:r>
          </w:p>
          <w:p w14:paraId="27C87902" w14:textId="77777777" w:rsidR="00EC04DF" w:rsidRPr="001A2F85" w:rsidRDefault="00EC04DF" w:rsidP="000A6C1F">
            <w:pPr>
              <w:pStyle w:val="Tabletext"/>
            </w:pPr>
            <w:r w:rsidRPr="001A2F85">
              <w:t>[based on the Guidelines the objectives of the HEPPP are:</w:t>
            </w:r>
          </w:p>
          <w:p w14:paraId="50D71712" w14:textId="77777777" w:rsidR="00EC04DF" w:rsidRPr="001A2F85" w:rsidRDefault="00EC04DF" w:rsidP="000A6C1F">
            <w:pPr>
              <w:pStyle w:val="Tablelistbullet"/>
              <w:ind w:right="60"/>
            </w:pPr>
            <w:r w:rsidRPr="001A2F85">
              <w:t>‘to increase the total number of people from low SES backgrounds who access and participate in higher education through effective outreach and related activities’</w:t>
            </w:r>
          </w:p>
          <w:p w14:paraId="669CE31B" w14:textId="77777777" w:rsidR="00EC04DF" w:rsidRPr="001A2F85" w:rsidRDefault="00EC04DF" w:rsidP="000A6C1F">
            <w:pPr>
              <w:pStyle w:val="Tablelistbullet"/>
              <w:ind w:right="60"/>
            </w:pPr>
            <w:r w:rsidRPr="001A2F85">
              <w:t>‘to encourage and assist providers to meet the Commonwealth Government’s ambition that, by 2020, 20 per cent of domestic undergraduate students must be from low SES backgrounds’</w:t>
            </w:r>
          </w:p>
          <w:p w14:paraId="2BC16D49" w14:textId="77777777" w:rsidR="00EC04DF" w:rsidRPr="001A2F85" w:rsidRDefault="00EC04DF" w:rsidP="000A6C1F">
            <w:pPr>
              <w:pStyle w:val="Tablelistbullet"/>
              <w:ind w:right="60"/>
            </w:pPr>
            <w:r w:rsidRPr="001A2F85">
              <w:t>‘to increase the participation of current and prospective domestic students from low SES backgrounds in accredited undergraduate qualifications’ at Table A universities</w:t>
            </w:r>
          </w:p>
          <w:p w14:paraId="368A4144" w14:textId="77777777" w:rsidR="00EC04DF" w:rsidRPr="001A2F85" w:rsidRDefault="00EC04DF" w:rsidP="000A6C1F">
            <w:pPr>
              <w:pStyle w:val="Tablelistbullet"/>
              <w:ind w:right="60"/>
            </w:pPr>
            <w:r w:rsidRPr="001A2F85">
              <w:t>‘improve access to undergraduate courses for people from low SES backgrounds and improve their retention and completion rates’</w:t>
            </w:r>
          </w:p>
          <w:p w14:paraId="70F6ACEF" w14:textId="77777777" w:rsidR="00EC04DF" w:rsidRPr="001A2F85" w:rsidRDefault="00EC04DF" w:rsidP="000A6C1F">
            <w:pPr>
              <w:pStyle w:val="Tablelistbullet"/>
              <w:ind w:right="60"/>
            </w:pPr>
            <w:r w:rsidRPr="001A2F85">
              <w:t>through the National Priorities Pool (NPP) ‘more effective implementation of HEPPP nationally and at an institutional level’]</w:t>
            </w:r>
          </w:p>
        </w:tc>
        <w:tc>
          <w:tcPr>
            <w:tcW w:w="2135" w:type="pct"/>
            <w:tcBorders>
              <w:top w:val="nil"/>
            </w:tcBorders>
          </w:tcPr>
          <w:p w14:paraId="425547DB" w14:textId="77777777" w:rsidR="00EC04DF" w:rsidRPr="001A2F85" w:rsidRDefault="00EC04DF" w:rsidP="000A6C1F">
            <w:pPr>
              <w:pStyle w:val="Tabletext"/>
            </w:pPr>
            <w:r w:rsidRPr="001A2F85">
              <w:t>Chapter 2 sets out the HEPPP objectives. Chapters 4-9 examine the extent to which these objectives are being met. More specifically:</w:t>
            </w:r>
          </w:p>
          <w:p w14:paraId="5CB28049" w14:textId="77777777" w:rsidR="00EC04DF" w:rsidRPr="001A2F85" w:rsidRDefault="00EC04DF" w:rsidP="000A6C1F">
            <w:pPr>
              <w:pStyle w:val="Tablelistbullet"/>
              <w:numPr>
                <w:ilvl w:val="0"/>
                <w:numId w:val="0"/>
              </w:numPr>
              <w:ind w:left="280" w:right="60"/>
            </w:pPr>
            <w:r w:rsidRPr="001A2F85">
              <w:t xml:space="preserve">Chapters 4 and 5 examine HEPPP activities targeted at increasing access and participation. Chapter 9 examines trends in applications to university, offers of university places, acceptance rates, enrolments and participation rates. </w:t>
            </w:r>
            <w:r w:rsidRPr="001A2F85">
              <w:br/>
            </w:r>
            <w:r w:rsidRPr="001A2F85">
              <w:br/>
            </w:r>
            <w:r w:rsidRPr="001A2F85">
              <w:br/>
            </w:r>
            <w:r w:rsidRPr="001A2F85">
              <w:br/>
            </w:r>
            <w:r w:rsidRPr="001A2F85">
              <w:br/>
            </w:r>
          </w:p>
          <w:p w14:paraId="46F067A8" w14:textId="77777777" w:rsidR="00EC04DF" w:rsidRPr="001A2F85" w:rsidRDefault="00EC04DF" w:rsidP="000A6C1F">
            <w:pPr>
              <w:pStyle w:val="Tablelistbullet"/>
              <w:ind w:right="60"/>
            </w:pPr>
            <w:r w:rsidRPr="001A2F85">
              <w:t>Chapters 6 and 7 examine HEPPP activities targeted at improving retention and completion. Chapter 9 examines trends in retention, success and completions.</w:t>
            </w:r>
          </w:p>
          <w:p w14:paraId="0FC56A88" w14:textId="77777777" w:rsidR="00EC04DF" w:rsidRPr="001A2F85" w:rsidRDefault="00EC04DF" w:rsidP="000A6C1F">
            <w:pPr>
              <w:pStyle w:val="Tablelistbullet"/>
              <w:ind w:right="60"/>
            </w:pPr>
            <w:r w:rsidRPr="001A2F85">
              <w:t>Chapter 8 examines the NPP and the extent to which it has contributed to more effective implementation of the HEPPP</w:t>
            </w:r>
          </w:p>
        </w:tc>
      </w:tr>
      <w:tr w:rsidR="00EC04DF" w:rsidRPr="001A2F85" w14:paraId="443287B3"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16590EAE" w14:textId="77777777" w:rsidR="00EC04DF" w:rsidRPr="001A2F85" w:rsidRDefault="00EC04DF" w:rsidP="000A6C1F">
            <w:pPr>
              <w:pStyle w:val="Tabletext"/>
            </w:pPr>
            <w:r w:rsidRPr="001A2F85">
              <w:t>2</w:t>
            </w:r>
          </w:p>
        </w:tc>
        <w:tc>
          <w:tcPr>
            <w:tcW w:w="2412" w:type="pct"/>
          </w:tcPr>
          <w:p w14:paraId="7194F915" w14:textId="77777777" w:rsidR="00EC04DF" w:rsidRPr="001A2F85" w:rsidRDefault="00841EAC" w:rsidP="000A6C1F">
            <w:pPr>
              <w:pStyle w:val="Tabletext"/>
            </w:pPr>
            <w:r>
              <w:t>T</w:t>
            </w:r>
            <w:r w:rsidR="00EC04DF" w:rsidRPr="001A2F85">
              <w:t>he outcomes that have been achieved by the program to date</w:t>
            </w:r>
          </w:p>
        </w:tc>
        <w:tc>
          <w:tcPr>
            <w:tcW w:w="2135" w:type="pct"/>
          </w:tcPr>
          <w:p w14:paraId="7B248C97" w14:textId="77777777" w:rsidR="00EC04DF" w:rsidRPr="001A2F85" w:rsidRDefault="00EC04DF" w:rsidP="000A6C1F">
            <w:pPr>
              <w:pStyle w:val="Tabletext"/>
            </w:pPr>
            <w:r w:rsidRPr="001A2F85">
              <w:t>The outcomes of the HEPPP are detailed in Chapters 4-9</w:t>
            </w:r>
          </w:p>
        </w:tc>
      </w:tr>
      <w:tr w:rsidR="00EC04DF" w:rsidRPr="001A2F85" w14:paraId="5FC1379E"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618CA7D4" w14:textId="77777777" w:rsidR="00EC04DF" w:rsidRPr="001A2F85" w:rsidRDefault="00EC04DF" w:rsidP="000A6C1F">
            <w:pPr>
              <w:pStyle w:val="Tabletext"/>
            </w:pPr>
            <w:r w:rsidRPr="001A2F85">
              <w:t>3</w:t>
            </w:r>
          </w:p>
        </w:tc>
        <w:tc>
          <w:tcPr>
            <w:tcW w:w="2412" w:type="pct"/>
          </w:tcPr>
          <w:p w14:paraId="6C0F6CFE" w14:textId="77777777" w:rsidR="00EC04DF" w:rsidRPr="001A2F85" w:rsidRDefault="00841EAC" w:rsidP="000A6C1F">
            <w:pPr>
              <w:pStyle w:val="Tabletext"/>
            </w:pPr>
            <w:r>
              <w:t>W</w:t>
            </w:r>
            <w:r w:rsidR="00EC04DF" w:rsidRPr="001A2F85">
              <w:t>hich groups of low socio-economic status people are benefitting most from HEPPP activities, with particular attention to be paid to people from regional and remote backgrounds</w:t>
            </w:r>
          </w:p>
        </w:tc>
        <w:tc>
          <w:tcPr>
            <w:tcW w:w="2135" w:type="pct"/>
          </w:tcPr>
          <w:p w14:paraId="26D54B94" w14:textId="77777777" w:rsidR="00EC04DF" w:rsidRPr="001A2F85" w:rsidRDefault="00EC04DF" w:rsidP="000A6C1F">
            <w:pPr>
              <w:pStyle w:val="Tabletext"/>
            </w:pPr>
            <w:r w:rsidRPr="001A2F85">
              <w:t xml:space="preserve">Chapter 3 sets out the groups benefiting from HEPPP activities. Chapters 4-8 detail the groups benefiting from HEPPP activities at each stage of the student life cycle. Chapter 9 shows the groups targeted by NPP activities. </w:t>
            </w:r>
          </w:p>
        </w:tc>
      </w:tr>
      <w:tr w:rsidR="00EC04DF" w:rsidRPr="001A2F85" w14:paraId="0BBF0E72"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127F93D9" w14:textId="77777777" w:rsidR="00EC04DF" w:rsidRPr="001A2F85" w:rsidRDefault="00EC04DF" w:rsidP="000A6C1F">
            <w:pPr>
              <w:pStyle w:val="Tabletext"/>
            </w:pPr>
            <w:r w:rsidRPr="001A2F85">
              <w:t>4</w:t>
            </w:r>
          </w:p>
        </w:tc>
        <w:tc>
          <w:tcPr>
            <w:tcW w:w="2412" w:type="pct"/>
          </w:tcPr>
          <w:p w14:paraId="4357B171" w14:textId="77777777" w:rsidR="00EC04DF" w:rsidRPr="001A2F85" w:rsidRDefault="00841EAC" w:rsidP="000A6C1F">
            <w:pPr>
              <w:pStyle w:val="Tabletext"/>
            </w:pPr>
            <w:r>
              <w:t>W</w:t>
            </w:r>
            <w:r w:rsidR="00EC04DF" w:rsidRPr="001A2F85">
              <w:t>hich HEPPP-funded activities are contributing most to achieving program objectives</w:t>
            </w:r>
          </w:p>
        </w:tc>
        <w:tc>
          <w:tcPr>
            <w:tcW w:w="2135" w:type="pct"/>
          </w:tcPr>
          <w:p w14:paraId="163F0C14" w14:textId="77777777" w:rsidR="00EC04DF" w:rsidRPr="001A2F85" w:rsidRDefault="00EC04DF" w:rsidP="000A6C1F">
            <w:pPr>
              <w:pStyle w:val="Tabletext"/>
            </w:pPr>
            <w:r w:rsidRPr="001A2F85">
              <w:t>Chapter 3 details the scope and types of HEPPP-funded activities. Chapters 4-8 discuss the relative impact of HEPPP activities at each stage of the student life cycle.</w:t>
            </w:r>
          </w:p>
        </w:tc>
      </w:tr>
      <w:tr w:rsidR="00EC04DF" w:rsidRPr="001A2F85" w14:paraId="027A6C58"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3B99E137" w14:textId="77777777" w:rsidR="00EC04DF" w:rsidRPr="001A2F85" w:rsidRDefault="00EC04DF" w:rsidP="000A6C1F">
            <w:pPr>
              <w:pStyle w:val="Tabletext"/>
            </w:pPr>
            <w:r w:rsidRPr="001A2F85">
              <w:t>5</w:t>
            </w:r>
          </w:p>
        </w:tc>
        <w:tc>
          <w:tcPr>
            <w:tcW w:w="2412" w:type="pct"/>
          </w:tcPr>
          <w:p w14:paraId="1961BE7E" w14:textId="77777777" w:rsidR="00EC04DF" w:rsidRPr="001A2F85" w:rsidRDefault="00841EAC" w:rsidP="000A6C1F">
            <w:pPr>
              <w:pStyle w:val="Tabletext"/>
            </w:pPr>
            <w:r>
              <w:t>T</w:t>
            </w:r>
            <w:r w:rsidR="00EC04DF" w:rsidRPr="001A2F85">
              <w:t>he extent to which HEPPP activities can be said to provide individual, societal, and economic benefits</w:t>
            </w:r>
          </w:p>
        </w:tc>
        <w:tc>
          <w:tcPr>
            <w:tcW w:w="2135" w:type="pct"/>
          </w:tcPr>
          <w:p w14:paraId="55D5B480" w14:textId="77777777" w:rsidR="00EC04DF" w:rsidRPr="001A2F85" w:rsidRDefault="00EC04DF" w:rsidP="000A6C1F">
            <w:pPr>
              <w:pStyle w:val="Tabletext"/>
            </w:pPr>
            <w:r w:rsidRPr="001A2F85">
              <w:t>The individual and societal benefits of HEPPP activities are detailed in Chapters 4-9, with Chapter 10 detailing the potential economic benefits of the HEPPP</w:t>
            </w:r>
          </w:p>
        </w:tc>
      </w:tr>
      <w:tr w:rsidR="00EC04DF" w:rsidRPr="001A2F85" w14:paraId="49B03B06"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2D9B1747" w14:textId="77777777" w:rsidR="00EC04DF" w:rsidRPr="001A2F85" w:rsidRDefault="00EC04DF" w:rsidP="000A6C1F">
            <w:pPr>
              <w:pStyle w:val="Tabletext"/>
            </w:pPr>
            <w:r w:rsidRPr="001A2F85">
              <w:t>6</w:t>
            </w:r>
          </w:p>
        </w:tc>
        <w:tc>
          <w:tcPr>
            <w:tcW w:w="2412" w:type="pct"/>
          </w:tcPr>
          <w:p w14:paraId="31D8D830" w14:textId="77777777" w:rsidR="00EC04DF" w:rsidRPr="001A2F85" w:rsidRDefault="00841EAC" w:rsidP="000A6C1F">
            <w:pPr>
              <w:pStyle w:val="Tabletext"/>
            </w:pPr>
            <w:r>
              <w:t>W</w:t>
            </w:r>
            <w:r w:rsidR="00EC04DF" w:rsidRPr="001A2F85">
              <w:t>hether HEPPP is the most efficient means of achieving equity objectives in higher education</w:t>
            </w:r>
          </w:p>
        </w:tc>
        <w:tc>
          <w:tcPr>
            <w:tcW w:w="2135" w:type="pct"/>
          </w:tcPr>
          <w:p w14:paraId="66EA684D" w14:textId="77777777" w:rsidR="00EC04DF" w:rsidRPr="001A2F85" w:rsidRDefault="00EC04DF" w:rsidP="000A6C1F">
            <w:pPr>
              <w:pStyle w:val="Tabletext"/>
            </w:pPr>
            <w:r w:rsidRPr="001A2F85">
              <w:t>The efficiency of the HEPPP is examined in Chapter 10. Potential changes to the HEPPP to aid efficiency are discussed in Chapter 11.</w:t>
            </w:r>
          </w:p>
        </w:tc>
      </w:tr>
      <w:tr w:rsidR="00EC04DF" w:rsidRPr="001A2F85" w14:paraId="761B3271"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08D521FC" w14:textId="77777777" w:rsidR="00EC04DF" w:rsidRPr="001A2F85" w:rsidRDefault="00EC04DF" w:rsidP="000A6C1F">
            <w:pPr>
              <w:pStyle w:val="Tabletext"/>
            </w:pPr>
            <w:r w:rsidRPr="001A2F85">
              <w:t>7</w:t>
            </w:r>
          </w:p>
        </w:tc>
        <w:tc>
          <w:tcPr>
            <w:tcW w:w="2412" w:type="pct"/>
          </w:tcPr>
          <w:p w14:paraId="73857AFD" w14:textId="77777777" w:rsidR="00EC04DF" w:rsidRPr="001A2F85" w:rsidRDefault="00841EAC" w:rsidP="000A6C1F">
            <w:pPr>
              <w:pStyle w:val="Tabletext"/>
            </w:pPr>
            <w:r>
              <w:t>W</w:t>
            </w:r>
            <w:r w:rsidR="00EC04DF" w:rsidRPr="001A2F85">
              <w:t>hether universities require a quarantined funding source (such as HEPPP) to provide adequate support to students from disadvantaged backgrounds</w:t>
            </w:r>
          </w:p>
        </w:tc>
        <w:tc>
          <w:tcPr>
            <w:tcW w:w="2135" w:type="pct"/>
          </w:tcPr>
          <w:p w14:paraId="62CC2FD3" w14:textId="77777777" w:rsidR="00EC04DF" w:rsidRPr="001A2F85" w:rsidRDefault="00EC04DF" w:rsidP="000A6C1F">
            <w:pPr>
              <w:pStyle w:val="Tabletext"/>
            </w:pPr>
            <w:r w:rsidRPr="001A2F85">
              <w:t xml:space="preserve">The need for a quarantined funding source is discussed in Chapter 11. </w:t>
            </w:r>
          </w:p>
          <w:p w14:paraId="4E538B7E" w14:textId="77777777" w:rsidR="00EC04DF" w:rsidRPr="001A2F85" w:rsidRDefault="00EC04DF" w:rsidP="000A6C1F">
            <w:pPr>
              <w:pStyle w:val="Tabletext"/>
            </w:pPr>
            <w:r w:rsidRPr="001A2F85">
              <w:t xml:space="preserve">Other equity-related funding sources are detailed in Chapter 2 and discussed in Chapter 10. </w:t>
            </w:r>
          </w:p>
        </w:tc>
      </w:tr>
      <w:tr w:rsidR="00EC04DF" w:rsidRPr="001A2F85" w14:paraId="770F0A8A"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0C6B18CF" w14:textId="77777777" w:rsidR="00EC04DF" w:rsidRPr="001A2F85" w:rsidRDefault="00EC04DF" w:rsidP="000A6C1F">
            <w:pPr>
              <w:pStyle w:val="Tabletext"/>
            </w:pPr>
            <w:r w:rsidRPr="001A2F85">
              <w:t>8</w:t>
            </w:r>
          </w:p>
        </w:tc>
        <w:tc>
          <w:tcPr>
            <w:tcW w:w="2412" w:type="pct"/>
          </w:tcPr>
          <w:p w14:paraId="03A36524" w14:textId="77777777" w:rsidR="00EC04DF" w:rsidRPr="001A2F85" w:rsidRDefault="00841EAC" w:rsidP="000A6C1F">
            <w:pPr>
              <w:pStyle w:val="Tabletext"/>
            </w:pPr>
            <w:r>
              <w:t>W</w:t>
            </w:r>
            <w:r w:rsidR="00EC04DF" w:rsidRPr="001A2F85">
              <w:t>hether there have been any unintended consequences of the program and what impacts these have had</w:t>
            </w:r>
          </w:p>
        </w:tc>
        <w:tc>
          <w:tcPr>
            <w:tcW w:w="2135" w:type="pct"/>
          </w:tcPr>
          <w:p w14:paraId="2E6BC270" w14:textId="77777777" w:rsidR="00EC04DF" w:rsidRPr="001A2F85" w:rsidRDefault="00EC04DF" w:rsidP="000A6C1F">
            <w:pPr>
              <w:pStyle w:val="Tabletext"/>
            </w:pPr>
            <w:r w:rsidRPr="001A2F85">
              <w:t xml:space="preserve">Chapters 4-8 discuss HEPPP activities at each stage of the student life cycle, including any unintended consequences at the project-level. Chapter 11 discusses unintended consequences at the program-level. </w:t>
            </w:r>
          </w:p>
        </w:tc>
      </w:tr>
      <w:tr w:rsidR="00EC04DF" w:rsidRPr="001A2F85" w14:paraId="0A47D524"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171457C1" w14:textId="77777777" w:rsidR="00EC04DF" w:rsidRPr="001A2F85" w:rsidRDefault="00EC04DF" w:rsidP="000A6C1F">
            <w:pPr>
              <w:pStyle w:val="Tabletext"/>
            </w:pPr>
            <w:r w:rsidRPr="001A2F85">
              <w:t>9</w:t>
            </w:r>
          </w:p>
        </w:tc>
        <w:tc>
          <w:tcPr>
            <w:tcW w:w="2412" w:type="pct"/>
          </w:tcPr>
          <w:p w14:paraId="02775844" w14:textId="77777777" w:rsidR="00EC04DF" w:rsidRPr="001A2F85" w:rsidRDefault="00841EAC" w:rsidP="000A6C1F">
            <w:pPr>
              <w:pStyle w:val="Tabletext"/>
            </w:pPr>
            <w:r>
              <w:t>W</w:t>
            </w:r>
            <w:r w:rsidR="00EC04DF" w:rsidRPr="001A2F85">
              <w:t>hat changes may be required to the program to assist students from disadvantaged backgrounds (particularly those in regional and remote areas) into the future to access, participate in, and succeed at higher-education</w:t>
            </w:r>
          </w:p>
        </w:tc>
        <w:tc>
          <w:tcPr>
            <w:tcW w:w="2135" w:type="pct"/>
          </w:tcPr>
          <w:p w14:paraId="3781D151" w14:textId="77777777" w:rsidR="00EC04DF" w:rsidRPr="001A2F85" w:rsidRDefault="00EC04DF" w:rsidP="000A6C1F">
            <w:pPr>
              <w:pStyle w:val="Tabletext"/>
            </w:pPr>
            <w:r w:rsidRPr="001A2F85">
              <w:t>Recommended changes to the HEPPP to assist disadvantaged students to access, participate in, and succeed in higher education are set out in Chapter 11.</w:t>
            </w:r>
          </w:p>
        </w:tc>
      </w:tr>
      <w:tr w:rsidR="00EC04DF" w:rsidRPr="001A2F85" w14:paraId="6622E7E8" w14:textId="77777777" w:rsidTr="000A6C1F">
        <w:tblPrEx>
          <w:tblBorders>
            <w:bottom w:val="single" w:sz="4" w:space="0" w:color="646464"/>
            <w:insideH w:val="single" w:sz="4" w:space="0" w:color="646464"/>
          </w:tblBorders>
        </w:tblPrEx>
        <w:trPr>
          <w:gridBefore w:val="1"/>
          <w:wBefore w:w="221" w:type="pct"/>
          <w:cantSplit/>
        </w:trPr>
        <w:tc>
          <w:tcPr>
            <w:tcW w:w="232" w:type="pct"/>
          </w:tcPr>
          <w:p w14:paraId="00C87FDA" w14:textId="77777777" w:rsidR="00EC04DF" w:rsidRPr="001A2F85" w:rsidRDefault="00EC04DF" w:rsidP="000A6C1F">
            <w:pPr>
              <w:pStyle w:val="Tabletext"/>
            </w:pPr>
            <w:r w:rsidRPr="001A2F85">
              <w:t>10</w:t>
            </w:r>
          </w:p>
        </w:tc>
        <w:tc>
          <w:tcPr>
            <w:tcW w:w="2412" w:type="pct"/>
          </w:tcPr>
          <w:p w14:paraId="26DD8365" w14:textId="77777777" w:rsidR="00EC04DF" w:rsidRPr="001A2F85" w:rsidRDefault="00841EAC" w:rsidP="000A6C1F">
            <w:pPr>
              <w:pStyle w:val="Tabletext"/>
            </w:pPr>
            <w:r>
              <w:t>W</w:t>
            </w:r>
            <w:r w:rsidR="00EC04DF" w:rsidRPr="001A2F85">
              <w:t>hat changes may be required for the program to operate effectively in a fiscally constrained environment.</w:t>
            </w:r>
          </w:p>
        </w:tc>
        <w:tc>
          <w:tcPr>
            <w:tcW w:w="2135" w:type="pct"/>
          </w:tcPr>
          <w:p w14:paraId="1B06922F" w14:textId="77777777" w:rsidR="00EC04DF" w:rsidRPr="001A2F85" w:rsidRDefault="00EC04DF" w:rsidP="000A6C1F">
            <w:pPr>
              <w:pStyle w:val="Tabletext"/>
            </w:pPr>
            <w:r w:rsidRPr="001A2F85">
              <w:t>Recommended changes to the HEPPP in relation to funding are set out in Chapter 11.</w:t>
            </w:r>
          </w:p>
        </w:tc>
      </w:tr>
      <w:tr w:rsidR="00EC04DF" w:rsidRPr="001A2F85" w14:paraId="5D8337DC" w14:textId="77777777" w:rsidTr="000A6C1F">
        <w:tblPrEx>
          <w:tblBorders>
            <w:bottom w:val="single" w:sz="4" w:space="0" w:color="646464"/>
            <w:insideH w:val="single" w:sz="4" w:space="0" w:color="646464"/>
          </w:tblBorders>
        </w:tblPrEx>
        <w:trPr>
          <w:gridBefore w:val="1"/>
          <w:wBefore w:w="221" w:type="pct"/>
          <w:cantSplit/>
        </w:trPr>
        <w:tc>
          <w:tcPr>
            <w:tcW w:w="4779" w:type="pct"/>
            <w:gridSpan w:val="3"/>
          </w:tcPr>
          <w:p w14:paraId="642794C5" w14:textId="77777777" w:rsidR="00EC04DF" w:rsidRPr="001A2F85" w:rsidRDefault="00EC04DF" w:rsidP="000A6C1F">
            <w:pPr>
              <w:pStyle w:val="Source"/>
            </w:pPr>
            <w:r w:rsidRPr="001A2F85">
              <w:t>Source: ACIL ALlen</w:t>
            </w:r>
            <w:r>
              <w:t xml:space="preserve"> Consulting</w:t>
            </w:r>
          </w:p>
        </w:tc>
      </w:tr>
      <w:tr w:rsidR="00EC04DF" w:rsidRPr="001A2F85" w14:paraId="1E9E0DAF" w14:textId="77777777" w:rsidTr="000A6C1F">
        <w:tblPrEx>
          <w:tblBorders>
            <w:bottom w:val="single" w:sz="4" w:space="0" w:color="646464"/>
            <w:insideH w:val="single" w:sz="4" w:space="0" w:color="646464"/>
          </w:tblBorders>
        </w:tblPrEx>
        <w:trPr>
          <w:gridBefore w:val="1"/>
          <w:wBefore w:w="221" w:type="pct"/>
          <w:cantSplit/>
          <w:trHeight w:hRule="exact" w:val="120"/>
        </w:trPr>
        <w:tc>
          <w:tcPr>
            <w:tcW w:w="4779" w:type="pct"/>
            <w:gridSpan w:val="3"/>
            <w:tcBorders>
              <w:bottom w:val="nil"/>
            </w:tcBorders>
          </w:tcPr>
          <w:p w14:paraId="0E02DB27" w14:textId="77777777" w:rsidR="00EC04DF" w:rsidRPr="001A2F85" w:rsidRDefault="00EC04DF" w:rsidP="000A6C1F">
            <w:pPr>
              <w:pStyle w:val="spacertbl"/>
            </w:pPr>
          </w:p>
        </w:tc>
      </w:tr>
    </w:tbl>
    <w:p w14:paraId="307FB3FD" w14:textId="77777777" w:rsidR="00EA6577" w:rsidRPr="001A2F85" w:rsidRDefault="00EA6577" w:rsidP="000B6604">
      <w:pPr>
        <w:sectPr w:rsidR="00EA6577" w:rsidRPr="001A2F85" w:rsidSect="005747A8">
          <w:headerReference w:type="even" r:id="rId38"/>
          <w:headerReference w:type="default" r:id="rId39"/>
          <w:footerReference w:type="even" r:id="rId40"/>
          <w:footerReference w:type="default" r:id="rId41"/>
          <w:headerReference w:type="first" r:id="rId42"/>
          <w:footerReference w:type="first" r:id="rId43"/>
          <w:pgSz w:w="11907" w:h="16839" w:code="9"/>
          <w:pgMar w:top="1100" w:right="443" w:bottom="1320" w:left="3296" w:header="456" w:footer="262" w:gutter="0"/>
          <w:pgNumType w:fmt="lowerRoman"/>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8"/>
        <w:gridCol w:w="3430"/>
      </w:tblGrid>
      <w:tr w:rsidR="00EA6577" w:rsidRPr="001A2F85" w14:paraId="608EE791" w14:textId="77777777" w:rsidTr="000B6604">
        <w:trPr>
          <w:trHeight w:hRule="exact" w:val="382"/>
        </w:trPr>
        <w:tc>
          <w:tcPr>
            <w:tcW w:w="4728" w:type="dxa"/>
            <w:shd w:val="clear" w:color="auto" w:fill="9D57A6"/>
          </w:tcPr>
          <w:p w14:paraId="2E28BA57" w14:textId="77777777" w:rsidR="00EA6577" w:rsidRPr="001A2F85" w:rsidRDefault="00A45AB3" w:rsidP="000B6604">
            <w:pPr>
              <w:pStyle w:val="tagpartBanner"/>
              <w:keepNext/>
            </w:pPr>
            <w:r>
              <w:rPr>
                <w:noProof/>
                <w:lang w:eastAsia="en-AU"/>
              </w:rPr>
              <mc:AlternateContent>
                <mc:Choice Requires="wps">
                  <w:drawing>
                    <wp:anchor distT="0" distB="0" distL="114300" distR="114300" simplePos="0" relativeHeight="251642368" behindDoc="0" locked="1" layoutInCell="1" allowOverlap="1" wp14:anchorId="1CF4B894" wp14:editId="36EA37A2">
                      <wp:simplePos x="0" y="0"/>
                      <wp:positionH relativeFrom="page">
                        <wp:posOffset>158750</wp:posOffset>
                      </wp:positionH>
                      <wp:positionV relativeFrom="page">
                        <wp:posOffset>6350</wp:posOffset>
                      </wp:positionV>
                      <wp:extent cx="439420" cy="215265"/>
                      <wp:effectExtent l="0" t="0" r="0" b="0"/>
                      <wp:wrapNone/>
                      <wp:docPr id="28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1152DC" id="Freeform 5" o:spid="_x0000_s1026" style="position:absolute;margin-left:12.5pt;margin-top:.5pt;width:34.6pt;height:16.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6B8175BE" w14:textId="77777777" w:rsidR="00EA6577" w:rsidRPr="001A2F85" w:rsidRDefault="00EA6577" w:rsidP="000B6604">
            <w:pPr>
              <w:pStyle w:val="spacer"/>
            </w:pPr>
          </w:p>
        </w:tc>
      </w:tr>
      <w:tr w:rsidR="00EA6577" w:rsidRPr="001A2F85" w14:paraId="09964007" w14:textId="77777777" w:rsidTr="000B6604">
        <w:trPr>
          <w:trHeight w:hRule="exact" w:val="3665"/>
        </w:trPr>
        <w:tc>
          <w:tcPr>
            <w:tcW w:w="4728" w:type="dxa"/>
            <w:shd w:val="clear" w:color="auto" w:fill="9D57A6"/>
            <w:tcMar>
              <w:left w:w="0" w:type="dxa"/>
            </w:tcMar>
            <w:vAlign w:val="bottom"/>
          </w:tcPr>
          <w:p w14:paraId="65569518" w14:textId="77777777" w:rsidR="00EA6577" w:rsidRPr="001A2F85" w:rsidRDefault="00EA6577" w:rsidP="00D349AB">
            <w:pPr>
              <w:pStyle w:val="Part-HeadingBanner"/>
              <w:keepNext/>
            </w:pPr>
            <w:r w:rsidRPr="001A2F85">
              <w:t>Part</w:t>
            </w:r>
            <w:r w:rsidR="00D349AB" w:rsidRPr="001A2F85">
              <w:t xml:space="preserve"> 1: Introduction and overview of the HEPPP</w:t>
            </w:r>
          </w:p>
        </w:tc>
        <w:tc>
          <w:tcPr>
            <w:tcW w:w="3430" w:type="dxa"/>
            <w:shd w:val="clear" w:color="auto" w:fill="9D57A6"/>
            <w:tcMar>
              <w:right w:w="316" w:type="dxa"/>
            </w:tcMar>
          </w:tcPr>
          <w:p w14:paraId="45A29761" w14:textId="77777777" w:rsidR="00EA6577" w:rsidRPr="001A2F85" w:rsidRDefault="008C090E" w:rsidP="000B6604">
            <w:pPr>
              <w:pStyle w:val="Part-Number"/>
            </w:pPr>
            <w:r>
              <w:rPr>
                <w:noProof/>
              </w:rPr>
              <w:t>I</w:t>
            </w:r>
          </w:p>
        </w:tc>
      </w:tr>
      <w:tr w:rsidR="00EA6577" w:rsidRPr="001A2F85" w14:paraId="56D83743" w14:textId="77777777" w:rsidTr="000B6604">
        <w:trPr>
          <w:trHeight w:hRule="exact" w:val="232"/>
        </w:trPr>
        <w:tc>
          <w:tcPr>
            <w:tcW w:w="4728" w:type="dxa"/>
            <w:shd w:val="clear" w:color="auto" w:fill="9D57A6"/>
            <w:tcMar>
              <w:left w:w="0" w:type="dxa"/>
            </w:tcMar>
          </w:tcPr>
          <w:p w14:paraId="64231393" w14:textId="77777777" w:rsidR="00EA6577" w:rsidRPr="001A2F85" w:rsidRDefault="00EA6577" w:rsidP="000B6604">
            <w:pPr>
              <w:pStyle w:val="spacer"/>
            </w:pPr>
          </w:p>
        </w:tc>
        <w:tc>
          <w:tcPr>
            <w:tcW w:w="3430" w:type="dxa"/>
            <w:shd w:val="clear" w:color="auto" w:fill="9D57A6"/>
            <w:tcMar>
              <w:right w:w="344" w:type="dxa"/>
            </w:tcMar>
          </w:tcPr>
          <w:p w14:paraId="30B2CFBC" w14:textId="77777777" w:rsidR="00EA6577" w:rsidRPr="001A2F85" w:rsidRDefault="00EA6577" w:rsidP="000B6604">
            <w:pPr>
              <w:pStyle w:val="Partxx"/>
              <w:keepNext/>
            </w:pPr>
            <w:bookmarkStart w:id="11" w:name="_Toc466657101"/>
            <w:r w:rsidRPr="001A2F85">
              <w:t xml:space="preserve">PART </w:t>
            </w:r>
            <w:r w:rsidR="008C090E">
              <w:rPr>
                <w:noProof/>
              </w:rPr>
              <w:t>I</w:t>
            </w:r>
            <w:bookmarkEnd w:id="11"/>
          </w:p>
        </w:tc>
      </w:tr>
      <w:tr w:rsidR="00EA6577" w:rsidRPr="001A2F85" w14:paraId="5E6EDC37" w14:textId="77777777" w:rsidTr="000B6604">
        <w:trPr>
          <w:trHeight w:hRule="exact" w:val="228"/>
        </w:trPr>
        <w:tc>
          <w:tcPr>
            <w:tcW w:w="4728" w:type="dxa"/>
            <w:tcBorders>
              <w:top w:val="single" w:sz="4" w:space="0" w:color="9D57A6"/>
            </w:tcBorders>
          </w:tcPr>
          <w:p w14:paraId="3FCCE89F" w14:textId="77777777" w:rsidR="00EA6577" w:rsidRPr="001A2F85" w:rsidRDefault="00EA6577" w:rsidP="000B6604">
            <w:pPr>
              <w:pStyle w:val="spacer"/>
            </w:pPr>
          </w:p>
        </w:tc>
        <w:tc>
          <w:tcPr>
            <w:tcW w:w="3430" w:type="dxa"/>
            <w:tcBorders>
              <w:top w:val="single" w:sz="4" w:space="0" w:color="9D57A6"/>
            </w:tcBorders>
          </w:tcPr>
          <w:p w14:paraId="3304E917" w14:textId="77777777" w:rsidR="00EA6577" w:rsidRPr="001A2F85" w:rsidRDefault="00EA6577" w:rsidP="000B6604">
            <w:pPr>
              <w:pStyle w:val="spacer"/>
            </w:pPr>
          </w:p>
        </w:tc>
      </w:tr>
    </w:tbl>
    <w:p w14:paraId="5E03010C" w14:textId="77777777" w:rsidR="00EA6577" w:rsidRPr="001A2F85" w:rsidRDefault="00EA6577" w:rsidP="000B6604">
      <w:pPr>
        <w:pStyle w:val="BodyText"/>
      </w:pPr>
    </w:p>
    <w:p w14:paraId="344C05BF" w14:textId="77777777" w:rsidR="00EA6577" w:rsidRPr="001A2F85" w:rsidRDefault="00EA6577" w:rsidP="000B6604">
      <w:pPr>
        <w:pStyle w:val="BodyText"/>
      </w:pPr>
    </w:p>
    <w:p w14:paraId="638548CD" w14:textId="77777777" w:rsidR="00EA6577" w:rsidRPr="001A2F85" w:rsidRDefault="00EA6577" w:rsidP="000B6604">
      <w:pPr>
        <w:pStyle w:val="BodyText"/>
      </w:pPr>
    </w:p>
    <w:p w14:paraId="0B46C734" w14:textId="77777777" w:rsidR="00EA6577" w:rsidRPr="001A2F85" w:rsidRDefault="00EA6577" w:rsidP="000B6604">
      <w:pPr>
        <w:pStyle w:val="BodyText"/>
      </w:pPr>
    </w:p>
    <w:p w14:paraId="3554CA7E" w14:textId="77777777" w:rsidR="00EA6577" w:rsidRPr="001A2F85" w:rsidRDefault="00EA6577" w:rsidP="000B6604">
      <w:pPr>
        <w:pStyle w:val="BodyText"/>
      </w:pPr>
    </w:p>
    <w:p w14:paraId="10E90AE2" w14:textId="77777777" w:rsidR="00EA6577" w:rsidRPr="001A2F85" w:rsidRDefault="00EA6577" w:rsidP="000B6604">
      <w:pPr>
        <w:pStyle w:val="BodyText"/>
      </w:pPr>
    </w:p>
    <w:p w14:paraId="5753420A" w14:textId="77777777" w:rsidR="00EA6577" w:rsidRPr="001A2F85" w:rsidRDefault="00EA6577" w:rsidP="000B6604">
      <w:pPr>
        <w:pStyle w:val="BodyText"/>
      </w:pPr>
    </w:p>
    <w:p w14:paraId="30194D7B" w14:textId="77777777" w:rsidR="00EA6577" w:rsidRPr="001A2F85" w:rsidRDefault="00EA6577" w:rsidP="000B6604">
      <w:pPr>
        <w:pStyle w:val="BodyText"/>
      </w:pPr>
    </w:p>
    <w:p w14:paraId="55BE24F9" w14:textId="77777777" w:rsidR="00EA6577" w:rsidRPr="001A2F85" w:rsidRDefault="00EA6577" w:rsidP="000B6604">
      <w:pPr>
        <w:pStyle w:val="BodyText"/>
      </w:pPr>
    </w:p>
    <w:p w14:paraId="7A9D549F" w14:textId="77777777" w:rsidR="00EA6577" w:rsidRPr="001A2F85" w:rsidRDefault="00EA6577" w:rsidP="000B6604">
      <w:pPr>
        <w:pStyle w:val="BodyText"/>
      </w:pPr>
    </w:p>
    <w:p w14:paraId="00C454BF" w14:textId="77777777" w:rsidR="00EA6577" w:rsidRPr="001A2F85" w:rsidRDefault="00EA6577" w:rsidP="000B6604">
      <w:pPr>
        <w:pStyle w:val="BodyText"/>
      </w:pPr>
    </w:p>
    <w:p w14:paraId="06F3D5F8" w14:textId="77777777" w:rsidR="00EA6577" w:rsidRPr="001A2F85" w:rsidRDefault="00EA6577" w:rsidP="000B6604">
      <w:pPr>
        <w:pStyle w:val="BodyText"/>
      </w:pPr>
    </w:p>
    <w:p w14:paraId="53642F82" w14:textId="77777777" w:rsidR="00EA6577" w:rsidRPr="001A2F85" w:rsidRDefault="00EA6577" w:rsidP="000B6604">
      <w:pPr>
        <w:pStyle w:val="BodyText"/>
      </w:pPr>
    </w:p>
    <w:p w14:paraId="457F7E35" w14:textId="77777777" w:rsidR="00EA6577" w:rsidRPr="001A2F85" w:rsidRDefault="00EA6577" w:rsidP="000B6604">
      <w:pPr>
        <w:pStyle w:val="BodyText"/>
      </w:pPr>
    </w:p>
    <w:p w14:paraId="47198FAB" w14:textId="77777777" w:rsidR="00EA6577" w:rsidRPr="001A2F85" w:rsidRDefault="00EA6577" w:rsidP="000B6604">
      <w:pPr>
        <w:pStyle w:val="BodyText"/>
      </w:pPr>
    </w:p>
    <w:p w14:paraId="3AA979D9" w14:textId="77777777" w:rsidR="00EA6577" w:rsidRPr="001A2F85" w:rsidRDefault="00EA6577" w:rsidP="000B6604">
      <w:pPr>
        <w:pStyle w:val="BodyText"/>
      </w:pPr>
    </w:p>
    <w:p w14:paraId="12B454CC" w14:textId="77777777" w:rsidR="00EA6577" w:rsidRPr="001A2F85" w:rsidRDefault="00EA6577" w:rsidP="000B6604">
      <w:pPr>
        <w:pStyle w:val="BodyText"/>
      </w:pPr>
    </w:p>
    <w:p w14:paraId="2B25DD38" w14:textId="77777777" w:rsidR="00EA6577" w:rsidRPr="001A2F85" w:rsidRDefault="00EA6577" w:rsidP="000B6604">
      <w:pPr>
        <w:pStyle w:val="BodyText"/>
      </w:pPr>
    </w:p>
    <w:p w14:paraId="66A46F47" w14:textId="77777777" w:rsidR="00EA6577" w:rsidRPr="001A2F85" w:rsidRDefault="00EA6577" w:rsidP="000B6604">
      <w:pPr>
        <w:pStyle w:val="BodyText"/>
        <w:sectPr w:rsidR="00EA6577" w:rsidRPr="001A2F85" w:rsidSect="00EA6577">
          <w:headerReference w:type="even" r:id="rId44"/>
          <w:headerReference w:type="default" r:id="rId45"/>
          <w:footerReference w:type="even" r:id="rId46"/>
          <w:footerReference w:type="default" r:id="rId47"/>
          <w:headerReference w:type="first" r:id="rId48"/>
          <w:footerReference w:type="first" r:id="rId49"/>
          <w:pgSz w:w="11907" w:h="16839" w:code="9"/>
          <w:pgMar w:top="1100" w:right="443" w:bottom="1320" w:left="3296" w:header="456" w:footer="262"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EA6577" w:rsidRPr="001A2F85" w14:paraId="64A5A6D5" w14:textId="77777777" w:rsidTr="000B6604">
        <w:trPr>
          <w:trHeight w:hRule="exact" w:val="382"/>
        </w:trPr>
        <w:tc>
          <w:tcPr>
            <w:tcW w:w="4738" w:type="dxa"/>
            <w:shd w:val="clear" w:color="auto" w:fill="9D57A6"/>
          </w:tcPr>
          <w:p w14:paraId="4D4DF100" w14:textId="77777777" w:rsidR="00EA6577" w:rsidRPr="001A2F85" w:rsidRDefault="00A45AB3" w:rsidP="000B6604">
            <w:pPr>
              <w:pStyle w:val="tagchapterBanner"/>
            </w:pPr>
            <w:r>
              <w:rPr>
                <w:noProof/>
                <w:lang w:eastAsia="en-AU"/>
              </w:rPr>
              <mc:AlternateContent>
                <mc:Choice Requires="wps">
                  <w:drawing>
                    <wp:anchor distT="0" distB="0" distL="114300" distR="114300" simplePos="0" relativeHeight="251645440" behindDoc="0" locked="1" layoutInCell="1" allowOverlap="1" wp14:anchorId="5360D9FD" wp14:editId="52651180">
                      <wp:simplePos x="0" y="0"/>
                      <wp:positionH relativeFrom="page">
                        <wp:posOffset>158750</wp:posOffset>
                      </wp:positionH>
                      <wp:positionV relativeFrom="page">
                        <wp:posOffset>6350</wp:posOffset>
                      </wp:positionV>
                      <wp:extent cx="439420" cy="215265"/>
                      <wp:effectExtent l="0" t="0" r="0" b="0"/>
                      <wp:wrapNone/>
                      <wp:docPr id="14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F58AAE" id="Freeform 5" o:spid="_x0000_s1026" style="position:absolute;margin-left:12.5pt;margin-top:.5pt;width:34.6pt;height:16.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Tcew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dlE3H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422370A8" w14:textId="77777777" w:rsidR="00EA6577" w:rsidRPr="001A2F85" w:rsidRDefault="00EA6577" w:rsidP="000B6604">
            <w:pPr>
              <w:pStyle w:val="spacer"/>
            </w:pPr>
          </w:p>
        </w:tc>
      </w:tr>
      <w:tr w:rsidR="00EA6577" w:rsidRPr="001A2F85" w14:paraId="3049FA91" w14:textId="77777777" w:rsidTr="000B6604">
        <w:trPr>
          <w:trHeight w:hRule="exact" w:val="3665"/>
        </w:trPr>
        <w:tc>
          <w:tcPr>
            <w:tcW w:w="4738" w:type="dxa"/>
            <w:shd w:val="clear" w:color="auto" w:fill="9D57A6"/>
            <w:tcMar>
              <w:left w:w="0" w:type="dxa"/>
              <w:bottom w:w="0" w:type="dxa"/>
            </w:tcMar>
            <w:vAlign w:val="bottom"/>
          </w:tcPr>
          <w:p w14:paraId="41FE365C" w14:textId="77777777" w:rsidR="00EA6577" w:rsidRPr="001A2F85" w:rsidRDefault="008D60D6" w:rsidP="00316B0A">
            <w:pPr>
              <w:pStyle w:val="Heading1"/>
              <w:spacing w:line="240" w:lineRule="auto"/>
              <w:outlineLvl w:val="0"/>
            </w:pPr>
            <w:r>
              <w:t>I</w:t>
            </w:r>
            <w:r w:rsidRPr="001A2F85">
              <w:t>ntroduction</w:t>
            </w:r>
          </w:p>
        </w:tc>
        <w:tc>
          <w:tcPr>
            <w:tcW w:w="3430" w:type="dxa"/>
            <w:shd w:val="clear" w:color="auto" w:fill="9D57A6"/>
            <w:tcMar>
              <w:right w:w="344" w:type="dxa"/>
            </w:tcMar>
          </w:tcPr>
          <w:p w14:paraId="5078405C" w14:textId="77777777" w:rsidR="00EA6577" w:rsidRPr="001A2F85" w:rsidRDefault="008C090E" w:rsidP="000B6604">
            <w:pPr>
              <w:pStyle w:val="HeadingChapter"/>
              <w:keepNext/>
            </w:pPr>
            <w:bookmarkStart w:id="12" w:name="_Toc466657102"/>
            <w:r>
              <w:t>1</w:t>
            </w:r>
            <w:bookmarkEnd w:id="12"/>
          </w:p>
        </w:tc>
      </w:tr>
      <w:tr w:rsidR="00EA6577" w:rsidRPr="001A2F85" w14:paraId="771972F7" w14:textId="77777777" w:rsidTr="000B6604">
        <w:trPr>
          <w:trHeight w:hRule="exact" w:val="232"/>
        </w:trPr>
        <w:tc>
          <w:tcPr>
            <w:tcW w:w="4738" w:type="dxa"/>
            <w:shd w:val="clear" w:color="auto" w:fill="9D57A6"/>
          </w:tcPr>
          <w:p w14:paraId="211E4ACB" w14:textId="77777777" w:rsidR="00EA6577" w:rsidRPr="001A2F85" w:rsidRDefault="00EA6577" w:rsidP="000B6604">
            <w:pPr>
              <w:pStyle w:val="Chpt-Context"/>
            </w:pPr>
          </w:p>
        </w:tc>
        <w:tc>
          <w:tcPr>
            <w:tcW w:w="3430" w:type="dxa"/>
            <w:shd w:val="clear" w:color="auto" w:fill="9D57A6"/>
          </w:tcPr>
          <w:p w14:paraId="2228177A" w14:textId="77777777" w:rsidR="00EA6577" w:rsidRPr="001A2F85" w:rsidRDefault="008C090E" w:rsidP="000B6604">
            <w:pPr>
              <w:pStyle w:val="Chpt-Context"/>
            </w:pPr>
            <w:bookmarkStart w:id="13" w:name="_Toc466657103"/>
            <w:r>
              <w:rPr>
                <w:noProof/>
              </w:rPr>
              <w:t>Introduction</w:t>
            </w:r>
            <w:bookmarkEnd w:id="13"/>
          </w:p>
        </w:tc>
      </w:tr>
      <w:tr w:rsidR="00EA6577" w:rsidRPr="001A2F85" w14:paraId="67BAD990" w14:textId="77777777" w:rsidTr="000B6604">
        <w:trPr>
          <w:trHeight w:hRule="exact" w:val="228"/>
        </w:trPr>
        <w:tc>
          <w:tcPr>
            <w:tcW w:w="4738" w:type="dxa"/>
            <w:tcBorders>
              <w:top w:val="single" w:sz="4" w:space="0" w:color="9D57A6"/>
            </w:tcBorders>
          </w:tcPr>
          <w:p w14:paraId="265C7128" w14:textId="77777777" w:rsidR="00EA6577" w:rsidRPr="001A2F85" w:rsidRDefault="00EA6577" w:rsidP="000B6604">
            <w:pPr>
              <w:pStyle w:val="spacer"/>
            </w:pPr>
          </w:p>
        </w:tc>
        <w:tc>
          <w:tcPr>
            <w:tcW w:w="3430" w:type="dxa"/>
            <w:tcBorders>
              <w:top w:val="single" w:sz="4" w:space="0" w:color="9D57A6"/>
            </w:tcBorders>
          </w:tcPr>
          <w:p w14:paraId="436DD616" w14:textId="77777777" w:rsidR="00EA6577" w:rsidRPr="001A2F85" w:rsidRDefault="00EA6577" w:rsidP="000B6604">
            <w:pPr>
              <w:pStyle w:val="spacer"/>
            </w:pPr>
          </w:p>
        </w:tc>
      </w:tr>
    </w:tbl>
    <w:p w14:paraId="063965C6" w14:textId="77777777" w:rsidR="00835D10" w:rsidRPr="001A2F85" w:rsidRDefault="00835D10" w:rsidP="00AD49C8">
      <w:pPr>
        <w:pStyle w:val="Introduction"/>
      </w:pPr>
      <w:r w:rsidRPr="001A2F85">
        <w:t>This chapter provides an overview of the HEPPP evaluation, including the evaluation’s context, research questions and method.</w:t>
      </w:r>
    </w:p>
    <w:p w14:paraId="63020517" w14:textId="77777777" w:rsidR="00835D10" w:rsidRPr="001A2F85" w:rsidRDefault="00835D10" w:rsidP="00835D10">
      <w:pPr>
        <w:pStyle w:val="Heading2"/>
      </w:pPr>
      <w:bookmarkStart w:id="14" w:name="_Toc465930249"/>
      <w:bookmarkStart w:id="15" w:name="_Toc466657104"/>
      <w:r w:rsidRPr="001A2F85">
        <w:t>Evaluation overview</w:t>
      </w:r>
      <w:bookmarkEnd w:id="14"/>
      <w:bookmarkEnd w:id="15"/>
    </w:p>
    <w:p w14:paraId="5F8A2AFB" w14:textId="77777777" w:rsidR="00835D10" w:rsidRPr="001A2F85" w:rsidRDefault="00835D10" w:rsidP="00835D10">
      <w:pPr>
        <w:pStyle w:val="Heading3"/>
      </w:pPr>
      <w:r w:rsidRPr="001A2F85">
        <w:t>Evaluation objectives</w:t>
      </w:r>
    </w:p>
    <w:p w14:paraId="529FC10A" w14:textId="77777777" w:rsidR="00835D10" w:rsidRPr="001A2F85" w:rsidRDefault="00835D10" w:rsidP="00835D10">
      <w:pPr>
        <w:pStyle w:val="BodyText"/>
      </w:pPr>
      <w:r w:rsidRPr="001A2F85">
        <w:t>ACIL Allen Consulting (ACIL Allen) and the Wallis Consulting Group (Wallis) have been engaged by the Department of Education and Training (the Department) to undertake the evaluation of the Higher Education Participation and Partnerships Program (HEPPP).</w:t>
      </w:r>
    </w:p>
    <w:p w14:paraId="55BD7F03" w14:textId="77777777" w:rsidR="00835D10" w:rsidRPr="001A2F85" w:rsidRDefault="00835D10" w:rsidP="00835D10">
      <w:pPr>
        <w:spacing w:before="113" w:after="60"/>
      </w:pPr>
      <w:r w:rsidRPr="001A2F85">
        <w:t>The purpose of the evaluation is to evaluate the effectiveness, efficiency and appropriateness of HEPPP, in particular examining:</w:t>
      </w:r>
    </w:p>
    <w:p w14:paraId="61BE82E2" w14:textId="77777777" w:rsidR="00835D10" w:rsidRPr="001A2F85" w:rsidRDefault="00835D10" w:rsidP="00A45AB3">
      <w:pPr>
        <w:numPr>
          <w:ilvl w:val="0"/>
          <w:numId w:val="34"/>
        </w:numPr>
        <w:spacing w:before="60" w:after="60"/>
      </w:pPr>
      <w:r w:rsidRPr="001A2F85">
        <w:t>the outcomes achieved by the program</w:t>
      </w:r>
    </w:p>
    <w:p w14:paraId="64B00E69" w14:textId="77777777" w:rsidR="00835D10" w:rsidRPr="001A2F85" w:rsidRDefault="00835D10" w:rsidP="00A45AB3">
      <w:pPr>
        <w:numPr>
          <w:ilvl w:val="0"/>
          <w:numId w:val="34"/>
        </w:numPr>
        <w:spacing w:before="60" w:after="60"/>
      </w:pPr>
      <w:r w:rsidRPr="001A2F85">
        <w:t xml:space="preserve">who </w:t>
      </w:r>
      <w:r>
        <w:t>has</w:t>
      </w:r>
      <w:r w:rsidRPr="001A2F85">
        <w:t xml:space="preserve"> benefited from the activities of the program, with particular reference to all disadvantaged groups, including people from regional and remote Australia</w:t>
      </w:r>
    </w:p>
    <w:p w14:paraId="5125CB14" w14:textId="77777777" w:rsidR="00835D10" w:rsidRPr="001A2F85" w:rsidRDefault="00835D10" w:rsidP="00A45AB3">
      <w:pPr>
        <w:numPr>
          <w:ilvl w:val="0"/>
          <w:numId w:val="34"/>
        </w:numPr>
        <w:spacing w:before="60" w:after="60"/>
      </w:pPr>
      <w:r w:rsidRPr="001A2F85">
        <w:t xml:space="preserve">whether the program provides good value for money </w:t>
      </w:r>
    </w:p>
    <w:p w14:paraId="31EC9E8D" w14:textId="77777777" w:rsidR="00835D10" w:rsidRPr="001A2F85" w:rsidRDefault="00835D10" w:rsidP="00A45AB3">
      <w:pPr>
        <w:numPr>
          <w:ilvl w:val="0"/>
          <w:numId w:val="34"/>
        </w:numPr>
        <w:spacing w:before="60" w:after="60"/>
      </w:pPr>
      <w:r w:rsidRPr="001A2F85">
        <w:t>what changes might be required to the program.</w:t>
      </w:r>
    </w:p>
    <w:p w14:paraId="5D8B4A5B" w14:textId="77777777" w:rsidR="00835D10" w:rsidRPr="001A2F85" w:rsidRDefault="00835D10" w:rsidP="00835D10">
      <w:pPr>
        <w:spacing w:before="113" w:after="60"/>
      </w:pPr>
      <w:r w:rsidRPr="001A2F85">
        <w:t>The terms of reference for the evaluation are:</w:t>
      </w:r>
    </w:p>
    <w:p w14:paraId="43B07BAC" w14:textId="77777777" w:rsidR="00835D10" w:rsidRPr="001D1140" w:rsidRDefault="00835D10" w:rsidP="00835D10">
      <w:pPr>
        <w:pStyle w:val="ListNumber"/>
      </w:pPr>
      <w:r w:rsidRPr="001A2F85">
        <w:t xml:space="preserve">the extent to which the program is meeting its objectives, as described in </w:t>
      </w:r>
      <w:r w:rsidRPr="001D1140">
        <w:t>the Other Grants Guidelines (Education) 2012</w:t>
      </w:r>
    </w:p>
    <w:p w14:paraId="64853D90" w14:textId="77777777" w:rsidR="00835D10" w:rsidRPr="001A2F85" w:rsidRDefault="00835D10" w:rsidP="00835D10">
      <w:pPr>
        <w:pStyle w:val="ListNumber"/>
      </w:pPr>
      <w:r w:rsidRPr="001A2F85">
        <w:t xml:space="preserve">the outcomes that have been achieved by the program to date </w:t>
      </w:r>
    </w:p>
    <w:p w14:paraId="6697B379" w14:textId="77777777" w:rsidR="00835D10" w:rsidRPr="001A2F85" w:rsidRDefault="00835D10" w:rsidP="00835D10">
      <w:pPr>
        <w:pStyle w:val="ListNumber"/>
      </w:pPr>
      <w:r w:rsidRPr="001A2F85">
        <w:t>which groups of low socio-economic status people are benefitting most from HEPPP activities, with particular attention to be paid to people from regional and remote backgrounds</w:t>
      </w:r>
    </w:p>
    <w:p w14:paraId="64CD13F4" w14:textId="77777777" w:rsidR="00835D10" w:rsidRPr="001A2F85" w:rsidRDefault="00835D10" w:rsidP="00835D10">
      <w:pPr>
        <w:pStyle w:val="ListNumber"/>
      </w:pPr>
      <w:r w:rsidRPr="001A2F85">
        <w:t>which HEPPP-funded activities are contributing most to achieving program objectives</w:t>
      </w:r>
    </w:p>
    <w:p w14:paraId="2A83602B" w14:textId="77777777" w:rsidR="00835D10" w:rsidRPr="001A2F85" w:rsidRDefault="00835D10" w:rsidP="00835D10">
      <w:pPr>
        <w:pStyle w:val="ListNumber"/>
      </w:pPr>
      <w:r w:rsidRPr="001A2F85">
        <w:t>the extent to which HEPPP activities can be said to provide individual, societal, and economic benefits</w:t>
      </w:r>
    </w:p>
    <w:p w14:paraId="0D0D1403" w14:textId="77777777" w:rsidR="00835D10" w:rsidRPr="001A2F85" w:rsidRDefault="00835D10" w:rsidP="00835D10">
      <w:pPr>
        <w:pStyle w:val="ListNumber"/>
      </w:pPr>
      <w:r w:rsidRPr="001A2F85">
        <w:t>whether HEPPP is the most efficient means of achieving equity objectives in higher education</w:t>
      </w:r>
    </w:p>
    <w:p w14:paraId="49C56805" w14:textId="77777777" w:rsidR="00835D10" w:rsidRPr="001A2F85" w:rsidRDefault="00835D10" w:rsidP="00835D10">
      <w:pPr>
        <w:pStyle w:val="ListNumber"/>
      </w:pPr>
      <w:r w:rsidRPr="001A2F85">
        <w:t>whether universities require a quarantined funding source (such as HEPPP) to provide adequate support to students from disadvantaged backgrounds</w:t>
      </w:r>
    </w:p>
    <w:p w14:paraId="353452BF" w14:textId="77777777" w:rsidR="00835D10" w:rsidRPr="001A2F85" w:rsidRDefault="00835D10" w:rsidP="00835D10">
      <w:pPr>
        <w:pStyle w:val="ListNumber"/>
      </w:pPr>
      <w:r w:rsidRPr="001A2F85">
        <w:t>whether there have been any unintended consequences of the program and what impacts these have had</w:t>
      </w:r>
    </w:p>
    <w:p w14:paraId="33573571" w14:textId="77777777" w:rsidR="00835D10" w:rsidRPr="001A2F85" w:rsidRDefault="00835D10" w:rsidP="00835D10">
      <w:pPr>
        <w:pStyle w:val="ListNumber"/>
      </w:pPr>
      <w:r w:rsidRPr="001A2F85">
        <w:t>what changes may be required to the program to assist students from disadvantaged backgrounds (particularly those in regional and remote areas) into the future to access, participate in, and succeed at higher-education</w:t>
      </w:r>
    </w:p>
    <w:p w14:paraId="33A9F18A" w14:textId="77777777" w:rsidR="00835D10" w:rsidRPr="001A2F85" w:rsidRDefault="00835D10" w:rsidP="00835D10">
      <w:pPr>
        <w:pStyle w:val="ListNumber"/>
      </w:pPr>
      <w:r w:rsidRPr="001A2F85">
        <w:t>what changes may be required for the program to operate effectively in a fiscally constrained environment.</w:t>
      </w:r>
    </w:p>
    <w:p w14:paraId="19A40B89" w14:textId="77777777" w:rsidR="00835D10" w:rsidRPr="001A2F85" w:rsidRDefault="00835D10" w:rsidP="00835D10">
      <w:pPr>
        <w:pStyle w:val="Heading3"/>
      </w:pPr>
      <w:r w:rsidRPr="001A2F85">
        <w:t>Evaluation research questions</w:t>
      </w:r>
    </w:p>
    <w:p w14:paraId="455B366D" w14:textId="77777777" w:rsidR="00835D10" w:rsidRPr="001A2F85" w:rsidRDefault="00835D10" w:rsidP="00835D10">
      <w:pPr>
        <w:pStyle w:val="BodyText"/>
      </w:pPr>
      <w:r w:rsidRPr="001A2F85">
        <w:t>The evaluation research questions are at Appendix A</w:t>
      </w:r>
      <w:r w:rsidR="00E77AED">
        <w:t xml:space="preserve"> and are structured </w:t>
      </w:r>
      <w:r w:rsidRPr="001A2F85">
        <w:t xml:space="preserve">according to the </w:t>
      </w:r>
      <w:r w:rsidR="00E77AED">
        <w:t xml:space="preserve">following </w:t>
      </w:r>
      <w:r w:rsidRPr="001A2F85">
        <w:t xml:space="preserve">evaluation areas of </w:t>
      </w:r>
      <w:r w:rsidR="00E77AED">
        <w:t>enquiry</w:t>
      </w:r>
      <w:r w:rsidRPr="001A2F85">
        <w:t>:</w:t>
      </w:r>
    </w:p>
    <w:p w14:paraId="5743BB27" w14:textId="77777777" w:rsidR="00835D10" w:rsidRPr="001A2F85" w:rsidRDefault="00835D10" w:rsidP="00A45AB3">
      <w:pPr>
        <w:pStyle w:val="ListBullet"/>
        <w:numPr>
          <w:ilvl w:val="0"/>
          <w:numId w:val="34"/>
        </w:numPr>
      </w:pPr>
      <w:r w:rsidRPr="001A2F85">
        <w:t>Implementation</w:t>
      </w:r>
      <w:r w:rsidRPr="001A2F85">
        <w:rPr>
          <w:rStyle w:val="FootnoteReference"/>
        </w:rPr>
        <w:footnoteReference w:id="4"/>
      </w:r>
    </w:p>
    <w:p w14:paraId="5C6FB2EA" w14:textId="77777777" w:rsidR="00835D10" w:rsidRPr="001A2F85" w:rsidRDefault="00835D10" w:rsidP="00A45AB3">
      <w:pPr>
        <w:pStyle w:val="ListBullet"/>
        <w:numPr>
          <w:ilvl w:val="0"/>
          <w:numId w:val="34"/>
        </w:numPr>
      </w:pPr>
      <w:r w:rsidRPr="001A2F85">
        <w:t>Effectiveness</w:t>
      </w:r>
    </w:p>
    <w:p w14:paraId="442F9C7D" w14:textId="77777777" w:rsidR="00835D10" w:rsidRPr="001A2F85" w:rsidRDefault="00835D10" w:rsidP="00A45AB3">
      <w:pPr>
        <w:pStyle w:val="ListBullet2"/>
        <w:numPr>
          <w:ilvl w:val="1"/>
          <w:numId w:val="34"/>
        </w:numPr>
      </w:pPr>
      <w:r w:rsidRPr="001A2F85">
        <w:t xml:space="preserve">Access, participation, retention, success and completion </w:t>
      </w:r>
    </w:p>
    <w:p w14:paraId="71934D4F" w14:textId="77777777" w:rsidR="00835D10" w:rsidRPr="001A2F85" w:rsidRDefault="00835D10" w:rsidP="00A45AB3">
      <w:pPr>
        <w:pStyle w:val="ListBullet2"/>
        <w:numPr>
          <w:ilvl w:val="1"/>
          <w:numId w:val="34"/>
        </w:numPr>
      </w:pPr>
      <w:r w:rsidRPr="001A2F85">
        <w:t>Outreach to schools, TAFEs, and communities</w:t>
      </w:r>
    </w:p>
    <w:p w14:paraId="3B09D11A" w14:textId="77777777" w:rsidR="00835D10" w:rsidRPr="001A2F85" w:rsidRDefault="00835D10" w:rsidP="00A45AB3">
      <w:pPr>
        <w:pStyle w:val="ListBullet"/>
        <w:numPr>
          <w:ilvl w:val="0"/>
          <w:numId w:val="34"/>
        </w:numPr>
      </w:pPr>
      <w:r w:rsidRPr="001A2F85">
        <w:t>Efficiency</w:t>
      </w:r>
    </w:p>
    <w:p w14:paraId="02A7A099" w14:textId="77777777" w:rsidR="00835D10" w:rsidRPr="001A2F85" w:rsidRDefault="00835D10" w:rsidP="00A45AB3">
      <w:pPr>
        <w:pStyle w:val="ListBullet2"/>
        <w:numPr>
          <w:ilvl w:val="1"/>
          <w:numId w:val="34"/>
        </w:numPr>
      </w:pPr>
      <w:r w:rsidRPr="001A2F85">
        <w:t>Efficiency analysis</w:t>
      </w:r>
    </w:p>
    <w:p w14:paraId="73C8D25D" w14:textId="77777777" w:rsidR="00835D10" w:rsidRPr="001A2F85" w:rsidRDefault="00835D10" w:rsidP="00A45AB3">
      <w:pPr>
        <w:pStyle w:val="ListBullet2"/>
        <w:numPr>
          <w:ilvl w:val="1"/>
          <w:numId w:val="34"/>
        </w:numPr>
      </w:pPr>
      <w:r w:rsidRPr="001A2F85">
        <w:t>Funding structure and formula</w:t>
      </w:r>
    </w:p>
    <w:p w14:paraId="7A3B303F" w14:textId="77777777" w:rsidR="00835D10" w:rsidRPr="001A2F85" w:rsidRDefault="00835D10" w:rsidP="00A45AB3">
      <w:pPr>
        <w:pStyle w:val="ListBullet"/>
        <w:numPr>
          <w:ilvl w:val="0"/>
          <w:numId w:val="34"/>
        </w:numPr>
      </w:pPr>
      <w:r w:rsidRPr="001A2F85">
        <w:t>Appropriateness</w:t>
      </w:r>
    </w:p>
    <w:p w14:paraId="4BB6D866" w14:textId="77777777" w:rsidR="00835D10" w:rsidRPr="001A2F85" w:rsidRDefault="00835D10" w:rsidP="00A45AB3">
      <w:pPr>
        <w:pStyle w:val="ListBullet2"/>
        <w:numPr>
          <w:ilvl w:val="1"/>
          <w:numId w:val="34"/>
        </w:numPr>
      </w:pPr>
      <w:r w:rsidRPr="001A2F85">
        <w:t>Program targeting</w:t>
      </w:r>
    </w:p>
    <w:p w14:paraId="4098901B" w14:textId="77777777" w:rsidR="00835D10" w:rsidRPr="001A2F85" w:rsidRDefault="00835D10" w:rsidP="00A45AB3">
      <w:pPr>
        <w:pStyle w:val="ListBullet2"/>
        <w:numPr>
          <w:ilvl w:val="1"/>
          <w:numId w:val="34"/>
        </w:numPr>
      </w:pPr>
      <w:r w:rsidRPr="001A2F85">
        <w:t>Program design.</w:t>
      </w:r>
    </w:p>
    <w:p w14:paraId="37DD277D" w14:textId="77777777" w:rsidR="00835D10" w:rsidRPr="001A2F85" w:rsidRDefault="00835D10" w:rsidP="00A45AB3">
      <w:pPr>
        <w:keepNext/>
        <w:keepLines/>
        <w:numPr>
          <w:ilvl w:val="2"/>
          <w:numId w:val="21"/>
        </w:numPr>
        <w:pBdr>
          <w:bottom w:val="single" w:sz="4" w:space="1" w:color="auto"/>
        </w:pBdr>
        <w:spacing w:before="240" w:after="48"/>
        <w:ind w:left="720" w:hanging="720"/>
        <w:outlineLvl w:val="2"/>
        <w:rPr>
          <w:rFonts w:eastAsiaTheme="majorEastAsia"/>
          <w:b/>
          <w:color w:val="000001"/>
          <w:szCs w:val="24"/>
        </w:rPr>
      </w:pPr>
      <w:r w:rsidRPr="001A2F85">
        <w:rPr>
          <w:rFonts w:eastAsiaTheme="majorEastAsia"/>
          <w:b/>
          <w:color w:val="000001"/>
          <w:szCs w:val="24"/>
        </w:rPr>
        <w:t>Evaluation scope</w:t>
      </w:r>
    </w:p>
    <w:p w14:paraId="3A40AB6B" w14:textId="77777777" w:rsidR="00835D10" w:rsidRPr="001A2F85" w:rsidRDefault="00835D10" w:rsidP="00835D10">
      <w:pPr>
        <w:spacing w:before="113" w:after="60"/>
      </w:pPr>
      <w:r w:rsidRPr="001A2F85">
        <w:t xml:space="preserve">The evaluation covers all activities funded under HEPPP, across </w:t>
      </w:r>
      <w:r w:rsidR="00E77AED">
        <w:t>its</w:t>
      </w:r>
      <w:r w:rsidR="00E77AED" w:rsidRPr="001A2F85">
        <w:t xml:space="preserve"> </w:t>
      </w:r>
      <w:r w:rsidRPr="001A2F85">
        <w:t>three program components, namely:</w:t>
      </w:r>
    </w:p>
    <w:p w14:paraId="5DFD0CDF" w14:textId="77777777" w:rsidR="00835D10" w:rsidRPr="001A2F85" w:rsidRDefault="00835D10" w:rsidP="00A45AB3">
      <w:pPr>
        <w:pStyle w:val="ListNumber"/>
        <w:numPr>
          <w:ilvl w:val="0"/>
          <w:numId w:val="38"/>
        </w:numPr>
      </w:pPr>
      <w:r w:rsidRPr="001A2F85">
        <w:t>Participation</w:t>
      </w:r>
    </w:p>
    <w:p w14:paraId="4FE3C185" w14:textId="77777777" w:rsidR="00835D10" w:rsidRPr="001A2F85" w:rsidRDefault="00835D10" w:rsidP="00835D10">
      <w:pPr>
        <w:pStyle w:val="ListNumber"/>
      </w:pPr>
      <w:r w:rsidRPr="001A2F85">
        <w:t>Partnership</w:t>
      </w:r>
    </w:p>
    <w:p w14:paraId="6F83E47A" w14:textId="77777777" w:rsidR="00835D10" w:rsidRPr="001A2F85" w:rsidRDefault="00835D10" w:rsidP="00835D10">
      <w:pPr>
        <w:pStyle w:val="ListNumber"/>
      </w:pPr>
      <w:r w:rsidRPr="001A2F85">
        <w:t>National Priorities Pool (these three components are described in Chapter 2).</w:t>
      </w:r>
    </w:p>
    <w:p w14:paraId="31E1225E" w14:textId="77777777" w:rsidR="00835D10" w:rsidRPr="001A2F85" w:rsidRDefault="00835D10" w:rsidP="00835D10">
      <w:pPr>
        <w:spacing w:before="113" w:after="60"/>
      </w:pPr>
      <w:r w:rsidRPr="001A2F85">
        <w:t xml:space="preserve">The evaluation has examined all HEPPP activity from the program’s inception in 2010 to </w:t>
      </w:r>
      <w:r w:rsidR="005233F8" w:rsidRPr="001A2F85">
        <w:t>201</w:t>
      </w:r>
      <w:r w:rsidR="005233F8">
        <w:t>5</w:t>
      </w:r>
      <w:r w:rsidRPr="001A2F85">
        <w:t>, though large scale HEPPP expenditure did not commence until 2011 and that activities for 2016 were not completed by conclusion of the evaluation in September 2016.</w:t>
      </w:r>
    </w:p>
    <w:p w14:paraId="24F04857" w14:textId="77777777" w:rsidR="00835D10" w:rsidRPr="001A2F85" w:rsidRDefault="00835D10" w:rsidP="00835D10">
      <w:pPr>
        <w:pStyle w:val="Heading2"/>
      </w:pPr>
      <w:bookmarkStart w:id="16" w:name="_Toc465930250"/>
      <w:bookmarkStart w:id="17" w:name="_Toc466657105"/>
      <w:r w:rsidRPr="001A2F85">
        <w:t>Evaluation method</w:t>
      </w:r>
      <w:bookmarkEnd w:id="16"/>
      <w:bookmarkEnd w:id="17"/>
    </w:p>
    <w:p w14:paraId="3114036E" w14:textId="77777777" w:rsidR="00835D10" w:rsidRPr="001A2F85" w:rsidRDefault="00835D10" w:rsidP="00835D10">
      <w:pPr>
        <w:pStyle w:val="BodyText"/>
      </w:pPr>
      <w:r w:rsidRPr="001A2F85">
        <w:t>The HEPPP evaluation method comprised the following activities, described in further detail below:</w:t>
      </w:r>
    </w:p>
    <w:p w14:paraId="67D453EC" w14:textId="77777777" w:rsidR="00835D10" w:rsidRPr="001A2F85" w:rsidRDefault="00835D10" w:rsidP="00A45AB3">
      <w:pPr>
        <w:pStyle w:val="ListBullet"/>
        <w:numPr>
          <w:ilvl w:val="0"/>
          <w:numId w:val="34"/>
        </w:numPr>
      </w:pPr>
      <w:r w:rsidRPr="001A2F85">
        <w:t xml:space="preserve">Document analysis—of program documentation, university reporting and evaluations, and international higher education equity programs. </w:t>
      </w:r>
    </w:p>
    <w:p w14:paraId="57A47114" w14:textId="77777777" w:rsidR="00835D10" w:rsidRPr="001A2F85" w:rsidRDefault="00835D10" w:rsidP="00A45AB3">
      <w:pPr>
        <w:pStyle w:val="ListBullet"/>
        <w:numPr>
          <w:ilvl w:val="0"/>
          <w:numId w:val="34"/>
        </w:numPr>
      </w:pPr>
      <w:r>
        <w:t>Quantitative d</w:t>
      </w:r>
      <w:r w:rsidRPr="001A2F85">
        <w:t>ata analysis and economic modelling—of implementation and outcomes data.</w:t>
      </w:r>
    </w:p>
    <w:p w14:paraId="5A92FF21" w14:textId="77777777" w:rsidR="00835D10" w:rsidRPr="001A2F85" w:rsidRDefault="00835D10" w:rsidP="00A45AB3">
      <w:pPr>
        <w:pStyle w:val="ListBullet"/>
        <w:numPr>
          <w:ilvl w:val="0"/>
          <w:numId w:val="34"/>
        </w:numPr>
      </w:pPr>
      <w:r w:rsidRPr="001A2F85">
        <w:t>Consultations—including interviews, surveys and a written submission process.</w:t>
      </w:r>
    </w:p>
    <w:p w14:paraId="54528049" w14:textId="77777777" w:rsidR="00835D10" w:rsidRPr="001A2F85" w:rsidRDefault="00835D10" w:rsidP="00835D10">
      <w:pPr>
        <w:pStyle w:val="Heading3"/>
      </w:pPr>
      <w:r w:rsidRPr="001A2F85">
        <w:t>Document analysis</w:t>
      </w:r>
    </w:p>
    <w:p w14:paraId="7C104E8D" w14:textId="77777777" w:rsidR="00835D10" w:rsidRPr="001A2F85" w:rsidRDefault="00835D10" w:rsidP="00835D10">
      <w:pPr>
        <w:pStyle w:val="Heading4"/>
      </w:pPr>
      <w:r w:rsidRPr="001A2F85">
        <w:t>Program documents</w:t>
      </w:r>
    </w:p>
    <w:p w14:paraId="18A275DB" w14:textId="77777777" w:rsidR="00835D10" w:rsidRPr="001A2F85" w:rsidRDefault="00835D10" w:rsidP="00835D10">
      <w:pPr>
        <w:pStyle w:val="BodyText"/>
      </w:pPr>
      <w:r>
        <w:t xml:space="preserve">The </w:t>
      </w:r>
      <w:r w:rsidRPr="001A2F85">
        <w:t xml:space="preserve">HEPPP policy and program documentation </w:t>
      </w:r>
      <w:r w:rsidRPr="001D1140">
        <w:t>analysed has included relevant legislation, key policy architecture reports such as the Bradley Review, the Higher Education Base Funding Review and the Kemp Norton Review. The analysis of program documentation considered the HEPPP’s funding models, governance, and accountability mechanisms</w:t>
      </w:r>
      <w:r w:rsidRPr="001A2F85">
        <w:t xml:space="preserve"> and reporting requirements. </w:t>
      </w:r>
    </w:p>
    <w:p w14:paraId="2B900523" w14:textId="77777777" w:rsidR="00835D10" w:rsidRPr="001A2F85" w:rsidRDefault="00835D10" w:rsidP="00835D10">
      <w:pPr>
        <w:pStyle w:val="Heading4"/>
      </w:pPr>
      <w:r w:rsidRPr="001A2F85">
        <w:t>HEPPP annual reports and other university reporting</w:t>
      </w:r>
    </w:p>
    <w:p w14:paraId="4F21DA7E" w14:textId="77777777" w:rsidR="00835D10" w:rsidRPr="001A2F85" w:rsidRDefault="00835D10" w:rsidP="00835D10">
      <w:pPr>
        <w:pStyle w:val="BodyText"/>
      </w:pPr>
      <w:r w:rsidRPr="001A2F85">
        <w:t>Universities funded under the HEPPP provide annual reports on their formula-based funded HEPPP activities to the Department. Universities also report on any grant-based HEPPP projects.</w:t>
      </w:r>
    </w:p>
    <w:p w14:paraId="60C7F840" w14:textId="77777777" w:rsidR="00835D10" w:rsidRPr="001A2F85" w:rsidRDefault="00835D10" w:rsidP="00835D10">
      <w:pPr>
        <w:pStyle w:val="BodyText"/>
      </w:pPr>
      <w:r w:rsidRPr="001A2F85">
        <w:t>There have been 223 annual reports and around 100 grant-based project reports covering 2010-2015.</w:t>
      </w:r>
    </w:p>
    <w:p w14:paraId="728B9F57" w14:textId="77777777" w:rsidR="00835D10" w:rsidRPr="001A2F85" w:rsidRDefault="00835D10" w:rsidP="00835D10">
      <w:pPr>
        <w:pStyle w:val="BodyText"/>
      </w:pPr>
      <w:r w:rsidRPr="001A2F85">
        <w:t>The evaluation has compiled these reports into a detailed inventory of HEPPP projects. For each HEPPP project, the inventory records key project attributes, including categorisation based on the Equity Initiatives Framework (EIF) Student Life Cycle framework (</w:t>
      </w:r>
      <w:r w:rsidR="00A5450F">
        <w:t>refer</w:t>
      </w:r>
      <w:r w:rsidRPr="001A2F85">
        <w:t xml:space="preserve"> </w:t>
      </w:r>
      <w:r w:rsidR="00C71CE9">
        <w:t>S</w:t>
      </w:r>
      <w:r w:rsidR="00C71CE9" w:rsidRPr="001A2F85">
        <w:t xml:space="preserve">ection </w:t>
      </w:r>
      <w:r w:rsidR="008C090E">
        <w:t>1.3</w:t>
      </w:r>
      <w:r w:rsidRPr="001A2F85">
        <w:t xml:space="preserve">). The project inventory records more than 3,000 HEPPP projects for 2010-2015 and has provided a basis for the analysis presented throughout the evaluation report. </w:t>
      </w:r>
    </w:p>
    <w:p w14:paraId="716CC29D" w14:textId="77777777" w:rsidR="00835D10" w:rsidRPr="001A2F85" w:rsidRDefault="00835D10" w:rsidP="00835D10">
      <w:pPr>
        <w:pStyle w:val="Heading4"/>
      </w:pPr>
      <w:r w:rsidRPr="001A2F85">
        <w:t>University evaluations of HEPPP-funded projects</w:t>
      </w:r>
    </w:p>
    <w:p w14:paraId="74730488" w14:textId="77777777" w:rsidR="00835D10" w:rsidRPr="001A2F85" w:rsidRDefault="00835D10" w:rsidP="00835D10">
      <w:pPr>
        <w:spacing w:before="113" w:after="60"/>
      </w:pPr>
      <w:r w:rsidRPr="001A2F85">
        <w:t xml:space="preserve">The evaluation sought </w:t>
      </w:r>
      <w:r>
        <w:t>from universities copies of any</w:t>
      </w:r>
      <w:r w:rsidRPr="001A2F85">
        <w:t xml:space="preserve"> evaluations </w:t>
      </w:r>
      <w:r>
        <w:t>they had conducted</w:t>
      </w:r>
      <w:r w:rsidRPr="001A2F85">
        <w:t xml:space="preserve"> of HEPPP-funded projects</w:t>
      </w:r>
      <w:r>
        <w:t xml:space="preserve">. Thirty-two </w:t>
      </w:r>
      <w:r w:rsidRPr="001A2F85">
        <w:t>universities</w:t>
      </w:r>
      <w:r>
        <w:t xml:space="preserve"> provided copies of their evaluations</w:t>
      </w:r>
      <w:r w:rsidRPr="001A2F85">
        <w:t xml:space="preserve">, totalling more than 500 evaluation documents. The evaluations </w:t>
      </w:r>
      <w:r>
        <w:t xml:space="preserve">provided by universities </w:t>
      </w:r>
      <w:r w:rsidRPr="001A2F85">
        <w:t>vary from short evaluations of small scale projects to extensive evaluations of large university consortium projects.</w:t>
      </w:r>
    </w:p>
    <w:p w14:paraId="7B81CD37" w14:textId="77777777" w:rsidR="00835D10" w:rsidRPr="001A2F85" w:rsidRDefault="00835D10" w:rsidP="00835D10">
      <w:pPr>
        <w:spacing w:before="113" w:after="60"/>
      </w:pPr>
      <w:r w:rsidRPr="001A2F85">
        <w:t xml:space="preserve">The university evaluations were categorised using the EIF Student Life Cycle framework, and analysed </w:t>
      </w:r>
      <w:r>
        <w:t>to examine</w:t>
      </w:r>
      <w:r w:rsidRPr="001A2F85">
        <w:t xml:space="preserve"> the impact of different types of HEPP</w:t>
      </w:r>
      <w:r>
        <w:t>P</w:t>
      </w:r>
      <w:r w:rsidRPr="001A2F85">
        <w:t xml:space="preserve"> projects and </w:t>
      </w:r>
      <w:r>
        <w:t xml:space="preserve">to examine </w:t>
      </w:r>
      <w:r w:rsidRPr="001A2F85">
        <w:t>good practice.</w:t>
      </w:r>
    </w:p>
    <w:p w14:paraId="3DAAA1E7" w14:textId="77777777" w:rsidR="00835D10" w:rsidRPr="001A2F85" w:rsidRDefault="00835D10" w:rsidP="00835D10">
      <w:pPr>
        <w:pStyle w:val="Heading4"/>
      </w:pPr>
      <w:r w:rsidRPr="001A2F85">
        <w:t>Review of international literature</w:t>
      </w:r>
    </w:p>
    <w:p w14:paraId="5611FC8C" w14:textId="4EE7461A" w:rsidR="00835D10" w:rsidRPr="001A2F85" w:rsidRDefault="00835D10" w:rsidP="00835D10">
      <w:pPr>
        <w:pStyle w:val="BodyText"/>
      </w:pPr>
      <w:r w:rsidRPr="001A2F85">
        <w:t>A literature review was conducted of comparable programs in other countries aimed at improving participation and completion of higher education by low SES students. The literature review focused on countries similar to Australia with instructive approaches</w:t>
      </w:r>
      <w:r>
        <w:t xml:space="preserve"> (based on outcome achieved)</w:t>
      </w:r>
      <w:r w:rsidRPr="001A2F85">
        <w:t xml:space="preserve"> to higher education equity</w:t>
      </w:r>
      <w:r w:rsidR="00F40712">
        <w:t xml:space="preserve"> (see Appendix B)</w:t>
      </w:r>
      <w:r w:rsidRPr="001A2F85">
        <w:t xml:space="preserve">. </w:t>
      </w:r>
    </w:p>
    <w:p w14:paraId="0B127AB4" w14:textId="77777777" w:rsidR="00835D10" w:rsidRPr="001A2F85" w:rsidRDefault="00835D10" w:rsidP="00835D10">
      <w:pPr>
        <w:pStyle w:val="Heading3"/>
      </w:pPr>
      <w:r>
        <w:t>Quantitative d</w:t>
      </w:r>
      <w:r w:rsidRPr="001A2F85">
        <w:t>ata analysis</w:t>
      </w:r>
    </w:p>
    <w:p w14:paraId="5EF9F7D2" w14:textId="77777777" w:rsidR="00835D10" w:rsidRPr="001A2F85" w:rsidRDefault="00835D10" w:rsidP="00835D10">
      <w:pPr>
        <w:pStyle w:val="Heading4"/>
      </w:pPr>
      <w:r w:rsidRPr="001A2F85">
        <w:t>Student data</w:t>
      </w:r>
    </w:p>
    <w:p w14:paraId="36A5287A" w14:textId="77777777" w:rsidR="00835D10" w:rsidRPr="001A2F85" w:rsidRDefault="00835D10" w:rsidP="00835D10">
      <w:pPr>
        <w:pStyle w:val="BodyText"/>
      </w:pPr>
      <w:r w:rsidRPr="001A2F85">
        <w:t xml:space="preserve">De-identified student data from the </w:t>
      </w:r>
      <w:r w:rsidR="00A64DC3">
        <w:t>Higher Education Student Data Collection</w:t>
      </w:r>
      <w:r w:rsidRPr="001A2F85">
        <w:t xml:space="preserve"> and the University Applications and Offers Data Collection were analysed to explore the impact of HEPPP on student outcome measures such as enrolments, retention and completion. The data cover 2005-2015.</w:t>
      </w:r>
      <w:r w:rsidR="00A93982">
        <w:t xml:space="preserve"> (The method for the econometric analysis is in Appendix D.1.)</w:t>
      </w:r>
    </w:p>
    <w:p w14:paraId="790EAD74" w14:textId="77777777" w:rsidR="00835D10" w:rsidRPr="001A2F85" w:rsidRDefault="00835D10" w:rsidP="00835D10">
      <w:pPr>
        <w:pStyle w:val="BodyText"/>
      </w:pPr>
      <w:r w:rsidRPr="001A2F85">
        <w:t>The evaluation sought information from universities on the number and</w:t>
      </w:r>
      <w:r>
        <w:t xml:space="preserve"> </w:t>
      </w:r>
      <w:r w:rsidRPr="001A2F85">
        <w:t xml:space="preserve">type of HEPPP projects each university student </w:t>
      </w:r>
      <w:r>
        <w:t>had</w:t>
      </w:r>
      <w:r w:rsidRPr="001A2F85">
        <w:t xml:space="preserve"> been involved</w:t>
      </w:r>
      <w:r>
        <w:t xml:space="preserve"> in</w:t>
      </w:r>
      <w:r w:rsidRPr="001A2F85">
        <w:t xml:space="preserve"> from 2010 to 2015. Data were received </w:t>
      </w:r>
      <w:r w:rsidRPr="00CB6487">
        <w:t>from 28 universities.</w:t>
      </w:r>
      <w:r w:rsidRPr="001A2F85">
        <w:t xml:space="preserve"> In most cases, these data were provided in a form that allowed the data to be merged with the </w:t>
      </w:r>
      <w:r w:rsidR="00A64DC3">
        <w:t>Higher Education Student Data Collection</w:t>
      </w:r>
      <w:r w:rsidRPr="001A2F85">
        <w:t xml:space="preserve">. The data provided vary in the number of years of the HEPPP covered, and </w:t>
      </w:r>
      <w:r>
        <w:t>in</w:t>
      </w:r>
      <w:r w:rsidRPr="001A2F85">
        <w:t xml:space="preserve"> comprehensiveness </w:t>
      </w:r>
      <w:r>
        <w:t>with</w:t>
      </w:r>
      <w:r w:rsidRPr="001A2F85">
        <w:t xml:space="preserve"> </w:t>
      </w:r>
      <w:r>
        <w:t>regard</w:t>
      </w:r>
      <w:r w:rsidRPr="001A2F85">
        <w:t xml:space="preserve"> to each </w:t>
      </w:r>
      <w:r>
        <w:t>university’s</w:t>
      </w:r>
      <w:r w:rsidRPr="001A2F85">
        <w:t xml:space="preserve"> HEPPP projects. These data were used to </w:t>
      </w:r>
      <w:r w:rsidR="00E77AED">
        <w:t>provide some indication of</w:t>
      </w:r>
      <w:r w:rsidR="00E77AED" w:rsidRPr="001A2F85">
        <w:t xml:space="preserve"> </w:t>
      </w:r>
      <w:r w:rsidRPr="001A2F85">
        <w:t>the breadth and reach of the HEPPP.</w:t>
      </w:r>
    </w:p>
    <w:p w14:paraId="432132E0" w14:textId="77777777" w:rsidR="00835D10" w:rsidRPr="001A2F85" w:rsidRDefault="00835D10" w:rsidP="00835D10">
      <w:pPr>
        <w:pStyle w:val="Heading4"/>
      </w:pPr>
      <w:r w:rsidRPr="001A2F85">
        <w:t>Outreach data</w:t>
      </w:r>
    </w:p>
    <w:p w14:paraId="6BA99F67" w14:textId="77777777" w:rsidR="00835D10" w:rsidRPr="001A2F85" w:rsidRDefault="00835D10" w:rsidP="00835D10">
      <w:pPr>
        <w:pStyle w:val="BodyText"/>
      </w:pPr>
      <w:r w:rsidRPr="001A2F85">
        <w:t xml:space="preserve">The evaluation </w:t>
      </w:r>
      <w:r>
        <w:t>asked</w:t>
      </w:r>
      <w:r w:rsidRPr="001A2F85">
        <w:t xml:space="preserve"> </w:t>
      </w:r>
      <w:r>
        <w:t xml:space="preserve">each university to </w:t>
      </w:r>
      <w:r w:rsidRPr="001A2F85">
        <w:t xml:space="preserve">provide the </w:t>
      </w:r>
      <w:r>
        <w:t>data</w:t>
      </w:r>
      <w:r w:rsidRPr="001A2F85">
        <w:t xml:space="preserve"> </w:t>
      </w:r>
      <w:r>
        <w:t>on</w:t>
      </w:r>
      <w:r w:rsidRPr="001A2F85">
        <w:t xml:space="preserve"> </w:t>
      </w:r>
      <w:r>
        <w:t>the partner organisations</w:t>
      </w:r>
      <w:r w:rsidRPr="00DD01E3">
        <w:t xml:space="preserve"> </w:t>
      </w:r>
      <w:r w:rsidRPr="001A2F85">
        <w:t>involved in the</w:t>
      </w:r>
      <w:r>
        <w:t>ir</w:t>
      </w:r>
      <w:r w:rsidRPr="001A2F85">
        <w:t xml:space="preserve"> outreach activities</w:t>
      </w:r>
      <w:r>
        <w:t xml:space="preserve">. The partner organizations are largely </w:t>
      </w:r>
      <w:r w:rsidRPr="001A2F85">
        <w:t>school</w:t>
      </w:r>
      <w:r>
        <w:t xml:space="preserve">s and </w:t>
      </w:r>
      <w:r w:rsidRPr="001A2F85">
        <w:t>TAFE</w:t>
      </w:r>
      <w:r>
        <w:t>s. Universities were asked to provide</w:t>
      </w:r>
      <w:r w:rsidRPr="001A2F85">
        <w:t xml:space="preserve"> the number and type of HEPPP project/s in which </w:t>
      </w:r>
      <w:r>
        <w:t>each partner organisation was</w:t>
      </w:r>
      <w:r w:rsidRPr="001A2F85">
        <w:t xml:space="preserve"> involved. These data allowed for </w:t>
      </w:r>
      <w:r>
        <w:t xml:space="preserve">an </w:t>
      </w:r>
      <w:r w:rsidRPr="001A2F85">
        <w:t>analysis of the scope of university HEPPP outreach activities.</w:t>
      </w:r>
    </w:p>
    <w:p w14:paraId="65551F10" w14:textId="77777777" w:rsidR="00835D10" w:rsidRPr="001A2F85" w:rsidRDefault="00835D10" w:rsidP="00835D10">
      <w:pPr>
        <w:pStyle w:val="BodyText"/>
      </w:pPr>
      <w:r w:rsidRPr="001A2F85">
        <w:t xml:space="preserve">Data </w:t>
      </w:r>
      <w:r>
        <w:t xml:space="preserve">on partner organisations </w:t>
      </w:r>
      <w:r w:rsidRPr="001A2F85">
        <w:t>were received from 29 universities. As with the student</w:t>
      </w:r>
      <w:r>
        <w:t>-</w:t>
      </w:r>
      <w:r w:rsidRPr="001A2F85">
        <w:t xml:space="preserve">level HEPPP project data, the years covered and proportion of projects covered by the outreach data varied across data-providing universities. </w:t>
      </w:r>
    </w:p>
    <w:p w14:paraId="0D959157" w14:textId="77777777" w:rsidR="00835D10" w:rsidRPr="001A2F85" w:rsidRDefault="00835D10" w:rsidP="00835D10">
      <w:pPr>
        <w:pStyle w:val="Heading4"/>
      </w:pPr>
      <w:r w:rsidRPr="001A2F85">
        <w:t xml:space="preserve">HEPPP </w:t>
      </w:r>
      <w:r>
        <w:t>financial</w:t>
      </w:r>
      <w:r w:rsidRPr="001A2F85">
        <w:t xml:space="preserve"> data</w:t>
      </w:r>
    </w:p>
    <w:p w14:paraId="3DF578FE" w14:textId="77777777" w:rsidR="00835D10" w:rsidRPr="001A2F85" w:rsidRDefault="00835D10" w:rsidP="00835D10">
      <w:pPr>
        <w:pStyle w:val="BodyText"/>
      </w:pPr>
      <w:r w:rsidRPr="001A2F85">
        <w:t xml:space="preserve">Program </w:t>
      </w:r>
      <w:r>
        <w:t>financial</w:t>
      </w:r>
      <w:r w:rsidRPr="001A2F85">
        <w:t xml:space="preserve"> data provided by the Department and the Financial Reports of Higher Education Providers dataset were analysed to examine the efficiency of the HEPPP. The HEPPP </w:t>
      </w:r>
      <w:r>
        <w:t>financial</w:t>
      </w:r>
      <w:r w:rsidRPr="001A2F85">
        <w:t xml:space="preserve"> data cover 2010-2015, and the Financial Reports of Higher Education Providers dataset </w:t>
      </w:r>
      <w:r>
        <w:t>covers</w:t>
      </w:r>
      <w:r w:rsidRPr="001A2F85">
        <w:t xml:space="preserve"> 2005</w:t>
      </w:r>
      <w:r w:rsidRPr="001A2F85">
        <w:noBreakHyphen/>
        <w:t>2014.</w:t>
      </w:r>
    </w:p>
    <w:p w14:paraId="0D2F7F91" w14:textId="77777777" w:rsidR="00835D10" w:rsidRPr="001A2F85" w:rsidRDefault="00835D10" w:rsidP="00835D10">
      <w:pPr>
        <w:pStyle w:val="Heading3"/>
      </w:pPr>
      <w:r w:rsidRPr="001A2F85">
        <w:t>Consultations</w:t>
      </w:r>
    </w:p>
    <w:p w14:paraId="723DA89A" w14:textId="77777777" w:rsidR="00835D10" w:rsidRDefault="00835D10" w:rsidP="00835D10">
      <w:pPr>
        <w:pStyle w:val="BodyText"/>
      </w:pPr>
      <w:r w:rsidRPr="001A2F85">
        <w:t>Stakeholder consultations were conducted in four parts</w:t>
      </w:r>
      <w:r>
        <w:t>:</w:t>
      </w:r>
      <w:r w:rsidRPr="001A2F85">
        <w:t xml:space="preserve"> interviews with </w:t>
      </w:r>
      <w:r>
        <w:t>university staff</w:t>
      </w:r>
      <w:r w:rsidRPr="001A2F85">
        <w:t>, interviews with students, surveys of students</w:t>
      </w:r>
      <w:r>
        <w:t>, surveys of</w:t>
      </w:r>
      <w:r w:rsidRPr="001A2F85">
        <w:t xml:space="preserve"> university staff, and </w:t>
      </w:r>
      <w:r w:rsidR="00516DAD">
        <w:t>written</w:t>
      </w:r>
      <w:r w:rsidR="00516DAD" w:rsidRPr="001A2F85">
        <w:t xml:space="preserve"> </w:t>
      </w:r>
      <w:r w:rsidRPr="001A2F85">
        <w:t>submissions. Analysis of the consultations was carried out in NVivo, a qualitative data analysis software package.</w:t>
      </w:r>
    </w:p>
    <w:p w14:paraId="427A0E5C" w14:textId="77777777" w:rsidR="00835D10" w:rsidRPr="001A2F85" w:rsidRDefault="00835D10" w:rsidP="00835D10">
      <w:pPr>
        <w:pStyle w:val="Heading4"/>
      </w:pPr>
      <w:r w:rsidRPr="001A2F85">
        <w:t xml:space="preserve">Consultations with </w:t>
      </w:r>
      <w:r>
        <w:t>university staff</w:t>
      </w:r>
      <w:r w:rsidRPr="001A2F85">
        <w:t xml:space="preserve"> </w:t>
      </w:r>
    </w:p>
    <w:p w14:paraId="5F85C759" w14:textId="77777777" w:rsidR="00835D10" w:rsidRPr="001A2F85" w:rsidRDefault="00835D10" w:rsidP="00835D10">
      <w:pPr>
        <w:pStyle w:val="Heading5"/>
      </w:pPr>
      <w:r w:rsidRPr="001A2F85">
        <w:t xml:space="preserve">Interviews with </w:t>
      </w:r>
      <w:r>
        <w:t>university staff</w:t>
      </w:r>
    </w:p>
    <w:p w14:paraId="2A3D78B3" w14:textId="77777777" w:rsidR="00835D10" w:rsidRPr="001A2F85" w:rsidRDefault="00835D10" w:rsidP="00835D10">
      <w:pPr>
        <w:pStyle w:val="BodyText"/>
      </w:pPr>
      <w:r w:rsidRPr="001A2F85">
        <w:t xml:space="preserve">Interviews were undertaken with all 38 universities which receive HEPPP funding. The interviews focused on the design of the HEPPP, each </w:t>
      </w:r>
      <w:r>
        <w:t>university’s</w:t>
      </w:r>
      <w:r w:rsidRPr="001A2F85">
        <w:t xml:space="preserve"> HEPPP activities, and areas for improvement. Discussion guides were developed to provide background on the evaluation for </w:t>
      </w:r>
      <w:r>
        <w:t xml:space="preserve">the </w:t>
      </w:r>
      <w:r w:rsidRPr="001A2F85">
        <w:t>interviewees and included questions to guide and ensure consistency across the interviews.</w:t>
      </w:r>
    </w:p>
    <w:p w14:paraId="134C3CED" w14:textId="77777777" w:rsidR="00835D10" w:rsidRPr="001A2F85" w:rsidRDefault="00835D10" w:rsidP="00835D10">
      <w:pPr>
        <w:pStyle w:val="BodyText"/>
      </w:pPr>
      <w:r w:rsidRPr="001A2F85">
        <w:t xml:space="preserve">A total of 121 interviews were </w:t>
      </w:r>
      <w:r>
        <w:t>conducted</w:t>
      </w:r>
      <w:r w:rsidRPr="001A2F85">
        <w:t xml:space="preserve"> with university staff across the 38 universities. Staff interviewed included deputy vice chancellors, equity practitioners, HEPPP coordinators and HEPPP project managers. </w:t>
      </w:r>
    </w:p>
    <w:p w14:paraId="6ECA1807" w14:textId="77777777" w:rsidR="00835D10" w:rsidRPr="001A2F85" w:rsidRDefault="00835D10" w:rsidP="00835D10">
      <w:pPr>
        <w:pStyle w:val="BodyText"/>
      </w:pPr>
      <w:r w:rsidRPr="001A2F85">
        <w:t>Site visits to nine universities were carried out as part of the evaluation. Of the interviews, 43 were conducted face-to-face during these sites visits with the remaining 78 carried out over the phone.</w:t>
      </w:r>
    </w:p>
    <w:p w14:paraId="5A08ACC4" w14:textId="77777777" w:rsidR="00835D10" w:rsidRPr="001A2F85" w:rsidRDefault="00835D10" w:rsidP="00835D10">
      <w:pPr>
        <w:pStyle w:val="Heading5"/>
      </w:pPr>
      <w:r w:rsidRPr="001A2F85">
        <w:t>Survey of university staff</w:t>
      </w:r>
    </w:p>
    <w:p w14:paraId="19D8CE85" w14:textId="77777777" w:rsidR="00835D10" w:rsidRPr="001A2F85" w:rsidRDefault="00835D10" w:rsidP="00835D10">
      <w:pPr>
        <w:spacing w:before="113" w:after="60"/>
      </w:pPr>
      <w:r w:rsidRPr="001A2F85">
        <w:t xml:space="preserve">University staff involved in HEPPP implementation were surveyed for their insights into the impacts arising from students’ participation on HEPPP projects and barriers/enablers of success of the projects. All universities were invited to participate in the survey, with 25 taking part. A total of 359 survey responses were received. </w:t>
      </w:r>
    </w:p>
    <w:p w14:paraId="2D778CB3" w14:textId="77777777" w:rsidR="00835D10" w:rsidRPr="001A2F85" w:rsidRDefault="00835D10" w:rsidP="00835D10">
      <w:pPr>
        <w:pStyle w:val="Heading4"/>
      </w:pPr>
      <w:r w:rsidRPr="001A2F85">
        <w:t>Consultation with university students</w:t>
      </w:r>
    </w:p>
    <w:p w14:paraId="5E5D7456" w14:textId="77777777" w:rsidR="00835D10" w:rsidRPr="001A2F85" w:rsidRDefault="00835D10" w:rsidP="00835D10">
      <w:pPr>
        <w:pStyle w:val="Heading5"/>
      </w:pPr>
      <w:r w:rsidRPr="001A2F85">
        <w:t>Survey of university students</w:t>
      </w:r>
    </w:p>
    <w:p w14:paraId="4244E1C1" w14:textId="77777777" w:rsidR="00835D10" w:rsidRPr="001A2F85" w:rsidRDefault="00835D10" w:rsidP="00835D10">
      <w:pPr>
        <w:pStyle w:val="BodyText"/>
      </w:pPr>
      <w:r w:rsidRPr="001A2F85">
        <w:t>Students</w:t>
      </w:r>
      <w:r>
        <w:t xml:space="preserve"> who had participated in</w:t>
      </w:r>
      <w:r w:rsidRPr="001A2F85">
        <w:t xml:space="preserve"> HEPPP </w:t>
      </w:r>
      <w:r>
        <w:t>projects</w:t>
      </w:r>
      <w:r w:rsidRPr="001A2F85">
        <w:t xml:space="preserve"> were surveyed to gain their perspective on the HEPPP projects. All universities were invited to send the survey to relevant students, with 23 </w:t>
      </w:r>
      <w:r>
        <w:t xml:space="preserve">universities </w:t>
      </w:r>
      <w:r w:rsidRPr="001A2F85">
        <w:t>taking part. Participating universities provided the name of specific HEPPP projects</w:t>
      </w:r>
      <w:r>
        <w:t>;</w:t>
      </w:r>
      <w:r w:rsidRPr="001A2F85">
        <w:t xml:space="preserve"> </w:t>
      </w:r>
      <w:r>
        <w:t>these</w:t>
      </w:r>
      <w:r w:rsidRPr="001A2F85">
        <w:t xml:space="preserve"> were used in the survey questions to ensure students were aware of the project on which they were being asked to comment. A total of 3</w:t>
      </w:r>
      <w:r w:rsidR="00072E82">
        <w:t>,</w:t>
      </w:r>
      <w:r w:rsidRPr="001A2F85">
        <w:t>544 survey responses were received.</w:t>
      </w:r>
    </w:p>
    <w:p w14:paraId="67959322" w14:textId="77777777" w:rsidR="00835D10" w:rsidRPr="001A2F85" w:rsidRDefault="00835D10" w:rsidP="00835D10">
      <w:pPr>
        <w:pStyle w:val="Heading5"/>
      </w:pPr>
      <w:r w:rsidRPr="001A2F85">
        <w:t>Interviews with university students</w:t>
      </w:r>
    </w:p>
    <w:p w14:paraId="703A8060" w14:textId="77777777" w:rsidR="00835D10" w:rsidRPr="001A2F85" w:rsidRDefault="00835D10" w:rsidP="00835D10">
      <w:pPr>
        <w:pStyle w:val="BodyText"/>
      </w:pPr>
      <w:r w:rsidRPr="001A2F85">
        <w:t>Deeper exploration of university students’ experience of HEPPP projects was undertaken through interviews with 30 students from 15 universities</w:t>
      </w:r>
      <w:r>
        <w:t xml:space="preserve">. Students were chosen to ensure coverage of the different </w:t>
      </w:r>
      <w:r w:rsidRPr="001A2F85">
        <w:t>types of university-based HEPPP projects</w:t>
      </w:r>
      <w:r>
        <w:t xml:space="preserve"> implemented</w:t>
      </w:r>
      <w:r w:rsidRPr="001A2F85">
        <w:t xml:space="preserve">. Students were recruited for the interviews through an </w:t>
      </w:r>
      <w:r w:rsidRPr="001A2F85">
        <w:rPr>
          <w:i/>
        </w:rPr>
        <w:t>‘opt</w:t>
      </w:r>
      <w:r w:rsidRPr="001A2F85">
        <w:rPr>
          <w:i/>
        </w:rPr>
        <w:noBreakHyphen/>
        <w:t>in’ for future research</w:t>
      </w:r>
      <w:r w:rsidRPr="001A2F85">
        <w:t xml:space="preserve"> question in the survey. Interviews were undertaken over the phone and students were compensated </w:t>
      </w:r>
      <w:r>
        <w:t>for their time</w:t>
      </w:r>
      <w:r w:rsidRPr="001A2F85">
        <w:t xml:space="preserve">.  </w:t>
      </w:r>
    </w:p>
    <w:p w14:paraId="0F5BDAD7" w14:textId="77777777" w:rsidR="00835D10" w:rsidRPr="001A2F85" w:rsidRDefault="00835D10" w:rsidP="00835D10">
      <w:pPr>
        <w:pStyle w:val="Heading4"/>
      </w:pPr>
      <w:r w:rsidRPr="001A2F85">
        <w:t xml:space="preserve">Written </w:t>
      </w:r>
      <w:r>
        <w:t>submissions</w:t>
      </w:r>
    </w:p>
    <w:p w14:paraId="51E7163D" w14:textId="77777777" w:rsidR="00835D10" w:rsidRPr="001A2F85" w:rsidRDefault="00835D10" w:rsidP="00835D10">
      <w:pPr>
        <w:pStyle w:val="BodyText"/>
      </w:pPr>
      <w:r w:rsidRPr="001A2F85">
        <w:t xml:space="preserve">The evaluation included a written submission process to provide all interested organisations or individuals the opportunity to contribute their views on the HEPPP in writing. </w:t>
      </w:r>
    </w:p>
    <w:p w14:paraId="294CFB7A" w14:textId="77777777" w:rsidR="00835D10" w:rsidRDefault="00835D10" w:rsidP="00835D10">
      <w:pPr>
        <w:pStyle w:val="BodyText"/>
      </w:pPr>
      <w:r w:rsidRPr="001A2F85">
        <w:t>There were two written submission invitations</w:t>
      </w:r>
      <w:r>
        <w:t>:</w:t>
      </w:r>
    </w:p>
    <w:p w14:paraId="09583E95" w14:textId="77777777" w:rsidR="00835D10" w:rsidRDefault="00835D10" w:rsidP="00AD49C8">
      <w:pPr>
        <w:pStyle w:val="ListBullet"/>
      </w:pPr>
      <w:r w:rsidRPr="001A2F85">
        <w:t>one for schools and other university outreach partners</w:t>
      </w:r>
    </w:p>
    <w:p w14:paraId="196583A4" w14:textId="77777777" w:rsidR="00835D10" w:rsidRDefault="00835D10" w:rsidP="00AD49C8">
      <w:pPr>
        <w:pStyle w:val="ListBullet"/>
      </w:pPr>
      <w:r>
        <w:t xml:space="preserve">one for </w:t>
      </w:r>
      <w:r w:rsidRPr="001A2F85">
        <w:t xml:space="preserve">all other stakeholders (including universities, peak bodies and individuals). </w:t>
      </w:r>
    </w:p>
    <w:p w14:paraId="6677F62E" w14:textId="77777777" w:rsidR="00835D10" w:rsidRPr="001A2F85" w:rsidRDefault="00835D10" w:rsidP="00835D10">
      <w:pPr>
        <w:pStyle w:val="BodyText"/>
      </w:pPr>
      <w:r w:rsidRPr="001A2F85">
        <w:t>The invitations included guidance as to questions that were of particular interest to the evaluation. In the case of the outreach</w:t>
      </w:r>
      <w:r w:rsidRPr="00F37FAC">
        <w:t xml:space="preserve"> partners</w:t>
      </w:r>
      <w:r>
        <w:t>’</w:t>
      </w:r>
      <w:r w:rsidRPr="00F37FAC">
        <w:t xml:space="preserve"> written submission </w:t>
      </w:r>
      <w:r w:rsidRPr="001A2F85">
        <w:t>invitation the questions focused on the impact of the HEPPP on school and vocational education and training (VET) students</w:t>
      </w:r>
      <w:r>
        <w:t xml:space="preserve"> and their</w:t>
      </w:r>
      <w:r w:rsidRPr="001A2F85">
        <w:t xml:space="preserve"> parents and communities. The other written submission invitation had broader questions covering the effectiveness and design of the HEPPP.</w:t>
      </w:r>
    </w:p>
    <w:p w14:paraId="232C271E" w14:textId="77777777" w:rsidR="00835D10" w:rsidRPr="001A2F85" w:rsidRDefault="00835D10" w:rsidP="00835D10">
      <w:pPr>
        <w:pStyle w:val="BodyText"/>
      </w:pPr>
      <w:r>
        <w:t>The response to the surveys demonstrates the</w:t>
      </w:r>
      <w:r w:rsidRPr="001A2F85">
        <w:t xml:space="preserve"> </w:t>
      </w:r>
      <w:r>
        <w:t>level of</w:t>
      </w:r>
      <w:r w:rsidRPr="001A2F85">
        <w:t xml:space="preserve"> </w:t>
      </w:r>
      <w:r>
        <w:t xml:space="preserve">stakeholder </w:t>
      </w:r>
      <w:r w:rsidRPr="001A2F85">
        <w:t>interest in the HEPPP</w:t>
      </w:r>
      <w:r>
        <w:t>;</w:t>
      </w:r>
      <w:r w:rsidRPr="001A2F85">
        <w:t xml:space="preserve"> 136 written submissions were received, including 79 from schools, 22 from universities and 11 from higher education peak bodies.</w:t>
      </w:r>
      <w:r w:rsidR="00A93982">
        <w:t xml:space="preserve"> A list of the written submission received is in Appendix C.</w:t>
      </w:r>
    </w:p>
    <w:p w14:paraId="6FE56CA8" w14:textId="77777777" w:rsidR="00835D10" w:rsidRPr="001A2F85" w:rsidRDefault="00835D10" w:rsidP="00835D10">
      <w:pPr>
        <w:pStyle w:val="Heading4"/>
      </w:pPr>
      <w:r w:rsidRPr="001A2F85">
        <w:t>Consultation analysis</w:t>
      </w:r>
    </w:p>
    <w:p w14:paraId="4F86632A" w14:textId="77777777" w:rsidR="00835D10" w:rsidRDefault="00835D10" w:rsidP="00835D10">
      <w:pPr>
        <w:pStyle w:val="BodyText"/>
      </w:pPr>
      <w:r w:rsidRPr="001A2F85">
        <w:t>Notes and transcripts from the interviews, qualitative survey responses and the written submissions were analysed in NVivo, a data analysis software package that enabled rigorous coding and analysis of the large qualitative dataset generated by the evaluation.</w:t>
      </w:r>
    </w:p>
    <w:p w14:paraId="71971F17" w14:textId="77777777" w:rsidR="00835D10" w:rsidRDefault="00835D10" w:rsidP="00AD49C8">
      <w:pPr>
        <w:pStyle w:val="Heading3"/>
      </w:pPr>
      <w:r>
        <w:t>Caveats and limitations</w:t>
      </w:r>
    </w:p>
    <w:p w14:paraId="4D90B795" w14:textId="77777777" w:rsidR="00835D10" w:rsidRDefault="00835D10" w:rsidP="00835D10">
      <w:pPr>
        <w:pStyle w:val="BodyText"/>
      </w:pPr>
      <w:r>
        <w:t xml:space="preserve">Despite </w:t>
      </w:r>
      <w:r w:rsidR="003A1CBA">
        <w:t>the extensive</w:t>
      </w:r>
      <w:r>
        <w:t xml:space="preserve"> </w:t>
      </w:r>
      <w:r w:rsidR="003A1CBA">
        <w:t>data gathered and analysed, i</w:t>
      </w:r>
      <w:r>
        <w:t xml:space="preserve">t has been difficult to </w:t>
      </w:r>
      <w:r w:rsidR="003A1CBA">
        <w:t>establish</w:t>
      </w:r>
      <w:r>
        <w:t xml:space="preserve"> causal relationships between HEPPP supported activity and </w:t>
      </w:r>
      <w:r w:rsidR="003A1CBA">
        <w:t xml:space="preserve">the </w:t>
      </w:r>
      <w:r>
        <w:t xml:space="preserve">outcomes </w:t>
      </w:r>
      <w:r w:rsidR="003A1CBA">
        <w:t xml:space="preserve">observed </w:t>
      </w:r>
      <w:r>
        <w:t xml:space="preserve">for low SES students. </w:t>
      </w:r>
    </w:p>
    <w:p w14:paraId="43DF9D47" w14:textId="77777777" w:rsidR="00835D10" w:rsidRDefault="00835D10" w:rsidP="00835D10">
      <w:pPr>
        <w:pStyle w:val="BodyText"/>
      </w:pPr>
      <w:r>
        <w:t xml:space="preserve">This is </w:t>
      </w:r>
      <w:r w:rsidR="003A1CBA">
        <w:t xml:space="preserve">in part due to the nature of the evidence collected as part of the program, but is also </w:t>
      </w:r>
      <w:r>
        <w:t>a common issue in evaluating social policy programs and public policy making more generally, where evidence is often ‘</w:t>
      </w:r>
      <w:r w:rsidRPr="00A60DEF">
        <w:t>ambiguous, sometimes partly contradictory</w:t>
      </w:r>
      <w:r>
        <w:t xml:space="preserve">… </w:t>
      </w:r>
      <w:r w:rsidRPr="00A60DEF">
        <w:t xml:space="preserve">and there may be time constraints that restrict the gathering of </w:t>
      </w:r>
      <w:r w:rsidRPr="003C1F7F">
        <w:t>evidence’ (Wilkie and Grant 2009).</w:t>
      </w:r>
      <w:r w:rsidRPr="00A60DEF">
        <w:t xml:space="preserve"> </w:t>
      </w:r>
    </w:p>
    <w:p w14:paraId="74A197F0" w14:textId="77777777" w:rsidR="00835D10" w:rsidRDefault="000C0856" w:rsidP="000C0856">
      <w:pPr>
        <w:pStyle w:val="BodyText"/>
      </w:pPr>
      <w:r>
        <w:t xml:space="preserve">A useful categorisation for considering evidence is provided by </w:t>
      </w:r>
      <w:r w:rsidR="00835D10">
        <w:t>Leigh (2009) for Australian p</w:t>
      </w:r>
      <w:r w:rsidR="00835D10" w:rsidRPr="00B62097">
        <w:t>olicymakers</w:t>
      </w:r>
      <w:r w:rsidR="00F51B3D">
        <w:t>, in decreasing levels of rigour</w:t>
      </w:r>
      <w:r w:rsidR="00835D10">
        <w:t>:</w:t>
      </w:r>
    </w:p>
    <w:p w14:paraId="764EC8A5" w14:textId="77777777" w:rsidR="00835D10" w:rsidRDefault="00835D10" w:rsidP="00A45AB3">
      <w:pPr>
        <w:pStyle w:val="ListNumber"/>
        <w:numPr>
          <w:ilvl w:val="0"/>
          <w:numId w:val="39"/>
        </w:numPr>
      </w:pPr>
      <w:r>
        <w:t xml:space="preserve">Systematic reviews (meta analyses) of multiple randomised trials </w:t>
      </w:r>
    </w:p>
    <w:p w14:paraId="477468E3" w14:textId="77777777" w:rsidR="00835D10" w:rsidRDefault="00835D10" w:rsidP="00A45AB3">
      <w:pPr>
        <w:pStyle w:val="ListNumber"/>
        <w:numPr>
          <w:ilvl w:val="0"/>
          <w:numId w:val="39"/>
        </w:numPr>
      </w:pPr>
      <w:r>
        <w:t>High quality randomised trials</w:t>
      </w:r>
    </w:p>
    <w:p w14:paraId="57E8AB8C" w14:textId="77777777" w:rsidR="00835D10" w:rsidRDefault="00835D10" w:rsidP="00A45AB3">
      <w:pPr>
        <w:pStyle w:val="ListNumber"/>
        <w:numPr>
          <w:ilvl w:val="0"/>
          <w:numId w:val="39"/>
        </w:numPr>
      </w:pPr>
      <w:r>
        <w:t xml:space="preserve">Systematic reviews (meta analyses) of natural experiments and before after studies </w:t>
      </w:r>
    </w:p>
    <w:p w14:paraId="140A06F5" w14:textId="77777777" w:rsidR="00835D10" w:rsidRDefault="00835D10" w:rsidP="00A45AB3">
      <w:pPr>
        <w:pStyle w:val="ListNumber"/>
        <w:numPr>
          <w:ilvl w:val="0"/>
          <w:numId w:val="39"/>
        </w:numPr>
      </w:pPr>
      <w:r>
        <w:t>Natural experiments (quasi experiments) using techniques such as differences in differences, regression discontinuity, matching, or multiple regression</w:t>
      </w:r>
    </w:p>
    <w:p w14:paraId="5FB9AA76" w14:textId="77777777" w:rsidR="00835D10" w:rsidRDefault="00835D10" w:rsidP="00A45AB3">
      <w:pPr>
        <w:pStyle w:val="ListNumber"/>
        <w:numPr>
          <w:ilvl w:val="0"/>
          <w:numId w:val="39"/>
        </w:numPr>
      </w:pPr>
      <w:r>
        <w:t>Before-after (pre-post) studies</w:t>
      </w:r>
    </w:p>
    <w:p w14:paraId="70CD5951" w14:textId="77777777" w:rsidR="00835D10" w:rsidRDefault="00835D10" w:rsidP="00A45AB3">
      <w:pPr>
        <w:pStyle w:val="ListNumber"/>
        <w:numPr>
          <w:ilvl w:val="0"/>
          <w:numId w:val="39"/>
        </w:numPr>
      </w:pPr>
      <w:r>
        <w:t>Expert opinion and theoretical conjecture</w:t>
      </w:r>
      <w:r w:rsidR="000C0856">
        <w:t>.</w:t>
      </w:r>
    </w:p>
    <w:p w14:paraId="10E85A36" w14:textId="77777777" w:rsidR="00835D10" w:rsidRDefault="00835D10" w:rsidP="00835D10">
      <w:pPr>
        <w:pStyle w:val="BodyText"/>
      </w:pPr>
      <w:r>
        <w:t xml:space="preserve">The evidence available and </w:t>
      </w:r>
      <w:r w:rsidR="000C0856">
        <w:t>used</w:t>
      </w:r>
      <w:r>
        <w:t xml:space="preserve"> by this evaluation falls into the final two categories. </w:t>
      </w:r>
    </w:p>
    <w:p w14:paraId="3CD97EBE" w14:textId="77777777" w:rsidR="00835D10" w:rsidRDefault="00835D10" w:rsidP="00835D10">
      <w:pPr>
        <w:pStyle w:val="BodyText"/>
      </w:pPr>
      <w:r>
        <w:t xml:space="preserve">Many </w:t>
      </w:r>
      <w:r w:rsidR="000C0856">
        <w:t xml:space="preserve">of the </w:t>
      </w:r>
      <w:r>
        <w:t>university evaluations are before-after studies which compare student outcome indicators, for example retention rates, before and after a HEPPP project</w:t>
      </w:r>
      <w:r w:rsidR="00234D2D">
        <w:t xml:space="preserve">. </w:t>
      </w:r>
      <w:r w:rsidR="00C81862">
        <w:t>The same approach is</w:t>
      </w:r>
      <w:r w:rsidR="00E1458F">
        <w:t xml:space="preserve"> therefore </w:t>
      </w:r>
      <w:r w:rsidR="00C81862">
        <w:t xml:space="preserve">also used for </w:t>
      </w:r>
      <w:r>
        <w:t xml:space="preserve">analysis of student data for the HEPPP </w:t>
      </w:r>
      <w:r w:rsidR="00234D2D">
        <w:t>as a whole</w:t>
      </w:r>
      <w:r w:rsidR="00C81862">
        <w:t xml:space="preserve"> (see Chapter 9)</w:t>
      </w:r>
      <w:r>
        <w:t xml:space="preserve">. </w:t>
      </w:r>
      <w:r w:rsidR="00C81862">
        <w:t xml:space="preserve">A </w:t>
      </w:r>
      <w:r>
        <w:t>limiting factor</w:t>
      </w:r>
      <w:r w:rsidR="00C81862">
        <w:t>, however,</w:t>
      </w:r>
      <w:r>
        <w:t xml:space="preserve"> with before-after studies is that it is not possible to define a counterfactual, that is, what would have happened in the absence of the program (although the econometric modelling in Chapter </w:t>
      </w:r>
      <w:r w:rsidR="008C090E">
        <w:t>9</w:t>
      </w:r>
      <w:r>
        <w:t xml:space="preserve"> attempts to estimate a counterfactual). </w:t>
      </w:r>
    </w:p>
    <w:p w14:paraId="7EE0108B" w14:textId="77777777" w:rsidR="00F51B3D" w:rsidRDefault="00835D10" w:rsidP="00835D10">
      <w:pPr>
        <w:pStyle w:val="BodyText"/>
      </w:pPr>
      <w:r>
        <w:t xml:space="preserve">The surveys undertaken for this evaluation, and </w:t>
      </w:r>
      <w:r w:rsidR="00C81862">
        <w:t xml:space="preserve">the </w:t>
      </w:r>
      <w:r>
        <w:t xml:space="preserve">project-level </w:t>
      </w:r>
      <w:r w:rsidR="00BF42DD">
        <w:t xml:space="preserve">surveys </w:t>
      </w:r>
      <w:r>
        <w:t xml:space="preserve">reported by universities in their HEPPP evaluations, are </w:t>
      </w:r>
      <w:r w:rsidR="00F51B3D">
        <w:t xml:space="preserve">also </w:t>
      </w:r>
      <w:r>
        <w:t xml:space="preserve">a form of before-after study, </w:t>
      </w:r>
      <w:r w:rsidR="00234D2D">
        <w:t xml:space="preserve">by </w:t>
      </w:r>
      <w:r w:rsidR="00F51B3D">
        <w:t>asking</w:t>
      </w:r>
      <w:r>
        <w:t xml:space="preserve"> survey respondents to estimate a counterfactual and then judge the program or project’s impact from that counterfactual. </w:t>
      </w:r>
    </w:p>
    <w:p w14:paraId="74E7964F" w14:textId="77777777" w:rsidR="00835D10" w:rsidRDefault="00835D10" w:rsidP="00F51B3D">
      <w:pPr>
        <w:pStyle w:val="BodyText"/>
      </w:pPr>
      <w:r>
        <w:t>The interviews and written submissions contain both aspects of before-after estimations of impact, and expert opinion and theoretical conjecture</w:t>
      </w:r>
      <w:r w:rsidR="00F51B3D">
        <w:t xml:space="preserve">, and </w:t>
      </w:r>
      <w:r>
        <w:t xml:space="preserve">were particularly valuable </w:t>
      </w:r>
      <w:r w:rsidR="00F51B3D">
        <w:t>in</w:t>
      </w:r>
      <w:r>
        <w:t xml:space="preserve"> provid</w:t>
      </w:r>
      <w:r w:rsidR="00F51B3D">
        <w:t>ing</w:t>
      </w:r>
      <w:r>
        <w:t xml:space="preserve"> insights into the appropriateness of the </w:t>
      </w:r>
      <w:r w:rsidR="00F51B3D">
        <w:t xml:space="preserve">design of </w:t>
      </w:r>
      <w:r>
        <w:t xml:space="preserve">HEPPP and </w:t>
      </w:r>
      <w:r w:rsidR="00F51B3D">
        <w:t xml:space="preserve">its </w:t>
      </w:r>
      <w:r>
        <w:t xml:space="preserve">implementation. </w:t>
      </w:r>
    </w:p>
    <w:p w14:paraId="737E519A" w14:textId="77777777" w:rsidR="00F51B3D" w:rsidRDefault="00F51B3D" w:rsidP="00835D10">
      <w:pPr>
        <w:pStyle w:val="BodyText"/>
      </w:pPr>
      <w:r>
        <w:t>T</w:t>
      </w:r>
      <w:r w:rsidR="00835D10">
        <w:t xml:space="preserve">he lack of evidence from </w:t>
      </w:r>
      <w:r w:rsidR="00C81862">
        <w:t>other parts in</w:t>
      </w:r>
      <w:r>
        <w:t xml:space="preserve"> the</w:t>
      </w:r>
      <w:r w:rsidR="00835D10">
        <w:t xml:space="preserve"> evidence hierarchy has</w:t>
      </w:r>
      <w:r>
        <w:t xml:space="preserve">, however, </w:t>
      </w:r>
      <w:r w:rsidR="00835D10">
        <w:t xml:space="preserve">made it difficult to evaluate the impact of the HEPPP and projects funded by the HEPPP with any </w:t>
      </w:r>
      <w:r>
        <w:t>degree of precision or assignment of causality. For example, ‘</w:t>
      </w:r>
      <w:r w:rsidRPr="002575DD">
        <w:t>[measuring the] extent and calibration of effectiveness, including which programs have been more effective than others… is an extremely difficult task given the multiple causes affecting student success, achievement and retention; the absence of a consistent and detailed evaluation template for HEPPP programs; and the length of time required to assess effectiveness, e.g. the effectiveness of university outreach to primary schools in supporting student access to, and success at, university, would take more than a decade to determine, even if causation could somehow be isolated</w:t>
      </w:r>
      <w:r>
        <w:t>’</w:t>
      </w:r>
      <w:r w:rsidRPr="002575DD">
        <w:t xml:space="preserve"> (La Trobe</w:t>
      </w:r>
      <w:r w:rsidR="00234D2D">
        <w:t xml:space="preserve"> University</w:t>
      </w:r>
      <w:r w:rsidRPr="002575DD">
        <w:t>, Submission 119)</w:t>
      </w:r>
      <w:r>
        <w:t xml:space="preserve">. </w:t>
      </w:r>
    </w:p>
    <w:p w14:paraId="500D795B" w14:textId="77777777" w:rsidR="00835D10" w:rsidRPr="00734CFE" w:rsidRDefault="00F51B3D" w:rsidP="00835D10">
      <w:pPr>
        <w:pStyle w:val="BodyText"/>
      </w:pPr>
      <w:r>
        <w:t xml:space="preserve">Assessment of the effectiveness and impact of the HEPPP has therefore relied heavily </w:t>
      </w:r>
      <w:r w:rsidR="00FD5ABC">
        <w:t>on expert opinion and judgment regarding its potential contribution to the observed changes for students. T</w:t>
      </w:r>
      <w:r>
        <w:t xml:space="preserve">he recommendations in </w:t>
      </w:r>
      <w:r w:rsidR="00835D10">
        <w:t xml:space="preserve">Chapter </w:t>
      </w:r>
      <w:r w:rsidR="008C090E">
        <w:t>11</w:t>
      </w:r>
      <w:r w:rsidR="00835D10">
        <w:t xml:space="preserve"> discuss how more rigorous evidence of the impact of the HEPPP could be collected in the future. </w:t>
      </w:r>
    </w:p>
    <w:p w14:paraId="2FF56E01" w14:textId="77777777" w:rsidR="00835D10" w:rsidRPr="001A2F85" w:rsidRDefault="00835D10" w:rsidP="00835D10">
      <w:pPr>
        <w:pStyle w:val="Heading2"/>
      </w:pPr>
      <w:bookmarkStart w:id="18" w:name="_Ref462943655"/>
      <w:bookmarkStart w:id="19" w:name="_Toc465930251"/>
      <w:bookmarkStart w:id="20" w:name="_Toc466657106"/>
      <w:bookmarkStart w:id="21" w:name="_Toc420054193"/>
      <w:r w:rsidRPr="001A2F85">
        <w:t>Approach to categorisation and analysis</w:t>
      </w:r>
      <w:bookmarkEnd w:id="18"/>
      <w:bookmarkEnd w:id="19"/>
      <w:bookmarkEnd w:id="20"/>
    </w:p>
    <w:p w14:paraId="7589DCF3" w14:textId="77777777" w:rsidR="00835D10" w:rsidRPr="001A2F85" w:rsidRDefault="00835D10" w:rsidP="00835D10">
      <w:pPr>
        <w:pStyle w:val="Heading3"/>
      </w:pPr>
      <w:r w:rsidRPr="001A2F85">
        <w:t>The Equity Initiatives Framework</w:t>
      </w:r>
    </w:p>
    <w:p w14:paraId="44EE4625" w14:textId="77777777" w:rsidR="00835D10" w:rsidRPr="001A2F85" w:rsidRDefault="00835D10" w:rsidP="00835D10">
      <w:pPr>
        <w:pStyle w:val="BodyText"/>
      </w:pPr>
      <w:r w:rsidRPr="001A2F85">
        <w:t xml:space="preserve">The Equity Initiatives Framework (EIF) was developed as part of the </w:t>
      </w:r>
      <w:r w:rsidR="00E5459F">
        <w:t>C</w:t>
      </w:r>
      <w:r w:rsidRPr="00AD49C8">
        <w:t xml:space="preserve">ritical Interventions </w:t>
      </w:r>
      <w:r w:rsidR="009F5C29" w:rsidRPr="00AD49C8">
        <w:t>Framework</w:t>
      </w:r>
      <w:r w:rsidR="009F5C29">
        <w:t xml:space="preserve"> Part </w:t>
      </w:r>
      <w:r w:rsidRPr="00AD49C8">
        <w:t>II</w:t>
      </w:r>
      <w:r w:rsidRPr="001A2F85">
        <w:t xml:space="preserve"> project</w:t>
      </w:r>
      <w:r w:rsidR="00BD0B02">
        <w:t>, which was</w:t>
      </w:r>
      <w:r w:rsidRPr="001A2F85">
        <w:t xml:space="preserve"> funded through the National Priorities Pool (NPP) component of the HEPPP in 2014. The project was commissioned by the Department to review evidence of</w:t>
      </w:r>
      <w:r>
        <w:t xml:space="preserve"> the</w:t>
      </w:r>
      <w:r w:rsidRPr="001A2F85">
        <w:t xml:space="preserve"> impact of higher education equity </w:t>
      </w:r>
      <w:r>
        <w:t>projects carried out by universities in Australia and internationally</w:t>
      </w:r>
      <w:r w:rsidRPr="001A2F85">
        <w:t xml:space="preserve">. It built on an earlier NPP project, </w:t>
      </w:r>
      <w:r w:rsidR="009F5C29">
        <w:t>‘</w:t>
      </w:r>
      <w:r w:rsidRPr="00AD49C8">
        <w:t>A Critical Interventions Framework for Advancing Equity in Australian Higher Education</w:t>
      </w:r>
      <w:r w:rsidR="009F5C29">
        <w:t>’</w:t>
      </w:r>
      <w:r w:rsidRPr="00E443CA">
        <w:t>, which</w:t>
      </w:r>
      <w:r w:rsidRPr="001A2F85">
        <w:t xml:space="preserve"> </w:t>
      </w:r>
      <w:r w:rsidR="00BD0B02">
        <w:t>had been</w:t>
      </w:r>
      <w:r w:rsidR="00BD0B02" w:rsidRPr="001A2F85">
        <w:t xml:space="preserve"> </w:t>
      </w:r>
      <w:r w:rsidRPr="001A2F85">
        <w:t>undertaken in 2013.</w:t>
      </w:r>
    </w:p>
    <w:p w14:paraId="0405DAA1" w14:textId="77777777" w:rsidR="00835D10" w:rsidRPr="001A2F85" w:rsidRDefault="00835D10" w:rsidP="00835D10">
      <w:pPr>
        <w:pStyle w:val="BodyText"/>
      </w:pPr>
      <w:r w:rsidRPr="001A2F85">
        <w:t xml:space="preserve">The </w:t>
      </w:r>
      <w:r w:rsidRPr="00AD49C8">
        <w:t xml:space="preserve">Critical Interventions Framework </w:t>
      </w:r>
      <w:r w:rsidR="009F5C29">
        <w:t xml:space="preserve">Part </w:t>
      </w:r>
      <w:r w:rsidRPr="00AD49C8">
        <w:t>II</w:t>
      </w:r>
      <w:r w:rsidRPr="001A2F85">
        <w:t xml:space="preserve"> was </w:t>
      </w:r>
      <w:r w:rsidR="00BD0B02">
        <w:t>developed</w:t>
      </w:r>
      <w:r w:rsidR="00BD0B02" w:rsidRPr="001A2F85">
        <w:t xml:space="preserve"> </w:t>
      </w:r>
      <w:r w:rsidRPr="001A2F85">
        <w:t xml:space="preserve">by researchers from the University of Newcastle, the University of Melbourne and La Trobe University, and reviewed 76 equity initiatives that ‘demonstrated evidence of effectiveness in promoting good outcomes for students from equity groups as defined by </w:t>
      </w:r>
      <w:r w:rsidRPr="001D1140">
        <w:t>stakeholders’ (Bennett et al</w:t>
      </w:r>
      <w:r w:rsidR="00A64DC3">
        <w:t>.</w:t>
      </w:r>
      <w:r w:rsidRPr="001D1140">
        <w:t xml:space="preserve"> 2015), across</w:t>
      </w:r>
      <w:r w:rsidRPr="001A2F85">
        <w:t xml:space="preserve"> 34 Australian and nine international institutions.</w:t>
      </w:r>
    </w:p>
    <w:p w14:paraId="6FA0F627" w14:textId="77777777" w:rsidR="00835D10" w:rsidRPr="001A2F85" w:rsidRDefault="00835D10" w:rsidP="00835D10">
      <w:pPr>
        <w:pStyle w:val="BodyText"/>
      </w:pPr>
      <w:r w:rsidRPr="001A2F85">
        <w:t>The resulting EIF aims to provide ‘a detailed frame of reference for the planning, monitoring and evaluation of equity programs… [spanning] the entire higher education program student life-cycle, from access initiatives that operate in schools and communities to programs that assist with graduate employment’ (Bennett et al</w:t>
      </w:r>
      <w:r w:rsidR="00A64DC3">
        <w:t>.</w:t>
      </w:r>
      <w:r w:rsidRPr="001A2F85">
        <w:t xml:space="preserve"> 2015). It is intended to be used as ‘a reference guide for planning, monitoring and evaluating equity programs and for building a stronger evidence base for effective strategies’ (Bennett et al</w:t>
      </w:r>
      <w:r w:rsidR="00A64DC3">
        <w:t>.</w:t>
      </w:r>
      <w:r w:rsidRPr="001A2F85">
        <w:t xml:space="preserve"> 2015).</w:t>
      </w:r>
    </w:p>
    <w:p w14:paraId="0D1021B2" w14:textId="77777777" w:rsidR="00835D10" w:rsidRPr="001A2F85" w:rsidRDefault="00835D10" w:rsidP="00835D10">
      <w:pPr>
        <w:pStyle w:val="Heading4"/>
      </w:pPr>
      <w:r w:rsidRPr="001A2F85">
        <w:t>Structure of the Equity Initiatives Framework</w:t>
      </w:r>
    </w:p>
    <w:p w14:paraId="3EE94FF4" w14:textId="77777777" w:rsidR="00835D10" w:rsidRPr="001A2F85" w:rsidRDefault="00835D10" w:rsidP="00835D10">
      <w:pPr>
        <w:pStyle w:val="BodyText"/>
        <w:keepNext/>
      </w:pPr>
      <w:r w:rsidRPr="001A2F85">
        <w:t>The EIF identifies four stages to the student life cycle in which equity initiatives can take place:</w:t>
      </w:r>
    </w:p>
    <w:p w14:paraId="17AD1684" w14:textId="77777777" w:rsidR="00835D10" w:rsidRPr="001A2F85" w:rsidRDefault="00835D10" w:rsidP="00A45AB3">
      <w:pPr>
        <w:pStyle w:val="ListBullet"/>
        <w:numPr>
          <w:ilvl w:val="0"/>
          <w:numId w:val="34"/>
        </w:numPr>
      </w:pPr>
      <w:r w:rsidRPr="001A2F85">
        <w:rPr>
          <w:i/>
        </w:rPr>
        <w:t>Pre-Access:</w:t>
      </w:r>
      <w:r w:rsidRPr="001A2F85">
        <w:t xml:space="preserve"> Outreach to Schools and Communities</w:t>
      </w:r>
    </w:p>
    <w:p w14:paraId="66457561" w14:textId="77777777" w:rsidR="00835D10" w:rsidRPr="001A2F85" w:rsidRDefault="00835D10" w:rsidP="00A45AB3">
      <w:pPr>
        <w:pStyle w:val="ListBullet"/>
        <w:numPr>
          <w:ilvl w:val="0"/>
          <w:numId w:val="34"/>
        </w:numPr>
      </w:pPr>
      <w:r w:rsidRPr="001A2F85">
        <w:rPr>
          <w:i/>
        </w:rPr>
        <w:t>Access:</w:t>
      </w:r>
      <w:r w:rsidRPr="001A2F85">
        <w:t xml:space="preserve"> Pathways and Admissions (including Enabling Pathways)</w:t>
      </w:r>
    </w:p>
    <w:p w14:paraId="11B5099F" w14:textId="77777777" w:rsidR="00835D10" w:rsidRPr="001A2F85" w:rsidRDefault="00835D10" w:rsidP="00A45AB3">
      <w:pPr>
        <w:pStyle w:val="ListBullet"/>
        <w:numPr>
          <w:ilvl w:val="0"/>
          <w:numId w:val="34"/>
        </w:numPr>
      </w:pPr>
      <w:r w:rsidRPr="001A2F85">
        <w:rPr>
          <w:i/>
        </w:rPr>
        <w:t>Participation:</w:t>
      </w:r>
      <w:r w:rsidRPr="001A2F85">
        <w:t xml:space="preserve"> Transition, Engagement and Progression </w:t>
      </w:r>
    </w:p>
    <w:p w14:paraId="693EC425" w14:textId="77777777" w:rsidR="00835D10" w:rsidRPr="001A2F85" w:rsidRDefault="00835D10" w:rsidP="00A45AB3">
      <w:pPr>
        <w:pStyle w:val="ListBullet"/>
        <w:numPr>
          <w:ilvl w:val="0"/>
          <w:numId w:val="34"/>
        </w:numPr>
        <w:rPr>
          <w:i/>
        </w:rPr>
      </w:pPr>
      <w:r w:rsidRPr="001A2F85">
        <w:rPr>
          <w:i/>
        </w:rPr>
        <w:t>Attainment and Transition Out</w:t>
      </w:r>
      <w:r w:rsidRPr="001A2F85">
        <w:t xml:space="preserve">. </w:t>
      </w:r>
    </w:p>
    <w:p w14:paraId="27F79FCD" w14:textId="77777777" w:rsidR="00835D10" w:rsidRPr="001A2F85" w:rsidRDefault="00835D10" w:rsidP="00835D10">
      <w:pPr>
        <w:pStyle w:val="BodyText"/>
      </w:pPr>
      <w:r w:rsidRPr="001A2F85">
        <w:t>For each lifecycle stage, the EIF defines:</w:t>
      </w:r>
    </w:p>
    <w:p w14:paraId="61BA4593" w14:textId="77777777" w:rsidR="00835D10" w:rsidRPr="001A2F85" w:rsidRDefault="00835D10" w:rsidP="00A45AB3">
      <w:pPr>
        <w:pStyle w:val="ListBullet"/>
        <w:numPr>
          <w:ilvl w:val="0"/>
          <w:numId w:val="34"/>
        </w:numPr>
      </w:pPr>
      <w:r w:rsidRPr="001A2F85">
        <w:t>target groups</w:t>
      </w:r>
    </w:p>
    <w:p w14:paraId="420C0AE5" w14:textId="77777777" w:rsidR="00835D10" w:rsidRPr="001A2F85" w:rsidRDefault="00835D10" w:rsidP="00A45AB3">
      <w:pPr>
        <w:pStyle w:val="ListBullet"/>
        <w:numPr>
          <w:ilvl w:val="0"/>
          <w:numId w:val="34"/>
        </w:numPr>
      </w:pPr>
      <w:r w:rsidRPr="001A2F85">
        <w:t>major principles and aims</w:t>
      </w:r>
    </w:p>
    <w:p w14:paraId="630ABBA5" w14:textId="77777777" w:rsidR="00835D10" w:rsidRPr="001A2F85" w:rsidRDefault="00835D10" w:rsidP="00A45AB3">
      <w:pPr>
        <w:pStyle w:val="ListBullet"/>
        <w:numPr>
          <w:ilvl w:val="0"/>
          <w:numId w:val="34"/>
        </w:numPr>
      </w:pPr>
      <w:r w:rsidRPr="001A2F85">
        <w:t>key program types.</w:t>
      </w:r>
    </w:p>
    <w:p w14:paraId="2DCD9B95" w14:textId="77777777" w:rsidR="00835D10" w:rsidRPr="001A2F85" w:rsidRDefault="00835D10" w:rsidP="00835D10">
      <w:pPr>
        <w:pStyle w:val="BodyText"/>
      </w:pPr>
      <w:r w:rsidRPr="001A2F85">
        <w:t>The EIF also identifies a number of overarching sector- and institution-wide principles and procedures</w:t>
      </w:r>
      <w:r>
        <w:t>,</w:t>
      </w:r>
      <w:r w:rsidRPr="001A2F85">
        <w:t xml:space="preserve"> and examples of different evaluation methods</w:t>
      </w:r>
      <w:r>
        <w:t>,</w:t>
      </w:r>
      <w:r w:rsidRPr="001A2F85">
        <w:t xml:space="preserve"> </w:t>
      </w:r>
      <w:r>
        <w:t xml:space="preserve">for equity initiatives </w:t>
      </w:r>
      <w:r w:rsidRPr="001A2F85">
        <w:t xml:space="preserve">(Bennett et </w:t>
      </w:r>
      <w:r>
        <w:t>al.</w:t>
      </w:r>
      <w:r w:rsidRPr="001A2F85">
        <w:t xml:space="preserve"> 2015).</w:t>
      </w:r>
      <w:r w:rsidR="008C479C">
        <w:t xml:space="preserve">  </w:t>
      </w:r>
      <w:r w:rsidR="008C090E" w:rsidRPr="00AD49C8">
        <w:t>Figure 1.1</w:t>
      </w:r>
      <w:r w:rsidRPr="001A2F85">
        <w:t xml:space="preserve"> sets out the </w:t>
      </w:r>
      <w:r w:rsidR="001277F0">
        <w:t xml:space="preserve">EIF </w:t>
      </w:r>
      <w:r w:rsidRPr="001A2F85">
        <w:t>target groups for, and the principles and aims of, equity initiatives for each life cycle stage.</w:t>
      </w:r>
      <w:r w:rsidRPr="001A2F85">
        <w:br/>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835D10" w:rsidRPr="001A2F85" w14:paraId="1600CDB8" w14:textId="77777777" w:rsidTr="00835D10">
        <w:trPr>
          <w:cantSplit/>
        </w:trPr>
        <w:tc>
          <w:tcPr>
            <w:tcW w:w="8168" w:type="dxa"/>
            <w:tcBorders>
              <w:top w:val="single" w:sz="4" w:space="0" w:color="auto"/>
            </w:tcBorders>
            <w:tcMar>
              <w:left w:w="0" w:type="dxa"/>
            </w:tcMar>
          </w:tcPr>
          <w:p w14:paraId="43D67985" w14:textId="77777777" w:rsidR="00835D10" w:rsidRPr="001A2F85" w:rsidRDefault="00835D10" w:rsidP="0016594A">
            <w:pPr>
              <w:pStyle w:val="Caption"/>
              <w:numPr>
                <w:ilvl w:val="1"/>
                <w:numId w:val="0"/>
              </w:numPr>
              <w:ind w:left="1308" w:hanging="1308"/>
              <w:contextualSpacing/>
            </w:pPr>
            <w:bookmarkStart w:id="22" w:name="_Ref459041200"/>
            <w:bookmarkStart w:id="23" w:name="_Toc459123135"/>
            <w:bookmarkStart w:id="24" w:name="_Toc466655646"/>
            <w:r w:rsidRPr="001A2F85">
              <w:rPr>
                <w:rStyle w:val="CaptionLabel"/>
              </w:rPr>
              <w:t xml:space="preserve">Figure </w:t>
            </w:r>
            <w:r w:rsidR="008C090E">
              <w:rPr>
                <w:rStyle w:val="CaptionLabel"/>
                <w:noProof/>
              </w:rPr>
              <w:t>1</w:t>
            </w:r>
            <w:r w:rsidRPr="001A2F85">
              <w:rPr>
                <w:rStyle w:val="CaptionLabel"/>
              </w:rPr>
              <w:t>.</w:t>
            </w:r>
            <w:r w:rsidR="008C090E">
              <w:rPr>
                <w:rStyle w:val="CaptionLabel"/>
                <w:noProof/>
              </w:rPr>
              <w:t>1</w:t>
            </w:r>
            <w:bookmarkEnd w:id="22"/>
            <w:r w:rsidRPr="001A2F85">
              <w:tab/>
              <w:t>E</w:t>
            </w:r>
            <w:r w:rsidR="00B660C4">
              <w:t xml:space="preserve">quity </w:t>
            </w:r>
            <w:r w:rsidRPr="001A2F85">
              <w:t>I</w:t>
            </w:r>
            <w:r w:rsidR="00B660C4">
              <w:t xml:space="preserve">nitiatives </w:t>
            </w:r>
            <w:r w:rsidRPr="001A2F85">
              <w:t>F</w:t>
            </w:r>
            <w:r w:rsidR="00B660C4">
              <w:t>ramework</w:t>
            </w:r>
            <w:r w:rsidRPr="001A2F85">
              <w:t xml:space="preserve"> Student life cycle overview</w:t>
            </w:r>
            <w:bookmarkEnd w:id="23"/>
            <w:bookmarkEnd w:id="24"/>
          </w:p>
        </w:tc>
      </w:tr>
      <w:tr w:rsidR="00835D10" w:rsidRPr="001A2F85" w14:paraId="43B1031E" w14:textId="77777777" w:rsidTr="00835D10">
        <w:trPr>
          <w:cantSplit/>
          <w:trHeight w:hRule="exact" w:val="380"/>
        </w:trPr>
        <w:tc>
          <w:tcPr>
            <w:tcW w:w="8168" w:type="dxa"/>
            <w:tcBorders>
              <w:bottom w:val="single" w:sz="4" w:space="0" w:color="auto"/>
            </w:tcBorders>
          </w:tcPr>
          <w:p w14:paraId="37E0BC9F" w14:textId="77777777" w:rsidR="00835D10" w:rsidRPr="001A2F85" w:rsidRDefault="00A45AB3" w:rsidP="00835D10">
            <w:pPr>
              <w:pStyle w:val="spacer"/>
              <w:numPr>
                <w:ilvl w:val="1"/>
                <w:numId w:val="0"/>
              </w:numPr>
              <w:ind w:left="240" w:hanging="240"/>
              <w:contextualSpacing/>
            </w:pPr>
            <w:r>
              <w:rPr>
                <w:noProof/>
                <w:lang w:eastAsia="en-AU"/>
              </w:rPr>
              <mc:AlternateContent>
                <mc:Choice Requires="wps">
                  <w:drawing>
                    <wp:anchor distT="0" distB="0" distL="114300" distR="114300" simplePos="0" relativeHeight="251681280" behindDoc="0" locked="1" layoutInCell="1" allowOverlap="1" wp14:anchorId="6580BBC3" wp14:editId="0A5D3891">
                      <wp:simplePos x="0" y="0"/>
                      <wp:positionH relativeFrom="rightMargin">
                        <wp:posOffset>-772795</wp:posOffset>
                      </wp:positionH>
                      <wp:positionV relativeFrom="page">
                        <wp:posOffset>0</wp:posOffset>
                      </wp:positionV>
                      <wp:extent cx="436880" cy="213360"/>
                      <wp:effectExtent l="0" t="0" r="1270" b="0"/>
                      <wp:wrapNone/>
                      <wp:docPr id="30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33A058" id="Freeform 5" o:spid="_x0000_s1026" style="position:absolute;margin-left:-60.85pt;margin-top:0;width:34.4pt;height:16.8pt;z-index:251681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Edx7jp/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35D10" w:rsidRPr="001A2F85" w14:paraId="14E3C0E8" w14:textId="77777777" w:rsidTr="00835D10">
        <w:trPr>
          <w:cantSplit/>
        </w:trPr>
        <w:tc>
          <w:tcPr>
            <w:tcW w:w="8168" w:type="dxa"/>
            <w:tcBorders>
              <w:top w:val="single" w:sz="4" w:space="0" w:color="auto"/>
              <w:bottom w:val="single" w:sz="4" w:space="0" w:color="auto"/>
            </w:tcBorders>
            <w:tcMar>
              <w:top w:w="10" w:type="dxa"/>
              <w:bottom w:w="10" w:type="dxa"/>
              <w:right w:w="0" w:type="dxa"/>
            </w:tcMar>
          </w:tcPr>
          <w:p w14:paraId="78D16A31" w14:textId="77777777" w:rsidR="00835D10" w:rsidRPr="001A2F85" w:rsidRDefault="007F5EE9" w:rsidP="00835D10">
            <w:pPr>
              <w:pStyle w:val="Figure"/>
              <w:numPr>
                <w:ilvl w:val="1"/>
                <w:numId w:val="0"/>
              </w:numPr>
              <w:ind w:left="240" w:hanging="240"/>
              <w:contextualSpacing/>
            </w:pPr>
            <w:r>
              <w:rPr>
                <w:noProof/>
                <w:lang w:eastAsia="en-AU"/>
              </w:rPr>
              <w:drawing>
                <wp:inline distT="0" distB="0" distL="0" distR="0" wp14:anchorId="7D08D62B" wp14:editId="354FB6B8">
                  <wp:extent cx="5095875" cy="2343150"/>
                  <wp:effectExtent l="0" t="0" r="0" b="0"/>
                  <wp:docPr id="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5875" cy="2343150"/>
                          </a:xfrm>
                          <a:prstGeom prst="rect">
                            <a:avLst/>
                          </a:prstGeom>
                          <a:noFill/>
                          <a:ln>
                            <a:noFill/>
                          </a:ln>
                        </pic:spPr>
                      </pic:pic>
                    </a:graphicData>
                  </a:graphic>
                </wp:inline>
              </w:drawing>
            </w:r>
            <w:r w:rsidR="00835D10" w:rsidRPr="001A2F85" w:rsidDel="0061135A">
              <w:t xml:space="preserve"> </w:t>
            </w:r>
          </w:p>
        </w:tc>
      </w:tr>
      <w:tr w:rsidR="00835D10" w:rsidRPr="001A2F85" w14:paraId="5247E349" w14:textId="77777777" w:rsidTr="00835D10">
        <w:trPr>
          <w:cantSplit/>
        </w:trPr>
        <w:tc>
          <w:tcPr>
            <w:tcW w:w="8168" w:type="dxa"/>
            <w:tcBorders>
              <w:top w:val="single" w:sz="4" w:space="0" w:color="auto"/>
              <w:bottom w:val="single" w:sz="4" w:space="0" w:color="auto"/>
            </w:tcBorders>
            <w:tcMar>
              <w:top w:w="12" w:type="dxa"/>
              <w:left w:w="0" w:type="dxa"/>
              <w:bottom w:w="113" w:type="dxa"/>
            </w:tcMar>
          </w:tcPr>
          <w:p w14:paraId="006C355D" w14:textId="77777777" w:rsidR="00835D10" w:rsidRPr="001A2F85" w:rsidRDefault="00835D10" w:rsidP="00835D10">
            <w:pPr>
              <w:pStyle w:val="Source"/>
              <w:numPr>
                <w:ilvl w:val="1"/>
                <w:numId w:val="0"/>
              </w:numPr>
              <w:ind w:left="240" w:hanging="240"/>
              <w:contextualSpacing/>
            </w:pPr>
            <w:r w:rsidRPr="001A2F85">
              <w:t>Source: bennett et al</w:t>
            </w:r>
            <w:r w:rsidR="00A64DC3">
              <w:t>.</w:t>
            </w:r>
            <w:r w:rsidRPr="001A2F85">
              <w:t xml:space="preserve"> 2015</w:t>
            </w:r>
          </w:p>
        </w:tc>
      </w:tr>
      <w:tr w:rsidR="00835D10" w:rsidRPr="001A2F85" w14:paraId="0735E75E" w14:textId="77777777" w:rsidTr="00835D10">
        <w:trPr>
          <w:trHeight w:hRule="exact" w:val="160"/>
        </w:trPr>
        <w:tc>
          <w:tcPr>
            <w:tcW w:w="8168" w:type="dxa"/>
            <w:tcBorders>
              <w:top w:val="single" w:sz="4" w:space="0" w:color="auto"/>
            </w:tcBorders>
          </w:tcPr>
          <w:p w14:paraId="2AE751B2" w14:textId="77777777" w:rsidR="00835D10" w:rsidRPr="001A2F85" w:rsidRDefault="00835D10" w:rsidP="00835D10">
            <w:pPr>
              <w:pStyle w:val="spacertbl"/>
              <w:numPr>
                <w:ilvl w:val="1"/>
                <w:numId w:val="0"/>
              </w:numPr>
              <w:ind w:left="240" w:hanging="240"/>
              <w:contextualSpacing/>
            </w:pPr>
          </w:p>
        </w:tc>
      </w:tr>
    </w:tbl>
    <w:p w14:paraId="39F9C27D" w14:textId="77777777" w:rsidR="00835D10" w:rsidRPr="001A2F85" w:rsidRDefault="00835D10" w:rsidP="00835D10">
      <w:pPr>
        <w:pStyle w:val="Heading4"/>
      </w:pPr>
      <w:r w:rsidRPr="001A2F85">
        <w:t xml:space="preserve">Further extension of the Equity Initiatives Framework </w:t>
      </w:r>
    </w:p>
    <w:p w14:paraId="3DA6F7DF" w14:textId="77777777" w:rsidR="00835D10" w:rsidRPr="001A2F85" w:rsidRDefault="00835D10" w:rsidP="00835D10">
      <w:pPr>
        <w:pStyle w:val="BodyText"/>
      </w:pPr>
      <w:r w:rsidRPr="001A2F85">
        <w:t xml:space="preserve">The Department has augmented the EIF by refining the EIF key program types and introducing additional disaggregation into the student life cycle. </w:t>
      </w:r>
      <w:r w:rsidR="008C090E" w:rsidRPr="00AD49C8">
        <w:t>Table 1.1</w:t>
      </w:r>
      <w:r w:rsidRPr="001A2F85">
        <w:t xml:space="preserve"> maps these program types to the student life cycle, and shows that many of the 22 key program types can be delivered at multiple points in the student life cycle. The table maps the program types to the three HEPPP components. </w:t>
      </w:r>
    </w:p>
    <w:p w14:paraId="49800445" w14:textId="77777777" w:rsidR="00835D10" w:rsidRPr="001A2F85" w:rsidRDefault="00835D10" w:rsidP="00835D10">
      <w:pPr>
        <w:pStyle w:val="BodyText"/>
      </w:pPr>
    </w:p>
    <w:p w14:paraId="4F30B83C" w14:textId="77777777" w:rsidR="00835D10" w:rsidRPr="001A2F85" w:rsidRDefault="00835D10" w:rsidP="00835D10">
      <w:pPr>
        <w:pStyle w:val="BodyText"/>
        <w:sectPr w:rsidR="00835D10" w:rsidRPr="001A2F85" w:rsidSect="005747A8">
          <w:headerReference w:type="even" r:id="rId51"/>
          <w:headerReference w:type="default" r:id="rId52"/>
          <w:footerReference w:type="even" r:id="rId53"/>
          <w:footerReference w:type="default" r:id="rId54"/>
          <w:headerReference w:type="first" r:id="rId55"/>
          <w:footerReference w:type="first" r:id="rId56"/>
          <w:pgSz w:w="11907" w:h="16839" w:code="9"/>
          <w:pgMar w:top="1100" w:right="443" w:bottom="1320" w:left="3296" w:header="456" w:footer="262" w:gutter="0"/>
          <w:cols w:space="708"/>
          <w:docGrid w:linePitch="360"/>
        </w:sectPr>
      </w:pPr>
    </w:p>
    <w:p w14:paraId="1B18C897" w14:textId="77777777" w:rsidR="00835D10" w:rsidRPr="001A2F85" w:rsidRDefault="00835D10" w:rsidP="00835D10">
      <w:pPr>
        <w:pStyle w:val="Caption"/>
        <w:ind w:left="-2207" w:firstLine="0"/>
      </w:pPr>
      <w:bookmarkStart w:id="25" w:name="_Ref457920403"/>
      <w:bookmarkStart w:id="26" w:name="_Toc457920810"/>
      <w:bookmarkStart w:id="27" w:name="_Toc466655751"/>
      <w:r w:rsidRPr="001A2F85">
        <w:rPr>
          <w:rStyle w:val="CaptionLabel"/>
        </w:rPr>
        <w:t xml:space="preserve">Table </w:t>
      </w:r>
      <w:r w:rsidR="008C090E">
        <w:rPr>
          <w:rStyle w:val="CaptionLabel"/>
          <w:noProof/>
        </w:rPr>
        <w:t>1</w:t>
      </w:r>
      <w:r w:rsidRPr="001A2F85">
        <w:rPr>
          <w:rStyle w:val="CaptionLabel"/>
        </w:rPr>
        <w:t>.</w:t>
      </w:r>
      <w:r w:rsidR="008C090E">
        <w:rPr>
          <w:rStyle w:val="CaptionLabel"/>
          <w:noProof/>
        </w:rPr>
        <w:t>1</w:t>
      </w:r>
      <w:bookmarkEnd w:id="25"/>
      <w:r w:rsidRPr="001A2F85">
        <w:tab/>
        <w:t>Heppp activities mapped to the EIF Student Life Cycle stages and HEPPP components</w:t>
      </w:r>
      <w:bookmarkEnd w:id="26"/>
      <w:bookmarkEnd w:id="27"/>
    </w:p>
    <w:tbl>
      <w:tblPr>
        <w:tblW w:w="15737" w:type="dxa"/>
        <w:tblInd w:w="-2552" w:type="dxa"/>
        <w:tblLayout w:type="fixed"/>
        <w:tblCellMar>
          <w:left w:w="0" w:type="dxa"/>
          <w:bottom w:w="40" w:type="dxa"/>
          <w:right w:w="0" w:type="dxa"/>
        </w:tblCellMar>
        <w:tblLook w:val="0000" w:firstRow="0" w:lastRow="0" w:firstColumn="0" w:lastColumn="0" w:noHBand="0" w:noVBand="0"/>
      </w:tblPr>
      <w:tblGrid>
        <w:gridCol w:w="424"/>
        <w:gridCol w:w="3770"/>
        <w:gridCol w:w="887"/>
        <w:gridCol w:w="887"/>
        <w:gridCol w:w="891"/>
        <w:gridCol w:w="891"/>
        <w:gridCol w:w="891"/>
        <w:gridCol w:w="891"/>
        <w:gridCol w:w="891"/>
        <w:gridCol w:w="891"/>
        <w:gridCol w:w="891"/>
        <w:gridCol w:w="891"/>
        <w:gridCol w:w="891"/>
        <w:gridCol w:w="891"/>
        <w:gridCol w:w="859"/>
      </w:tblGrid>
      <w:tr w:rsidR="00835D10" w:rsidRPr="001A2F85" w14:paraId="5B3E6DA6" w14:textId="77777777" w:rsidTr="00835D10">
        <w:trPr>
          <w:cantSplit/>
          <w:trHeight w:val="255"/>
          <w:tblHeader/>
        </w:trPr>
        <w:tc>
          <w:tcPr>
            <w:tcW w:w="1333" w:type="pct"/>
            <w:gridSpan w:val="2"/>
            <w:tcBorders>
              <w:right w:val="single" w:sz="8" w:space="0" w:color="BFBFBF" w:themeColor="background1" w:themeShade="BF"/>
            </w:tcBorders>
            <w:shd w:val="clear" w:color="auto" w:fill="9D57A6"/>
            <w:tcMar>
              <w:left w:w="454" w:type="dxa"/>
              <w:bottom w:w="0" w:type="dxa"/>
            </w:tcMar>
          </w:tcPr>
          <w:p w14:paraId="20D406D3" w14:textId="77777777" w:rsidR="00835D10" w:rsidRPr="001A2F85" w:rsidRDefault="00835D10" w:rsidP="00835D10">
            <w:pPr>
              <w:pStyle w:val="Tablecolumnheadings"/>
            </w:pPr>
          </w:p>
        </w:tc>
        <w:tc>
          <w:tcPr>
            <w:tcW w:w="2828" w:type="pct"/>
            <w:gridSpan w:val="10"/>
            <w:tcBorders>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D57A6"/>
            <w:tcMar>
              <w:bottom w:w="0" w:type="dxa"/>
            </w:tcMar>
            <w:vAlign w:val="center"/>
          </w:tcPr>
          <w:p w14:paraId="01168873" w14:textId="77777777" w:rsidR="00835D10" w:rsidRPr="001A2F85" w:rsidRDefault="00835D10" w:rsidP="00835D10">
            <w:pPr>
              <w:pStyle w:val="Tablecolumnheadings"/>
              <w:jc w:val="center"/>
            </w:pPr>
            <w:r w:rsidRPr="001A2F85">
              <w:t>Equity Initiatives Framework Stage</w:t>
            </w:r>
          </w:p>
        </w:tc>
        <w:tc>
          <w:tcPr>
            <w:tcW w:w="839" w:type="pct"/>
            <w:gridSpan w:val="3"/>
            <w:tcBorders>
              <w:left w:val="single" w:sz="8" w:space="0" w:color="BFBFBF" w:themeColor="background1" w:themeShade="BF"/>
              <w:bottom w:val="single" w:sz="8" w:space="0" w:color="9757A6" w:themeColor="text2"/>
            </w:tcBorders>
            <w:shd w:val="clear" w:color="auto" w:fill="9D57A6"/>
            <w:tcMar>
              <w:bottom w:w="0" w:type="dxa"/>
            </w:tcMar>
            <w:vAlign w:val="center"/>
          </w:tcPr>
          <w:p w14:paraId="587D554E" w14:textId="77777777" w:rsidR="00835D10" w:rsidRPr="001A2F85" w:rsidRDefault="00835D10" w:rsidP="00835D10">
            <w:pPr>
              <w:pStyle w:val="Tablecolumnheadings"/>
              <w:jc w:val="center"/>
            </w:pPr>
            <w:r w:rsidRPr="001A2F85">
              <w:t>HEPPP component</w:t>
            </w:r>
          </w:p>
        </w:tc>
      </w:tr>
      <w:tr w:rsidR="00835D10" w:rsidRPr="001A2F85" w14:paraId="30B71C70" w14:textId="77777777" w:rsidTr="00835D10">
        <w:trPr>
          <w:cantSplit/>
          <w:trHeight w:val="135"/>
          <w:tblHeader/>
        </w:trPr>
        <w:tc>
          <w:tcPr>
            <w:tcW w:w="1333" w:type="pct"/>
            <w:gridSpan w:val="2"/>
            <w:tcBorders>
              <w:right w:val="single" w:sz="8" w:space="0" w:color="BFBFBF" w:themeColor="background1" w:themeShade="BF"/>
            </w:tcBorders>
            <w:shd w:val="clear" w:color="auto" w:fill="9D57A6"/>
            <w:tcMar>
              <w:left w:w="454" w:type="dxa"/>
              <w:bottom w:w="0" w:type="dxa"/>
            </w:tcMar>
          </w:tcPr>
          <w:p w14:paraId="05015638" w14:textId="77777777" w:rsidR="00835D10" w:rsidRPr="001A2F85" w:rsidRDefault="00835D10" w:rsidP="00835D10">
            <w:pPr>
              <w:pStyle w:val="Tablecolumnheadings"/>
            </w:pPr>
          </w:p>
        </w:tc>
        <w:tc>
          <w:tcPr>
            <w:tcW w:w="1696" w:type="pct"/>
            <w:gridSpan w:val="6"/>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D57A6"/>
            <w:tcMar>
              <w:bottom w:w="0" w:type="dxa"/>
            </w:tcMar>
            <w:vAlign w:val="center"/>
          </w:tcPr>
          <w:p w14:paraId="1F555ED0" w14:textId="77777777" w:rsidR="00835D10" w:rsidRPr="001A2F85" w:rsidRDefault="00835D10" w:rsidP="00835D10">
            <w:pPr>
              <w:pStyle w:val="Tablecolumnheadings"/>
              <w:jc w:val="center"/>
              <w:rPr>
                <w:sz w:val="18"/>
                <w:szCs w:val="18"/>
              </w:rPr>
            </w:pPr>
            <w:r w:rsidRPr="001A2F85">
              <w:rPr>
                <w:sz w:val="18"/>
                <w:szCs w:val="18"/>
              </w:rPr>
              <w:t>Pre-Access</w:t>
            </w:r>
          </w:p>
        </w:tc>
        <w:tc>
          <w:tcPr>
            <w:tcW w:w="566" w:type="pct"/>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D57A6"/>
            <w:tcMar>
              <w:bottom w:w="0" w:type="dxa"/>
            </w:tcMar>
            <w:vAlign w:val="center"/>
          </w:tcPr>
          <w:p w14:paraId="29231B72" w14:textId="77777777" w:rsidR="00835D10" w:rsidRPr="001A2F85" w:rsidRDefault="00835D10" w:rsidP="00835D10">
            <w:pPr>
              <w:pStyle w:val="Tablecolumnheadings"/>
              <w:jc w:val="center"/>
              <w:rPr>
                <w:sz w:val="18"/>
                <w:szCs w:val="18"/>
              </w:rPr>
            </w:pPr>
            <w:r w:rsidRPr="001A2F85">
              <w:rPr>
                <w:sz w:val="18"/>
                <w:szCs w:val="18"/>
              </w:rPr>
              <w:t>Participation</w:t>
            </w:r>
          </w:p>
        </w:tc>
        <w:tc>
          <w:tcPr>
            <w:tcW w:w="566" w:type="pct"/>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D57A6"/>
            <w:tcMar>
              <w:bottom w:w="0" w:type="dxa"/>
            </w:tcMar>
            <w:vAlign w:val="center"/>
          </w:tcPr>
          <w:p w14:paraId="42E09BA3" w14:textId="77777777" w:rsidR="00835D10" w:rsidRPr="001A2F85" w:rsidRDefault="00835D10" w:rsidP="00835D10">
            <w:pPr>
              <w:pStyle w:val="Tablecolumnheadings"/>
              <w:jc w:val="center"/>
              <w:rPr>
                <w:sz w:val="18"/>
                <w:szCs w:val="18"/>
              </w:rPr>
            </w:pPr>
            <w:r w:rsidRPr="001A2F85">
              <w:rPr>
                <w:sz w:val="18"/>
                <w:szCs w:val="18"/>
              </w:rPr>
              <w:t>Attainment</w:t>
            </w:r>
          </w:p>
        </w:tc>
        <w:tc>
          <w:tcPr>
            <w:tcW w:w="283" w:type="pct"/>
            <w:tcBorders>
              <w:top w:val="single" w:sz="8" w:space="0" w:color="9757A6" w:themeColor="text2"/>
              <w:left w:val="single" w:sz="8" w:space="0" w:color="BFBFBF" w:themeColor="background1" w:themeShade="BF"/>
              <w:bottom w:val="single" w:sz="8" w:space="0" w:color="9757A6" w:themeColor="text2"/>
              <w:right w:val="single" w:sz="8" w:space="0" w:color="9757A6" w:themeColor="text2"/>
            </w:tcBorders>
            <w:shd w:val="clear" w:color="auto" w:fill="9D57A6"/>
            <w:tcMar>
              <w:bottom w:w="0" w:type="dxa"/>
            </w:tcMar>
            <w:vAlign w:val="center"/>
          </w:tcPr>
          <w:p w14:paraId="3DBF9109" w14:textId="77777777" w:rsidR="00835D10" w:rsidRPr="001A2F85" w:rsidRDefault="00835D10" w:rsidP="00835D10">
            <w:pPr>
              <w:pStyle w:val="Tablecolumnheadings"/>
              <w:jc w:val="center"/>
            </w:pPr>
          </w:p>
        </w:tc>
        <w:tc>
          <w:tcPr>
            <w:tcW w:w="283" w:type="pct"/>
            <w:tcBorders>
              <w:top w:val="single" w:sz="8" w:space="0" w:color="9757A6" w:themeColor="text2"/>
              <w:left w:val="single" w:sz="8" w:space="0" w:color="9757A6" w:themeColor="text2"/>
              <w:bottom w:val="single" w:sz="8" w:space="0" w:color="9757A6" w:themeColor="text2"/>
              <w:right w:val="single" w:sz="8" w:space="0" w:color="9757A6" w:themeColor="text2"/>
            </w:tcBorders>
            <w:shd w:val="clear" w:color="auto" w:fill="9D57A6"/>
            <w:tcMar>
              <w:bottom w:w="0" w:type="dxa"/>
            </w:tcMar>
            <w:vAlign w:val="center"/>
          </w:tcPr>
          <w:p w14:paraId="792BD16B" w14:textId="77777777" w:rsidR="00835D10" w:rsidRPr="001A2F85" w:rsidRDefault="00835D10" w:rsidP="00835D10">
            <w:pPr>
              <w:pStyle w:val="Tablecolumnheadings"/>
              <w:jc w:val="center"/>
            </w:pPr>
          </w:p>
        </w:tc>
        <w:tc>
          <w:tcPr>
            <w:tcW w:w="273" w:type="pct"/>
            <w:tcBorders>
              <w:top w:val="single" w:sz="8" w:space="0" w:color="9757A6" w:themeColor="text2"/>
              <w:left w:val="single" w:sz="8" w:space="0" w:color="9757A6" w:themeColor="text2"/>
              <w:bottom w:val="single" w:sz="8" w:space="0" w:color="9757A6" w:themeColor="text2"/>
            </w:tcBorders>
            <w:shd w:val="clear" w:color="auto" w:fill="9D57A6"/>
            <w:tcMar>
              <w:bottom w:w="0" w:type="dxa"/>
            </w:tcMar>
            <w:vAlign w:val="center"/>
          </w:tcPr>
          <w:p w14:paraId="210DFD32" w14:textId="77777777" w:rsidR="00835D10" w:rsidRPr="001A2F85" w:rsidRDefault="00835D10" w:rsidP="00835D10">
            <w:pPr>
              <w:pStyle w:val="Tablecolumnheadings"/>
              <w:jc w:val="center"/>
            </w:pPr>
          </w:p>
        </w:tc>
      </w:tr>
      <w:tr w:rsidR="00835D10" w:rsidRPr="001A2F85" w14:paraId="35A90C24" w14:textId="77777777" w:rsidTr="00835D10">
        <w:trPr>
          <w:cantSplit/>
          <w:trHeight w:val="224"/>
          <w:tblHeader/>
        </w:trPr>
        <w:tc>
          <w:tcPr>
            <w:tcW w:w="1333" w:type="pct"/>
            <w:gridSpan w:val="2"/>
            <w:tcBorders>
              <w:right w:val="single" w:sz="8" w:space="0" w:color="BFBFBF" w:themeColor="background1" w:themeShade="BF"/>
            </w:tcBorders>
            <w:shd w:val="clear" w:color="auto" w:fill="9D57A6"/>
            <w:tcMar>
              <w:left w:w="454" w:type="dxa"/>
              <w:bottom w:w="0" w:type="dxa"/>
            </w:tcMar>
          </w:tcPr>
          <w:p w14:paraId="7BCAD425" w14:textId="77777777" w:rsidR="00835D10" w:rsidRPr="001A2F85" w:rsidRDefault="00835D10" w:rsidP="00835D10">
            <w:pPr>
              <w:pStyle w:val="Tablecolumnheadings"/>
            </w:pPr>
          </w:p>
        </w:tc>
        <w:tc>
          <w:tcPr>
            <w:tcW w:w="282" w:type="pct"/>
            <w:tcBorders>
              <w:top w:val="single" w:sz="8" w:space="0" w:color="9757A6" w:themeColor="text2"/>
              <w:left w:val="single" w:sz="8" w:space="0" w:color="BFBFBF" w:themeColor="background1" w:themeShade="BF"/>
              <w:bottom w:val="single" w:sz="8" w:space="0" w:color="BFBFBF" w:themeColor="background1" w:themeShade="BF"/>
              <w:right w:val="single" w:sz="8" w:space="0" w:color="9757A6" w:themeColor="text2"/>
            </w:tcBorders>
            <w:shd w:val="clear" w:color="auto" w:fill="9D57A6"/>
            <w:tcMar>
              <w:bottom w:w="0" w:type="dxa"/>
            </w:tcMar>
            <w:vAlign w:val="center"/>
          </w:tcPr>
          <w:p w14:paraId="2F397904" w14:textId="77777777" w:rsidR="00835D10" w:rsidRPr="001A2F85" w:rsidRDefault="00835D10" w:rsidP="00835D10">
            <w:pPr>
              <w:pStyle w:val="Tablecolumnheadings"/>
              <w:jc w:val="center"/>
            </w:pPr>
          </w:p>
        </w:tc>
        <w:tc>
          <w:tcPr>
            <w:tcW w:w="282" w:type="pct"/>
            <w:tcBorders>
              <w:top w:val="single" w:sz="8" w:space="0" w:color="9757A6" w:themeColor="text2"/>
              <w:left w:val="single" w:sz="8" w:space="0" w:color="9757A6" w:themeColor="text2"/>
              <w:bottom w:val="single" w:sz="8" w:space="0" w:color="BFBFBF" w:themeColor="background1" w:themeShade="BF"/>
              <w:right w:val="single" w:sz="8" w:space="0" w:color="BFBFBF" w:themeColor="background1" w:themeShade="BF"/>
            </w:tcBorders>
            <w:shd w:val="clear" w:color="auto" w:fill="9D57A6"/>
            <w:tcMar>
              <w:bottom w:w="0" w:type="dxa"/>
            </w:tcMar>
            <w:vAlign w:val="center"/>
          </w:tcPr>
          <w:p w14:paraId="4AE465BF" w14:textId="77777777" w:rsidR="00835D10" w:rsidRPr="001A2F85" w:rsidRDefault="00835D10" w:rsidP="00835D10">
            <w:pPr>
              <w:pStyle w:val="Tablecolumnheadings"/>
              <w:jc w:val="center"/>
            </w:pPr>
          </w:p>
        </w:tc>
        <w:tc>
          <w:tcPr>
            <w:tcW w:w="1132" w:type="pct"/>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9D57A6"/>
            <w:tcMar>
              <w:bottom w:w="0" w:type="dxa"/>
            </w:tcMar>
            <w:vAlign w:val="center"/>
          </w:tcPr>
          <w:p w14:paraId="37201B51" w14:textId="77777777" w:rsidR="00835D10" w:rsidRPr="001A2F85" w:rsidRDefault="00835D10" w:rsidP="00835D10">
            <w:pPr>
              <w:pStyle w:val="Tablecolumnheadings"/>
              <w:jc w:val="center"/>
              <w:rPr>
                <w:sz w:val="18"/>
                <w:szCs w:val="18"/>
              </w:rPr>
            </w:pPr>
            <w:r w:rsidRPr="001A2F85">
              <w:rPr>
                <w:sz w:val="18"/>
                <w:szCs w:val="18"/>
              </w:rPr>
              <w:t>Access</w:t>
            </w:r>
          </w:p>
        </w:tc>
        <w:tc>
          <w:tcPr>
            <w:tcW w:w="283" w:type="pct"/>
            <w:tcBorders>
              <w:top w:val="single" w:sz="8" w:space="0" w:color="9757A6" w:themeColor="text2"/>
              <w:left w:val="single" w:sz="8" w:space="0" w:color="BFBFBF" w:themeColor="background1" w:themeShade="BF"/>
              <w:bottom w:val="single" w:sz="8" w:space="0" w:color="BFBFBF" w:themeColor="background1" w:themeShade="BF"/>
              <w:right w:val="single" w:sz="8" w:space="0" w:color="9757A6" w:themeColor="text2"/>
            </w:tcBorders>
            <w:shd w:val="clear" w:color="auto" w:fill="9D57A6"/>
            <w:tcMar>
              <w:bottom w:w="0" w:type="dxa"/>
            </w:tcMar>
            <w:vAlign w:val="center"/>
          </w:tcPr>
          <w:p w14:paraId="65C4BE7A" w14:textId="77777777" w:rsidR="00835D10" w:rsidRPr="001A2F85" w:rsidRDefault="00835D10" w:rsidP="00835D10">
            <w:pPr>
              <w:pStyle w:val="Tablecolumnheadings"/>
              <w:jc w:val="center"/>
              <w:rPr>
                <w:sz w:val="18"/>
                <w:szCs w:val="18"/>
              </w:rPr>
            </w:pPr>
          </w:p>
        </w:tc>
        <w:tc>
          <w:tcPr>
            <w:tcW w:w="283" w:type="pct"/>
            <w:tcBorders>
              <w:top w:val="single" w:sz="8" w:space="0" w:color="9757A6" w:themeColor="text2"/>
              <w:left w:val="single" w:sz="8" w:space="0" w:color="9757A6" w:themeColor="text2"/>
              <w:bottom w:val="single" w:sz="8" w:space="0" w:color="BFBFBF" w:themeColor="background1" w:themeShade="BF"/>
              <w:right w:val="single" w:sz="8" w:space="0" w:color="BFBFBF" w:themeColor="background1" w:themeShade="BF"/>
            </w:tcBorders>
            <w:shd w:val="clear" w:color="auto" w:fill="9D57A6"/>
            <w:tcMar>
              <w:bottom w:w="0" w:type="dxa"/>
            </w:tcMar>
            <w:vAlign w:val="center"/>
          </w:tcPr>
          <w:p w14:paraId="47CC362C" w14:textId="77777777" w:rsidR="00835D10" w:rsidRPr="001A2F85" w:rsidRDefault="00835D10" w:rsidP="00835D10">
            <w:pPr>
              <w:pStyle w:val="Tablecolumnheadings"/>
              <w:jc w:val="center"/>
              <w:rPr>
                <w:sz w:val="18"/>
                <w:szCs w:val="18"/>
              </w:rPr>
            </w:pPr>
          </w:p>
        </w:tc>
        <w:tc>
          <w:tcPr>
            <w:tcW w:w="283" w:type="pct"/>
            <w:tcBorders>
              <w:top w:val="single" w:sz="8" w:space="0" w:color="9757A6" w:themeColor="text2"/>
              <w:left w:val="single" w:sz="8" w:space="0" w:color="BFBFBF" w:themeColor="background1" w:themeShade="BF"/>
              <w:bottom w:val="single" w:sz="8" w:space="0" w:color="BFBFBF" w:themeColor="background1" w:themeShade="BF"/>
              <w:right w:val="single" w:sz="8" w:space="0" w:color="9757A6" w:themeColor="text2"/>
            </w:tcBorders>
            <w:shd w:val="clear" w:color="auto" w:fill="9D57A6"/>
            <w:tcMar>
              <w:bottom w:w="0" w:type="dxa"/>
            </w:tcMar>
            <w:vAlign w:val="center"/>
          </w:tcPr>
          <w:p w14:paraId="00470663" w14:textId="77777777" w:rsidR="00835D10" w:rsidRPr="001A2F85" w:rsidRDefault="00835D10" w:rsidP="00835D10">
            <w:pPr>
              <w:pStyle w:val="Tablecolumnheadings"/>
              <w:jc w:val="center"/>
              <w:rPr>
                <w:sz w:val="18"/>
                <w:szCs w:val="18"/>
              </w:rPr>
            </w:pPr>
          </w:p>
        </w:tc>
        <w:tc>
          <w:tcPr>
            <w:tcW w:w="283" w:type="pct"/>
            <w:tcBorders>
              <w:top w:val="single" w:sz="8" w:space="0" w:color="9757A6" w:themeColor="text2"/>
              <w:left w:val="single" w:sz="8" w:space="0" w:color="9757A6" w:themeColor="text2"/>
              <w:bottom w:val="single" w:sz="8" w:space="0" w:color="BFBFBF" w:themeColor="background1" w:themeShade="BF"/>
              <w:right w:val="single" w:sz="8" w:space="0" w:color="BFBFBF" w:themeColor="background1" w:themeShade="BF"/>
            </w:tcBorders>
            <w:shd w:val="clear" w:color="auto" w:fill="9D57A6"/>
            <w:tcMar>
              <w:bottom w:w="0" w:type="dxa"/>
            </w:tcMar>
            <w:vAlign w:val="center"/>
          </w:tcPr>
          <w:p w14:paraId="3FCCB39F" w14:textId="77777777" w:rsidR="00835D10" w:rsidRPr="001A2F85" w:rsidRDefault="00835D10" w:rsidP="00835D10">
            <w:pPr>
              <w:pStyle w:val="Tablecolumnheadings"/>
              <w:jc w:val="center"/>
              <w:rPr>
                <w:rFonts w:ascii="Calibri" w:hAnsi="Calibri"/>
                <w:color w:val="000000"/>
                <w:sz w:val="18"/>
                <w:szCs w:val="18"/>
              </w:rPr>
            </w:pPr>
          </w:p>
        </w:tc>
        <w:tc>
          <w:tcPr>
            <w:tcW w:w="283" w:type="pct"/>
            <w:tcBorders>
              <w:top w:val="single" w:sz="8" w:space="0" w:color="9757A6" w:themeColor="text2"/>
              <w:left w:val="single" w:sz="8" w:space="0" w:color="BFBFBF" w:themeColor="background1" w:themeShade="BF"/>
              <w:bottom w:val="single" w:sz="8" w:space="0" w:color="BFBFBF" w:themeColor="background1" w:themeShade="BF"/>
              <w:right w:val="single" w:sz="8" w:space="0" w:color="9757A6" w:themeColor="text2"/>
            </w:tcBorders>
            <w:shd w:val="clear" w:color="auto" w:fill="9D57A6"/>
            <w:tcMar>
              <w:bottom w:w="0" w:type="dxa"/>
            </w:tcMar>
            <w:vAlign w:val="center"/>
          </w:tcPr>
          <w:p w14:paraId="2B13A252" w14:textId="77777777" w:rsidR="00835D10" w:rsidRPr="001A2F85" w:rsidRDefault="00835D10" w:rsidP="00835D10">
            <w:pPr>
              <w:pStyle w:val="Tablecolumnheadings"/>
              <w:jc w:val="center"/>
            </w:pPr>
          </w:p>
        </w:tc>
        <w:tc>
          <w:tcPr>
            <w:tcW w:w="283" w:type="pct"/>
            <w:tcBorders>
              <w:top w:val="single" w:sz="8" w:space="0" w:color="9757A6" w:themeColor="text2"/>
              <w:left w:val="single" w:sz="8" w:space="0" w:color="9757A6" w:themeColor="text2"/>
              <w:bottom w:val="single" w:sz="8" w:space="0" w:color="BFBFBF" w:themeColor="background1" w:themeShade="BF"/>
              <w:right w:val="single" w:sz="8" w:space="0" w:color="9757A6" w:themeColor="text2"/>
            </w:tcBorders>
            <w:shd w:val="clear" w:color="auto" w:fill="9D57A6"/>
            <w:tcMar>
              <w:bottom w:w="0" w:type="dxa"/>
            </w:tcMar>
            <w:vAlign w:val="center"/>
          </w:tcPr>
          <w:p w14:paraId="2B46F78F" w14:textId="77777777" w:rsidR="00835D10" w:rsidRPr="001A2F85" w:rsidRDefault="00835D10" w:rsidP="00835D10">
            <w:pPr>
              <w:pStyle w:val="Tablecolumnheadings"/>
              <w:jc w:val="center"/>
            </w:pPr>
          </w:p>
        </w:tc>
        <w:tc>
          <w:tcPr>
            <w:tcW w:w="273" w:type="pct"/>
            <w:tcBorders>
              <w:top w:val="single" w:sz="8" w:space="0" w:color="9757A6" w:themeColor="text2"/>
              <w:left w:val="single" w:sz="8" w:space="0" w:color="9757A6" w:themeColor="text2"/>
              <w:bottom w:val="single" w:sz="8" w:space="0" w:color="BFBFBF" w:themeColor="background1" w:themeShade="BF"/>
            </w:tcBorders>
            <w:shd w:val="clear" w:color="auto" w:fill="9D57A6"/>
            <w:tcMar>
              <w:bottom w:w="0" w:type="dxa"/>
            </w:tcMar>
            <w:vAlign w:val="center"/>
          </w:tcPr>
          <w:p w14:paraId="5C9405A2" w14:textId="77777777" w:rsidR="00835D10" w:rsidRPr="001A2F85" w:rsidRDefault="00835D10" w:rsidP="00835D10">
            <w:pPr>
              <w:pStyle w:val="Tablecolumnheadings"/>
              <w:jc w:val="center"/>
            </w:pPr>
          </w:p>
        </w:tc>
      </w:tr>
      <w:tr w:rsidR="00835D10" w:rsidRPr="001A2F85" w14:paraId="1A27238D" w14:textId="77777777" w:rsidTr="00835D10">
        <w:trPr>
          <w:cantSplit/>
          <w:trHeight w:val="721"/>
          <w:tblHeader/>
        </w:trPr>
        <w:tc>
          <w:tcPr>
            <w:tcW w:w="1333" w:type="pct"/>
            <w:gridSpan w:val="2"/>
            <w:tcBorders>
              <w:right w:val="single" w:sz="8" w:space="0" w:color="BFBFBF" w:themeColor="background1" w:themeShade="BF"/>
            </w:tcBorders>
            <w:shd w:val="clear" w:color="auto" w:fill="9D57A6"/>
            <w:tcMar>
              <w:left w:w="454" w:type="dxa"/>
              <w:bottom w:w="0" w:type="dxa"/>
            </w:tcMar>
            <w:vAlign w:val="bottom"/>
          </w:tcPr>
          <w:p w14:paraId="31439752" w14:textId="77777777" w:rsidR="00835D10" w:rsidRPr="001A2F85" w:rsidRDefault="00835D10" w:rsidP="00835D10">
            <w:pPr>
              <w:pStyle w:val="Tablecolumnheadings"/>
            </w:pPr>
            <w:r w:rsidRPr="001A2F85">
              <w:t xml:space="preserve">Activity </w:t>
            </w:r>
            <w:r w:rsidRPr="001A2F85">
              <w:rPr>
                <w:szCs w:val="20"/>
              </w:rPr>
              <w:sym w:font="Wingdings" w:char="F0E2"/>
            </w:r>
          </w:p>
        </w:tc>
        <w:tc>
          <w:tcPr>
            <w:tcW w:w="282"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09110141" w14:textId="77777777" w:rsidR="00835D10" w:rsidRPr="00AD49C8" w:rsidRDefault="00835D10" w:rsidP="00835D10">
            <w:pPr>
              <w:pStyle w:val="Tablecolumnheadings"/>
              <w:jc w:val="center"/>
              <w:rPr>
                <w:sz w:val="14"/>
                <w:szCs w:val="14"/>
              </w:rPr>
            </w:pPr>
            <w:r w:rsidRPr="00AD49C8">
              <w:rPr>
                <w:sz w:val="14"/>
                <w:szCs w:val="14"/>
              </w:rPr>
              <w:t>Primary school</w:t>
            </w:r>
          </w:p>
        </w:tc>
        <w:tc>
          <w:tcPr>
            <w:tcW w:w="282"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6C69D3A2" w14:textId="77777777" w:rsidR="00835D10" w:rsidRPr="00AD49C8" w:rsidRDefault="00835D10" w:rsidP="00835D10">
            <w:pPr>
              <w:pStyle w:val="Tablecolumnheadings"/>
              <w:jc w:val="center"/>
              <w:rPr>
                <w:sz w:val="14"/>
                <w:szCs w:val="14"/>
              </w:rPr>
            </w:pPr>
            <w:r w:rsidRPr="00AD49C8">
              <w:rPr>
                <w:sz w:val="14"/>
                <w:szCs w:val="14"/>
              </w:rPr>
              <w:t>Secondary</w:t>
            </w:r>
          </w:p>
          <w:p w14:paraId="32E8D075" w14:textId="77777777" w:rsidR="00835D10" w:rsidRPr="00AD49C8" w:rsidRDefault="00835D10" w:rsidP="00835D10">
            <w:pPr>
              <w:pStyle w:val="Tablecolumnheadings"/>
              <w:jc w:val="center"/>
              <w:rPr>
                <w:sz w:val="14"/>
                <w:szCs w:val="14"/>
              </w:rPr>
            </w:pPr>
            <w:r w:rsidRPr="00AD49C8">
              <w:rPr>
                <w:sz w:val="14"/>
                <w:szCs w:val="14"/>
              </w:rPr>
              <w:t>Yr 7-10</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2891F3D8" w14:textId="77777777" w:rsidR="00835D10" w:rsidRPr="00AD49C8" w:rsidRDefault="00835D10" w:rsidP="00835D10">
            <w:pPr>
              <w:pStyle w:val="Tablecolumnheadings"/>
              <w:jc w:val="center"/>
              <w:rPr>
                <w:sz w:val="14"/>
                <w:szCs w:val="14"/>
              </w:rPr>
            </w:pPr>
            <w:r w:rsidRPr="00AD49C8">
              <w:rPr>
                <w:sz w:val="14"/>
                <w:szCs w:val="14"/>
              </w:rPr>
              <w:t>Secondary</w:t>
            </w:r>
          </w:p>
          <w:p w14:paraId="0244690F" w14:textId="77777777" w:rsidR="00835D10" w:rsidRPr="00AD49C8" w:rsidRDefault="00835D10" w:rsidP="00835D10">
            <w:pPr>
              <w:pStyle w:val="Tablecolumnheadings"/>
              <w:jc w:val="center"/>
              <w:rPr>
                <w:sz w:val="14"/>
                <w:szCs w:val="14"/>
              </w:rPr>
            </w:pPr>
            <w:r w:rsidRPr="00AD49C8">
              <w:rPr>
                <w:sz w:val="14"/>
                <w:szCs w:val="14"/>
              </w:rPr>
              <w:t>Yr 11-12</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157F11C9" w14:textId="77777777" w:rsidR="00835D10" w:rsidRPr="00AD49C8" w:rsidRDefault="00835D10" w:rsidP="00835D10">
            <w:pPr>
              <w:pStyle w:val="Tablecolumnheadings"/>
              <w:jc w:val="center"/>
              <w:rPr>
                <w:sz w:val="14"/>
                <w:szCs w:val="14"/>
              </w:rPr>
            </w:pPr>
            <w:r w:rsidRPr="00AD49C8">
              <w:rPr>
                <w:sz w:val="14"/>
                <w:szCs w:val="14"/>
              </w:rPr>
              <w:t>VET</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46D9FB60" w14:textId="77777777" w:rsidR="00835D10" w:rsidRPr="00AD49C8" w:rsidRDefault="00835D10" w:rsidP="00835D10">
            <w:pPr>
              <w:pStyle w:val="Tablecolumnheadings"/>
              <w:jc w:val="center"/>
              <w:rPr>
                <w:sz w:val="14"/>
                <w:szCs w:val="14"/>
              </w:rPr>
            </w:pPr>
            <w:r w:rsidRPr="00AD49C8">
              <w:rPr>
                <w:sz w:val="14"/>
                <w:szCs w:val="14"/>
              </w:rPr>
              <w:t>Mature age</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338D7AED" w14:textId="77777777" w:rsidR="00835D10" w:rsidRPr="00AD49C8" w:rsidRDefault="00835D10" w:rsidP="00835D10">
            <w:pPr>
              <w:pStyle w:val="Tablecolumnheadings"/>
              <w:jc w:val="center"/>
              <w:rPr>
                <w:sz w:val="14"/>
                <w:szCs w:val="14"/>
              </w:rPr>
            </w:pPr>
            <w:r w:rsidRPr="00AD49C8">
              <w:rPr>
                <w:sz w:val="14"/>
                <w:szCs w:val="14"/>
              </w:rPr>
              <w:t>School leavers</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55B1A2E6" w14:textId="77777777" w:rsidR="00835D10" w:rsidRPr="00AD49C8" w:rsidRDefault="00835D10" w:rsidP="00835D10">
            <w:pPr>
              <w:pStyle w:val="Tablecolumnheadings"/>
              <w:jc w:val="center"/>
              <w:rPr>
                <w:sz w:val="14"/>
                <w:szCs w:val="14"/>
              </w:rPr>
            </w:pPr>
            <w:r w:rsidRPr="00AD49C8">
              <w:rPr>
                <w:sz w:val="14"/>
                <w:szCs w:val="14"/>
              </w:rPr>
              <w:t>First year students</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1AC3325D" w14:textId="77777777" w:rsidR="00835D10" w:rsidRPr="00AD49C8" w:rsidRDefault="00835D10" w:rsidP="00835D10">
            <w:pPr>
              <w:pStyle w:val="Tablecolumnheadings"/>
              <w:jc w:val="center"/>
              <w:rPr>
                <w:sz w:val="14"/>
                <w:szCs w:val="14"/>
              </w:rPr>
            </w:pPr>
            <w:r w:rsidRPr="00AD49C8">
              <w:rPr>
                <w:sz w:val="14"/>
                <w:szCs w:val="14"/>
              </w:rPr>
              <w:t>Progression during studies</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4D6FE756" w14:textId="77777777" w:rsidR="00835D10" w:rsidRPr="00AD49C8" w:rsidRDefault="00835D10" w:rsidP="00835D10">
            <w:pPr>
              <w:pStyle w:val="Tablecolumnheadings"/>
              <w:jc w:val="center"/>
              <w:rPr>
                <w:sz w:val="14"/>
                <w:szCs w:val="14"/>
              </w:rPr>
            </w:pPr>
            <w:r w:rsidRPr="00AD49C8">
              <w:rPr>
                <w:sz w:val="14"/>
                <w:szCs w:val="14"/>
              </w:rPr>
              <w:t>Completion</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590AA801" w14:textId="77777777" w:rsidR="00835D10" w:rsidRPr="00AD49C8" w:rsidRDefault="00835D10" w:rsidP="00835D10">
            <w:pPr>
              <w:pStyle w:val="Tablecolumnheadings"/>
              <w:jc w:val="center"/>
              <w:rPr>
                <w:sz w:val="14"/>
                <w:szCs w:val="14"/>
              </w:rPr>
            </w:pPr>
            <w:r w:rsidRPr="00AD49C8">
              <w:rPr>
                <w:sz w:val="14"/>
                <w:szCs w:val="14"/>
              </w:rPr>
              <w:t>Graduate destinations</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08DC1F6F" w14:textId="77777777" w:rsidR="00835D10" w:rsidRPr="00AD49C8" w:rsidRDefault="00835D10" w:rsidP="00835D10">
            <w:pPr>
              <w:pStyle w:val="Tablecolumnheadings"/>
              <w:jc w:val="center"/>
              <w:rPr>
                <w:sz w:val="14"/>
                <w:szCs w:val="14"/>
              </w:rPr>
            </w:pPr>
            <w:r w:rsidRPr="00AD49C8">
              <w:rPr>
                <w:sz w:val="14"/>
                <w:szCs w:val="14"/>
              </w:rPr>
              <w:t>Partnerships</w:t>
            </w:r>
          </w:p>
        </w:tc>
        <w:tc>
          <w:tcPr>
            <w:tcW w:w="283" w:type="pct"/>
            <w:tcBorders>
              <w:top w:val="single" w:sz="8" w:space="0" w:color="BFBFBF" w:themeColor="background1" w:themeShade="BF"/>
              <w:left w:val="single" w:sz="8" w:space="0" w:color="BFBFBF" w:themeColor="background1" w:themeShade="BF"/>
              <w:right w:val="single" w:sz="8" w:space="0" w:color="BFBFBF" w:themeColor="background1" w:themeShade="BF"/>
            </w:tcBorders>
            <w:shd w:val="clear" w:color="auto" w:fill="9D57A6"/>
            <w:tcMar>
              <w:bottom w:w="0" w:type="dxa"/>
            </w:tcMar>
            <w:vAlign w:val="center"/>
          </w:tcPr>
          <w:p w14:paraId="7FAE9C78" w14:textId="77777777" w:rsidR="00835D10" w:rsidRPr="00AD49C8" w:rsidRDefault="00835D10" w:rsidP="00835D10">
            <w:pPr>
              <w:pStyle w:val="Tablecolumnheadings"/>
              <w:jc w:val="center"/>
              <w:rPr>
                <w:sz w:val="14"/>
                <w:szCs w:val="14"/>
              </w:rPr>
            </w:pPr>
            <w:r w:rsidRPr="00AD49C8">
              <w:rPr>
                <w:sz w:val="14"/>
                <w:szCs w:val="14"/>
              </w:rPr>
              <w:t>Participation</w:t>
            </w:r>
          </w:p>
        </w:tc>
        <w:tc>
          <w:tcPr>
            <w:tcW w:w="273" w:type="pct"/>
            <w:tcBorders>
              <w:top w:val="single" w:sz="8" w:space="0" w:color="BFBFBF" w:themeColor="background1" w:themeShade="BF"/>
              <w:left w:val="single" w:sz="8" w:space="0" w:color="BFBFBF" w:themeColor="background1" w:themeShade="BF"/>
            </w:tcBorders>
            <w:shd w:val="clear" w:color="auto" w:fill="9D57A6"/>
            <w:tcMar>
              <w:bottom w:w="0" w:type="dxa"/>
            </w:tcMar>
            <w:vAlign w:val="center"/>
          </w:tcPr>
          <w:p w14:paraId="68B59BCE" w14:textId="77777777" w:rsidR="00835D10" w:rsidRPr="00AD49C8" w:rsidRDefault="00835D10" w:rsidP="00835D10">
            <w:pPr>
              <w:pStyle w:val="Tablecolumnheadings"/>
              <w:jc w:val="center"/>
              <w:rPr>
                <w:sz w:val="14"/>
                <w:szCs w:val="14"/>
              </w:rPr>
            </w:pPr>
            <w:r w:rsidRPr="00AD49C8">
              <w:rPr>
                <w:sz w:val="14"/>
                <w:szCs w:val="14"/>
              </w:rPr>
              <w:t>National Priorities Pool</w:t>
            </w:r>
          </w:p>
        </w:tc>
      </w:tr>
      <w:tr w:rsidR="00835D10" w:rsidRPr="001A2F85" w14:paraId="58ED47E7"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tcBorders>
              <w:top w:val="nil"/>
            </w:tcBorders>
            <w:vAlign w:val="center"/>
          </w:tcPr>
          <w:p w14:paraId="6A8B9968" w14:textId="77777777" w:rsidR="00835D10" w:rsidRPr="001A2F85" w:rsidRDefault="00835D10" w:rsidP="00835D10">
            <w:pPr>
              <w:pStyle w:val="Tabletext"/>
              <w:spacing w:before="0"/>
              <w:ind w:right="62"/>
              <w:rPr>
                <w:sz w:val="16"/>
                <w:szCs w:val="16"/>
              </w:rPr>
            </w:pPr>
            <w:r w:rsidRPr="001A2F85">
              <w:rPr>
                <w:sz w:val="16"/>
                <w:szCs w:val="16"/>
              </w:rPr>
              <w:t>Aspiration raising - pre-entry university experience</w:t>
            </w:r>
          </w:p>
        </w:tc>
        <w:tc>
          <w:tcPr>
            <w:tcW w:w="282" w:type="pct"/>
            <w:tcBorders>
              <w:top w:val="nil"/>
            </w:tcBorders>
            <w:textDirection w:val="btLr"/>
          </w:tcPr>
          <w:p w14:paraId="08892C09" w14:textId="77777777" w:rsidR="00835D10" w:rsidRPr="001A2F85" w:rsidRDefault="00835D10" w:rsidP="00835D10">
            <w:pPr>
              <w:pStyle w:val="Tabletext"/>
              <w:jc w:val="center"/>
              <w:rPr>
                <w:sz w:val="16"/>
                <w:szCs w:val="16"/>
              </w:rPr>
            </w:pPr>
          </w:p>
        </w:tc>
        <w:tc>
          <w:tcPr>
            <w:tcW w:w="282" w:type="pct"/>
            <w:tcBorders>
              <w:top w:val="nil"/>
            </w:tcBorders>
          </w:tcPr>
          <w:p w14:paraId="116B1569" w14:textId="77777777" w:rsidR="00835D10" w:rsidRPr="001A2F85" w:rsidRDefault="00835D10" w:rsidP="00835D10">
            <w:pPr>
              <w:pStyle w:val="Tabletext"/>
              <w:jc w:val="center"/>
              <w:rPr>
                <w:sz w:val="16"/>
                <w:szCs w:val="16"/>
              </w:rPr>
            </w:pPr>
            <w:r w:rsidRPr="001A2F85">
              <w:rPr>
                <w:rFonts w:ascii="Wingdings" w:hAnsi="Wingdings"/>
                <w:color w:val="000000"/>
                <w:sz w:val="16"/>
                <w:szCs w:val="16"/>
              </w:rPr>
              <w:t></w:t>
            </w:r>
          </w:p>
        </w:tc>
        <w:tc>
          <w:tcPr>
            <w:tcW w:w="283" w:type="pct"/>
            <w:tcBorders>
              <w:top w:val="nil"/>
            </w:tcBorders>
          </w:tcPr>
          <w:p w14:paraId="54212334" w14:textId="77777777" w:rsidR="00835D10" w:rsidRPr="001A2F85" w:rsidRDefault="00835D10" w:rsidP="00835D10">
            <w:pPr>
              <w:pStyle w:val="Tabletext"/>
              <w:jc w:val="center"/>
              <w:rPr>
                <w:sz w:val="16"/>
                <w:szCs w:val="16"/>
              </w:rPr>
            </w:pPr>
            <w:r w:rsidRPr="001A2F85">
              <w:rPr>
                <w:rFonts w:ascii="Wingdings" w:hAnsi="Wingdings"/>
                <w:color w:val="000000"/>
                <w:sz w:val="16"/>
                <w:szCs w:val="16"/>
              </w:rPr>
              <w:t></w:t>
            </w:r>
          </w:p>
        </w:tc>
        <w:tc>
          <w:tcPr>
            <w:tcW w:w="283" w:type="pct"/>
            <w:tcBorders>
              <w:top w:val="nil"/>
            </w:tcBorders>
          </w:tcPr>
          <w:p w14:paraId="1650555D" w14:textId="77777777" w:rsidR="00835D10" w:rsidRPr="001A2F85" w:rsidRDefault="00835D10" w:rsidP="00835D10">
            <w:pPr>
              <w:pStyle w:val="Tabletext"/>
              <w:jc w:val="center"/>
              <w:rPr>
                <w:sz w:val="16"/>
                <w:szCs w:val="16"/>
              </w:rPr>
            </w:pPr>
            <w:r w:rsidRPr="001A2F85">
              <w:rPr>
                <w:rFonts w:ascii="Wingdings" w:hAnsi="Wingdings"/>
                <w:color w:val="000000"/>
                <w:sz w:val="16"/>
                <w:szCs w:val="16"/>
              </w:rPr>
              <w:t></w:t>
            </w:r>
          </w:p>
        </w:tc>
        <w:tc>
          <w:tcPr>
            <w:tcW w:w="283" w:type="pct"/>
            <w:tcBorders>
              <w:top w:val="nil"/>
            </w:tcBorders>
          </w:tcPr>
          <w:p w14:paraId="22E7919A" w14:textId="77777777" w:rsidR="00835D10" w:rsidRPr="001A2F85" w:rsidRDefault="00835D10" w:rsidP="00835D10">
            <w:pPr>
              <w:pStyle w:val="Tabletext"/>
              <w:jc w:val="center"/>
              <w:rPr>
                <w:sz w:val="16"/>
                <w:szCs w:val="16"/>
              </w:rPr>
            </w:pPr>
            <w:r w:rsidRPr="001A2F85">
              <w:rPr>
                <w:rFonts w:ascii="Wingdings" w:hAnsi="Wingdings"/>
                <w:color w:val="000000"/>
                <w:sz w:val="16"/>
                <w:szCs w:val="16"/>
              </w:rPr>
              <w:t></w:t>
            </w:r>
          </w:p>
        </w:tc>
        <w:tc>
          <w:tcPr>
            <w:tcW w:w="283" w:type="pct"/>
            <w:tcBorders>
              <w:top w:val="nil"/>
            </w:tcBorders>
          </w:tcPr>
          <w:p w14:paraId="28C978FE" w14:textId="77777777" w:rsidR="00835D10" w:rsidRPr="001A2F85" w:rsidRDefault="00835D10" w:rsidP="00835D10">
            <w:pPr>
              <w:pStyle w:val="Tabletext"/>
              <w:jc w:val="center"/>
              <w:rPr>
                <w:sz w:val="16"/>
                <w:szCs w:val="16"/>
              </w:rPr>
            </w:pPr>
            <w:r w:rsidRPr="001A2F85">
              <w:rPr>
                <w:rFonts w:ascii="Wingdings" w:hAnsi="Wingdings"/>
                <w:color w:val="000000"/>
                <w:sz w:val="16"/>
                <w:szCs w:val="16"/>
              </w:rPr>
              <w:t></w:t>
            </w:r>
          </w:p>
        </w:tc>
        <w:tc>
          <w:tcPr>
            <w:tcW w:w="283" w:type="pct"/>
            <w:tcBorders>
              <w:top w:val="nil"/>
            </w:tcBorders>
            <w:textDirection w:val="btLr"/>
          </w:tcPr>
          <w:p w14:paraId="54337D04" w14:textId="77777777" w:rsidR="00835D10" w:rsidRPr="001A2F85" w:rsidRDefault="00835D10" w:rsidP="00835D10">
            <w:pPr>
              <w:pStyle w:val="Tabletext"/>
              <w:jc w:val="center"/>
              <w:rPr>
                <w:sz w:val="16"/>
                <w:szCs w:val="16"/>
              </w:rPr>
            </w:pPr>
          </w:p>
        </w:tc>
        <w:tc>
          <w:tcPr>
            <w:tcW w:w="283" w:type="pct"/>
            <w:tcBorders>
              <w:top w:val="nil"/>
            </w:tcBorders>
            <w:textDirection w:val="btLr"/>
          </w:tcPr>
          <w:p w14:paraId="564FED00" w14:textId="77777777" w:rsidR="00835D10" w:rsidRPr="001A2F85" w:rsidRDefault="00835D10" w:rsidP="00835D10">
            <w:pPr>
              <w:pStyle w:val="Tabletext"/>
              <w:jc w:val="center"/>
              <w:rPr>
                <w:sz w:val="16"/>
                <w:szCs w:val="16"/>
              </w:rPr>
            </w:pPr>
          </w:p>
        </w:tc>
        <w:tc>
          <w:tcPr>
            <w:tcW w:w="283" w:type="pct"/>
            <w:tcBorders>
              <w:top w:val="nil"/>
            </w:tcBorders>
            <w:textDirection w:val="btLr"/>
          </w:tcPr>
          <w:p w14:paraId="5343FE14" w14:textId="77777777" w:rsidR="00835D10" w:rsidRPr="001A2F85" w:rsidRDefault="00835D10" w:rsidP="00835D10">
            <w:pPr>
              <w:pStyle w:val="Tabletext"/>
              <w:jc w:val="center"/>
              <w:rPr>
                <w:sz w:val="16"/>
                <w:szCs w:val="16"/>
              </w:rPr>
            </w:pPr>
          </w:p>
        </w:tc>
        <w:tc>
          <w:tcPr>
            <w:tcW w:w="283" w:type="pct"/>
            <w:tcBorders>
              <w:top w:val="nil"/>
            </w:tcBorders>
            <w:textDirection w:val="btLr"/>
          </w:tcPr>
          <w:p w14:paraId="72772060" w14:textId="77777777" w:rsidR="00835D10" w:rsidRPr="001A2F85" w:rsidRDefault="00835D10" w:rsidP="00835D10">
            <w:pPr>
              <w:pStyle w:val="Tabletext"/>
              <w:jc w:val="center"/>
              <w:rPr>
                <w:sz w:val="16"/>
                <w:szCs w:val="16"/>
              </w:rPr>
            </w:pPr>
          </w:p>
        </w:tc>
        <w:tc>
          <w:tcPr>
            <w:tcW w:w="283" w:type="pct"/>
            <w:tcBorders>
              <w:top w:val="nil"/>
            </w:tcBorders>
          </w:tcPr>
          <w:p w14:paraId="5F21FE48" w14:textId="77777777" w:rsidR="00835D10" w:rsidRPr="001A2F85" w:rsidRDefault="00835D10" w:rsidP="00835D10">
            <w:pPr>
              <w:pStyle w:val="Tabletext"/>
              <w:spacing w:line="240" w:lineRule="auto"/>
              <w:jc w:val="center"/>
              <w:rPr>
                <w:rFonts w:ascii="Wingdings" w:hAnsi="Wingdings"/>
                <w:color w:val="000000"/>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83" w:type="pct"/>
            <w:tcBorders>
              <w:top w:val="nil"/>
            </w:tcBorders>
          </w:tcPr>
          <w:p w14:paraId="3624F04A" w14:textId="77777777" w:rsidR="00835D10" w:rsidRPr="001A2F85" w:rsidRDefault="00835D10" w:rsidP="00835D10">
            <w:pPr>
              <w:pStyle w:val="Tabletext"/>
              <w:jc w:val="center"/>
              <w:rPr>
                <w:sz w:val="16"/>
                <w:szCs w:val="16"/>
              </w:rPr>
            </w:pPr>
            <w:r w:rsidRPr="001A2F85">
              <w:rPr>
                <w:rFonts w:ascii="Wingdings" w:hAnsi="Wingdings"/>
                <w:color w:val="000000"/>
                <w:sz w:val="16"/>
                <w:szCs w:val="16"/>
              </w:rPr>
              <w:t></w:t>
            </w:r>
          </w:p>
        </w:tc>
        <w:tc>
          <w:tcPr>
            <w:tcW w:w="273" w:type="pct"/>
            <w:tcBorders>
              <w:top w:val="nil"/>
            </w:tcBorders>
          </w:tcPr>
          <w:p w14:paraId="42232272" w14:textId="77777777" w:rsidR="00835D10" w:rsidRPr="001A2F85" w:rsidRDefault="00835D10" w:rsidP="00835D10">
            <w:pPr>
              <w:pStyle w:val="Tabletext"/>
              <w:jc w:val="center"/>
              <w:rPr>
                <w:sz w:val="16"/>
                <w:szCs w:val="16"/>
              </w:rPr>
            </w:pPr>
            <w:r w:rsidRPr="001A2F85">
              <w:rPr>
                <w:rFonts w:ascii="Wingdings" w:hAnsi="Wingdings"/>
                <w:color w:val="000000"/>
                <w:sz w:val="16"/>
                <w:szCs w:val="16"/>
              </w:rPr>
              <w:t></w:t>
            </w:r>
          </w:p>
        </w:tc>
      </w:tr>
      <w:tr w:rsidR="00835D10" w:rsidRPr="001A2F85" w14:paraId="53AD9716"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21EC569D" w14:textId="77777777" w:rsidR="00835D10" w:rsidRPr="001A2F85" w:rsidRDefault="00835D10" w:rsidP="00835D10">
            <w:pPr>
              <w:pStyle w:val="Tabletext"/>
              <w:spacing w:line="240" w:lineRule="auto"/>
              <w:rPr>
                <w:sz w:val="16"/>
                <w:szCs w:val="16"/>
              </w:rPr>
            </w:pPr>
            <w:r w:rsidRPr="001A2F85">
              <w:rPr>
                <w:sz w:val="16"/>
                <w:szCs w:val="16"/>
              </w:rPr>
              <w:t>Aspiration raising – non-university experience</w:t>
            </w:r>
          </w:p>
        </w:tc>
        <w:tc>
          <w:tcPr>
            <w:tcW w:w="282" w:type="pct"/>
          </w:tcPr>
          <w:p w14:paraId="02C39BE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2" w:type="pct"/>
          </w:tcPr>
          <w:p w14:paraId="253FCE3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BD71F2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6D1E4D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D45F51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FD9128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5A9B432" w14:textId="77777777" w:rsidR="00835D10" w:rsidRPr="001A2F85" w:rsidRDefault="00835D10" w:rsidP="00835D10">
            <w:pPr>
              <w:pStyle w:val="Tabletext"/>
              <w:spacing w:line="240" w:lineRule="auto"/>
              <w:jc w:val="center"/>
              <w:rPr>
                <w:sz w:val="16"/>
                <w:szCs w:val="16"/>
              </w:rPr>
            </w:pPr>
          </w:p>
        </w:tc>
        <w:tc>
          <w:tcPr>
            <w:tcW w:w="283" w:type="pct"/>
          </w:tcPr>
          <w:p w14:paraId="7A729723" w14:textId="77777777" w:rsidR="00835D10" w:rsidRPr="001A2F85" w:rsidRDefault="00835D10" w:rsidP="00835D10">
            <w:pPr>
              <w:pStyle w:val="Tabletext"/>
              <w:spacing w:line="240" w:lineRule="auto"/>
              <w:jc w:val="center"/>
              <w:rPr>
                <w:sz w:val="16"/>
                <w:szCs w:val="16"/>
              </w:rPr>
            </w:pPr>
          </w:p>
        </w:tc>
        <w:tc>
          <w:tcPr>
            <w:tcW w:w="283" w:type="pct"/>
          </w:tcPr>
          <w:p w14:paraId="191D03AB" w14:textId="77777777" w:rsidR="00835D10" w:rsidRPr="001A2F85" w:rsidRDefault="00835D10" w:rsidP="00835D10">
            <w:pPr>
              <w:pStyle w:val="Tabletext"/>
              <w:spacing w:line="240" w:lineRule="auto"/>
              <w:jc w:val="center"/>
              <w:rPr>
                <w:sz w:val="16"/>
                <w:szCs w:val="16"/>
              </w:rPr>
            </w:pPr>
          </w:p>
        </w:tc>
        <w:tc>
          <w:tcPr>
            <w:tcW w:w="283" w:type="pct"/>
          </w:tcPr>
          <w:p w14:paraId="0922649B" w14:textId="77777777" w:rsidR="00835D10" w:rsidRPr="001A2F85" w:rsidRDefault="00835D10" w:rsidP="00835D10">
            <w:pPr>
              <w:pStyle w:val="Tabletext"/>
              <w:spacing w:line="240" w:lineRule="auto"/>
              <w:jc w:val="center"/>
              <w:rPr>
                <w:sz w:val="16"/>
                <w:szCs w:val="16"/>
              </w:rPr>
            </w:pPr>
          </w:p>
        </w:tc>
        <w:tc>
          <w:tcPr>
            <w:tcW w:w="283" w:type="pct"/>
          </w:tcPr>
          <w:p w14:paraId="077A4B9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83" w:type="pct"/>
          </w:tcPr>
          <w:p w14:paraId="79B31CB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73" w:type="pct"/>
          </w:tcPr>
          <w:p w14:paraId="6762C85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2ED2546F"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458A1822" w14:textId="77777777" w:rsidR="00835D10" w:rsidRPr="001A2F85" w:rsidRDefault="00835D10" w:rsidP="00835D10">
            <w:pPr>
              <w:pStyle w:val="Tabletext"/>
              <w:spacing w:line="240" w:lineRule="auto"/>
              <w:rPr>
                <w:sz w:val="16"/>
                <w:szCs w:val="16"/>
              </w:rPr>
            </w:pPr>
            <w:r w:rsidRPr="001A2F85">
              <w:rPr>
                <w:sz w:val="16"/>
                <w:szCs w:val="16"/>
              </w:rPr>
              <w:t>Careers advice</w:t>
            </w:r>
          </w:p>
        </w:tc>
        <w:tc>
          <w:tcPr>
            <w:tcW w:w="282" w:type="pct"/>
          </w:tcPr>
          <w:p w14:paraId="5DCCB4D4" w14:textId="77777777" w:rsidR="00835D10" w:rsidRPr="001A2F85" w:rsidRDefault="00835D10" w:rsidP="00835D10">
            <w:pPr>
              <w:pStyle w:val="Tabletext"/>
              <w:spacing w:line="240" w:lineRule="auto"/>
              <w:jc w:val="center"/>
              <w:rPr>
                <w:sz w:val="16"/>
                <w:szCs w:val="16"/>
              </w:rPr>
            </w:pPr>
          </w:p>
        </w:tc>
        <w:tc>
          <w:tcPr>
            <w:tcW w:w="282" w:type="pct"/>
          </w:tcPr>
          <w:p w14:paraId="1142191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FCA16D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6DA535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0BC6E1A"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7D89D2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C11ECD5"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6B79766"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C37ECB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881C97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61B3DB7"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83" w:type="pct"/>
          </w:tcPr>
          <w:p w14:paraId="4E1B5AA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0A71122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5EDFDBA3"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55FE003D" w14:textId="77777777" w:rsidR="00835D10" w:rsidRPr="001A2F85" w:rsidRDefault="00835D10" w:rsidP="00835D10">
            <w:pPr>
              <w:pStyle w:val="Tabletext"/>
              <w:spacing w:line="240" w:lineRule="auto"/>
              <w:rPr>
                <w:sz w:val="16"/>
                <w:szCs w:val="16"/>
              </w:rPr>
            </w:pPr>
            <w:r w:rsidRPr="001A2F85">
              <w:rPr>
                <w:sz w:val="16"/>
                <w:szCs w:val="16"/>
              </w:rPr>
              <w:t>Mentoring, peer support</w:t>
            </w:r>
          </w:p>
        </w:tc>
        <w:tc>
          <w:tcPr>
            <w:tcW w:w="282" w:type="pct"/>
          </w:tcPr>
          <w:p w14:paraId="0C5BFCCE" w14:textId="77777777" w:rsidR="00835D10" w:rsidRPr="001A2F85" w:rsidRDefault="00835D10" w:rsidP="00835D10">
            <w:pPr>
              <w:pStyle w:val="Tabletext"/>
              <w:spacing w:line="240" w:lineRule="auto"/>
              <w:jc w:val="center"/>
              <w:rPr>
                <w:sz w:val="16"/>
                <w:szCs w:val="16"/>
              </w:rPr>
            </w:pPr>
          </w:p>
        </w:tc>
        <w:tc>
          <w:tcPr>
            <w:tcW w:w="282" w:type="pct"/>
          </w:tcPr>
          <w:p w14:paraId="3FFE19B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22E5CA0"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7A42E5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09336CC" w14:textId="77777777" w:rsidR="00835D10" w:rsidRPr="001A2F85" w:rsidRDefault="00835D10" w:rsidP="00835D10">
            <w:pPr>
              <w:pStyle w:val="Tabletext"/>
              <w:spacing w:line="240" w:lineRule="auto"/>
              <w:jc w:val="center"/>
              <w:rPr>
                <w:sz w:val="16"/>
                <w:szCs w:val="16"/>
              </w:rPr>
            </w:pPr>
          </w:p>
        </w:tc>
        <w:tc>
          <w:tcPr>
            <w:tcW w:w="283" w:type="pct"/>
          </w:tcPr>
          <w:p w14:paraId="7AA9EC80" w14:textId="77777777" w:rsidR="00835D10" w:rsidRPr="001A2F85" w:rsidRDefault="00835D10" w:rsidP="00835D10">
            <w:pPr>
              <w:pStyle w:val="Tabletext"/>
              <w:spacing w:line="240" w:lineRule="auto"/>
              <w:jc w:val="center"/>
              <w:rPr>
                <w:sz w:val="16"/>
                <w:szCs w:val="16"/>
              </w:rPr>
            </w:pPr>
          </w:p>
        </w:tc>
        <w:tc>
          <w:tcPr>
            <w:tcW w:w="283" w:type="pct"/>
          </w:tcPr>
          <w:p w14:paraId="63E2D3C6"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FE334B7"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A6A0588" w14:textId="77777777" w:rsidR="00835D10" w:rsidRPr="001A2F85" w:rsidRDefault="00835D10" w:rsidP="00835D10">
            <w:pPr>
              <w:pStyle w:val="Tabletext"/>
              <w:spacing w:line="240" w:lineRule="auto"/>
              <w:jc w:val="center"/>
              <w:rPr>
                <w:sz w:val="16"/>
                <w:szCs w:val="16"/>
              </w:rPr>
            </w:pPr>
          </w:p>
        </w:tc>
        <w:tc>
          <w:tcPr>
            <w:tcW w:w="283" w:type="pct"/>
          </w:tcPr>
          <w:p w14:paraId="7062FCF5" w14:textId="77777777" w:rsidR="00835D10" w:rsidRPr="001A2F85" w:rsidRDefault="00835D10" w:rsidP="00835D10">
            <w:pPr>
              <w:pStyle w:val="Tabletext"/>
              <w:spacing w:line="240" w:lineRule="auto"/>
              <w:jc w:val="center"/>
              <w:rPr>
                <w:sz w:val="16"/>
                <w:szCs w:val="16"/>
              </w:rPr>
            </w:pPr>
          </w:p>
        </w:tc>
        <w:tc>
          <w:tcPr>
            <w:tcW w:w="283" w:type="pct"/>
          </w:tcPr>
          <w:p w14:paraId="208F38F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83" w:type="pct"/>
          </w:tcPr>
          <w:p w14:paraId="31884BC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54D08735"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3DBA9FCC"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4CF9DED2" w14:textId="77777777" w:rsidR="00835D10" w:rsidRPr="001A2F85" w:rsidRDefault="00835D10" w:rsidP="00835D10">
            <w:pPr>
              <w:pStyle w:val="Tabletext"/>
              <w:spacing w:line="240" w:lineRule="auto"/>
              <w:rPr>
                <w:sz w:val="16"/>
                <w:szCs w:val="16"/>
              </w:rPr>
            </w:pPr>
            <w:r w:rsidRPr="001A2F85">
              <w:rPr>
                <w:sz w:val="16"/>
                <w:szCs w:val="16"/>
              </w:rPr>
              <w:t xml:space="preserve">Academic preparation/support </w:t>
            </w:r>
          </w:p>
        </w:tc>
        <w:tc>
          <w:tcPr>
            <w:tcW w:w="282" w:type="pct"/>
          </w:tcPr>
          <w:p w14:paraId="28E5F9A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2" w:type="pct"/>
          </w:tcPr>
          <w:p w14:paraId="19A6591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DB4019A"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DAE204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C19FC05"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BE621A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6A7168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6319399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9C29D22" w14:textId="77777777" w:rsidR="00835D10" w:rsidRPr="001A2F85" w:rsidRDefault="00835D10" w:rsidP="00835D10">
            <w:pPr>
              <w:pStyle w:val="Tabletext"/>
              <w:spacing w:line="240" w:lineRule="auto"/>
              <w:jc w:val="center"/>
              <w:rPr>
                <w:sz w:val="16"/>
                <w:szCs w:val="16"/>
              </w:rPr>
            </w:pPr>
          </w:p>
        </w:tc>
        <w:tc>
          <w:tcPr>
            <w:tcW w:w="283" w:type="pct"/>
          </w:tcPr>
          <w:p w14:paraId="1A130E4D" w14:textId="77777777" w:rsidR="00835D10" w:rsidRPr="001A2F85" w:rsidRDefault="00835D10" w:rsidP="00835D10">
            <w:pPr>
              <w:pStyle w:val="Tabletext"/>
              <w:spacing w:line="240" w:lineRule="auto"/>
              <w:jc w:val="center"/>
              <w:rPr>
                <w:sz w:val="16"/>
                <w:szCs w:val="16"/>
              </w:rPr>
            </w:pPr>
          </w:p>
        </w:tc>
        <w:tc>
          <w:tcPr>
            <w:tcW w:w="283" w:type="pct"/>
          </w:tcPr>
          <w:p w14:paraId="6818577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83" w:type="pct"/>
          </w:tcPr>
          <w:p w14:paraId="08E16D7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4B314F4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2EA65C0E"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3B912283" w14:textId="77777777" w:rsidR="00835D10" w:rsidRPr="001A2F85" w:rsidRDefault="00835D10" w:rsidP="00835D10">
            <w:pPr>
              <w:pStyle w:val="Tabletext"/>
              <w:spacing w:line="240" w:lineRule="auto"/>
              <w:rPr>
                <w:sz w:val="16"/>
                <w:szCs w:val="16"/>
              </w:rPr>
            </w:pPr>
            <w:r w:rsidRPr="001A2F85">
              <w:rPr>
                <w:sz w:val="16"/>
                <w:szCs w:val="16"/>
              </w:rPr>
              <w:t xml:space="preserve">Professional development </w:t>
            </w:r>
          </w:p>
        </w:tc>
        <w:tc>
          <w:tcPr>
            <w:tcW w:w="282" w:type="pct"/>
          </w:tcPr>
          <w:p w14:paraId="49E5C76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2" w:type="pct"/>
          </w:tcPr>
          <w:p w14:paraId="0F2026D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F7DFCA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F53C0D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B197D80" w14:textId="77777777" w:rsidR="00835D10" w:rsidRPr="001A2F85" w:rsidRDefault="00835D10" w:rsidP="00835D10">
            <w:pPr>
              <w:pStyle w:val="Tabletext"/>
              <w:spacing w:line="240" w:lineRule="auto"/>
              <w:jc w:val="center"/>
              <w:rPr>
                <w:sz w:val="16"/>
                <w:szCs w:val="16"/>
              </w:rPr>
            </w:pPr>
          </w:p>
        </w:tc>
        <w:tc>
          <w:tcPr>
            <w:tcW w:w="283" w:type="pct"/>
          </w:tcPr>
          <w:p w14:paraId="2BF07456" w14:textId="77777777" w:rsidR="00835D10" w:rsidRPr="001A2F85" w:rsidRDefault="00835D10" w:rsidP="00835D10">
            <w:pPr>
              <w:pStyle w:val="Tabletext"/>
              <w:spacing w:line="240" w:lineRule="auto"/>
              <w:jc w:val="center"/>
              <w:rPr>
                <w:sz w:val="16"/>
                <w:szCs w:val="16"/>
              </w:rPr>
            </w:pPr>
          </w:p>
        </w:tc>
        <w:tc>
          <w:tcPr>
            <w:tcW w:w="283" w:type="pct"/>
          </w:tcPr>
          <w:p w14:paraId="42ABE31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73450C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D0CF26A"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4BC7E7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E4D3AC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83" w:type="pct"/>
          </w:tcPr>
          <w:p w14:paraId="43D5CFE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73" w:type="pct"/>
          </w:tcPr>
          <w:p w14:paraId="7C965777"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06A32D98"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3F26473F" w14:textId="77777777" w:rsidR="00835D10" w:rsidRPr="001A2F85" w:rsidRDefault="00835D10" w:rsidP="00835D10">
            <w:pPr>
              <w:pStyle w:val="Tabletext"/>
              <w:spacing w:line="240" w:lineRule="auto"/>
              <w:rPr>
                <w:sz w:val="16"/>
                <w:szCs w:val="16"/>
              </w:rPr>
            </w:pPr>
            <w:r w:rsidRPr="001A2F85">
              <w:rPr>
                <w:sz w:val="16"/>
                <w:szCs w:val="16"/>
              </w:rPr>
              <w:t>Parent/community information/support</w:t>
            </w:r>
          </w:p>
        </w:tc>
        <w:tc>
          <w:tcPr>
            <w:tcW w:w="282" w:type="pct"/>
          </w:tcPr>
          <w:p w14:paraId="3A8824A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2" w:type="pct"/>
          </w:tcPr>
          <w:p w14:paraId="13F2588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33A3E27"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C6F5095" w14:textId="77777777" w:rsidR="00835D10" w:rsidRPr="001A2F85" w:rsidRDefault="00835D10" w:rsidP="00835D10">
            <w:pPr>
              <w:pStyle w:val="Tabletext"/>
              <w:spacing w:line="240" w:lineRule="auto"/>
              <w:jc w:val="center"/>
              <w:rPr>
                <w:sz w:val="16"/>
                <w:szCs w:val="16"/>
              </w:rPr>
            </w:pPr>
          </w:p>
        </w:tc>
        <w:tc>
          <w:tcPr>
            <w:tcW w:w="283" w:type="pct"/>
          </w:tcPr>
          <w:p w14:paraId="55734BFB" w14:textId="77777777" w:rsidR="00835D10" w:rsidRPr="001A2F85" w:rsidRDefault="00835D10" w:rsidP="00835D10">
            <w:pPr>
              <w:pStyle w:val="Tabletext"/>
              <w:spacing w:line="240" w:lineRule="auto"/>
              <w:jc w:val="center"/>
              <w:rPr>
                <w:sz w:val="16"/>
                <w:szCs w:val="16"/>
              </w:rPr>
            </w:pPr>
          </w:p>
        </w:tc>
        <w:tc>
          <w:tcPr>
            <w:tcW w:w="283" w:type="pct"/>
          </w:tcPr>
          <w:p w14:paraId="4336ACBB" w14:textId="77777777" w:rsidR="00835D10" w:rsidRPr="001A2F85" w:rsidRDefault="00835D10" w:rsidP="00835D10">
            <w:pPr>
              <w:pStyle w:val="Tabletext"/>
              <w:spacing w:line="240" w:lineRule="auto"/>
              <w:jc w:val="center"/>
              <w:rPr>
                <w:sz w:val="16"/>
                <w:szCs w:val="16"/>
              </w:rPr>
            </w:pPr>
          </w:p>
        </w:tc>
        <w:tc>
          <w:tcPr>
            <w:tcW w:w="283" w:type="pct"/>
          </w:tcPr>
          <w:p w14:paraId="238D65E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28A9B26" w14:textId="77777777" w:rsidR="00835D10" w:rsidRPr="001A2F85" w:rsidRDefault="00835D10" w:rsidP="00835D10">
            <w:pPr>
              <w:pStyle w:val="Tabletext"/>
              <w:spacing w:line="240" w:lineRule="auto"/>
              <w:jc w:val="center"/>
              <w:rPr>
                <w:sz w:val="16"/>
                <w:szCs w:val="16"/>
              </w:rPr>
            </w:pPr>
          </w:p>
        </w:tc>
        <w:tc>
          <w:tcPr>
            <w:tcW w:w="283" w:type="pct"/>
          </w:tcPr>
          <w:p w14:paraId="1A6EA094" w14:textId="77777777" w:rsidR="00835D10" w:rsidRPr="001A2F85" w:rsidRDefault="00835D10" w:rsidP="00835D10">
            <w:pPr>
              <w:pStyle w:val="Tabletext"/>
              <w:spacing w:line="240" w:lineRule="auto"/>
              <w:jc w:val="center"/>
              <w:rPr>
                <w:sz w:val="16"/>
                <w:szCs w:val="16"/>
              </w:rPr>
            </w:pPr>
          </w:p>
        </w:tc>
        <w:tc>
          <w:tcPr>
            <w:tcW w:w="283" w:type="pct"/>
          </w:tcPr>
          <w:p w14:paraId="211301D8" w14:textId="77777777" w:rsidR="00835D10" w:rsidRPr="001A2F85" w:rsidRDefault="00835D10" w:rsidP="00835D10">
            <w:pPr>
              <w:pStyle w:val="Tabletext"/>
              <w:spacing w:line="240" w:lineRule="auto"/>
              <w:jc w:val="center"/>
              <w:rPr>
                <w:sz w:val="16"/>
                <w:szCs w:val="16"/>
              </w:rPr>
            </w:pPr>
          </w:p>
        </w:tc>
        <w:tc>
          <w:tcPr>
            <w:tcW w:w="283" w:type="pct"/>
          </w:tcPr>
          <w:p w14:paraId="713A8F2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83" w:type="pct"/>
          </w:tcPr>
          <w:p w14:paraId="6E9313F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73" w:type="pct"/>
          </w:tcPr>
          <w:p w14:paraId="1B722FD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2D9C7BD8"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3D18E0CF" w14:textId="77777777" w:rsidR="00835D10" w:rsidRPr="001A2F85" w:rsidRDefault="00835D10" w:rsidP="00835D10">
            <w:pPr>
              <w:pStyle w:val="Tabletext"/>
              <w:spacing w:line="240" w:lineRule="auto"/>
              <w:rPr>
                <w:sz w:val="16"/>
                <w:szCs w:val="16"/>
              </w:rPr>
            </w:pPr>
            <w:r w:rsidRPr="001A2F85">
              <w:rPr>
                <w:sz w:val="16"/>
                <w:szCs w:val="16"/>
              </w:rPr>
              <w:t>Other outreach</w:t>
            </w:r>
          </w:p>
        </w:tc>
        <w:tc>
          <w:tcPr>
            <w:tcW w:w="282" w:type="pct"/>
          </w:tcPr>
          <w:p w14:paraId="7E752EB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2" w:type="pct"/>
          </w:tcPr>
          <w:p w14:paraId="708D907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1ED419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5F8FAA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BB5454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430308B" w14:textId="77777777" w:rsidR="00835D10" w:rsidRPr="001A2F85" w:rsidRDefault="00835D10" w:rsidP="00835D10">
            <w:pPr>
              <w:pStyle w:val="Tabletext"/>
              <w:spacing w:line="240" w:lineRule="auto"/>
              <w:jc w:val="center"/>
              <w:rPr>
                <w:sz w:val="16"/>
                <w:szCs w:val="16"/>
              </w:rPr>
            </w:pPr>
          </w:p>
        </w:tc>
        <w:tc>
          <w:tcPr>
            <w:tcW w:w="283" w:type="pct"/>
          </w:tcPr>
          <w:p w14:paraId="37C31B0A" w14:textId="77777777" w:rsidR="00835D10" w:rsidRPr="001A2F85" w:rsidRDefault="00835D10" w:rsidP="00835D10">
            <w:pPr>
              <w:pStyle w:val="Tabletext"/>
              <w:spacing w:line="240" w:lineRule="auto"/>
              <w:jc w:val="center"/>
              <w:rPr>
                <w:sz w:val="16"/>
                <w:szCs w:val="16"/>
              </w:rPr>
            </w:pPr>
          </w:p>
        </w:tc>
        <w:tc>
          <w:tcPr>
            <w:tcW w:w="283" w:type="pct"/>
          </w:tcPr>
          <w:p w14:paraId="52F1209B" w14:textId="77777777" w:rsidR="00835D10" w:rsidRPr="001A2F85" w:rsidRDefault="00835D10" w:rsidP="00835D10">
            <w:pPr>
              <w:pStyle w:val="Tabletext"/>
              <w:spacing w:line="240" w:lineRule="auto"/>
              <w:jc w:val="center"/>
              <w:rPr>
                <w:sz w:val="16"/>
                <w:szCs w:val="16"/>
              </w:rPr>
            </w:pPr>
          </w:p>
        </w:tc>
        <w:tc>
          <w:tcPr>
            <w:tcW w:w="283" w:type="pct"/>
          </w:tcPr>
          <w:p w14:paraId="077CA936" w14:textId="77777777" w:rsidR="00835D10" w:rsidRPr="001A2F85" w:rsidRDefault="00835D10" w:rsidP="00835D10">
            <w:pPr>
              <w:pStyle w:val="Tabletext"/>
              <w:spacing w:line="240" w:lineRule="auto"/>
              <w:jc w:val="center"/>
              <w:rPr>
                <w:sz w:val="16"/>
                <w:szCs w:val="16"/>
              </w:rPr>
            </w:pPr>
          </w:p>
        </w:tc>
        <w:tc>
          <w:tcPr>
            <w:tcW w:w="283" w:type="pct"/>
          </w:tcPr>
          <w:p w14:paraId="54743A5B" w14:textId="77777777" w:rsidR="00835D10" w:rsidRPr="001A2F85" w:rsidRDefault="00835D10" w:rsidP="00835D10">
            <w:pPr>
              <w:pStyle w:val="Tabletext"/>
              <w:spacing w:line="240" w:lineRule="auto"/>
              <w:jc w:val="center"/>
              <w:rPr>
                <w:sz w:val="16"/>
                <w:szCs w:val="16"/>
              </w:rPr>
            </w:pPr>
          </w:p>
        </w:tc>
        <w:tc>
          <w:tcPr>
            <w:tcW w:w="283" w:type="pct"/>
          </w:tcPr>
          <w:p w14:paraId="09EFA8A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83" w:type="pct"/>
          </w:tcPr>
          <w:p w14:paraId="4A26B2B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73" w:type="pct"/>
          </w:tcPr>
          <w:p w14:paraId="49A3D7D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3758EB91"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6747E967" w14:textId="77777777" w:rsidR="00835D10" w:rsidRPr="001A2F85" w:rsidRDefault="00835D10" w:rsidP="00835D10">
            <w:pPr>
              <w:pStyle w:val="Tabletext"/>
              <w:spacing w:line="240" w:lineRule="auto"/>
              <w:rPr>
                <w:sz w:val="16"/>
                <w:szCs w:val="16"/>
              </w:rPr>
            </w:pPr>
            <w:r w:rsidRPr="001A2F85">
              <w:rPr>
                <w:sz w:val="16"/>
                <w:szCs w:val="16"/>
              </w:rPr>
              <w:t xml:space="preserve">Pre university qualification pathway </w:t>
            </w:r>
          </w:p>
        </w:tc>
        <w:tc>
          <w:tcPr>
            <w:tcW w:w="282" w:type="pct"/>
          </w:tcPr>
          <w:p w14:paraId="4CD20FC0" w14:textId="77777777" w:rsidR="00835D10" w:rsidRPr="001A2F85" w:rsidRDefault="00835D10" w:rsidP="00835D10">
            <w:pPr>
              <w:pStyle w:val="Tabletext"/>
              <w:spacing w:line="240" w:lineRule="auto"/>
              <w:jc w:val="center"/>
              <w:rPr>
                <w:sz w:val="16"/>
                <w:szCs w:val="16"/>
              </w:rPr>
            </w:pPr>
          </w:p>
        </w:tc>
        <w:tc>
          <w:tcPr>
            <w:tcW w:w="282" w:type="pct"/>
          </w:tcPr>
          <w:p w14:paraId="31B311D7" w14:textId="77777777" w:rsidR="00835D10" w:rsidRPr="001A2F85" w:rsidRDefault="00835D10" w:rsidP="00835D10">
            <w:pPr>
              <w:pStyle w:val="Tabletext"/>
              <w:spacing w:line="240" w:lineRule="auto"/>
              <w:jc w:val="center"/>
              <w:rPr>
                <w:sz w:val="16"/>
                <w:szCs w:val="16"/>
              </w:rPr>
            </w:pPr>
          </w:p>
        </w:tc>
        <w:tc>
          <w:tcPr>
            <w:tcW w:w="283" w:type="pct"/>
          </w:tcPr>
          <w:p w14:paraId="3DC03DD2" w14:textId="77777777" w:rsidR="00835D10" w:rsidRPr="001A2F85" w:rsidRDefault="00835D10" w:rsidP="00835D10">
            <w:pPr>
              <w:pStyle w:val="Tabletext"/>
              <w:spacing w:line="240" w:lineRule="auto"/>
              <w:jc w:val="center"/>
              <w:rPr>
                <w:sz w:val="16"/>
                <w:szCs w:val="16"/>
              </w:rPr>
            </w:pPr>
          </w:p>
        </w:tc>
        <w:tc>
          <w:tcPr>
            <w:tcW w:w="283" w:type="pct"/>
          </w:tcPr>
          <w:p w14:paraId="13107D87"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AAC6E85"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418D34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76E71D0" w14:textId="77777777" w:rsidR="00835D10" w:rsidRPr="001A2F85" w:rsidRDefault="00835D10" w:rsidP="00835D10">
            <w:pPr>
              <w:pStyle w:val="Tabletext"/>
              <w:spacing w:line="240" w:lineRule="auto"/>
              <w:jc w:val="center"/>
              <w:rPr>
                <w:sz w:val="16"/>
                <w:szCs w:val="16"/>
              </w:rPr>
            </w:pPr>
          </w:p>
        </w:tc>
        <w:tc>
          <w:tcPr>
            <w:tcW w:w="283" w:type="pct"/>
          </w:tcPr>
          <w:p w14:paraId="3310E752" w14:textId="77777777" w:rsidR="00835D10" w:rsidRPr="001A2F85" w:rsidRDefault="00835D10" w:rsidP="00835D10">
            <w:pPr>
              <w:pStyle w:val="Tabletext"/>
              <w:spacing w:line="240" w:lineRule="auto"/>
              <w:jc w:val="center"/>
              <w:rPr>
                <w:sz w:val="16"/>
                <w:szCs w:val="16"/>
              </w:rPr>
            </w:pPr>
          </w:p>
        </w:tc>
        <w:tc>
          <w:tcPr>
            <w:tcW w:w="283" w:type="pct"/>
          </w:tcPr>
          <w:p w14:paraId="2A86F574" w14:textId="77777777" w:rsidR="00835D10" w:rsidRPr="001A2F85" w:rsidRDefault="00835D10" w:rsidP="00835D10">
            <w:pPr>
              <w:pStyle w:val="Tabletext"/>
              <w:spacing w:line="240" w:lineRule="auto"/>
              <w:jc w:val="center"/>
              <w:rPr>
                <w:sz w:val="16"/>
                <w:szCs w:val="16"/>
              </w:rPr>
            </w:pPr>
          </w:p>
        </w:tc>
        <w:tc>
          <w:tcPr>
            <w:tcW w:w="283" w:type="pct"/>
          </w:tcPr>
          <w:p w14:paraId="1683339E" w14:textId="77777777" w:rsidR="00835D10" w:rsidRPr="001A2F85" w:rsidRDefault="00835D10" w:rsidP="00835D10">
            <w:pPr>
              <w:pStyle w:val="Tabletext"/>
              <w:spacing w:line="240" w:lineRule="auto"/>
              <w:jc w:val="center"/>
              <w:rPr>
                <w:sz w:val="16"/>
                <w:szCs w:val="16"/>
              </w:rPr>
            </w:pPr>
          </w:p>
        </w:tc>
        <w:tc>
          <w:tcPr>
            <w:tcW w:w="283" w:type="pct"/>
          </w:tcPr>
          <w:p w14:paraId="425FEB05" w14:textId="77777777" w:rsidR="00835D10" w:rsidRPr="001A2F85" w:rsidRDefault="00835D10" w:rsidP="00835D10">
            <w:pPr>
              <w:pStyle w:val="Tabletext"/>
              <w:spacing w:line="240" w:lineRule="auto"/>
              <w:jc w:val="center"/>
              <w:rPr>
                <w:sz w:val="16"/>
                <w:szCs w:val="16"/>
              </w:rPr>
            </w:pPr>
          </w:p>
        </w:tc>
        <w:tc>
          <w:tcPr>
            <w:tcW w:w="283" w:type="pct"/>
          </w:tcPr>
          <w:p w14:paraId="74C8089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38FF5B2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594BC3FC"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6951F1F0" w14:textId="77777777" w:rsidR="00835D10" w:rsidRPr="001A2F85" w:rsidRDefault="00835D10" w:rsidP="00835D10">
            <w:pPr>
              <w:pStyle w:val="Tabletext"/>
              <w:spacing w:line="240" w:lineRule="auto"/>
              <w:rPr>
                <w:sz w:val="16"/>
                <w:szCs w:val="16"/>
              </w:rPr>
            </w:pPr>
            <w:r w:rsidRPr="001A2F85">
              <w:rPr>
                <w:sz w:val="16"/>
                <w:szCs w:val="16"/>
              </w:rPr>
              <w:t>Foundation programs for extra academic skills</w:t>
            </w:r>
          </w:p>
        </w:tc>
        <w:tc>
          <w:tcPr>
            <w:tcW w:w="282" w:type="pct"/>
          </w:tcPr>
          <w:p w14:paraId="07BB8358" w14:textId="77777777" w:rsidR="00835D10" w:rsidRPr="001A2F85" w:rsidRDefault="00835D10" w:rsidP="00835D10">
            <w:pPr>
              <w:pStyle w:val="Tabletext"/>
              <w:spacing w:line="240" w:lineRule="auto"/>
              <w:jc w:val="center"/>
              <w:rPr>
                <w:sz w:val="16"/>
                <w:szCs w:val="16"/>
              </w:rPr>
            </w:pPr>
          </w:p>
        </w:tc>
        <w:tc>
          <w:tcPr>
            <w:tcW w:w="282" w:type="pct"/>
          </w:tcPr>
          <w:p w14:paraId="3FAA83D0" w14:textId="77777777" w:rsidR="00835D10" w:rsidRPr="001A2F85" w:rsidRDefault="00835D10" w:rsidP="00835D10">
            <w:pPr>
              <w:pStyle w:val="Tabletext"/>
              <w:spacing w:line="240" w:lineRule="auto"/>
              <w:jc w:val="center"/>
              <w:rPr>
                <w:sz w:val="16"/>
                <w:szCs w:val="16"/>
              </w:rPr>
            </w:pPr>
          </w:p>
        </w:tc>
        <w:tc>
          <w:tcPr>
            <w:tcW w:w="283" w:type="pct"/>
          </w:tcPr>
          <w:p w14:paraId="0B8F88EC" w14:textId="77777777" w:rsidR="00835D10" w:rsidRPr="001A2F85" w:rsidRDefault="00835D10" w:rsidP="00835D10">
            <w:pPr>
              <w:pStyle w:val="Tabletext"/>
              <w:spacing w:line="240" w:lineRule="auto"/>
              <w:jc w:val="center"/>
              <w:rPr>
                <w:sz w:val="16"/>
                <w:szCs w:val="16"/>
              </w:rPr>
            </w:pPr>
          </w:p>
        </w:tc>
        <w:tc>
          <w:tcPr>
            <w:tcW w:w="283" w:type="pct"/>
          </w:tcPr>
          <w:p w14:paraId="1C848EB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463D92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58F4CE5"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585B3DA" w14:textId="77777777" w:rsidR="00835D10" w:rsidRPr="001A2F85" w:rsidRDefault="00835D10" w:rsidP="00835D10">
            <w:pPr>
              <w:pStyle w:val="Tabletext"/>
              <w:spacing w:line="240" w:lineRule="auto"/>
              <w:jc w:val="center"/>
              <w:rPr>
                <w:sz w:val="16"/>
                <w:szCs w:val="16"/>
              </w:rPr>
            </w:pPr>
          </w:p>
        </w:tc>
        <w:tc>
          <w:tcPr>
            <w:tcW w:w="283" w:type="pct"/>
          </w:tcPr>
          <w:p w14:paraId="755170AF" w14:textId="77777777" w:rsidR="00835D10" w:rsidRPr="001A2F85" w:rsidRDefault="00835D10" w:rsidP="00835D10">
            <w:pPr>
              <w:pStyle w:val="Tabletext"/>
              <w:spacing w:line="240" w:lineRule="auto"/>
              <w:jc w:val="center"/>
              <w:rPr>
                <w:sz w:val="16"/>
                <w:szCs w:val="16"/>
              </w:rPr>
            </w:pPr>
          </w:p>
        </w:tc>
        <w:tc>
          <w:tcPr>
            <w:tcW w:w="283" w:type="pct"/>
          </w:tcPr>
          <w:p w14:paraId="505CD625" w14:textId="77777777" w:rsidR="00835D10" w:rsidRPr="001A2F85" w:rsidRDefault="00835D10" w:rsidP="00835D10">
            <w:pPr>
              <w:pStyle w:val="Tabletext"/>
              <w:spacing w:line="240" w:lineRule="auto"/>
              <w:jc w:val="center"/>
              <w:rPr>
                <w:sz w:val="16"/>
                <w:szCs w:val="16"/>
              </w:rPr>
            </w:pPr>
          </w:p>
        </w:tc>
        <w:tc>
          <w:tcPr>
            <w:tcW w:w="283" w:type="pct"/>
          </w:tcPr>
          <w:p w14:paraId="14902AED" w14:textId="77777777" w:rsidR="00835D10" w:rsidRPr="001A2F85" w:rsidRDefault="00835D10" w:rsidP="00835D10">
            <w:pPr>
              <w:pStyle w:val="Tabletext"/>
              <w:spacing w:line="240" w:lineRule="auto"/>
              <w:jc w:val="center"/>
              <w:rPr>
                <w:sz w:val="16"/>
                <w:szCs w:val="16"/>
              </w:rPr>
            </w:pPr>
          </w:p>
        </w:tc>
        <w:tc>
          <w:tcPr>
            <w:tcW w:w="283" w:type="pct"/>
          </w:tcPr>
          <w:p w14:paraId="79CB85A2" w14:textId="77777777" w:rsidR="00835D10" w:rsidRPr="001A2F85" w:rsidRDefault="00835D10" w:rsidP="00835D10">
            <w:pPr>
              <w:pStyle w:val="Tabletext"/>
              <w:spacing w:line="240" w:lineRule="auto"/>
              <w:jc w:val="center"/>
              <w:rPr>
                <w:sz w:val="16"/>
                <w:szCs w:val="16"/>
              </w:rPr>
            </w:pPr>
          </w:p>
        </w:tc>
        <w:tc>
          <w:tcPr>
            <w:tcW w:w="283" w:type="pct"/>
          </w:tcPr>
          <w:p w14:paraId="0FD2994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1D4E20C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586892FF"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4AAA9102" w14:textId="77777777" w:rsidR="00835D10" w:rsidRPr="001A2F85" w:rsidRDefault="00835D10" w:rsidP="00835D10">
            <w:pPr>
              <w:pStyle w:val="Tabletext"/>
              <w:spacing w:line="240" w:lineRule="auto"/>
              <w:rPr>
                <w:sz w:val="16"/>
                <w:szCs w:val="16"/>
              </w:rPr>
            </w:pPr>
            <w:r w:rsidRPr="001A2F85">
              <w:rPr>
                <w:sz w:val="16"/>
                <w:szCs w:val="16"/>
              </w:rPr>
              <w:t xml:space="preserve">Inclusive entry processes </w:t>
            </w:r>
          </w:p>
        </w:tc>
        <w:tc>
          <w:tcPr>
            <w:tcW w:w="282" w:type="pct"/>
          </w:tcPr>
          <w:p w14:paraId="0C89DA3D" w14:textId="77777777" w:rsidR="00835D10" w:rsidRPr="001A2F85" w:rsidRDefault="00835D10" w:rsidP="00835D10">
            <w:pPr>
              <w:pStyle w:val="Tabletext"/>
              <w:spacing w:line="240" w:lineRule="auto"/>
              <w:jc w:val="center"/>
              <w:rPr>
                <w:sz w:val="16"/>
                <w:szCs w:val="16"/>
              </w:rPr>
            </w:pPr>
          </w:p>
        </w:tc>
        <w:tc>
          <w:tcPr>
            <w:tcW w:w="282" w:type="pct"/>
          </w:tcPr>
          <w:p w14:paraId="1F8607D7" w14:textId="77777777" w:rsidR="00835D10" w:rsidRPr="001A2F85" w:rsidRDefault="00835D10" w:rsidP="00835D10">
            <w:pPr>
              <w:pStyle w:val="Tabletext"/>
              <w:spacing w:line="240" w:lineRule="auto"/>
              <w:jc w:val="center"/>
              <w:rPr>
                <w:sz w:val="16"/>
                <w:szCs w:val="16"/>
              </w:rPr>
            </w:pPr>
          </w:p>
        </w:tc>
        <w:tc>
          <w:tcPr>
            <w:tcW w:w="283" w:type="pct"/>
          </w:tcPr>
          <w:p w14:paraId="73E786FD" w14:textId="77777777" w:rsidR="00835D10" w:rsidRPr="001A2F85" w:rsidRDefault="00835D10" w:rsidP="00835D10">
            <w:pPr>
              <w:pStyle w:val="Tabletext"/>
              <w:spacing w:line="240" w:lineRule="auto"/>
              <w:jc w:val="center"/>
              <w:rPr>
                <w:sz w:val="16"/>
                <w:szCs w:val="16"/>
              </w:rPr>
            </w:pPr>
          </w:p>
        </w:tc>
        <w:tc>
          <w:tcPr>
            <w:tcW w:w="283" w:type="pct"/>
          </w:tcPr>
          <w:p w14:paraId="1432877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1843EF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97170C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000B90C" w14:textId="77777777" w:rsidR="00835D10" w:rsidRPr="001A2F85" w:rsidRDefault="00835D10" w:rsidP="00835D10">
            <w:pPr>
              <w:pStyle w:val="Tabletext"/>
              <w:spacing w:line="240" w:lineRule="auto"/>
              <w:jc w:val="center"/>
              <w:rPr>
                <w:sz w:val="16"/>
                <w:szCs w:val="16"/>
              </w:rPr>
            </w:pPr>
          </w:p>
        </w:tc>
        <w:tc>
          <w:tcPr>
            <w:tcW w:w="283" w:type="pct"/>
          </w:tcPr>
          <w:p w14:paraId="06C7B5BD" w14:textId="77777777" w:rsidR="00835D10" w:rsidRPr="001A2F85" w:rsidRDefault="00835D10" w:rsidP="00835D10">
            <w:pPr>
              <w:pStyle w:val="Tabletext"/>
              <w:spacing w:line="240" w:lineRule="auto"/>
              <w:jc w:val="center"/>
              <w:rPr>
                <w:sz w:val="16"/>
                <w:szCs w:val="16"/>
              </w:rPr>
            </w:pPr>
          </w:p>
        </w:tc>
        <w:tc>
          <w:tcPr>
            <w:tcW w:w="283" w:type="pct"/>
          </w:tcPr>
          <w:p w14:paraId="3693C5DD" w14:textId="77777777" w:rsidR="00835D10" w:rsidRPr="001A2F85" w:rsidRDefault="00835D10" w:rsidP="00835D10">
            <w:pPr>
              <w:pStyle w:val="Tabletext"/>
              <w:spacing w:line="240" w:lineRule="auto"/>
              <w:jc w:val="center"/>
              <w:rPr>
                <w:sz w:val="16"/>
                <w:szCs w:val="16"/>
              </w:rPr>
            </w:pPr>
          </w:p>
        </w:tc>
        <w:tc>
          <w:tcPr>
            <w:tcW w:w="283" w:type="pct"/>
          </w:tcPr>
          <w:p w14:paraId="5E1A7D95" w14:textId="77777777" w:rsidR="00835D10" w:rsidRPr="001A2F85" w:rsidRDefault="00835D10" w:rsidP="00835D10">
            <w:pPr>
              <w:pStyle w:val="Tabletext"/>
              <w:spacing w:line="240" w:lineRule="auto"/>
              <w:jc w:val="center"/>
              <w:rPr>
                <w:sz w:val="16"/>
                <w:szCs w:val="16"/>
              </w:rPr>
            </w:pPr>
          </w:p>
        </w:tc>
        <w:tc>
          <w:tcPr>
            <w:tcW w:w="283" w:type="pct"/>
          </w:tcPr>
          <w:p w14:paraId="3950B637" w14:textId="77777777" w:rsidR="00835D10" w:rsidRPr="001A2F85" w:rsidRDefault="00835D10" w:rsidP="00835D10">
            <w:pPr>
              <w:pStyle w:val="Tabletext"/>
              <w:spacing w:line="240" w:lineRule="auto"/>
              <w:jc w:val="center"/>
              <w:rPr>
                <w:sz w:val="16"/>
                <w:szCs w:val="16"/>
              </w:rPr>
            </w:pPr>
          </w:p>
        </w:tc>
        <w:tc>
          <w:tcPr>
            <w:tcW w:w="283" w:type="pct"/>
          </w:tcPr>
          <w:p w14:paraId="686B23D6"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714AA9F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45A83098"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3EDC281D" w14:textId="77777777" w:rsidR="00835D10" w:rsidRPr="001A2F85" w:rsidRDefault="00835D10" w:rsidP="00835D10">
            <w:pPr>
              <w:pStyle w:val="Tabletext"/>
              <w:spacing w:line="240" w:lineRule="auto"/>
              <w:rPr>
                <w:sz w:val="16"/>
                <w:szCs w:val="16"/>
              </w:rPr>
            </w:pPr>
            <w:r w:rsidRPr="001A2F85">
              <w:rPr>
                <w:sz w:val="16"/>
                <w:szCs w:val="16"/>
              </w:rPr>
              <w:t>Orientation programs</w:t>
            </w:r>
          </w:p>
        </w:tc>
        <w:tc>
          <w:tcPr>
            <w:tcW w:w="282" w:type="pct"/>
          </w:tcPr>
          <w:p w14:paraId="1EFBB475" w14:textId="77777777" w:rsidR="00835D10" w:rsidRPr="001A2F85" w:rsidRDefault="00835D10" w:rsidP="00835D10">
            <w:pPr>
              <w:pStyle w:val="Tabletext"/>
              <w:spacing w:line="240" w:lineRule="auto"/>
              <w:jc w:val="center"/>
              <w:rPr>
                <w:sz w:val="16"/>
                <w:szCs w:val="16"/>
              </w:rPr>
            </w:pPr>
          </w:p>
        </w:tc>
        <w:tc>
          <w:tcPr>
            <w:tcW w:w="282" w:type="pct"/>
          </w:tcPr>
          <w:p w14:paraId="3946B0C4" w14:textId="77777777" w:rsidR="00835D10" w:rsidRPr="001A2F85" w:rsidRDefault="00835D10" w:rsidP="00835D10">
            <w:pPr>
              <w:pStyle w:val="Tabletext"/>
              <w:spacing w:line="240" w:lineRule="auto"/>
              <w:jc w:val="center"/>
              <w:rPr>
                <w:sz w:val="16"/>
                <w:szCs w:val="16"/>
              </w:rPr>
            </w:pPr>
          </w:p>
        </w:tc>
        <w:tc>
          <w:tcPr>
            <w:tcW w:w="283" w:type="pct"/>
          </w:tcPr>
          <w:p w14:paraId="67F814E2" w14:textId="77777777" w:rsidR="00835D10" w:rsidRPr="001A2F85" w:rsidRDefault="00835D10" w:rsidP="00835D10">
            <w:pPr>
              <w:pStyle w:val="Tabletext"/>
              <w:spacing w:line="240" w:lineRule="auto"/>
              <w:jc w:val="center"/>
              <w:rPr>
                <w:sz w:val="16"/>
                <w:szCs w:val="16"/>
              </w:rPr>
            </w:pPr>
          </w:p>
        </w:tc>
        <w:tc>
          <w:tcPr>
            <w:tcW w:w="283" w:type="pct"/>
          </w:tcPr>
          <w:p w14:paraId="33461F75" w14:textId="77777777" w:rsidR="00835D10" w:rsidRPr="001A2F85" w:rsidRDefault="00835D10" w:rsidP="00835D10">
            <w:pPr>
              <w:pStyle w:val="Tabletext"/>
              <w:spacing w:line="240" w:lineRule="auto"/>
              <w:jc w:val="center"/>
              <w:rPr>
                <w:sz w:val="16"/>
                <w:szCs w:val="16"/>
              </w:rPr>
            </w:pPr>
          </w:p>
        </w:tc>
        <w:tc>
          <w:tcPr>
            <w:tcW w:w="283" w:type="pct"/>
          </w:tcPr>
          <w:p w14:paraId="2431A0ED" w14:textId="77777777" w:rsidR="00835D10" w:rsidRPr="001A2F85" w:rsidRDefault="00835D10" w:rsidP="00835D10">
            <w:pPr>
              <w:pStyle w:val="Tabletext"/>
              <w:spacing w:line="240" w:lineRule="auto"/>
              <w:jc w:val="center"/>
              <w:rPr>
                <w:sz w:val="16"/>
                <w:szCs w:val="16"/>
              </w:rPr>
            </w:pPr>
          </w:p>
        </w:tc>
        <w:tc>
          <w:tcPr>
            <w:tcW w:w="283" w:type="pct"/>
          </w:tcPr>
          <w:p w14:paraId="1EF75A46" w14:textId="77777777" w:rsidR="00835D10" w:rsidRPr="001A2F85" w:rsidRDefault="00835D10" w:rsidP="00835D10">
            <w:pPr>
              <w:pStyle w:val="Tabletext"/>
              <w:spacing w:line="240" w:lineRule="auto"/>
              <w:jc w:val="center"/>
              <w:rPr>
                <w:sz w:val="16"/>
                <w:szCs w:val="16"/>
              </w:rPr>
            </w:pPr>
          </w:p>
        </w:tc>
        <w:tc>
          <w:tcPr>
            <w:tcW w:w="283" w:type="pct"/>
          </w:tcPr>
          <w:p w14:paraId="124EEF6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943BA5A" w14:textId="77777777" w:rsidR="00835D10" w:rsidRPr="001A2F85" w:rsidRDefault="00835D10" w:rsidP="00835D10">
            <w:pPr>
              <w:pStyle w:val="Tabletext"/>
              <w:spacing w:line="240" w:lineRule="auto"/>
              <w:jc w:val="center"/>
              <w:rPr>
                <w:sz w:val="16"/>
                <w:szCs w:val="16"/>
              </w:rPr>
            </w:pPr>
          </w:p>
        </w:tc>
        <w:tc>
          <w:tcPr>
            <w:tcW w:w="283" w:type="pct"/>
          </w:tcPr>
          <w:p w14:paraId="365110C6" w14:textId="77777777" w:rsidR="00835D10" w:rsidRPr="001A2F85" w:rsidRDefault="00835D10" w:rsidP="00835D10">
            <w:pPr>
              <w:pStyle w:val="Tabletext"/>
              <w:spacing w:line="240" w:lineRule="auto"/>
              <w:jc w:val="center"/>
              <w:rPr>
                <w:sz w:val="16"/>
                <w:szCs w:val="16"/>
              </w:rPr>
            </w:pPr>
          </w:p>
        </w:tc>
        <w:tc>
          <w:tcPr>
            <w:tcW w:w="283" w:type="pct"/>
          </w:tcPr>
          <w:p w14:paraId="5EFD3BFE" w14:textId="77777777" w:rsidR="00835D10" w:rsidRPr="001A2F85" w:rsidRDefault="00835D10" w:rsidP="00835D10">
            <w:pPr>
              <w:pStyle w:val="Tabletext"/>
              <w:spacing w:line="240" w:lineRule="auto"/>
              <w:jc w:val="center"/>
              <w:rPr>
                <w:sz w:val="16"/>
                <w:szCs w:val="16"/>
              </w:rPr>
            </w:pPr>
          </w:p>
        </w:tc>
        <w:tc>
          <w:tcPr>
            <w:tcW w:w="283" w:type="pct"/>
          </w:tcPr>
          <w:p w14:paraId="33F364BA" w14:textId="77777777" w:rsidR="00835D10" w:rsidRPr="001A2F85" w:rsidRDefault="00835D10" w:rsidP="00835D10">
            <w:pPr>
              <w:pStyle w:val="Tabletext"/>
              <w:spacing w:line="240" w:lineRule="auto"/>
              <w:jc w:val="center"/>
              <w:rPr>
                <w:sz w:val="16"/>
                <w:szCs w:val="16"/>
              </w:rPr>
            </w:pPr>
          </w:p>
        </w:tc>
        <w:tc>
          <w:tcPr>
            <w:tcW w:w="283" w:type="pct"/>
          </w:tcPr>
          <w:p w14:paraId="1B6C0B2A"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1AF50AB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4C4B75D7"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605D2091" w14:textId="77777777" w:rsidR="00835D10" w:rsidRPr="001A2F85" w:rsidRDefault="00835D10" w:rsidP="00835D10">
            <w:pPr>
              <w:pStyle w:val="Tabletext"/>
              <w:spacing w:line="240" w:lineRule="auto"/>
              <w:rPr>
                <w:sz w:val="16"/>
                <w:szCs w:val="16"/>
              </w:rPr>
            </w:pPr>
            <w:r w:rsidRPr="001A2F85">
              <w:rPr>
                <w:sz w:val="16"/>
                <w:szCs w:val="16"/>
              </w:rPr>
              <w:t>First year transition programs</w:t>
            </w:r>
          </w:p>
        </w:tc>
        <w:tc>
          <w:tcPr>
            <w:tcW w:w="282" w:type="pct"/>
          </w:tcPr>
          <w:p w14:paraId="6FB74359" w14:textId="77777777" w:rsidR="00835D10" w:rsidRPr="001A2F85" w:rsidRDefault="00835D10" w:rsidP="00835D10">
            <w:pPr>
              <w:pStyle w:val="Tabletext"/>
              <w:spacing w:line="240" w:lineRule="auto"/>
              <w:jc w:val="center"/>
              <w:rPr>
                <w:sz w:val="16"/>
                <w:szCs w:val="16"/>
              </w:rPr>
            </w:pPr>
          </w:p>
        </w:tc>
        <w:tc>
          <w:tcPr>
            <w:tcW w:w="282" w:type="pct"/>
          </w:tcPr>
          <w:p w14:paraId="649FA404" w14:textId="77777777" w:rsidR="00835D10" w:rsidRPr="001A2F85" w:rsidRDefault="00835D10" w:rsidP="00835D10">
            <w:pPr>
              <w:pStyle w:val="Tabletext"/>
              <w:spacing w:line="240" w:lineRule="auto"/>
              <w:jc w:val="center"/>
              <w:rPr>
                <w:sz w:val="16"/>
                <w:szCs w:val="16"/>
              </w:rPr>
            </w:pPr>
          </w:p>
        </w:tc>
        <w:tc>
          <w:tcPr>
            <w:tcW w:w="283" w:type="pct"/>
          </w:tcPr>
          <w:p w14:paraId="5B6422DD" w14:textId="77777777" w:rsidR="00835D10" w:rsidRPr="001A2F85" w:rsidRDefault="00835D10" w:rsidP="00835D10">
            <w:pPr>
              <w:pStyle w:val="Tabletext"/>
              <w:spacing w:line="240" w:lineRule="auto"/>
              <w:jc w:val="center"/>
              <w:rPr>
                <w:sz w:val="16"/>
                <w:szCs w:val="16"/>
              </w:rPr>
            </w:pPr>
          </w:p>
        </w:tc>
        <w:tc>
          <w:tcPr>
            <w:tcW w:w="283" w:type="pct"/>
          </w:tcPr>
          <w:p w14:paraId="2B9A6A54" w14:textId="77777777" w:rsidR="00835D10" w:rsidRPr="001A2F85" w:rsidRDefault="00835D10" w:rsidP="00835D10">
            <w:pPr>
              <w:pStyle w:val="Tabletext"/>
              <w:spacing w:line="240" w:lineRule="auto"/>
              <w:jc w:val="center"/>
              <w:rPr>
                <w:sz w:val="16"/>
                <w:szCs w:val="16"/>
              </w:rPr>
            </w:pPr>
          </w:p>
        </w:tc>
        <w:tc>
          <w:tcPr>
            <w:tcW w:w="283" w:type="pct"/>
          </w:tcPr>
          <w:p w14:paraId="5DEDDD86" w14:textId="77777777" w:rsidR="00835D10" w:rsidRPr="001A2F85" w:rsidRDefault="00835D10" w:rsidP="00835D10">
            <w:pPr>
              <w:pStyle w:val="Tabletext"/>
              <w:spacing w:line="240" w:lineRule="auto"/>
              <w:jc w:val="center"/>
              <w:rPr>
                <w:sz w:val="16"/>
                <w:szCs w:val="16"/>
              </w:rPr>
            </w:pPr>
          </w:p>
        </w:tc>
        <w:tc>
          <w:tcPr>
            <w:tcW w:w="283" w:type="pct"/>
          </w:tcPr>
          <w:p w14:paraId="095842B0" w14:textId="77777777" w:rsidR="00835D10" w:rsidRPr="001A2F85" w:rsidRDefault="00835D10" w:rsidP="00835D10">
            <w:pPr>
              <w:pStyle w:val="Tabletext"/>
              <w:spacing w:line="240" w:lineRule="auto"/>
              <w:jc w:val="center"/>
              <w:rPr>
                <w:sz w:val="16"/>
                <w:szCs w:val="16"/>
              </w:rPr>
            </w:pPr>
          </w:p>
        </w:tc>
        <w:tc>
          <w:tcPr>
            <w:tcW w:w="283" w:type="pct"/>
          </w:tcPr>
          <w:p w14:paraId="1A0307B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14BF703" w14:textId="77777777" w:rsidR="00835D10" w:rsidRPr="001A2F85" w:rsidRDefault="00835D10" w:rsidP="00835D10">
            <w:pPr>
              <w:pStyle w:val="Tabletext"/>
              <w:spacing w:line="240" w:lineRule="auto"/>
              <w:jc w:val="center"/>
              <w:rPr>
                <w:sz w:val="16"/>
                <w:szCs w:val="16"/>
              </w:rPr>
            </w:pPr>
          </w:p>
        </w:tc>
        <w:tc>
          <w:tcPr>
            <w:tcW w:w="283" w:type="pct"/>
          </w:tcPr>
          <w:p w14:paraId="5A4FE769" w14:textId="77777777" w:rsidR="00835D10" w:rsidRPr="001A2F85" w:rsidRDefault="00835D10" w:rsidP="00835D10">
            <w:pPr>
              <w:pStyle w:val="Tabletext"/>
              <w:spacing w:line="240" w:lineRule="auto"/>
              <w:jc w:val="center"/>
              <w:rPr>
                <w:sz w:val="16"/>
                <w:szCs w:val="16"/>
              </w:rPr>
            </w:pPr>
          </w:p>
        </w:tc>
        <w:tc>
          <w:tcPr>
            <w:tcW w:w="283" w:type="pct"/>
          </w:tcPr>
          <w:p w14:paraId="466D7F43" w14:textId="77777777" w:rsidR="00835D10" w:rsidRPr="001A2F85" w:rsidRDefault="00835D10" w:rsidP="00835D10">
            <w:pPr>
              <w:pStyle w:val="Tabletext"/>
              <w:spacing w:line="240" w:lineRule="auto"/>
              <w:jc w:val="center"/>
              <w:rPr>
                <w:sz w:val="16"/>
                <w:szCs w:val="16"/>
              </w:rPr>
            </w:pPr>
          </w:p>
        </w:tc>
        <w:tc>
          <w:tcPr>
            <w:tcW w:w="283" w:type="pct"/>
          </w:tcPr>
          <w:p w14:paraId="71B803A8" w14:textId="77777777" w:rsidR="00835D10" w:rsidRPr="001A2F85" w:rsidRDefault="00835D10" w:rsidP="00835D10">
            <w:pPr>
              <w:pStyle w:val="Tabletext"/>
              <w:spacing w:line="240" w:lineRule="auto"/>
              <w:jc w:val="center"/>
              <w:rPr>
                <w:sz w:val="16"/>
                <w:szCs w:val="16"/>
              </w:rPr>
            </w:pPr>
          </w:p>
        </w:tc>
        <w:tc>
          <w:tcPr>
            <w:tcW w:w="283" w:type="pct"/>
          </w:tcPr>
          <w:p w14:paraId="3B712776"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7F03B53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52797053"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05F48CF4" w14:textId="77777777" w:rsidR="00835D10" w:rsidRPr="001A2F85" w:rsidRDefault="00835D10" w:rsidP="00835D10">
            <w:pPr>
              <w:pStyle w:val="Tabletext"/>
              <w:spacing w:line="240" w:lineRule="auto"/>
              <w:rPr>
                <w:sz w:val="16"/>
                <w:szCs w:val="16"/>
              </w:rPr>
            </w:pPr>
            <w:r w:rsidRPr="001A2F85">
              <w:rPr>
                <w:sz w:val="16"/>
                <w:szCs w:val="16"/>
              </w:rPr>
              <w:t>Scholarships</w:t>
            </w:r>
          </w:p>
        </w:tc>
        <w:tc>
          <w:tcPr>
            <w:tcW w:w="282" w:type="pct"/>
          </w:tcPr>
          <w:p w14:paraId="11D029EF" w14:textId="77777777" w:rsidR="00835D10" w:rsidRPr="001A2F85" w:rsidRDefault="00835D10" w:rsidP="00835D10">
            <w:pPr>
              <w:pStyle w:val="Tabletext"/>
              <w:spacing w:line="240" w:lineRule="auto"/>
              <w:jc w:val="center"/>
              <w:rPr>
                <w:sz w:val="16"/>
                <w:szCs w:val="16"/>
              </w:rPr>
            </w:pPr>
          </w:p>
        </w:tc>
        <w:tc>
          <w:tcPr>
            <w:tcW w:w="282" w:type="pct"/>
          </w:tcPr>
          <w:p w14:paraId="79E57FA0" w14:textId="77777777" w:rsidR="00835D10" w:rsidRPr="001A2F85" w:rsidRDefault="00835D10" w:rsidP="00835D10">
            <w:pPr>
              <w:pStyle w:val="Tabletext"/>
              <w:spacing w:line="240" w:lineRule="auto"/>
              <w:jc w:val="center"/>
              <w:rPr>
                <w:sz w:val="16"/>
                <w:szCs w:val="16"/>
              </w:rPr>
            </w:pPr>
          </w:p>
        </w:tc>
        <w:tc>
          <w:tcPr>
            <w:tcW w:w="283" w:type="pct"/>
          </w:tcPr>
          <w:p w14:paraId="745E1A1A" w14:textId="77777777" w:rsidR="00835D10" w:rsidRPr="001A2F85" w:rsidRDefault="00835D10" w:rsidP="00835D10">
            <w:pPr>
              <w:pStyle w:val="Tabletext"/>
              <w:spacing w:line="240" w:lineRule="auto"/>
              <w:jc w:val="center"/>
              <w:rPr>
                <w:sz w:val="16"/>
                <w:szCs w:val="16"/>
              </w:rPr>
            </w:pPr>
          </w:p>
        </w:tc>
        <w:tc>
          <w:tcPr>
            <w:tcW w:w="283" w:type="pct"/>
          </w:tcPr>
          <w:p w14:paraId="591C56B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F38CE9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15AD565"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4B9494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33DDEF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7A0B62E" w14:textId="77777777" w:rsidR="00835D10" w:rsidRPr="001A2F85" w:rsidRDefault="00835D10" w:rsidP="00835D10">
            <w:pPr>
              <w:pStyle w:val="Tabletext"/>
              <w:spacing w:line="240" w:lineRule="auto"/>
              <w:jc w:val="center"/>
              <w:rPr>
                <w:sz w:val="16"/>
                <w:szCs w:val="16"/>
              </w:rPr>
            </w:pPr>
          </w:p>
        </w:tc>
        <w:tc>
          <w:tcPr>
            <w:tcW w:w="283" w:type="pct"/>
          </w:tcPr>
          <w:p w14:paraId="3B79B883" w14:textId="77777777" w:rsidR="00835D10" w:rsidRPr="001A2F85" w:rsidRDefault="00835D10" w:rsidP="00835D10">
            <w:pPr>
              <w:pStyle w:val="Tabletext"/>
              <w:spacing w:line="240" w:lineRule="auto"/>
              <w:jc w:val="center"/>
              <w:rPr>
                <w:sz w:val="16"/>
                <w:szCs w:val="16"/>
              </w:rPr>
            </w:pPr>
          </w:p>
        </w:tc>
        <w:tc>
          <w:tcPr>
            <w:tcW w:w="283" w:type="pct"/>
          </w:tcPr>
          <w:p w14:paraId="47A83D1A" w14:textId="77777777" w:rsidR="00835D10" w:rsidRPr="001A2F85" w:rsidRDefault="00835D10" w:rsidP="00835D10">
            <w:pPr>
              <w:pStyle w:val="Tabletext"/>
              <w:spacing w:line="240" w:lineRule="auto"/>
              <w:jc w:val="center"/>
              <w:rPr>
                <w:sz w:val="16"/>
                <w:szCs w:val="16"/>
              </w:rPr>
            </w:pPr>
          </w:p>
        </w:tc>
        <w:tc>
          <w:tcPr>
            <w:tcW w:w="283" w:type="pct"/>
          </w:tcPr>
          <w:p w14:paraId="1C3CDB2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65B100D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04765852"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17D6F98B" w14:textId="77777777" w:rsidR="00835D10" w:rsidRPr="001A2F85" w:rsidRDefault="00835D10" w:rsidP="00835D10">
            <w:pPr>
              <w:pStyle w:val="Tabletext"/>
              <w:spacing w:line="240" w:lineRule="auto"/>
              <w:rPr>
                <w:sz w:val="16"/>
                <w:szCs w:val="16"/>
              </w:rPr>
            </w:pPr>
            <w:r w:rsidRPr="001A2F85">
              <w:rPr>
                <w:sz w:val="16"/>
                <w:szCs w:val="16"/>
              </w:rPr>
              <w:t>Inclusive course design/pedagogies</w:t>
            </w:r>
          </w:p>
        </w:tc>
        <w:tc>
          <w:tcPr>
            <w:tcW w:w="282" w:type="pct"/>
          </w:tcPr>
          <w:p w14:paraId="2D3017B9" w14:textId="77777777" w:rsidR="00835D10" w:rsidRPr="001A2F85" w:rsidRDefault="00835D10" w:rsidP="00835D10">
            <w:pPr>
              <w:pStyle w:val="Tabletext"/>
              <w:spacing w:line="240" w:lineRule="auto"/>
              <w:jc w:val="center"/>
              <w:rPr>
                <w:sz w:val="16"/>
                <w:szCs w:val="16"/>
              </w:rPr>
            </w:pPr>
          </w:p>
        </w:tc>
        <w:tc>
          <w:tcPr>
            <w:tcW w:w="282" w:type="pct"/>
          </w:tcPr>
          <w:p w14:paraId="290ADFF6" w14:textId="77777777" w:rsidR="00835D10" w:rsidRPr="001A2F85" w:rsidRDefault="00835D10" w:rsidP="00835D10">
            <w:pPr>
              <w:pStyle w:val="Tabletext"/>
              <w:spacing w:line="240" w:lineRule="auto"/>
              <w:jc w:val="center"/>
              <w:rPr>
                <w:sz w:val="16"/>
                <w:szCs w:val="16"/>
              </w:rPr>
            </w:pPr>
          </w:p>
        </w:tc>
        <w:tc>
          <w:tcPr>
            <w:tcW w:w="283" w:type="pct"/>
          </w:tcPr>
          <w:p w14:paraId="213EAC59" w14:textId="77777777" w:rsidR="00835D10" w:rsidRPr="001A2F85" w:rsidRDefault="00835D10" w:rsidP="00835D10">
            <w:pPr>
              <w:pStyle w:val="Tabletext"/>
              <w:spacing w:line="240" w:lineRule="auto"/>
              <w:jc w:val="center"/>
              <w:rPr>
                <w:sz w:val="16"/>
                <w:szCs w:val="16"/>
              </w:rPr>
            </w:pPr>
          </w:p>
        </w:tc>
        <w:tc>
          <w:tcPr>
            <w:tcW w:w="283" w:type="pct"/>
          </w:tcPr>
          <w:p w14:paraId="7C668CD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5365BB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1695120"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05A03B5"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684CEA6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69C86AD8" w14:textId="77777777" w:rsidR="00835D10" w:rsidRPr="001A2F85" w:rsidRDefault="00835D10" w:rsidP="00835D10">
            <w:pPr>
              <w:pStyle w:val="Tabletext"/>
              <w:spacing w:line="240" w:lineRule="auto"/>
              <w:jc w:val="center"/>
              <w:rPr>
                <w:sz w:val="16"/>
                <w:szCs w:val="16"/>
              </w:rPr>
            </w:pPr>
          </w:p>
        </w:tc>
        <w:tc>
          <w:tcPr>
            <w:tcW w:w="283" w:type="pct"/>
          </w:tcPr>
          <w:p w14:paraId="48B7D7FB" w14:textId="77777777" w:rsidR="00835D10" w:rsidRPr="001A2F85" w:rsidRDefault="00835D10" w:rsidP="00835D10">
            <w:pPr>
              <w:pStyle w:val="Tabletext"/>
              <w:spacing w:line="240" w:lineRule="auto"/>
              <w:jc w:val="center"/>
              <w:rPr>
                <w:sz w:val="16"/>
                <w:szCs w:val="16"/>
              </w:rPr>
            </w:pPr>
          </w:p>
        </w:tc>
        <w:tc>
          <w:tcPr>
            <w:tcW w:w="283" w:type="pct"/>
          </w:tcPr>
          <w:p w14:paraId="4FE58728" w14:textId="77777777" w:rsidR="00835D10" w:rsidRPr="001A2F85" w:rsidRDefault="00835D10" w:rsidP="00835D10">
            <w:pPr>
              <w:pStyle w:val="Tabletext"/>
              <w:spacing w:line="240" w:lineRule="auto"/>
              <w:jc w:val="center"/>
              <w:rPr>
                <w:sz w:val="16"/>
                <w:szCs w:val="16"/>
              </w:rPr>
            </w:pPr>
          </w:p>
        </w:tc>
        <w:tc>
          <w:tcPr>
            <w:tcW w:w="283" w:type="pct"/>
          </w:tcPr>
          <w:p w14:paraId="337EF49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287AA77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6AA307B0"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4B26F317" w14:textId="77777777" w:rsidR="00835D10" w:rsidRPr="001A2F85" w:rsidRDefault="00835D10" w:rsidP="00835D10">
            <w:pPr>
              <w:pStyle w:val="Tabletext"/>
              <w:spacing w:line="240" w:lineRule="auto"/>
              <w:rPr>
                <w:sz w:val="16"/>
                <w:szCs w:val="16"/>
              </w:rPr>
            </w:pPr>
            <w:r w:rsidRPr="001A2F85">
              <w:rPr>
                <w:sz w:val="16"/>
                <w:szCs w:val="16"/>
              </w:rPr>
              <w:t>Alternative exit programs</w:t>
            </w:r>
          </w:p>
        </w:tc>
        <w:tc>
          <w:tcPr>
            <w:tcW w:w="282" w:type="pct"/>
          </w:tcPr>
          <w:p w14:paraId="3048A720" w14:textId="77777777" w:rsidR="00835D10" w:rsidRPr="001A2F85" w:rsidRDefault="00835D10" w:rsidP="00835D10">
            <w:pPr>
              <w:pStyle w:val="Tabletext"/>
              <w:spacing w:line="240" w:lineRule="auto"/>
              <w:jc w:val="center"/>
              <w:rPr>
                <w:sz w:val="16"/>
                <w:szCs w:val="16"/>
              </w:rPr>
            </w:pPr>
          </w:p>
        </w:tc>
        <w:tc>
          <w:tcPr>
            <w:tcW w:w="282" w:type="pct"/>
          </w:tcPr>
          <w:p w14:paraId="6E40546F" w14:textId="77777777" w:rsidR="00835D10" w:rsidRPr="001A2F85" w:rsidRDefault="00835D10" w:rsidP="00835D10">
            <w:pPr>
              <w:pStyle w:val="Tabletext"/>
              <w:spacing w:line="240" w:lineRule="auto"/>
              <w:jc w:val="center"/>
              <w:rPr>
                <w:sz w:val="16"/>
                <w:szCs w:val="16"/>
              </w:rPr>
            </w:pPr>
          </w:p>
        </w:tc>
        <w:tc>
          <w:tcPr>
            <w:tcW w:w="283" w:type="pct"/>
          </w:tcPr>
          <w:p w14:paraId="34F4100D" w14:textId="77777777" w:rsidR="00835D10" w:rsidRPr="001A2F85" w:rsidRDefault="00835D10" w:rsidP="00835D10">
            <w:pPr>
              <w:pStyle w:val="Tabletext"/>
              <w:spacing w:line="240" w:lineRule="auto"/>
              <w:jc w:val="center"/>
              <w:rPr>
                <w:sz w:val="16"/>
                <w:szCs w:val="16"/>
              </w:rPr>
            </w:pPr>
          </w:p>
        </w:tc>
        <w:tc>
          <w:tcPr>
            <w:tcW w:w="283" w:type="pct"/>
          </w:tcPr>
          <w:p w14:paraId="12188197" w14:textId="77777777" w:rsidR="00835D10" w:rsidRPr="001A2F85" w:rsidRDefault="00835D10" w:rsidP="00835D10">
            <w:pPr>
              <w:pStyle w:val="Tabletext"/>
              <w:spacing w:line="240" w:lineRule="auto"/>
              <w:jc w:val="center"/>
              <w:rPr>
                <w:sz w:val="16"/>
                <w:szCs w:val="16"/>
              </w:rPr>
            </w:pPr>
          </w:p>
        </w:tc>
        <w:tc>
          <w:tcPr>
            <w:tcW w:w="283" w:type="pct"/>
          </w:tcPr>
          <w:p w14:paraId="5130408A" w14:textId="77777777" w:rsidR="00835D10" w:rsidRPr="001A2F85" w:rsidRDefault="00835D10" w:rsidP="00835D10">
            <w:pPr>
              <w:pStyle w:val="Tabletext"/>
              <w:spacing w:line="240" w:lineRule="auto"/>
              <w:jc w:val="center"/>
              <w:rPr>
                <w:sz w:val="16"/>
                <w:szCs w:val="16"/>
              </w:rPr>
            </w:pPr>
          </w:p>
        </w:tc>
        <w:tc>
          <w:tcPr>
            <w:tcW w:w="283" w:type="pct"/>
          </w:tcPr>
          <w:p w14:paraId="4328E14C" w14:textId="77777777" w:rsidR="00835D10" w:rsidRPr="001A2F85" w:rsidRDefault="00835D10" w:rsidP="00835D10">
            <w:pPr>
              <w:pStyle w:val="Tabletext"/>
              <w:spacing w:line="240" w:lineRule="auto"/>
              <w:jc w:val="center"/>
              <w:rPr>
                <w:sz w:val="16"/>
                <w:szCs w:val="16"/>
              </w:rPr>
            </w:pPr>
          </w:p>
        </w:tc>
        <w:tc>
          <w:tcPr>
            <w:tcW w:w="283" w:type="pct"/>
          </w:tcPr>
          <w:p w14:paraId="1258016B" w14:textId="77777777" w:rsidR="00835D10" w:rsidRPr="001A2F85" w:rsidRDefault="00835D10" w:rsidP="00835D10">
            <w:pPr>
              <w:pStyle w:val="Tabletext"/>
              <w:spacing w:line="240" w:lineRule="auto"/>
              <w:jc w:val="center"/>
              <w:rPr>
                <w:sz w:val="16"/>
                <w:szCs w:val="16"/>
              </w:rPr>
            </w:pPr>
          </w:p>
        </w:tc>
        <w:tc>
          <w:tcPr>
            <w:tcW w:w="283" w:type="pct"/>
          </w:tcPr>
          <w:p w14:paraId="553B336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B308FFF" w14:textId="77777777" w:rsidR="00835D10" w:rsidRPr="001A2F85" w:rsidRDefault="00835D10" w:rsidP="00835D10">
            <w:pPr>
              <w:pStyle w:val="Tabletext"/>
              <w:spacing w:line="240" w:lineRule="auto"/>
              <w:jc w:val="center"/>
              <w:rPr>
                <w:sz w:val="16"/>
                <w:szCs w:val="16"/>
              </w:rPr>
            </w:pPr>
          </w:p>
        </w:tc>
        <w:tc>
          <w:tcPr>
            <w:tcW w:w="283" w:type="pct"/>
          </w:tcPr>
          <w:p w14:paraId="71111AB3" w14:textId="77777777" w:rsidR="00835D10" w:rsidRPr="001A2F85" w:rsidRDefault="00835D10" w:rsidP="00835D10">
            <w:pPr>
              <w:pStyle w:val="Tabletext"/>
              <w:spacing w:line="240" w:lineRule="auto"/>
              <w:jc w:val="center"/>
              <w:rPr>
                <w:sz w:val="16"/>
                <w:szCs w:val="16"/>
              </w:rPr>
            </w:pPr>
          </w:p>
        </w:tc>
        <w:tc>
          <w:tcPr>
            <w:tcW w:w="283" w:type="pct"/>
          </w:tcPr>
          <w:p w14:paraId="383A48E7" w14:textId="77777777" w:rsidR="00835D10" w:rsidRPr="001A2F85" w:rsidRDefault="00835D10" w:rsidP="00835D10">
            <w:pPr>
              <w:pStyle w:val="Tabletext"/>
              <w:spacing w:line="240" w:lineRule="auto"/>
              <w:jc w:val="center"/>
              <w:rPr>
                <w:sz w:val="16"/>
                <w:szCs w:val="16"/>
              </w:rPr>
            </w:pPr>
          </w:p>
        </w:tc>
        <w:tc>
          <w:tcPr>
            <w:tcW w:w="283" w:type="pct"/>
          </w:tcPr>
          <w:p w14:paraId="2F0B93C5"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6A30BBD7"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45E75798"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0B6AC9F3" w14:textId="77777777" w:rsidR="00835D10" w:rsidRPr="001A2F85" w:rsidRDefault="00835D10" w:rsidP="00835D10">
            <w:pPr>
              <w:pStyle w:val="Tabletext"/>
              <w:spacing w:line="240" w:lineRule="auto"/>
              <w:rPr>
                <w:sz w:val="16"/>
                <w:szCs w:val="16"/>
              </w:rPr>
            </w:pPr>
            <w:r w:rsidRPr="001A2F85">
              <w:rPr>
                <w:sz w:val="16"/>
                <w:szCs w:val="16"/>
              </w:rPr>
              <w:t>Monitoring student progress</w:t>
            </w:r>
          </w:p>
        </w:tc>
        <w:tc>
          <w:tcPr>
            <w:tcW w:w="282" w:type="pct"/>
          </w:tcPr>
          <w:p w14:paraId="1AD22F0B" w14:textId="77777777" w:rsidR="00835D10" w:rsidRPr="001A2F85" w:rsidRDefault="00835D10" w:rsidP="00835D10">
            <w:pPr>
              <w:pStyle w:val="Tabletext"/>
              <w:spacing w:line="240" w:lineRule="auto"/>
              <w:jc w:val="center"/>
              <w:rPr>
                <w:sz w:val="16"/>
                <w:szCs w:val="16"/>
              </w:rPr>
            </w:pPr>
          </w:p>
        </w:tc>
        <w:tc>
          <w:tcPr>
            <w:tcW w:w="282" w:type="pct"/>
          </w:tcPr>
          <w:p w14:paraId="0C638294" w14:textId="77777777" w:rsidR="00835D10" w:rsidRPr="001A2F85" w:rsidRDefault="00835D10" w:rsidP="00835D10">
            <w:pPr>
              <w:pStyle w:val="Tabletext"/>
              <w:spacing w:line="240" w:lineRule="auto"/>
              <w:jc w:val="center"/>
              <w:rPr>
                <w:sz w:val="16"/>
                <w:szCs w:val="16"/>
              </w:rPr>
            </w:pPr>
          </w:p>
        </w:tc>
        <w:tc>
          <w:tcPr>
            <w:tcW w:w="283" w:type="pct"/>
          </w:tcPr>
          <w:p w14:paraId="6095297A" w14:textId="77777777" w:rsidR="00835D10" w:rsidRPr="001A2F85" w:rsidRDefault="00835D10" w:rsidP="00835D10">
            <w:pPr>
              <w:pStyle w:val="Tabletext"/>
              <w:spacing w:line="240" w:lineRule="auto"/>
              <w:jc w:val="center"/>
              <w:rPr>
                <w:sz w:val="16"/>
                <w:szCs w:val="16"/>
              </w:rPr>
            </w:pPr>
          </w:p>
        </w:tc>
        <w:tc>
          <w:tcPr>
            <w:tcW w:w="283" w:type="pct"/>
          </w:tcPr>
          <w:p w14:paraId="5565129F" w14:textId="77777777" w:rsidR="00835D10" w:rsidRPr="001A2F85" w:rsidRDefault="00835D10" w:rsidP="00835D10">
            <w:pPr>
              <w:pStyle w:val="Tabletext"/>
              <w:spacing w:line="240" w:lineRule="auto"/>
              <w:jc w:val="center"/>
              <w:rPr>
                <w:sz w:val="16"/>
                <w:szCs w:val="16"/>
              </w:rPr>
            </w:pPr>
          </w:p>
        </w:tc>
        <w:tc>
          <w:tcPr>
            <w:tcW w:w="283" w:type="pct"/>
          </w:tcPr>
          <w:p w14:paraId="21884DC8" w14:textId="77777777" w:rsidR="00835D10" w:rsidRPr="001A2F85" w:rsidRDefault="00835D10" w:rsidP="00835D10">
            <w:pPr>
              <w:pStyle w:val="Tabletext"/>
              <w:spacing w:line="240" w:lineRule="auto"/>
              <w:jc w:val="center"/>
              <w:rPr>
                <w:sz w:val="16"/>
                <w:szCs w:val="16"/>
              </w:rPr>
            </w:pPr>
          </w:p>
        </w:tc>
        <w:tc>
          <w:tcPr>
            <w:tcW w:w="283" w:type="pct"/>
          </w:tcPr>
          <w:p w14:paraId="051CBA57" w14:textId="77777777" w:rsidR="00835D10" w:rsidRPr="001A2F85" w:rsidRDefault="00835D10" w:rsidP="00835D10">
            <w:pPr>
              <w:pStyle w:val="Tabletext"/>
              <w:spacing w:line="240" w:lineRule="auto"/>
              <w:jc w:val="center"/>
              <w:rPr>
                <w:sz w:val="16"/>
                <w:szCs w:val="16"/>
              </w:rPr>
            </w:pPr>
          </w:p>
        </w:tc>
        <w:tc>
          <w:tcPr>
            <w:tcW w:w="283" w:type="pct"/>
          </w:tcPr>
          <w:p w14:paraId="3A25566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5715DA0"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921AEA6" w14:textId="77777777" w:rsidR="00835D10" w:rsidRPr="001A2F85" w:rsidRDefault="00835D10" w:rsidP="00835D10">
            <w:pPr>
              <w:pStyle w:val="Tabletext"/>
              <w:spacing w:line="240" w:lineRule="auto"/>
              <w:jc w:val="center"/>
              <w:rPr>
                <w:sz w:val="16"/>
                <w:szCs w:val="16"/>
              </w:rPr>
            </w:pPr>
          </w:p>
        </w:tc>
        <w:tc>
          <w:tcPr>
            <w:tcW w:w="283" w:type="pct"/>
          </w:tcPr>
          <w:p w14:paraId="0C35E2E3" w14:textId="77777777" w:rsidR="00835D10" w:rsidRPr="001A2F85" w:rsidRDefault="00835D10" w:rsidP="00835D10">
            <w:pPr>
              <w:pStyle w:val="Tabletext"/>
              <w:spacing w:line="240" w:lineRule="auto"/>
              <w:jc w:val="center"/>
              <w:rPr>
                <w:sz w:val="16"/>
                <w:szCs w:val="16"/>
              </w:rPr>
            </w:pPr>
          </w:p>
        </w:tc>
        <w:tc>
          <w:tcPr>
            <w:tcW w:w="283" w:type="pct"/>
          </w:tcPr>
          <w:p w14:paraId="0A4DC402" w14:textId="77777777" w:rsidR="00835D10" w:rsidRPr="001A2F85" w:rsidRDefault="00835D10" w:rsidP="00835D10">
            <w:pPr>
              <w:pStyle w:val="Tabletext"/>
              <w:spacing w:line="240" w:lineRule="auto"/>
              <w:jc w:val="center"/>
              <w:rPr>
                <w:sz w:val="16"/>
                <w:szCs w:val="16"/>
              </w:rPr>
            </w:pPr>
          </w:p>
        </w:tc>
        <w:tc>
          <w:tcPr>
            <w:tcW w:w="283" w:type="pct"/>
          </w:tcPr>
          <w:p w14:paraId="64653446"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19936070"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5CF4FD7B"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571830D1" w14:textId="77777777" w:rsidR="00835D10" w:rsidRPr="001A2F85" w:rsidRDefault="00835D10" w:rsidP="00835D10">
            <w:pPr>
              <w:pStyle w:val="Tabletext"/>
              <w:spacing w:line="240" w:lineRule="auto"/>
              <w:rPr>
                <w:sz w:val="16"/>
                <w:szCs w:val="16"/>
              </w:rPr>
            </w:pPr>
            <w:r w:rsidRPr="001A2F85">
              <w:rPr>
                <w:sz w:val="16"/>
                <w:szCs w:val="16"/>
              </w:rPr>
              <w:t>Employment support pre-completion</w:t>
            </w:r>
          </w:p>
        </w:tc>
        <w:tc>
          <w:tcPr>
            <w:tcW w:w="282" w:type="pct"/>
          </w:tcPr>
          <w:p w14:paraId="5615B085" w14:textId="77777777" w:rsidR="00835D10" w:rsidRPr="001A2F85" w:rsidRDefault="00835D10" w:rsidP="00835D10">
            <w:pPr>
              <w:pStyle w:val="Tabletext"/>
              <w:spacing w:line="240" w:lineRule="auto"/>
              <w:jc w:val="center"/>
              <w:rPr>
                <w:sz w:val="16"/>
                <w:szCs w:val="16"/>
              </w:rPr>
            </w:pPr>
          </w:p>
        </w:tc>
        <w:tc>
          <w:tcPr>
            <w:tcW w:w="282" w:type="pct"/>
          </w:tcPr>
          <w:p w14:paraId="1921BC0E" w14:textId="77777777" w:rsidR="00835D10" w:rsidRPr="001A2F85" w:rsidRDefault="00835D10" w:rsidP="00835D10">
            <w:pPr>
              <w:pStyle w:val="Tabletext"/>
              <w:spacing w:line="240" w:lineRule="auto"/>
              <w:jc w:val="center"/>
              <w:rPr>
                <w:sz w:val="16"/>
                <w:szCs w:val="16"/>
              </w:rPr>
            </w:pPr>
          </w:p>
        </w:tc>
        <w:tc>
          <w:tcPr>
            <w:tcW w:w="283" w:type="pct"/>
          </w:tcPr>
          <w:p w14:paraId="3E38217B" w14:textId="77777777" w:rsidR="00835D10" w:rsidRPr="001A2F85" w:rsidRDefault="00835D10" w:rsidP="00835D10">
            <w:pPr>
              <w:pStyle w:val="Tabletext"/>
              <w:spacing w:line="240" w:lineRule="auto"/>
              <w:jc w:val="center"/>
              <w:rPr>
                <w:sz w:val="16"/>
                <w:szCs w:val="16"/>
              </w:rPr>
            </w:pPr>
          </w:p>
        </w:tc>
        <w:tc>
          <w:tcPr>
            <w:tcW w:w="283" w:type="pct"/>
          </w:tcPr>
          <w:p w14:paraId="0A692E99" w14:textId="77777777" w:rsidR="00835D10" w:rsidRPr="001A2F85" w:rsidRDefault="00835D10" w:rsidP="00835D10">
            <w:pPr>
              <w:pStyle w:val="Tabletext"/>
              <w:spacing w:line="240" w:lineRule="auto"/>
              <w:jc w:val="center"/>
              <w:rPr>
                <w:sz w:val="16"/>
                <w:szCs w:val="16"/>
              </w:rPr>
            </w:pPr>
          </w:p>
        </w:tc>
        <w:tc>
          <w:tcPr>
            <w:tcW w:w="283" w:type="pct"/>
          </w:tcPr>
          <w:p w14:paraId="002D5EEE" w14:textId="77777777" w:rsidR="00835D10" w:rsidRPr="001A2F85" w:rsidRDefault="00835D10" w:rsidP="00835D10">
            <w:pPr>
              <w:pStyle w:val="Tabletext"/>
              <w:spacing w:line="240" w:lineRule="auto"/>
              <w:jc w:val="center"/>
              <w:rPr>
                <w:sz w:val="16"/>
                <w:szCs w:val="16"/>
              </w:rPr>
            </w:pPr>
          </w:p>
        </w:tc>
        <w:tc>
          <w:tcPr>
            <w:tcW w:w="283" w:type="pct"/>
          </w:tcPr>
          <w:p w14:paraId="679F7E8A" w14:textId="77777777" w:rsidR="00835D10" w:rsidRPr="001A2F85" w:rsidRDefault="00835D10" w:rsidP="00835D10">
            <w:pPr>
              <w:pStyle w:val="Tabletext"/>
              <w:spacing w:line="240" w:lineRule="auto"/>
              <w:jc w:val="center"/>
              <w:rPr>
                <w:sz w:val="16"/>
                <w:szCs w:val="16"/>
              </w:rPr>
            </w:pPr>
          </w:p>
        </w:tc>
        <w:tc>
          <w:tcPr>
            <w:tcW w:w="283" w:type="pct"/>
          </w:tcPr>
          <w:p w14:paraId="6CC6692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2BD9A9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EDFA7F0"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53A4DF2" w14:textId="77777777" w:rsidR="00835D10" w:rsidRPr="001A2F85" w:rsidRDefault="00835D10" w:rsidP="00835D10">
            <w:pPr>
              <w:pStyle w:val="Tabletext"/>
              <w:spacing w:line="240" w:lineRule="auto"/>
              <w:jc w:val="center"/>
              <w:rPr>
                <w:sz w:val="16"/>
                <w:szCs w:val="16"/>
              </w:rPr>
            </w:pPr>
          </w:p>
        </w:tc>
        <w:tc>
          <w:tcPr>
            <w:tcW w:w="283" w:type="pct"/>
          </w:tcPr>
          <w:p w14:paraId="18CD19C1" w14:textId="77777777" w:rsidR="00835D10" w:rsidRPr="001A2F85" w:rsidRDefault="00835D10" w:rsidP="00835D10">
            <w:pPr>
              <w:pStyle w:val="Tabletext"/>
              <w:spacing w:line="240" w:lineRule="auto"/>
              <w:jc w:val="center"/>
              <w:rPr>
                <w:sz w:val="16"/>
                <w:szCs w:val="16"/>
              </w:rPr>
            </w:pPr>
          </w:p>
        </w:tc>
        <w:tc>
          <w:tcPr>
            <w:tcW w:w="283" w:type="pct"/>
          </w:tcPr>
          <w:p w14:paraId="0F61B69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32A7730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32450DA0"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3DAD3006" w14:textId="77777777" w:rsidR="00835D10" w:rsidRPr="001A2F85" w:rsidRDefault="00835D10" w:rsidP="00835D10">
            <w:pPr>
              <w:pStyle w:val="Tabletext"/>
              <w:spacing w:line="240" w:lineRule="auto"/>
              <w:rPr>
                <w:sz w:val="16"/>
                <w:szCs w:val="16"/>
              </w:rPr>
            </w:pPr>
            <w:r w:rsidRPr="001A2F85">
              <w:rPr>
                <w:sz w:val="16"/>
                <w:szCs w:val="16"/>
              </w:rPr>
              <w:t>Employment support post-completion</w:t>
            </w:r>
          </w:p>
        </w:tc>
        <w:tc>
          <w:tcPr>
            <w:tcW w:w="282" w:type="pct"/>
          </w:tcPr>
          <w:p w14:paraId="381835F0" w14:textId="77777777" w:rsidR="00835D10" w:rsidRPr="001A2F85" w:rsidRDefault="00835D10" w:rsidP="00835D10">
            <w:pPr>
              <w:pStyle w:val="Tabletext"/>
              <w:spacing w:line="240" w:lineRule="auto"/>
              <w:jc w:val="center"/>
              <w:rPr>
                <w:sz w:val="16"/>
                <w:szCs w:val="16"/>
              </w:rPr>
            </w:pPr>
          </w:p>
        </w:tc>
        <w:tc>
          <w:tcPr>
            <w:tcW w:w="282" w:type="pct"/>
          </w:tcPr>
          <w:p w14:paraId="13DA1746" w14:textId="77777777" w:rsidR="00835D10" w:rsidRPr="001A2F85" w:rsidRDefault="00835D10" w:rsidP="00835D10">
            <w:pPr>
              <w:pStyle w:val="Tabletext"/>
              <w:spacing w:line="240" w:lineRule="auto"/>
              <w:jc w:val="center"/>
              <w:rPr>
                <w:sz w:val="16"/>
                <w:szCs w:val="16"/>
              </w:rPr>
            </w:pPr>
          </w:p>
        </w:tc>
        <w:tc>
          <w:tcPr>
            <w:tcW w:w="283" w:type="pct"/>
          </w:tcPr>
          <w:p w14:paraId="30BB9F2A" w14:textId="77777777" w:rsidR="00835D10" w:rsidRPr="001A2F85" w:rsidRDefault="00835D10" w:rsidP="00835D10">
            <w:pPr>
              <w:pStyle w:val="Tabletext"/>
              <w:spacing w:line="240" w:lineRule="auto"/>
              <w:jc w:val="center"/>
              <w:rPr>
                <w:sz w:val="16"/>
                <w:szCs w:val="16"/>
              </w:rPr>
            </w:pPr>
          </w:p>
        </w:tc>
        <w:tc>
          <w:tcPr>
            <w:tcW w:w="283" w:type="pct"/>
          </w:tcPr>
          <w:p w14:paraId="28D5D3B8" w14:textId="77777777" w:rsidR="00835D10" w:rsidRPr="001A2F85" w:rsidRDefault="00835D10" w:rsidP="00835D10">
            <w:pPr>
              <w:pStyle w:val="Tabletext"/>
              <w:spacing w:line="240" w:lineRule="auto"/>
              <w:jc w:val="center"/>
              <w:rPr>
                <w:sz w:val="16"/>
                <w:szCs w:val="16"/>
              </w:rPr>
            </w:pPr>
          </w:p>
        </w:tc>
        <w:tc>
          <w:tcPr>
            <w:tcW w:w="283" w:type="pct"/>
          </w:tcPr>
          <w:p w14:paraId="2E27FBEF" w14:textId="77777777" w:rsidR="00835D10" w:rsidRPr="001A2F85" w:rsidRDefault="00835D10" w:rsidP="00835D10">
            <w:pPr>
              <w:pStyle w:val="Tabletext"/>
              <w:spacing w:line="240" w:lineRule="auto"/>
              <w:jc w:val="center"/>
              <w:rPr>
                <w:sz w:val="16"/>
                <w:szCs w:val="16"/>
              </w:rPr>
            </w:pPr>
          </w:p>
        </w:tc>
        <w:tc>
          <w:tcPr>
            <w:tcW w:w="283" w:type="pct"/>
          </w:tcPr>
          <w:p w14:paraId="4EF8BB3E" w14:textId="77777777" w:rsidR="00835D10" w:rsidRPr="001A2F85" w:rsidRDefault="00835D10" w:rsidP="00835D10">
            <w:pPr>
              <w:pStyle w:val="Tabletext"/>
              <w:spacing w:line="240" w:lineRule="auto"/>
              <w:jc w:val="center"/>
              <w:rPr>
                <w:sz w:val="16"/>
                <w:szCs w:val="16"/>
              </w:rPr>
            </w:pPr>
          </w:p>
        </w:tc>
        <w:tc>
          <w:tcPr>
            <w:tcW w:w="283" w:type="pct"/>
          </w:tcPr>
          <w:p w14:paraId="373414F0" w14:textId="77777777" w:rsidR="00835D10" w:rsidRPr="001A2F85" w:rsidRDefault="00835D10" w:rsidP="00835D10">
            <w:pPr>
              <w:pStyle w:val="Tabletext"/>
              <w:spacing w:line="240" w:lineRule="auto"/>
              <w:jc w:val="center"/>
              <w:rPr>
                <w:sz w:val="16"/>
                <w:szCs w:val="16"/>
              </w:rPr>
            </w:pPr>
          </w:p>
        </w:tc>
        <w:tc>
          <w:tcPr>
            <w:tcW w:w="283" w:type="pct"/>
          </w:tcPr>
          <w:p w14:paraId="641405BD" w14:textId="77777777" w:rsidR="00835D10" w:rsidRPr="001A2F85" w:rsidRDefault="00835D10" w:rsidP="00835D10">
            <w:pPr>
              <w:pStyle w:val="Tabletext"/>
              <w:spacing w:line="240" w:lineRule="auto"/>
              <w:jc w:val="center"/>
              <w:rPr>
                <w:sz w:val="16"/>
                <w:szCs w:val="16"/>
              </w:rPr>
            </w:pPr>
          </w:p>
        </w:tc>
        <w:tc>
          <w:tcPr>
            <w:tcW w:w="283" w:type="pct"/>
          </w:tcPr>
          <w:p w14:paraId="6F2D1998" w14:textId="77777777" w:rsidR="00835D10" w:rsidRPr="001A2F85" w:rsidRDefault="00835D10" w:rsidP="00835D10">
            <w:pPr>
              <w:pStyle w:val="Tabletext"/>
              <w:spacing w:line="240" w:lineRule="auto"/>
              <w:jc w:val="center"/>
              <w:rPr>
                <w:sz w:val="16"/>
                <w:szCs w:val="16"/>
              </w:rPr>
            </w:pPr>
          </w:p>
        </w:tc>
        <w:tc>
          <w:tcPr>
            <w:tcW w:w="283" w:type="pct"/>
          </w:tcPr>
          <w:p w14:paraId="303BD8AD"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2F43374" w14:textId="77777777" w:rsidR="00835D10" w:rsidRPr="001A2F85" w:rsidRDefault="00835D10" w:rsidP="00835D10">
            <w:pPr>
              <w:pStyle w:val="Tabletext"/>
              <w:spacing w:line="240" w:lineRule="auto"/>
              <w:jc w:val="center"/>
              <w:rPr>
                <w:sz w:val="16"/>
                <w:szCs w:val="16"/>
              </w:rPr>
            </w:pPr>
          </w:p>
        </w:tc>
        <w:tc>
          <w:tcPr>
            <w:tcW w:w="283" w:type="pct"/>
          </w:tcPr>
          <w:p w14:paraId="6D668B0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11EFA97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5C72A9FF"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1E289356" w14:textId="77777777" w:rsidR="00835D10" w:rsidRPr="001A2F85" w:rsidRDefault="00835D10" w:rsidP="00835D10">
            <w:pPr>
              <w:pStyle w:val="Tabletext"/>
              <w:spacing w:line="240" w:lineRule="auto"/>
              <w:rPr>
                <w:sz w:val="16"/>
                <w:szCs w:val="16"/>
              </w:rPr>
            </w:pPr>
            <w:r w:rsidRPr="001A2F85">
              <w:rPr>
                <w:sz w:val="16"/>
                <w:szCs w:val="16"/>
              </w:rPr>
              <w:t>Monitoring/evaluation</w:t>
            </w:r>
          </w:p>
        </w:tc>
        <w:tc>
          <w:tcPr>
            <w:tcW w:w="282" w:type="pct"/>
          </w:tcPr>
          <w:p w14:paraId="15A9066A"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2" w:type="pct"/>
          </w:tcPr>
          <w:p w14:paraId="1067BE8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70495A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5EE47B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14210B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E88497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D78612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E3320A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2A789590"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6F0E888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B99A839" w14:textId="77777777" w:rsidR="00835D10" w:rsidRPr="001A2F85" w:rsidRDefault="00835D10" w:rsidP="00835D10">
            <w:pPr>
              <w:pStyle w:val="Tabletext"/>
              <w:spacing w:line="240" w:lineRule="auto"/>
              <w:jc w:val="center"/>
              <w:rPr>
                <w:sz w:val="16"/>
                <w:szCs w:val="16"/>
              </w:rPr>
            </w:pPr>
          </w:p>
        </w:tc>
        <w:tc>
          <w:tcPr>
            <w:tcW w:w="283" w:type="pct"/>
          </w:tcPr>
          <w:p w14:paraId="70D7574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103BAD4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r>
      <w:tr w:rsidR="00835D10" w:rsidRPr="001A2F85" w14:paraId="25B6D7A7"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35F0807E" w14:textId="77777777" w:rsidR="00835D10" w:rsidRPr="001A2F85" w:rsidRDefault="00835D10" w:rsidP="00835D10">
            <w:pPr>
              <w:pStyle w:val="Tabletext"/>
              <w:spacing w:line="240" w:lineRule="auto"/>
              <w:rPr>
                <w:sz w:val="16"/>
                <w:szCs w:val="16"/>
              </w:rPr>
            </w:pPr>
            <w:r w:rsidRPr="001A2F85">
              <w:rPr>
                <w:sz w:val="16"/>
                <w:szCs w:val="16"/>
              </w:rPr>
              <w:t>Research</w:t>
            </w:r>
          </w:p>
        </w:tc>
        <w:tc>
          <w:tcPr>
            <w:tcW w:w="282" w:type="pct"/>
          </w:tcPr>
          <w:p w14:paraId="667E27F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2" w:type="pct"/>
          </w:tcPr>
          <w:p w14:paraId="10D0A99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006E4CA"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1383F88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8E2BA3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D0DF7D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BEAC21C"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8258A6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33C8B2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4B263C8"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AAAAD9F" w14:textId="77777777" w:rsidR="00835D10" w:rsidRPr="001A2F85" w:rsidRDefault="00835D10" w:rsidP="00835D10">
            <w:pPr>
              <w:pStyle w:val="Tabletext"/>
              <w:spacing w:line="240" w:lineRule="auto"/>
              <w:jc w:val="center"/>
              <w:rPr>
                <w:sz w:val="16"/>
                <w:szCs w:val="16"/>
              </w:rPr>
            </w:pPr>
          </w:p>
        </w:tc>
        <w:tc>
          <w:tcPr>
            <w:tcW w:w="283" w:type="pct"/>
          </w:tcPr>
          <w:p w14:paraId="40D38EE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c>
          <w:tcPr>
            <w:tcW w:w="273" w:type="pct"/>
          </w:tcPr>
          <w:p w14:paraId="0F1EA544"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r>
      <w:tr w:rsidR="00835D10" w:rsidRPr="001A2F85" w14:paraId="64BB9EA2" w14:textId="77777777" w:rsidTr="00835D10">
        <w:tblPrEx>
          <w:tblBorders>
            <w:bottom w:val="single" w:sz="4" w:space="0" w:color="646464"/>
            <w:insideH w:val="single" w:sz="4" w:space="0" w:color="646464"/>
          </w:tblBorders>
        </w:tblPrEx>
        <w:trPr>
          <w:gridBefore w:val="1"/>
          <w:wBefore w:w="135" w:type="pct"/>
          <w:cantSplit/>
          <w:trHeight w:hRule="exact" w:val="255"/>
        </w:trPr>
        <w:tc>
          <w:tcPr>
            <w:tcW w:w="1198" w:type="pct"/>
            <w:vAlign w:val="center"/>
          </w:tcPr>
          <w:p w14:paraId="727BF31D" w14:textId="77777777" w:rsidR="00835D10" w:rsidRPr="001A2F85" w:rsidRDefault="00835D10" w:rsidP="00835D10">
            <w:pPr>
              <w:pStyle w:val="Tabletext"/>
              <w:spacing w:line="240" w:lineRule="auto"/>
              <w:rPr>
                <w:sz w:val="16"/>
                <w:szCs w:val="16"/>
              </w:rPr>
            </w:pPr>
            <w:r w:rsidRPr="001A2F85">
              <w:rPr>
                <w:sz w:val="16"/>
                <w:szCs w:val="16"/>
              </w:rPr>
              <w:t xml:space="preserve">Enhancing program implementation </w:t>
            </w:r>
          </w:p>
        </w:tc>
        <w:tc>
          <w:tcPr>
            <w:tcW w:w="282" w:type="pct"/>
          </w:tcPr>
          <w:p w14:paraId="182A8A6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2" w:type="pct"/>
          </w:tcPr>
          <w:p w14:paraId="330BAC57"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61DF5E2B"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12C8C49"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350E9F3E"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CFFD56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DA9CB7F"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05F09823"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7A0937C0"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4EACB410"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83" w:type="pct"/>
          </w:tcPr>
          <w:p w14:paraId="5284B8A1" w14:textId="77777777" w:rsidR="00835D10" w:rsidRPr="001A2F85" w:rsidRDefault="00835D10" w:rsidP="00835D10">
            <w:pPr>
              <w:pStyle w:val="Tabletext"/>
              <w:spacing w:line="240" w:lineRule="auto"/>
              <w:jc w:val="center"/>
              <w:rPr>
                <w:sz w:val="16"/>
                <w:szCs w:val="16"/>
              </w:rPr>
            </w:pPr>
          </w:p>
        </w:tc>
        <w:tc>
          <w:tcPr>
            <w:tcW w:w="283" w:type="pct"/>
          </w:tcPr>
          <w:p w14:paraId="48ABEB21"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p>
        </w:tc>
        <w:tc>
          <w:tcPr>
            <w:tcW w:w="273" w:type="pct"/>
          </w:tcPr>
          <w:p w14:paraId="06682762" w14:textId="77777777" w:rsidR="00835D10" w:rsidRPr="001A2F85" w:rsidRDefault="00835D10" w:rsidP="00835D10">
            <w:pPr>
              <w:pStyle w:val="Tabletext"/>
              <w:spacing w:line="240" w:lineRule="auto"/>
              <w:jc w:val="center"/>
              <w:rPr>
                <w:sz w:val="16"/>
                <w:szCs w:val="16"/>
              </w:rPr>
            </w:pPr>
            <w:r w:rsidRPr="001A2F85">
              <w:rPr>
                <w:rFonts w:ascii="Wingdings" w:hAnsi="Wingdings"/>
                <w:color w:val="000000"/>
                <w:sz w:val="16"/>
                <w:szCs w:val="16"/>
              </w:rPr>
              <w:t></w:t>
            </w:r>
            <w:r w:rsidRPr="001A2F85">
              <w:rPr>
                <w:rFonts w:ascii="Wingdings" w:hAnsi="Wingdings"/>
                <w:color w:val="000000"/>
                <w:sz w:val="16"/>
                <w:szCs w:val="16"/>
              </w:rPr>
              <w:t></w:t>
            </w:r>
          </w:p>
        </w:tc>
      </w:tr>
      <w:tr w:rsidR="00835D10" w:rsidRPr="001A2F85" w14:paraId="3833DECE" w14:textId="77777777" w:rsidTr="00835D10">
        <w:tblPrEx>
          <w:tblBorders>
            <w:bottom w:val="single" w:sz="4" w:space="0" w:color="646464"/>
            <w:insideH w:val="single" w:sz="4" w:space="0" w:color="646464"/>
          </w:tblBorders>
        </w:tblPrEx>
        <w:trPr>
          <w:gridBefore w:val="1"/>
          <w:wBefore w:w="135" w:type="pct"/>
          <w:cantSplit/>
        </w:trPr>
        <w:tc>
          <w:tcPr>
            <w:tcW w:w="4865" w:type="pct"/>
            <w:gridSpan w:val="14"/>
          </w:tcPr>
          <w:p w14:paraId="0CC1AA5C" w14:textId="77777777" w:rsidR="00835D10" w:rsidRPr="001A2F85" w:rsidRDefault="00835D10" w:rsidP="00835D10">
            <w:pPr>
              <w:pStyle w:val="Note"/>
              <w:rPr>
                <w:color w:val="000000"/>
                <w:szCs w:val="14"/>
                <w:lang w:eastAsia="en-AU"/>
              </w:rPr>
            </w:pPr>
            <w:r w:rsidRPr="001A2F85">
              <w:t xml:space="preserve">Note: </w:t>
            </w:r>
            <w:r w:rsidRPr="001A2F85">
              <w:rPr>
                <w:rFonts w:ascii="Wingdings" w:hAnsi="Wingdings"/>
                <w:color w:val="000000"/>
                <w:szCs w:val="14"/>
                <w:lang w:eastAsia="en-AU"/>
              </w:rPr>
              <w:t></w:t>
            </w:r>
            <w:r w:rsidRPr="001A2F85">
              <w:rPr>
                <w:color w:val="000000"/>
                <w:szCs w:val="14"/>
                <w:lang w:eastAsia="en-AU"/>
              </w:rPr>
              <w:t xml:space="preserve">  indicates an activity that achieves the objective of this HEPPP component. </w:t>
            </w:r>
            <w:r w:rsidRPr="001A2F85">
              <w:rPr>
                <w:rFonts w:ascii="Wingdings" w:hAnsi="Wingdings"/>
                <w:color w:val="000000"/>
                <w:szCs w:val="14"/>
                <w:lang w:eastAsia="en-AU"/>
              </w:rPr>
              <w:t></w:t>
            </w:r>
            <w:r w:rsidRPr="001A2F85">
              <w:rPr>
                <w:color w:val="000000"/>
                <w:szCs w:val="14"/>
                <w:lang w:eastAsia="en-AU"/>
              </w:rPr>
              <w:t xml:space="preserve">  indicates an activity that can be funded from this program component. </w:t>
            </w:r>
            <w:r w:rsidRPr="001A2F85">
              <w:rPr>
                <w:rFonts w:ascii="Wingdings" w:hAnsi="Wingdings"/>
                <w:color w:val="000000"/>
                <w:szCs w:val="14"/>
                <w:lang w:eastAsia="en-AU"/>
              </w:rPr>
              <w:t></w:t>
            </w:r>
            <w:r w:rsidRPr="001A2F85">
              <w:rPr>
                <w:color w:val="000000"/>
                <w:szCs w:val="14"/>
                <w:lang w:eastAsia="en-AU"/>
              </w:rPr>
              <w:t xml:space="preserve">  indicates activities that can be the subject of research or innovative trials under the HEPPP National Priorities Pool</w:t>
            </w:r>
          </w:p>
          <w:p w14:paraId="7CB14869" w14:textId="77777777" w:rsidR="00835D10" w:rsidRPr="001A2F85" w:rsidRDefault="00835D10" w:rsidP="00835D10">
            <w:pPr>
              <w:pStyle w:val="Source"/>
            </w:pPr>
            <w:r w:rsidRPr="00B92D42">
              <w:t>Source: Department of education and training 2016</w:t>
            </w:r>
          </w:p>
        </w:tc>
      </w:tr>
    </w:tbl>
    <w:p w14:paraId="38F745A6" w14:textId="77777777" w:rsidR="00835D10" w:rsidRPr="001A2F85" w:rsidRDefault="00835D10" w:rsidP="00835D10">
      <w:pPr>
        <w:pStyle w:val="BodyText"/>
      </w:pPr>
    </w:p>
    <w:p w14:paraId="0137CFB8" w14:textId="77777777" w:rsidR="00835D10" w:rsidRPr="001A2F85" w:rsidRDefault="00835D10" w:rsidP="00835D10">
      <w:pPr>
        <w:pStyle w:val="BodyText"/>
        <w:sectPr w:rsidR="00835D10" w:rsidRPr="001A2F85" w:rsidSect="000B6604">
          <w:headerReference w:type="even" r:id="rId57"/>
          <w:headerReference w:type="default" r:id="rId58"/>
          <w:footerReference w:type="even" r:id="rId59"/>
          <w:footerReference w:type="default" r:id="rId60"/>
          <w:headerReference w:type="first" r:id="rId61"/>
          <w:footerReference w:type="first" r:id="rId62"/>
          <w:pgSz w:w="16839" w:h="11907" w:orient="landscape" w:code="9"/>
          <w:pgMar w:top="1100" w:right="443" w:bottom="1320" w:left="3296" w:header="456" w:footer="262" w:gutter="0"/>
          <w:cols w:space="708"/>
          <w:docGrid w:linePitch="360"/>
        </w:sectPr>
      </w:pPr>
    </w:p>
    <w:p w14:paraId="55287439" w14:textId="1931E558" w:rsidR="00835D10" w:rsidRPr="001A2F85" w:rsidRDefault="00835D10" w:rsidP="00AD49C8">
      <w:pPr>
        <w:pStyle w:val="BodyText"/>
      </w:pPr>
      <w:r w:rsidRPr="001A2F85">
        <w:t xml:space="preserve">For the purposes of this evaluation the following </w:t>
      </w:r>
      <w:r>
        <w:t>EIF</w:t>
      </w:r>
      <w:r w:rsidRPr="001A2F85">
        <w:t xml:space="preserve"> target groups are considered:</w:t>
      </w:r>
    </w:p>
    <w:p w14:paraId="0BFF9942" w14:textId="77777777" w:rsidR="00835D10" w:rsidRPr="001A2F85" w:rsidRDefault="00835D10" w:rsidP="00A45AB3">
      <w:pPr>
        <w:pStyle w:val="ListBullet"/>
        <w:numPr>
          <w:ilvl w:val="0"/>
          <w:numId w:val="34"/>
        </w:numPr>
      </w:pPr>
      <w:r w:rsidRPr="001A2F85">
        <w:t xml:space="preserve">infants </w:t>
      </w:r>
    </w:p>
    <w:p w14:paraId="67A74327" w14:textId="77777777" w:rsidR="00835D10" w:rsidRPr="001A2F85" w:rsidRDefault="00835D10" w:rsidP="00A45AB3">
      <w:pPr>
        <w:pStyle w:val="ListBullet"/>
        <w:numPr>
          <w:ilvl w:val="0"/>
          <w:numId w:val="34"/>
        </w:numPr>
      </w:pPr>
      <w:r w:rsidRPr="001A2F85">
        <w:t>primary school students</w:t>
      </w:r>
    </w:p>
    <w:p w14:paraId="16C828A1" w14:textId="77777777" w:rsidR="00835D10" w:rsidRPr="001A2F85" w:rsidRDefault="00835D10" w:rsidP="00A45AB3">
      <w:pPr>
        <w:pStyle w:val="ListBullet"/>
        <w:numPr>
          <w:ilvl w:val="0"/>
          <w:numId w:val="34"/>
        </w:numPr>
      </w:pPr>
      <w:r w:rsidRPr="001A2F85">
        <w:t>secondary school students</w:t>
      </w:r>
    </w:p>
    <w:p w14:paraId="17CB6CD3" w14:textId="77777777" w:rsidR="00835D10" w:rsidRPr="001A2F85" w:rsidRDefault="00835D10" w:rsidP="00A45AB3">
      <w:pPr>
        <w:pStyle w:val="ListBullet"/>
        <w:numPr>
          <w:ilvl w:val="0"/>
          <w:numId w:val="34"/>
        </w:numPr>
      </w:pPr>
      <w:r w:rsidRPr="001A2F85">
        <w:t>secondary school leavers</w:t>
      </w:r>
    </w:p>
    <w:p w14:paraId="721AA74D" w14:textId="77777777" w:rsidR="00835D10" w:rsidRPr="001A2F85" w:rsidRDefault="00835D10" w:rsidP="00A45AB3">
      <w:pPr>
        <w:pStyle w:val="ListBullet"/>
        <w:numPr>
          <w:ilvl w:val="0"/>
          <w:numId w:val="34"/>
        </w:numPr>
      </w:pPr>
      <w:r w:rsidRPr="001A2F85">
        <w:t>primary school teachers</w:t>
      </w:r>
    </w:p>
    <w:p w14:paraId="03912E36" w14:textId="77777777" w:rsidR="00835D10" w:rsidRPr="001A2F85" w:rsidRDefault="00835D10" w:rsidP="00A45AB3">
      <w:pPr>
        <w:pStyle w:val="ListBullet"/>
        <w:numPr>
          <w:ilvl w:val="0"/>
          <w:numId w:val="34"/>
        </w:numPr>
      </w:pPr>
      <w:r w:rsidRPr="001A2F85">
        <w:t xml:space="preserve">secondary school teachers </w:t>
      </w:r>
    </w:p>
    <w:p w14:paraId="73A67D32" w14:textId="77777777" w:rsidR="00835D10" w:rsidRPr="001A2F85" w:rsidRDefault="00835D10" w:rsidP="00A45AB3">
      <w:pPr>
        <w:pStyle w:val="ListBullet"/>
        <w:numPr>
          <w:ilvl w:val="0"/>
          <w:numId w:val="34"/>
        </w:numPr>
      </w:pPr>
      <w:r w:rsidRPr="001A2F85">
        <w:t>primary school parents</w:t>
      </w:r>
    </w:p>
    <w:p w14:paraId="551DCE1D" w14:textId="77777777" w:rsidR="00835D10" w:rsidRPr="001A2F85" w:rsidRDefault="00835D10" w:rsidP="00A45AB3">
      <w:pPr>
        <w:pStyle w:val="ListBullet"/>
        <w:numPr>
          <w:ilvl w:val="0"/>
          <w:numId w:val="34"/>
        </w:numPr>
      </w:pPr>
      <w:r w:rsidRPr="001A2F85">
        <w:t>secondary school parents</w:t>
      </w:r>
    </w:p>
    <w:p w14:paraId="73791E8D" w14:textId="77777777" w:rsidR="00835D10" w:rsidRPr="001A2F85" w:rsidRDefault="00835D10" w:rsidP="00A45AB3">
      <w:pPr>
        <w:pStyle w:val="ListBullet"/>
        <w:numPr>
          <w:ilvl w:val="0"/>
          <w:numId w:val="34"/>
        </w:numPr>
      </w:pPr>
      <w:r w:rsidRPr="001A2F85">
        <w:t>mature age students</w:t>
      </w:r>
    </w:p>
    <w:p w14:paraId="0895F645" w14:textId="77777777" w:rsidR="00835D10" w:rsidRPr="001A2F85" w:rsidRDefault="00835D10" w:rsidP="00A45AB3">
      <w:pPr>
        <w:pStyle w:val="ListBullet"/>
        <w:numPr>
          <w:ilvl w:val="0"/>
          <w:numId w:val="34"/>
        </w:numPr>
      </w:pPr>
      <w:r w:rsidRPr="001A2F85">
        <w:t>community members</w:t>
      </w:r>
    </w:p>
    <w:p w14:paraId="7C157008" w14:textId="77777777" w:rsidR="00835D10" w:rsidRPr="001A2F85" w:rsidRDefault="00835D10" w:rsidP="00A45AB3">
      <w:pPr>
        <w:pStyle w:val="ListBullet"/>
        <w:numPr>
          <w:ilvl w:val="0"/>
          <w:numId w:val="34"/>
        </w:numPr>
      </w:pPr>
      <w:r w:rsidRPr="001A2F85">
        <w:t>VET students</w:t>
      </w:r>
    </w:p>
    <w:p w14:paraId="5D77E13C" w14:textId="77777777" w:rsidR="00835D10" w:rsidRPr="001A2F85" w:rsidRDefault="00835D10" w:rsidP="00A45AB3">
      <w:pPr>
        <w:pStyle w:val="ListBullet"/>
        <w:numPr>
          <w:ilvl w:val="0"/>
          <w:numId w:val="34"/>
        </w:numPr>
      </w:pPr>
      <w:r w:rsidRPr="001A2F85">
        <w:t>commencing/first year university students</w:t>
      </w:r>
    </w:p>
    <w:p w14:paraId="5B089E3A" w14:textId="77777777" w:rsidR="00835D10" w:rsidRPr="001A2F85" w:rsidRDefault="00835D10" w:rsidP="00A45AB3">
      <w:pPr>
        <w:pStyle w:val="ListBullet"/>
        <w:numPr>
          <w:ilvl w:val="0"/>
          <w:numId w:val="34"/>
        </w:numPr>
      </w:pPr>
      <w:r w:rsidRPr="001A2F85">
        <w:t>continuing later year university students</w:t>
      </w:r>
    </w:p>
    <w:p w14:paraId="74AAF255" w14:textId="77777777" w:rsidR="00835D10" w:rsidRPr="001A2F85" w:rsidRDefault="00835D10" w:rsidP="00A45AB3">
      <w:pPr>
        <w:pStyle w:val="ListBullet"/>
        <w:numPr>
          <w:ilvl w:val="0"/>
          <w:numId w:val="34"/>
        </w:numPr>
      </w:pPr>
      <w:r w:rsidRPr="001A2F85">
        <w:t>completing university students</w:t>
      </w:r>
    </w:p>
    <w:p w14:paraId="5D1F89DC" w14:textId="77777777" w:rsidR="00835D10" w:rsidRPr="001A2F85" w:rsidRDefault="00835D10" w:rsidP="00A45AB3">
      <w:pPr>
        <w:pStyle w:val="ListBullet"/>
        <w:numPr>
          <w:ilvl w:val="0"/>
          <w:numId w:val="34"/>
        </w:numPr>
      </w:pPr>
      <w:r w:rsidRPr="001A2F85">
        <w:t>employer groups and professional associations</w:t>
      </w:r>
    </w:p>
    <w:p w14:paraId="1DF894D1" w14:textId="77777777" w:rsidR="00835D10" w:rsidRPr="001A2F85" w:rsidRDefault="00D91518" w:rsidP="00A45AB3">
      <w:pPr>
        <w:pStyle w:val="ListBullet"/>
        <w:numPr>
          <w:ilvl w:val="0"/>
          <w:numId w:val="34"/>
        </w:numPr>
      </w:pPr>
      <w:r>
        <w:t>F</w:t>
      </w:r>
      <w:r w:rsidRPr="001A2F85">
        <w:t xml:space="preserve">irst </w:t>
      </w:r>
      <w:r w:rsidR="00835D10" w:rsidRPr="001A2F85">
        <w:t xml:space="preserve">in </w:t>
      </w:r>
      <w:r>
        <w:t>F</w:t>
      </w:r>
      <w:r w:rsidRPr="001A2F85">
        <w:t xml:space="preserve">amily </w:t>
      </w:r>
      <w:r w:rsidR="00835D10" w:rsidRPr="001A2F85">
        <w:t>(to attend university)</w:t>
      </w:r>
    </w:p>
    <w:p w14:paraId="6471CBDF" w14:textId="77777777" w:rsidR="00835D10" w:rsidRPr="001A2F85" w:rsidRDefault="00835D10" w:rsidP="00A45AB3">
      <w:pPr>
        <w:pStyle w:val="ListBullet"/>
        <w:numPr>
          <w:ilvl w:val="0"/>
          <w:numId w:val="34"/>
        </w:numPr>
      </w:pPr>
      <w:r w:rsidRPr="001A2F85">
        <w:t>refugees.</w:t>
      </w:r>
    </w:p>
    <w:p w14:paraId="7CA721D2" w14:textId="77777777" w:rsidR="00835D10" w:rsidRPr="001A2F85" w:rsidRDefault="00835D10" w:rsidP="00835D10">
      <w:pPr>
        <w:pStyle w:val="Heading3"/>
      </w:pPr>
      <w:bookmarkStart w:id="28" w:name="_Toc462578108"/>
      <w:r w:rsidRPr="001A2F85">
        <w:t>The Equity Initiatives Framework in the evaluation</w:t>
      </w:r>
      <w:bookmarkEnd w:id="28"/>
      <w:r w:rsidRPr="001A2F85">
        <w:t xml:space="preserve"> </w:t>
      </w:r>
    </w:p>
    <w:p w14:paraId="32C96023" w14:textId="77777777" w:rsidR="00835D10" w:rsidRPr="001A2F85" w:rsidRDefault="00835D10" w:rsidP="00835D10">
      <w:pPr>
        <w:pStyle w:val="Heading4"/>
      </w:pPr>
      <w:r w:rsidRPr="001A2F85">
        <w:t>Project inventory</w:t>
      </w:r>
    </w:p>
    <w:p w14:paraId="7279F973" w14:textId="77777777" w:rsidR="00835D10" w:rsidRPr="001A2F85" w:rsidRDefault="00835D10" w:rsidP="00835D10">
      <w:pPr>
        <w:pStyle w:val="BodyText"/>
      </w:pPr>
      <w:r w:rsidRPr="001A2F85">
        <w:t>This evaluation analysed all the annual reports submitted by universities for 2010-</w:t>
      </w:r>
      <w:r w:rsidR="00234D2D" w:rsidRPr="001A2F85">
        <w:t>201</w:t>
      </w:r>
      <w:r w:rsidR="00234D2D">
        <w:t>5</w:t>
      </w:r>
      <w:r w:rsidRPr="001A2F85">
        <w:t>. Each project in the annual reports was categorised according to a number of data fields, including those from the EIF (</w:t>
      </w:r>
      <w:r w:rsidR="008C090E" w:rsidRPr="00AD49C8">
        <w:t>Table 1.2</w:t>
      </w:r>
      <w:r w:rsidRPr="001A2F85">
        <w:t xml:space="preserve">). The project inventory data </w:t>
      </w:r>
      <w:r w:rsidR="00655909">
        <w:t>are</w:t>
      </w:r>
      <w:r w:rsidR="00655909" w:rsidRPr="001A2F85">
        <w:t xml:space="preserve"> </w:t>
      </w:r>
      <w:r w:rsidRPr="001A2F85">
        <w:t>used in the following chapters to analyse the scale and scope of HEPPP activity.</w:t>
      </w:r>
    </w:p>
    <w:p w14:paraId="4C63AFB5" w14:textId="77777777" w:rsidR="00835D10" w:rsidRPr="001A2F85" w:rsidRDefault="00835D10" w:rsidP="00835D10">
      <w:pPr>
        <w:pStyle w:val="Caption"/>
        <w:spacing w:before="160"/>
      </w:pPr>
      <w:bookmarkStart w:id="29" w:name="_Ref462497406"/>
      <w:bookmarkStart w:id="30" w:name="_Toc466655752"/>
      <w:r w:rsidRPr="001A2F85">
        <w:rPr>
          <w:rStyle w:val="CaptionLabel"/>
        </w:rPr>
        <w:t>Table </w:t>
      </w:r>
      <w:r w:rsidR="008C090E">
        <w:rPr>
          <w:rStyle w:val="CaptionLabel"/>
          <w:noProof/>
        </w:rPr>
        <w:t>1</w:t>
      </w:r>
      <w:r w:rsidRPr="001A2F85">
        <w:rPr>
          <w:rStyle w:val="CaptionLabel"/>
        </w:rPr>
        <w:t>.</w:t>
      </w:r>
      <w:r w:rsidR="008C090E">
        <w:rPr>
          <w:rStyle w:val="CaptionLabel"/>
          <w:noProof/>
        </w:rPr>
        <w:t>2</w:t>
      </w:r>
      <w:bookmarkEnd w:id="29"/>
      <w:r w:rsidRPr="001A2F85">
        <w:tab/>
        <w:t>project inventory fields</w:t>
      </w:r>
      <w:bookmarkEnd w:id="30"/>
    </w:p>
    <w:tbl>
      <w:tblPr>
        <w:tblW w:w="8534" w:type="dxa"/>
        <w:tblInd w:w="-454" w:type="dxa"/>
        <w:tblLayout w:type="fixed"/>
        <w:tblCellMar>
          <w:left w:w="0" w:type="dxa"/>
          <w:bottom w:w="40" w:type="dxa"/>
          <w:right w:w="0" w:type="dxa"/>
        </w:tblCellMar>
        <w:tblLook w:val="0000" w:firstRow="0" w:lastRow="0" w:firstColumn="0" w:lastColumn="0" w:noHBand="0" w:noVBand="0"/>
      </w:tblPr>
      <w:tblGrid>
        <w:gridCol w:w="453"/>
        <w:gridCol w:w="568"/>
        <w:gridCol w:w="2722"/>
        <w:gridCol w:w="4791"/>
      </w:tblGrid>
      <w:tr w:rsidR="00835D10" w:rsidRPr="001A2F85" w14:paraId="54B71BBF" w14:textId="77777777" w:rsidTr="00835D10">
        <w:trPr>
          <w:cantSplit/>
          <w:tblHeader/>
        </w:trPr>
        <w:tc>
          <w:tcPr>
            <w:tcW w:w="598" w:type="pct"/>
            <w:gridSpan w:val="2"/>
            <w:shd w:val="clear" w:color="auto" w:fill="9D57A6"/>
            <w:tcMar>
              <w:left w:w="454" w:type="dxa"/>
              <w:bottom w:w="0" w:type="dxa"/>
            </w:tcMar>
          </w:tcPr>
          <w:p w14:paraId="27588135" w14:textId="77777777" w:rsidR="00835D10" w:rsidRPr="001A2F85" w:rsidRDefault="00835D10" w:rsidP="00835D10">
            <w:pPr>
              <w:pStyle w:val="Tablecolumnheadings"/>
            </w:pPr>
          </w:p>
        </w:tc>
        <w:tc>
          <w:tcPr>
            <w:tcW w:w="1595" w:type="pct"/>
            <w:shd w:val="clear" w:color="auto" w:fill="9D57A6"/>
            <w:tcMar>
              <w:bottom w:w="0" w:type="dxa"/>
            </w:tcMar>
          </w:tcPr>
          <w:p w14:paraId="0961888D" w14:textId="77777777" w:rsidR="00835D10" w:rsidRPr="001A2F85" w:rsidRDefault="00835D10" w:rsidP="00835D10">
            <w:pPr>
              <w:pStyle w:val="Tablecolumnheadings"/>
            </w:pPr>
            <w:r w:rsidRPr="001A2F85">
              <w:t>Data field</w:t>
            </w:r>
          </w:p>
        </w:tc>
        <w:tc>
          <w:tcPr>
            <w:tcW w:w="2807" w:type="pct"/>
            <w:shd w:val="clear" w:color="auto" w:fill="9D57A6"/>
            <w:tcMar>
              <w:bottom w:w="0" w:type="dxa"/>
            </w:tcMar>
          </w:tcPr>
          <w:p w14:paraId="7DC048D5" w14:textId="77777777" w:rsidR="00835D10" w:rsidRPr="001A2F85" w:rsidRDefault="00835D10" w:rsidP="00835D10">
            <w:pPr>
              <w:pStyle w:val="Tablecolumnheadings"/>
            </w:pPr>
            <w:r w:rsidRPr="001A2F85">
              <w:t>Description</w:t>
            </w:r>
          </w:p>
        </w:tc>
      </w:tr>
      <w:tr w:rsidR="00835D10" w:rsidRPr="001A2F85" w14:paraId="7A47F1A2" w14:textId="77777777" w:rsidTr="00835D10">
        <w:tblPrEx>
          <w:tblBorders>
            <w:bottom w:val="single" w:sz="4" w:space="0" w:color="646464"/>
            <w:insideH w:val="single" w:sz="4" w:space="0" w:color="646464"/>
          </w:tblBorders>
        </w:tblPrEx>
        <w:trPr>
          <w:gridBefore w:val="1"/>
          <w:wBefore w:w="265" w:type="pct"/>
          <w:cantSplit/>
        </w:trPr>
        <w:tc>
          <w:tcPr>
            <w:tcW w:w="333" w:type="pct"/>
            <w:tcBorders>
              <w:top w:val="nil"/>
            </w:tcBorders>
          </w:tcPr>
          <w:p w14:paraId="0FB05EB5" w14:textId="77777777" w:rsidR="00835D10" w:rsidRPr="001A2F85" w:rsidRDefault="00835D10" w:rsidP="00835D10">
            <w:pPr>
              <w:pStyle w:val="Tabletext"/>
            </w:pPr>
            <w:r w:rsidRPr="001A2F85">
              <w:t>1</w:t>
            </w:r>
          </w:p>
        </w:tc>
        <w:tc>
          <w:tcPr>
            <w:tcW w:w="1595" w:type="pct"/>
            <w:tcBorders>
              <w:top w:val="nil"/>
            </w:tcBorders>
            <w:vAlign w:val="center"/>
          </w:tcPr>
          <w:p w14:paraId="7C2E03F1" w14:textId="77777777" w:rsidR="00835D10" w:rsidRPr="001A2F85" w:rsidRDefault="00835D10" w:rsidP="00835D10">
            <w:pPr>
              <w:pStyle w:val="Tabletext"/>
            </w:pPr>
            <w:r w:rsidRPr="001A2F85">
              <w:t>HEPPP project name</w:t>
            </w:r>
          </w:p>
        </w:tc>
        <w:tc>
          <w:tcPr>
            <w:tcW w:w="2807" w:type="pct"/>
            <w:tcBorders>
              <w:top w:val="nil"/>
            </w:tcBorders>
          </w:tcPr>
          <w:p w14:paraId="0C5A2B9E" w14:textId="77777777" w:rsidR="00835D10" w:rsidRPr="001A2F85" w:rsidRDefault="00835D10" w:rsidP="00835D10">
            <w:pPr>
              <w:pStyle w:val="Tabletext"/>
            </w:pPr>
            <w:r w:rsidRPr="001A2F85">
              <w:t xml:space="preserve">The name given to the project by the university </w:t>
            </w:r>
          </w:p>
        </w:tc>
      </w:tr>
      <w:tr w:rsidR="00835D10" w:rsidRPr="001A2F85" w14:paraId="6DAF7C9C"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350DDE9F" w14:textId="77777777" w:rsidR="00835D10" w:rsidRPr="001A2F85" w:rsidRDefault="00835D10" w:rsidP="00835D10">
            <w:pPr>
              <w:pStyle w:val="Tabletext"/>
            </w:pPr>
            <w:r w:rsidRPr="001A2F85">
              <w:t>2</w:t>
            </w:r>
          </w:p>
        </w:tc>
        <w:tc>
          <w:tcPr>
            <w:tcW w:w="1595" w:type="pct"/>
            <w:vAlign w:val="center"/>
          </w:tcPr>
          <w:p w14:paraId="70223C85" w14:textId="77777777" w:rsidR="00835D10" w:rsidRPr="001A2F85" w:rsidRDefault="00835D10" w:rsidP="00835D10">
            <w:pPr>
              <w:pStyle w:val="Tabletext"/>
            </w:pPr>
            <w:r w:rsidRPr="001A2F85">
              <w:t>University</w:t>
            </w:r>
          </w:p>
        </w:tc>
        <w:tc>
          <w:tcPr>
            <w:tcW w:w="2807" w:type="pct"/>
          </w:tcPr>
          <w:p w14:paraId="6C78B472" w14:textId="77777777" w:rsidR="00835D10" w:rsidRPr="001A2F85" w:rsidRDefault="00835D10" w:rsidP="00835D10">
            <w:pPr>
              <w:pStyle w:val="Tabletext"/>
            </w:pPr>
            <w:r w:rsidRPr="001A2F85">
              <w:t>Name of university</w:t>
            </w:r>
          </w:p>
        </w:tc>
      </w:tr>
      <w:tr w:rsidR="00835D10" w:rsidRPr="001A2F85" w14:paraId="13F999EA"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004C6EFA" w14:textId="77777777" w:rsidR="00835D10" w:rsidRPr="001A2F85" w:rsidRDefault="00835D10" w:rsidP="00835D10">
            <w:pPr>
              <w:pStyle w:val="Tabletext"/>
            </w:pPr>
            <w:r w:rsidRPr="001A2F85">
              <w:t>3</w:t>
            </w:r>
          </w:p>
        </w:tc>
        <w:tc>
          <w:tcPr>
            <w:tcW w:w="1595" w:type="pct"/>
            <w:vAlign w:val="center"/>
          </w:tcPr>
          <w:p w14:paraId="0F4A1B81" w14:textId="77777777" w:rsidR="00835D10" w:rsidRPr="001A2F85" w:rsidRDefault="00835D10" w:rsidP="00835D10">
            <w:pPr>
              <w:pStyle w:val="Tabletext"/>
            </w:pPr>
            <w:r w:rsidRPr="001A2F85">
              <w:t xml:space="preserve">HEPPP component—funding </w:t>
            </w:r>
          </w:p>
        </w:tc>
        <w:tc>
          <w:tcPr>
            <w:tcW w:w="2807" w:type="pct"/>
          </w:tcPr>
          <w:p w14:paraId="290DDD90" w14:textId="77777777" w:rsidR="00835D10" w:rsidRPr="001A2F85" w:rsidRDefault="00835D10" w:rsidP="00835D10">
            <w:pPr>
              <w:pStyle w:val="Tablelistnumber"/>
              <w:numPr>
                <w:ilvl w:val="0"/>
                <w:numId w:val="0"/>
              </w:numPr>
            </w:pPr>
            <w:r w:rsidRPr="001A2F85">
              <w:t>One of Participation, Partnership, NPP</w:t>
            </w:r>
          </w:p>
        </w:tc>
      </w:tr>
      <w:tr w:rsidR="00835D10" w:rsidRPr="001A2F85" w14:paraId="4E664AD6"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69925F53" w14:textId="77777777" w:rsidR="00835D10" w:rsidRPr="001A2F85" w:rsidRDefault="00835D10" w:rsidP="00835D10">
            <w:pPr>
              <w:pStyle w:val="Tabletext"/>
            </w:pPr>
            <w:r w:rsidRPr="001A2F85">
              <w:t>4</w:t>
            </w:r>
          </w:p>
        </w:tc>
        <w:tc>
          <w:tcPr>
            <w:tcW w:w="1595" w:type="pct"/>
            <w:vAlign w:val="center"/>
          </w:tcPr>
          <w:p w14:paraId="2F5FF1A2" w14:textId="77777777" w:rsidR="00835D10" w:rsidRPr="001A2F85" w:rsidDel="00F9779C" w:rsidRDefault="00835D10" w:rsidP="00835D10">
            <w:pPr>
              <w:pStyle w:val="Tabletext"/>
            </w:pPr>
            <w:r w:rsidRPr="001A2F85">
              <w:t xml:space="preserve">HEPPP component—activity </w:t>
            </w:r>
          </w:p>
        </w:tc>
        <w:tc>
          <w:tcPr>
            <w:tcW w:w="2807" w:type="pct"/>
          </w:tcPr>
          <w:p w14:paraId="0EC59EB5" w14:textId="77777777" w:rsidR="00835D10" w:rsidRPr="001A2F85" w:rsidDel="00F9779C" w:rsidRDefault="00835D10" w:rsidP="000729C9">
            <w:pPr>
              <w:pStyle w:val="Tabletext"/>
            </w:pPr>
            <w:r w:rsidRPr="001A2F85">
              <w:t>One of Participation, Partnership, NPP</w:t>
            </w:r>
          </w:p>
        </w:tc>
      </w:tr>
      <w:tr w:rsidR="00835D10" w:rsidRPr="001A2F85" w14:paraId="255578A8"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4551DFB7" w14:textId="77777777" w:rsidR="00835D10" w:rsidRPr="001A2F85" w:rsidRDefault="00835D10" w:rsidP="00835D10">
            <w:pPr>
              <w:pStyle w:val="Tabletext"/>
            </w:pPr>
            <w:r w:rsidRPr="001A2F85">
              <w:t>5</w:t>
            </w:r>
          </w:p>
        </w:tc>
        <w:tc>
          <w:tcPr>
            <w:tcW w:w="1595" w:type="pct"/>
            <w:vAlign w:val="center"/>
          </w:tcPr>
          <w:p w14:paraId="71003F80" w14:textId="77777777" w:rsidR="00835D10" w:rsidRPr="001A2F85" w:rsidRDefault="00835D10" w:rsidP="00835D10">
            <w:pPr>
              <w:pStyle w:val="Tabletext"/>
            </w:pPr>
            <w:r w:rsidRPr="001A2F85">
              <w:t>Project initiation year</w:t>
            </w:r>
          </w:p>
        </w:tc>
        <w:tc>
          <w:tcPr>
            <w:tcW w:w="2807" w:type="pct"/>
          </w:tcPr>
          <w:p w14:paraId="31911167" w14:textId="77777777" w:rsidR="00835D10" w:rsidRPr="001A2F85" w:rsidRDefault="00835D10" w:rsidP="00835D10">
            <w:pPr>
              <w:pStyle w:val="Tabletext"/>
            </w:pPr>
            <w:r w:rsidRPr="001A2F85">
              <w:t>Calendar year the project was first implemented</w:t>
            </w:r>
          </w:p>
        </w:tc>
      </w:tr>
      <w:tr w:rsidR="00835D10" w:rsidRPr="001A2F85" w14:paraId="6B095463"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5B028F82" w14:textId="77777777" w:rsidR="00835D10" w:rsidRPr="001A2F85" w:rsidRDefault="00835D10" w:rsidP="00835D10">
            <w:pPr>
              <w:pStyle w:val="Tabletext"/>
            </w:pPr>
            <w:r w:rsidRPr="001A2F85">
              <w:t>6</w:t>
            </w:r>
          </w:p>
        </w:tc>
        <w:tc>
          <w:tcPr>
            <w:tcW w:w="1595" w:type="pct"/>
            <w:vAlign w:val="center"/>
          </w:tcPr>
          <w:p w14:paraId="0C485D33" w14:textId="77777777" w:rsidR="00835D10" w:rsidRPr="001A2F85" w:rsidRDefault="00835D10" w:rsidP="00835D10">
            <w:pPr>
              <w:pStyle w:val="Tabletext"/>
            </w:pPr>
            <w:r w:rsidRPr="001A2F85">
              <w:t>Project completion year</w:t>
            </w:r>
          </w:p>
        </w:tc>
        <w:tc>
          <w:tcPr>
            <w:tcW w:w="2807" w:type="pct"/>
          </w:tcPr>
          <w:p w14:paraId="4F2C2161" w14:textId="77777777" w:rsidR="00835D10" w:rsidRPr="001A2F85" w:rsidRDefault="00835D10" w:rsidP="00835D10">
            <w:pPr>
              <w:pStyle w:val="Tabletext"/>
            </w:pPr>
            <w:r w:rsidRPr="001A2F85">
              <w:t>Calendar year</w:t>
            </w:r>
            <w:r w:rsidRPr="001A2F85">
              <w:rPr>
                <w:b/>
              </w:rPr>
              <w:t xml:space="preserve"> </w:t>
            </w:r>
            <w:r w:rsidRPr="001A2F85">
              <w:t>the project will end</w:t>
            </w:r>
          </w:p>
        </w:tc>
      </w:tr>
      <w:tr w:rsidR="00835D10" w:rsidRPr="001A2F85" w14:paraId="07AD613F"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5FF7451C" w14:textId="77777777" w:rsidR="00835D10" w:rsidRPr="001A2F85" w:rsidRDefault="00835D10" w:rsidP="00835D10">
            <w:pPr>
              <w:pStyle w:val="Tabletext"/>
            </w:pPr>
            <w:r w:rsidRPr="001A2F85">
              <w:t>7</w:t>
            </w:r>
          </w:p>
        </w:tc>
        <w:tc>
          <w:tcPr>
            <w:tcW w:w="1595" w:type="pct"/>
            <w:vAlign w:val="center"/>
          </w:tcPr>
          <w:p w14:paraId="2C2339C9" w14:textId="77777777" w:rsidR="00835D10" w:rsidRPr="001A2F85" w:rsidRDefault="00835D10" w:rsidP="00835D10">
            <w:pPr>
              <w:pStyle w:val="Tabletext"/>
            </w:pPr>
            <w:r w:rsidRPr="001A2F85">
              <w:t>Objectives</w:t>
            </w:r>
          </w:p>
        </w:tc>
        <w:tc>
          <w:tcPr>
            <w:tcW w:w="2807" w:type="pct"/>
          </w:tcPr>
          <w:p w14:paraId="5E6C9C19" w14:textId="77777777" w:rsidR="00835D10" w:rsidRPr="001A2F85" w:rsidRDefault="00835D10" w:rsidP="00835D10">
            <w:pPr>
              <w:pStyle w:val="Tabletext"/>
            </w:pPr>
            <w:r w:rsidRPr="001A2F85">
              <w:t>[free text] Objectives of the project</w:t>
            </w:r>
          </w:p>
        </w:tc>
      </w:tr>
      <w:tr w:rsidR="00835D10" w:rsidRPr="001A2F85" w14:paraId="188288DA"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21787286" w14:textId="77777777" w:rsidR="00835D10" w:rsidRPr="001A2F85" w:rsidRDefault="00835D10" w:rsidP="00835D10">
            <w:pPr>
              <w:pStyle w:val="Tabletext"/>
            </w:pPr>
            <w:r w:rsidRPr="001A2F85">
              <w:t>8</w:t>
            </w:r>
          </w:p>
        </w:tc>
        <w:tc>
          <w:tcPr>
            <w:tcW w:w="1595" w:type="pct"/>
            <w:vAlign w:val="center"/>
          </w:tcPr>
          <w:p w14:paraId="24CE40D8" w14:textId="77777777" w:rsidR="00835D10" w:rsidRPr="001A2F85" w:rsidRDefault="00835D10" w:rsidP="000729C9">
            <w:pPr>
              <w:pStyle w:val="Tabletext"/>
            </w:pPr>
            <w:r>
              <w:t>Equity</w:t>
            </w:r>
            <w:r w:rsidRPr="001A2F85">
              <w:t xml:space="preserve"> groups</w:t>
            </w:r>
          </w:p>
        </w:tc>
        <w:tc>
          <w:tcPr>
            <w:tcW w:w="2807" w:type="pct"/>
          </w:tcPr>
          <w:p w14:paraId="179A60DC" w14:textId="77777777" w:rsidR="00835D10" w:rsidRPr="001A2F85" w:rsidRDefault="00835D10">
            <w:pPr>
              <w:pStyle w:val="Tabletext"/>
            </w:pPr>
            <w:r w:rsidRPr="001A2F85">
              <w:t xml:space="preserve">One or more of the six identified in </w:t>
            </w:r>
            <w:r w:rsidRPr="001A2F85">
              <w:rPr>
                <w:i/>
              </w:rPr>
              <w:t xml:space="preserve">A Fair Chance for All </w:t>
            </w:r>
            <w:r w:rsidRPr="001A2F85">
              <w:t xml:space="preserve">(see </w:t>
            </w:r>
            <w:r w:rsidR="00C71CE9">
              <w:t>S</w:t>
            </w:r>
            <w:r w:rsidR="00C71CE9" w:rsidRPr="001A2F85">
              <w:t xml:space="preserve">ection </w:t>
            </w:r>
            <w:r w:rsidR="008C090E">
              <w:t>2.4</w:t>
            </w:r>
            <w:r w:rsidRPr="001A2F85">
              <w:t>)</w:t>
            </w:r>
          </w:p>
        </w:tc>
      </w:tr>
      <w:tr w:rsidR="00835D10" w:rsidRPr="001A2F85" w14:paraId="77618C6C"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62C8DE1F" w14:textId="77777777" w:rsidR="00835D10" w:rsidRPr="001A2F85" w:rsidRDefault="00835D10" w:rsidP="00835D10">
            <w:pPr>
              <w:pStyle w:val="Tabletext"/>
            </w:pPr>
            <w:r w:rsidRPr="001A2F85">
              <w:t>9</w:t>
            </w:r>
          </w:p>
        </w:tc>
        <w:tc>
          <w:tcPr>
            <w:tcW w:w="1595" w:type="pct"/>
            <w:vAlign w:val="center"/>
          </w:tcPr>
          <w:p w14:paraId="4EFE3DAD" w14:textId="77777777" w:rsidR="00835D10" w:rsidRPr="001A2F85" w:rsidRDefault="00835D10" w:rsidP="00835D10">
            <w:pPr>
              <w:pStyle w:val="Tabletext"/>
            </w:pPr>
            <w:r w:rsidRPr="001A2F85">
              <w:t>Evaluation</w:t>
            </w:r>
          </w:p>
        </w:tc>
        <w:tc>
          <w:tcPr>
            <w:tcW w:w="2807" w:type="pct"/>
          </w:tcPr>
          <w:p w14:paraId="0A90FDB4" w14:textId="77777777" w:rsidR="00835D10" w:rsidRPr="001A2F85" w:rsidRDefault="00835D10" w:rsidP="00835D10">
            <w:pPr>
              <w:pStyle w:val="Tabletext"/>
            </w:pPr>
            <w:r w:rsidRPr="001A2F85">
              <w:t>Whether the project has been evaluated</w:t>
            </w:r>
          </w:p>
        </w:tc>
      </w:tr>
      <w:tr w:rsidR="00835D10" w:rsidRPr="001A2F85" w14:paraId="11E4DA65"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7455079D" w14:textId="77777777" w:rsidR="00835D10" w:rsidRPr="001A2F85" w:rsidRDefault="00835D10" w:rsidP="00835D10">
            <w:pPr>
              <w:pStyle w:val="Tabletext"/>
            </w:pPr>
            <w:r w:rsidRPr="001A2F85">
              <w:t>10</w:t>
            </w:r>
          </w:p>
        </w:tc>
        <w:tc>
          <w:tcPr>
            <w:tcW w:w="1595" w:type="pct"/>
            <w:vAlign w:val="center"/>
          </w:tcPr>
          <w:p w14:paraId="7D11FFF4" w14:textId="77777777" w:rsidR="00835D10" w:rsidRPr="001A2F85" w:rsidRDefault="00835D10" w:rsidP="00835D10">
            <w:pPr>
              <w:pStyle w:val="Tabletext"/>
            </w:pPr>
            <w:r w:rsidRPr="001A2F85">
              <w:t>Number of recipients</w:t>
            </w:r>
          </w:p>
        </w:tc>
        <w:tc>
          <w:tcPr>
            <w:tcW w:w="2807" w:type="pct"/>
          </w:tcPr>
          <w:p w14:paraId="36951F77" w14:textId="77777777" w:rsidR="00835D10" w:rsidRPr="001A2F85" w:rsidRDefault="00835D10" w:rsidP="00835D10">
            <w:pPr>
              <w:pStyle w:val="Tabletext"/>
            </w:pPr>
            <w:r w:rsidRPr="001A2F85">
              <w:t>Number of program recipients</w:t>
            </w:r>
          </w:p>
        </w:tc>
      </w:tr>
      <w:tr w:rsidR="00835D10" w:rsidRPr="001A2F85" w14:paraId="265954CB"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139B1715" w14:textId="77777777" w:rsidR="00835D10" w:rsidRPr="001A2F85" w:rsidRDefault="00835D10" w:rsidP="00835D10">
            <w:pPr>
              <w:pStyle w:val="Tabletext"/>
            </w:pPr>
            <w:r w:rsidRPr="001A2F85">
              <w:t>11</w:t>
            </w:r>
          </w:p>
        </w:tc>
        <w:tc>
          <w:tcPr>
            <w:tcW w:w="1595" w:type="pct"/>
            <w:vAlign w:val="center"/>
          </w:tcPr>
          <w:p w14:paraId="3FD1318F" w14:textId="77777777" w:rsidR="00835D10" w:rsidRPr="001A2F85" w:rsidRDefault="00835D10" w:rsidP="00835D10">
            <w:pPr>
              <w:pStyle w:val="Tabletext"/>
            </w:pPr>
            <w:r w:rsidRPr="001A2F85">
              <w:t>Budget</w:t>
            </w:r>
          </w:p>
        </w:tc>
        <w:tc>
          <w:tcPr>
            <w:tcW w:w="2807" w:type="pct"/>
          </w:tcPr>
          <w:p w14:paraId="576705E0" w14:textId="77777777" w:rsidR="00835D10" w:rsidRPr="001A2F85" w:rsidRDefault="00835D10" w:rsidP="00835D10">
            <w:pPr>
              <w:pStyle w:val="Tabletext"/>
            </w:pPr>
            <w:r w:rsidRPr="001A2F85">
              <w:t>Total budget for the project in dollars</w:t>
            </w:r>
          </w:p>
        </w:tc>
      </w:tr>
      <w:tr w:rsidR="00835D10" w:rsidRPr="001A2F85" w14:paraId="1EDC89A2"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4C16B13C" w14:textId="77777777" w:rsidR="00835D10" w:rsidRPr="001A2F85" w:rsidRDefault="00835D10" w:rsidP="00835D10">
            <w:pPr>
              <w:pStyle w:val="Tabletext"/>
            </w:pPr>
            <w:r w:rsidRPr="001A2F85">
              <w:t>12</w:t>
            </w:r>
          </w:p>
        </w:tc>
        <w:tc>
          <w:tcPr>
            <w:tcW w:w="1595" w:type="pct"/>
            <w:vAlign w:val="center"/>
          </w:tcPr>
          <w:p w14:paraId="1D9A1B33" w14:textId="77777777" w:rsidR="00835D10" w:rsidRPr="001A2F85" w:rsidRDefault="00835D10" w:rsidP="00835D10">
            <w:pPr>
              <w:pStyle w:val="Tabletext"/>
            </w:pPr>
            <w:r w:rsidRPr="001A2F85">
              <w:t>HEPPP budget component</w:t>
            </w:r>
          </w:p>
        </w:tc>
        <w:tc>
          <w:tcPr>
            <w:tcW w:w="2807" w:type="pct"/>
          </w:tcPr>
          <w:p w14:paraId="3C12232F" w14:textId="77777777" w:rsidR="00835D10" w:rsidRPr="001A2F85" w:rsidRDefault="00835D10" w:rsidP="00835D10">
            <w:pPr>
              <w:pStyle w:val="Tabletext"/>
            </w:pPr>
            <w:r w:rsidRPr="001A2F85">
              <w:t>Dollar contribution of HEPPP</w:t>
            </w:r>
          </w:p>
        </w:tc>
      </w:tr>
      <w:tr w:rsidR="00835D10" w:rsidRPr="001A2F85" w14:paraId="261D78B4"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0D98D13D" w14:textId="77777777" w:rsidR="00835D10" w:rsidRPr="001A2F85" w:rsidRDefault="00835D10" w:rsidP="00835D10">
            <w:pPr>
              <w:pStyle w:val="Tabletext"/>
            </w:pPr>
            <w:r w:rsidRPr="001A2F85">
              <w:t>13</w:t>
            </w:r>
          </w:p>
        </w:tc>
        <w:tc>
          <w:tcPr>
            <w:tcW w:w="1595" w:type="pct"/>
            <w:vAlign w:val="center"/>
          </w:tcPr>
          <w:p w14:paraId="3A9FCC47" w14:textId="77777777" w:rsidR="00835D10" w:rsidRPr="001A2F85" w:rsidRDefault="00835D10" w:rsidP="00835D10">
            <w:pPr>
              <w:pStyle w:val="Tabletext"/>
            </w:pPr>
            <w:r w:rsidRPr="001A2F85">
              <w:t>Other funding component</w:t>
            </w:r>
          </w:p>
        </w:tc>
        <w:tc>
          <w:tcPr>
            <w:tcW w:w="2807" w:type="pct"/>
          </w:tcPr>
          <w:p w14:paraId="1F6CA5B3" w14:textId="77777777" w:rsidR="00835D10" w:rsidRPr="001A2F85" w:rsidRDefault="00835D10" w:rsidP="00835D10">
            <w:pPr>
              <w:pStyle w:val="Tabletext"/>
            </w:pPr>
            <w:r w:rsidRPr="001A2F85">
              <w:t>Dollar contribution of non-HEPPP funding</w:t>
            </w:r>
          </w:p>
        </w:tc>
      </w:tr>
      <w:tr w:rsidR="00835D10" w:rsidRPr="001A2F85" w14:paraId="4C253BEB"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53AC5F77" w14:textId="77777777" w:rsidR="00835D10" w:rsidRPr="001A2F85" w:rsidRDefault="00835D10" w:rsidP="00835D10">
            <w:pPr>
              <w:pStyle w:val="Tabletext"/>
            </w:pPr>
            <w:r w:rsidRPr="001A2F85">
              <w:t>14</w:t>
            </w:r>
          </w:p>
        </w:tc>
        <w:tc>
          <w:tcPr>
            <w:tcW w:w="1595" w:type="pct"/>
            <w:vAlign w:val="center"/>
          </w:tcPr>
          <w:p w14:paraId="16D73C6A" w14:textId="77777777" w:rsidR="00835D10" w:rsidRPr="001A2F85" w:rsidRDefault="00835D10" w:rsidP="00835D10">
            <w:pPr>
              <w:pStyle w:val="Tabletext"/>
            </w:pPr>
            <w:r w:rsidRPr="001A2F85">
              <w:t>Source of other funding component</w:t>
            </w:r>
          </w:p>
        </w:tc>
        <w:tc>
          <w:tcPr>
            <w:tcW w:w="2807" w:type="pct"/>
          </w:tcPr>
          <w:p w14:paraId="5A355C5D" w14:textId="77777777" w:rsidR="00835D10" w:rsidRPr="001A2F85" w:rsidRDefault="00835D10" w:rsidP="00835D10">
            <w:pPr>
              <w:pStyle w:val="Tabletext"/>
            </w:pPr>
            <w:r w:rsidRPr="001A2F85">
              <w:t>The type of institution that provided the additional funding</w:t>
            </w:r>
          </w:p>
        </w:tc>
      </w:tr>
      <w:tr w:rsidR="00835D10" w:rsidRPr="001A2F85" w14:paraId="740F2151"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4B7881EF" w14:textId="77777777" w:rsidR="00835D10" w:rsidRPr="001A2F85" w:rsidRDefault="00835D10" w:rsidP="00835D10">
            <w:pPr>
              <w:pStyle w:val="Tabletext"/>
            </w:pPr>
            <w:r w:rsidRPr="001A2F85">
              <w:t>15</w:t>
            </w:r>
          </w:p>
        </w:tc>
        <w:tc>
          <w:tcPr>
            <w:tcW w:w="1595" w:type="pct"/>
            <w:vAlign w:val="center"/>
          </w:tcPr>
          <w:p w14:paraId="691D8650" w14:textId="77777777" w:rsidR="00835D10" w:rsidRPr="001A2F85" w:rsidRDefault="00835D10" w:rsidP="00835D10">
            <w:pPr>
              <w:pStyle w:val="Tabletext"/>
            </w:pPr>
            <w:r w:rsidRPr="001A2F85">
              <w:t>EIF - Student Life Cycle stage</w:t>
            </w:r>
          </w:p>
        </w:tc>
        <w:tc>
          <w:tcPr>
            <w:tcW w:w="2807" w:type="pct"/>
          </w:tcPr>
          <w:p w14:paraId="2CB698C2" w14:textId="77777777" w:rsidR="00835D10" w:rsidRPr="001A2F85" w:rsidRDefault="00835D10" w:rsidP="00835D10">
            <w:pPr>
              <w:pStyle w:val="Tabletext"/>
            </w:pPr>
            <w:r w:rsidRPr="001A2F85">
              <w:t>One of four stages, or other</w:t>
            </w:r>
          </w:p>
        </w:tc>
      </w:tr>
      <w:tr w:rsidR="00835D10" w:rsidRPr="001A2F85" w14:paraId="1658B8DA"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037E0E46" w14:textId="77777777" w:rsidR="00835D10" w:rsidRPr="001A2F85" w:rsidRDefault="00835D10" w:rsidP="00835D10">
            <w:pPr>
              <w:pStyle w:val="Tabletext"/>
            </w:pPr>
            <w:r w:rsidRPr="001A2F85">
              <w:t>16</w:t>
            </w:r>
          </w:p>
        </w:tc>
        <w:tc>
          <w:tcPr>
            <w:tcW w:w="1595" w:type="pct"/>
            <w:vAlign w:val="center"/>
          </w:tcPr>
          <w:p w14:paraId="15F651FF" w14:textId="77777777" w:rsidR="00835D10" w:rsidRPr="001A2F85" w:rsidRDefault="00835D10" w:rsidP="00835D10">
            <w:pPr>
              <w:pStyle w:val="Tabletext"/>
            </w:pPr>
            <w:r w:rsidRPr="001A2F85">
              <w:t>EIF - Target groups</w:t>
            </w:r>
          </w:p>
        </w:tc>
        <w:tc>
          <w:tcPr>
            <w:tcW w:w="2807" w:type="pct"/>
          </w:tcPr>
          <w:p w14:paraId="25B470D1" w14:textId="77777777" w:rsidR="00835D10" w:rsidRPr="001A2F85" w:rsidRDefault="00835D10" w:rsidP="00835D10">
            <w:pPr>
              <w:pStyle w:val="Tabletext"/>
            </w:pPr>
            <w:r w:rsidRPr="001A2F85">
              <w:t xml:space="preserve">One or more of </w:t>
            </w:r>
            <w:r>
              <w:t xml:space="preserve">the </w:t>
            </w:r>
            <w:r w:rsidRPr="001A2F85">
              <w:t xml:space="preserve">17 </w:t>
            </w:r>
            <w:r>
              <w:t xml:space="preserve">EIF </w:t>
            </w:r>
            <w:r w:rsidRPr="001A2F85">
              <w:t>target groups</w:t>
            </w:r>
          </w:p>
        </w:tc>
      </w:tr>
      <w:tr w:rsidR="00835D10" w:rsidRPr="001A2F85" w14:paraId="49038BC3" w14:textId="77777777" w:rsidTr="00835D10">
        <w:tblPrEx>
          <w:tblBorders>
            <w:bottom w:val="single" w:sz="4" w:space="0" w:color="646464"/>
            <w:insideH w:val="single" w:sz="4" w:space="0" w:color="646464"/>
          </w:tblBorders>
        </w:tblPrEx>
        <w:trPr>
          <w:gridBefore w:val="1"/>
          <w:wBefore w:w="265" w:type="pct"/>
          <w:cantSplit/>
        </w:trPr>
        <w:tc>
          <w:tcPr>
            <w:tcW w:w="333" w:type="pct"/>
          </w:tcPr>
          <w:p w14:paraId="64B83C24" w14:textId="77777777" w:rsidR="00835D10" w:rsidRPr="001A2F85" w:rsidRDefault="00835D10" w:rsidP="00835D10">
            <w:pPr>
              <w:pStyle w:val="Tabletext"/>
            </w:pPr>
            <w:r w:rsidRPr="001A2F85">
              <w:t>17</w:t>
            </w:r>
          </w:p>
        </w:tc>
        <w:tc>
          <w:tcPr>
            <w:tcW w:w="1595" w:type="pct"/>
            <w:vAlign w:val="center"/>
          </w:tcPr>
          <w:p w14:paraId="0AE80CB8" w14:textId="77777777" w:rsidR="00835D10" w:rsidRPr="001A2F85" w:rsidRDefault="00835D10" w:rsidP="00835D10">
            <w:pPr>
              <w:pStyle w:val="Tabletext"/>
            </w:pPr>
            <w:r w:rsidRPr="001A2F85">
              <w:t>EIF - Type of project</w:t>
            </w:r>
          </w:p>
        </w:tc>
        <w:tc>
          <w:tcPr>
            <w:tcW w:w="2807" w:type="pct"/>
          </w:tcPr>
          <w:p w14:paraId="033CA7F1" w14:textId="77777777" w:rsidR="00835D10" w:rsidRPr="001A2F85" w:rsidRDefault="00835D10" w:rsidP="00835D10">
            <w:pPr>
              <w:pStyle w:val="Tabletext"/>
            </w:pPr>
            <w:r w:rsidRPr="001A2F85">
              <w:t>One or more of the 22 project types</w:t>
            </w:r>
          </w:p>
        </w:tc>
      </w:tr>
      <w:tr w:rsidR="00835D10" w:rsidRPr="001A2F85" w14:paraId="5E1E0D69" w14:textId="77777777" w:rsidTr="00835D10">
        <w:tblPrEx>
          <w:tblBorders>
            <w:bottom w:val="single" w:sz="4" w:space="0" w:color="646464"/>
            <w:insideH w:val="single" w:sz="4" w:space="0" w:color="646464"/>
          </w:tblBorders>
        </w:tblPrEx>
        <w:trPr>
          <w:gridBefore w:val="1"/>
          <w:wBefore w:w="265" w:type="pct"/>
          <w:cantSplit/>
        </w:trPr>
        <w:tc>
          <w:tcPr>
            <w:tcW w:w="4735" w:type="pct"/>
            <w:gridSpan w:val="3"/>
          </w:tcPr>
          <w:p w14:paraId="28158F0F" w14:textId="77777777" w:rsidR="00835D10" w:rsidRPr="001A2F85" w:rsidRDefault="00835D10" w:rsidP="00835D10">
            <w:pPr>
              <w:pStyle w:val="Source"/>
            </w:pPr>
            <w:r w:rsidRPr="001A2F85">
              <w:t xml:space="preserve">Source: </w:t>
            </w:r>
            <w:r w:rsidRPr="001D1140">
              <w:t xml:space="preserve">acil allen consulting, Bennett </w:t>
            </w:r>
            <w:r w:rsidR="00A64DC3">
              <w:t>et al.</w:t>
            </w:r>
            <w:r w:rsidRPr="001D1140">
              <w:t xml:space="preserve"> 2015 </w:t>
            </w:r>
            <w:r w:rsidRPr="00B92D42">
              <w:t>and department of education</w:t>
            </w:r>
            <w:r w:rsidR="00D91518">
              <w:t xml:space="preserve"> and training</w:t>
            </w:r>
          </w:p>
        </w:tc>
      </w:tr>
      <w:tr w:rsidR="00835D10" w:rsidRPr="001A2F85" w14:paraId="7DD50955" w14:textId="77777777" w:rsidTr="00835D10">
        <w:tblPrEx>
          <w:tblBorders>
            <w:bottom w:val="single" w:sz="4" w:space="0" w:color="646464"/>
            <w:insideH w:val="single" w:sz="4" w:space="0" w:color="646464"/>
          </w:tblBorders>
        </w:tblPrEx>
        <w:trPr>
          <w:gridBefore w:val="1"/>
          <w:wBefore w:w="265" w:type="pct"/>
          <w:cantSplit/>
          <w:trHeight w:hRule="exact" w:val="120"/>
        </w:trPr>
        <w:tc>
          <w:tcPr>
            <w:tcW w:w="4735" w:type="pct"/>
            <w:gridSpan w:val="3"/>
            <w:tcBorders>
              <w:bottom w:val="nil"/>
            </w:tcBorders>
          </w:tcPr>
          <w:p w14:paraId="41F5629D" w14:textId="77777777" w:rsidR="00835D10" w:rsidRPr="001A2F85" w:rsidRDefault="00835D10" w:rsidP="00835D10">
            <w:pPr>
              <w:pStyle w:val="spacertbl"/>
            </w:pPr>
          </w:p>
        </w:tc>
      </w:tr>
    </w:tbl>
    <w:p w14:paraId="70D3FC16" w14:textId="77777777" w:rsidR="00835D10" w:rsidRPr="001A2F85" w:rsidRDefault="00835D10" w:rsidP="00835D10">
      <w:pPr>
        <w:pStyle w:val="Heading4"/>
      </w:pPr>
      <w:r w:rsidRPr="001A2F85">
        <w:t>Evaluation analysis structure</w:t>
      </w:r>
    </w:p>
    <w:p w14:paraId="0F7ABBBA" w14:textId="77777777" w:rsidR="00835D10" w:rsidRPr="001A2F85" w:rsidRDefault="00835D10" w:rsidP="00835D10">
      <w:pPr>
        <w:pStyle w:val="BodyText"/>
      </w:pPr>
      <w:r w:rsidRPr="001A2F85">
        <w:t>The implementation, effectiveness and efficiency analysis chapters in this report are structured according to the EIF or use the EIF as an important categorisation and analysis tool.</w:t>
      </w:r>
    </w:p>
    <w:p w14:paraId="7280790D" w14:textId="77777777" w:rsidR="00835D10" w:rsidRPr="001A2F85" w:rsidRDefault="00835D10" w:rsidP="00835D10">
      <w:pPr>
        <w:pStyle w:val="BodyText"/>
      </w:pPr>
      <w:r w:rsidRPr="001A2F85">
        <w:t>Chapter 3 provides an overview of HEPPP implementation, in part analysing implementation according to the EIF.</w:t>
      </w:r>
    </w:p>
    <w:p w14:paraId="45B0E78D" w14:textId="77777777" w:rsidR="00835D10" w:rsidRPr="001A2F85" w:rsidRDefault="00835D10" w:rsidP="00835D10">
      <w:pPr>
        <w:pStyle w:val="BodyText"/>
      </w:pPr>
      <w:r w:rsidRPr="001A2F85">
        <w:t xml:space="preserve">Chapters 4, 5, 6, 7 each correspond with one of the EIF student life cycle stages. </w:t>
      </w:r>
    </w:p>
    <w:p w14:paraId="2EAFE191" w14:textId="77777777" w:rsidR="00835D10" w:rsidRPr="001A2F85" w:rsidRDefault="00835D10" w:rsidP="00A45AB3">
      <w:pPr>
        <w:pStyle w:val="ListBullet"/>
        <w:numPr>
          <w:ilvl w:val="0"/>
          <w:numId w:val="34"/>
        </w:numPr>
      </w:pPr>
      <w:r w:rsidRPr="001A2F85">
        <w:t>Chapter 4: Outreach to Schools and Communities—covers the first life cycle stage (also called ‘Pre</w:t>
      </w:r>
      <w:r w:rsidRPr="001A2F85">
        <w:noBreakHyphen/>
        <w:t>Access’)</w:t>
      </w:r>
    </w:p>
    <w:p w14:paraId="2C6D4D3F" w14:textId="77777777" w:rsidR="00835D10" w:rsidRPr="001A2F85" w:rsidRDefault="00835D10" w:rsidP="00A45AB3">
      <w:pPr>
        <w:pStyle w:val="ListBullet"/>
        <w:numPr>
          <w:ilvl w:val="0"/>
          <w:numId w:val="34"/>
        </w:numPr>
      </w:pPr>
      <w:r w:rsidRPr="001A2F85">
        <w:t>Chapter 5: Pathways and Admissions—covers the second life cycle stage (also called ‘Access’)</w:t>
      </w:r>
    </w:p>
    <w:p w14:paraId="78392DFE" w14:textId="77777777" w:rsidR="00835D10" w:rsidRPr="001A2F85" w:rsidRDefault="00835D10" w:rsidP="00A45AB3">
      <w:pPr>
        <w:pStyle w:val="ListBullet"/>
        <w:numPr>
          <w:ilvl w:val="0"/>
          <w:numId w:val="34"/>
        </w:numPr>
      </w:pPr>
      <w:r w:rsidRPr="001A2F85">
        <w:t>Chapter 6: Transition, Engagement and Progression—covers the third life cycle stage (also called ‘Participation’)</w:t>
      </w:r>
    </w:p>
    <w:p w14:paraId="44A66DBF" w14:textId="77777777" w:rsidR="00835D10" w:rsidRPr="001A2F85" w:rsidRDefault="00835D10" w:rsidP="00A45AB3">
      <w:pPr>
        <w:pStyle w:val="ListBullet"/>
        <w:numPr>
          <w:ilvl w:val="0"/>
          <w:numId w:val="34"/>
        </w:numPr>
      </w:pPr>
      <w:r w:rsidRPr="001A2F85">
        <w:t>Chapter 7: Attainment and Transition Out—covers the fourth life cycle stage.</w:t>
      </w:r>
    </w:p>
    <w:p w14:paraId="3FCD179F" w14:textId="77777777" w:rsidR="00835D10" w:rsidRPr="001A2F85" w:rsidRDefault="00835D10" w:rsidP="00835D10">
      <w:pPr>
        <w:pStyle w:val="BodyText"/>
      </w:pPr>
      <w:r w:rsidRPr="001A2F85">
        <w:t xml:space="preserve">Within each of these four chapters, the analysis is structured by the project types set out in </w:t>
      </w:r>
      <w:r w:rsidR="008C090E" w:rsidRPr="00AD49C8">
        <w:t>Table 1.1</w:t>
      </w:r>
      <w:r w:rsidRPr="001A2F85">
        <w:t xml:space="preserve"> above. To the extent that a project type is relevant to more one life cycle stage, it appears in more than one chapter. </w:t>
      </w:r>
    </w:p>
    <w:p w14:paraId="3A10036E" w14:textId="77777777" w:rsidR="00835D10" w:rsidRPr="001A2F85" w:rsidRDefault="00835D10" w:rsidP="00835D10">
      <w:pPr>
        <w:pStyle w:val="BodyText"/>
      </w:pPr>
      <w:r w:rsidRPr="001A2F85">
        <w:t xml:space="preserve">Chapter 8 covers those HEPPP activities which do not sit easily in any particular EIF life cycle stage, but cut across all stages, namely: monitoring/evaluation, research and enhancing program implementation (largely through program trials). In doing so it focuses on NPP activities. </w:t>
      </w:r>
    </w:p>
    <w:p w14:paraId="1360768B" w14:textId="77777777" w:rsidR="00835D10" w:rsidRPr="001A2F85" w:rsidRDefault="00835D10" w:rsidP="00835D10">
      <w:pPr>
        <w:pStyle w:val="BodyText"/>
      </w:pPr>
      <w:r w:rsidRPr="001A2F85">
        <w:t>Chapter 9 examines the efficiency of the HEPPP, including using an EIF categorisation.</w:t>
      </w:r>
    </w:p>
    <w:p w14:paraId="76B07554" w14:textId="77777777" w:rsidR="00835D10" w:rsidRPr="001A2F85" w:rsidRDefault="00835D10" w:rsidP="00835D10">
      <w:pPr>
        <w:pStyle w:val="Heading2"/>
      </w:pPr>
      <w:bookmarkStart w:id="31" w:name="_Toc465930252"/>
      <w:bookmarkStart w:id="32" w:name="_Toc466657107"/>
      <w:bookmarkEnd w:id="21"/>
      <w:r w:rsidRPr="001A2F85">
        <w:t>Report structure</w:t>
      </w:r>
      <w:bookmarkEnd w:id="31"/>
      <w:bookmarkEnd w:id="32"/>
    </w:p>
    <w:p w14:paraId="6A92189D" w14:textId="77777777" w:rsidR="00835D10" w:rsidRPr="001A2F85" w:rsidRDefault="00835D10" w:rsidP="00835D10">
      <w:pPr>
        <w:pStyle w:val="BodyText"/>
        <w:keepNext/>
      </w:pPr>
      <w:r w:rsidRPr="001A2F85">
        <w:t>This report is structured as follows:</w:t>
      </w:r>
    </w:p>
    <w:p w14:paraId="01C73E0B" w14:textId="77777777" w:rsidR="00835D10" w:rsidRPr="001A2F85" w:rsidRDefault="00835D10" w:rsidP="00835D10">
      <w:pPr>
        <w:pStyle w:val="BodyText"/>
        <w:rPr>
          <w:b/>
        </w:rPr>
      </w:pPr>
      <w:r w:rsidRPr="001A2F85">
        <w:rPr>
          <w:b/>
        </w:rPr>
        <w:t>Part 1: Introduction and overview of the HEPPP</w:t>
      </w:r>
    </w:p>
    <w:p w14:paraId="53A3DAE6" w14:textId="77777777" w:rsidR="00835D10" w:rsidRPr="001A2F85" w:rsidRDefault="00835D10" w:rsidP="00A45AB3">
      <w:pPr>
        <w:pStyle w:val="ListNumber"/>
        <w:numPr>
          <w:ilvl w:val="0"/>
          <w:numId w:val="40"/>
        </w:numPr>
      </w:pPr>
      <w:r w:rsidRPr="001A2F85">
        <w:t>Introduction (this chapter)</w:t>
      </w:r>
    </w:p>
    <w:p w14:paraId="50119E85" w14:textId="77777777" w:rsidR="00835D10" w:rsidRPr="001A2F85" w:rsidRDefault="00835D10" w:rsidP="00A45AB3">
      <w:pPr>
        <w:pStyle w:val="ListNumber"/>
        <w:numPr>
          <w:ilvl w:val="0"/>
          <w:numId w:val="39"/>
        </w:numPr>
      </w:pPr>
      <w:r w:rsidRPr="001A2F85">
        <w:t>The design of the HEPPP and other higher education equity policy</w:t>
      </w:r>
    </w:p>
    <w:p w14:paraId="4EFB338D" w14:textId="77777777" w:rsidR="00835D10" w:rsidRPr="001A2F85" w:rsidRDefault="00835D10" w:rsidP="00A45AB3">
      <w:pPr>
        <w:pStyle w:val="ListNumber"/>
        <w:numPr>
          <w:ilvl w:val="0"/>
          <w:numId w:val="39"/>
        </w:numPr>
      </w:pPr>
      <w:r w:rsidRPr="001A2F85">
        <w:t>Overview of HEPPP implementation</w:t>
      </w:r>
    </w:p>
    <w:p w14:paraId="15F57CE5" w14:textId="77777777" w:rsidR="00835D10" w:rsidRPr="001A2F85" w:rsidRDefault="00835D10" w:rsidP="00835D10">
      <w:pPr>
        <w:pStyle w:val="BodyText"/>
        <w:rPr>
          <w:b/>
        </w:rPr>
      </w:pPr>
      <w:r w:rsidRPr="001A2F85">
        <w:rPr>
          <w:b/>
        </w:rPr>
        <w:t>Part 2: Effectiveness and efficiency of the HEPPP</w:t>
      </w:r>
    </w:p>
    <w:p w14:paraId="05C51A69" w14:textId="77777777" w:rsidR="00835D10" w:rsidRPr="001A2F85" w:rsidRDefault="00835D10" w:rsidP="00A45AB3">
      <w:pPr>
        <w:pStyle w:val="ListNumber"/>
        <w:numPr>
          <w:ilvl w:val="0"/>
          <w:numId w:val="39"/>
        </w:numPr>
      </w:pPr>
      <w:r w:rsidRPr="001A2F85">
        <w:t>Outreach to Schools and Communities</w:t>
      </w:r>
    </w:p>
    <w:p w14:paraId="7592F0FA" w14:textId="77777777" w:rsidR="00835D10" w:rsidRPr="001A2F85" w:rsidRDefault="00835D10" w:rsidP="00A45AB3">
      <w:pPr>
        <w:pStyle w:val="ListNumber"/>
        <w:numPr>
          <w:ilvl w:val="0"/>
          <w:numId w:val="39"/>
        </w:numPr>
      </w:pPr>
      <w:r w:rsidRPr="001A2F85">
        <w:t>Pathways and Admissions</w:t>
      </w:r>
    </w:p>
    <w:p w14:paraId="2133A7ED" w14:textId="77777777" w:rsidR="00835D10" w:rsidRPr="001A2F85" w:rsidRDefault="00835D10" w:rsidP="00A45AB3">
      <w:pPr>
        <w:pStyle w:val="ListNumber"/>
        <w:numPr>
          <w:ilvl w:val="0"/>
          <w:numId w:val="39"/>
        </w:numPr>
      </w:pPr>
      <w:r w:rsidRPr="001A2F85">
        <w:t>Transition, Engagement and Progression</w:t>
      </w:r>
    </w:p>
    <w:p w14:paraId="55BDE160" w14:textId="77777777" w:rsidR="00835D10" w:rsidRPr="001A2F85" w:rsidRDefault="00835D10" w:rsidP="00A45AB3">
      <w:pPr>
        <w:pStyle w:val="ListNumber"/>
        <w:numPr>
          <w:ilvl w:val="0"/>
          <w:numId w:val="39"/>
        </w:numPr>
      </w:pPr>
      <w:r w:rsidRPr="001A2F85">
        <w:t>Attainment and Transition Out</w:t>
      </w:r>
    </w:p>
    <w:p w14:paraId="707BF524" w14:textId="77777777" w:rsidR="00835D10" w:rsidRPr="001A2F85" w:rsidRDefault="00835D10" w:rsidP="00A45AB3">
      <w:pPr>
        <w:pStyle w:val="ListNumber"/>
        <w:numPr>
          <w:ilvl w:val="0"/>
          <w:numId w:val="39"/>
        </w:numPr>
      </w:pPr>
      <w:r w:rsidRPr="001A2F85">
        <w:t>Research and other activities</w:t>
      </w:r>
    </w:p>
    <w:p w14:paraId="5E785B0A" w14:textId="77777777" w:rsidR="00835D10" w:rsidRPr="001A2F85" w:rsidRDefault="00835D10" w:rsidP="00A45AB3">
      <w:pPr>
        <w:pStyle w:val="ListNumber"/>
        <w:numPr>
          <w:ilvl w:val="0"/>
          <w:numId w:val="39"/>
        </w:numPr>
      </w:pPr>
      <w:r w:rsidRPr="001A2F85">
        <w:t>Overall effectiveness</w:t>
      </w:r>
    </w:p>
    <w:p w14:paraId="4A497D4D" w14:textId="77777777" w:rsidR="00835D10" w:rsidRPr="001A2F85" w:rsidRDefault="00835D10" w:rsidP="00A45AB3">
      <w:pPr>
        <w:pStyle w:val="ListNumber"/>
        <w:numPr>
          <w:ilvl w:val="0"/>
          <w:numId w:val="39"/>
        </w:numPr>
      </w:pPr>
      <w:r w:rsidRPr="001A2F85">
        <w:t>Efficiency of the HEPPP</w:t>
      </w:r>
    </w:p>
    <w:p w14:paraId="0058D7AE" w14:textId="77777777" w:rsidR="00835D10" w:rsidRPr="001A2F85" w:rsidRDefault="00835D10" w:rsidP="00835D10">
      <w:pPr>
        <w:pStyle w:val="BodyText"/>
        <w:rPr>
          <w:b/>
        </w:rPr>
      </w:pPr>
      <w:r w:rsidRPr="001A2F85">
        <w:rPr>
          <w:b/>
        </w:rPr>
        <w:t>Part 3: Appropriateness of the HEPPP</w:t>
      </w:r>
    </w:p>
    <w:p w14:paraId="6B56E67B" w14:textId="77777777" w:rsidR="00835D10" w:rsidRPr="001A2F85" w:rsidRDefault="00835D10" w:rsidP="00A45AB3">
      <w:pPr>
        <w:pStyle w:val="ListNumber"/>
        <w:numPr>
          <w:ilvl w:val="0"/>
          <w:numId w:val="39"/>
        </w:numPr>
      </w:pPr>
      <w:r w:rsidRPr="001A2F85">
        <w:t xml:space="preserve">Appropriateness and recommendations for the future design of the HEPPP </w:t>
      </w:r>
    </w:p>
    <w:p w14:paraId="7FD4E655" w14:textId="77777777" w:rsidR="00835D10" w:rsidRPr="001A2F85" w:rsidRDefault="00835D10" w:rsidP="00835D10">
      <w:pPr>
        <w:pStyle w:val="BodyText"/>
      </w:pPr>
      <w:r w:rsidRPr="001A2F85">
        <w:t>Appendices</w:t>
      </w:r>
    </w:p>
    <w:p w14:paraId="25953774" w14:textId="77777777" w:rsidR="00835D10" w:rsidRPr="001A2F85" w:rsidRDefault="00835D10" w:rsidP="000B6604">
      <w:pPr>
        <w:pStyle w:val="BodyText"/>
      </w:pPr>
    </w:p>
    <w:p w14:paraId="687D1842" w14:textId="77777777" w:rsidR="00EA6577" w:rsidRPr="001A2F85" w:rsidRDefault="00EA6577" w:rsidP="000B6604">
      <w:pPr>
        <w:pStyle w:val="BodyText"/>
      </w:pPr>
    </w:p>
    <w:p w14:paraId="221881E2" w14:textId="77777777" w:rsidR="00EA6577" w:rsidRPr="001A2F85" w:rsidRDefault="00EA6577" w:rsidP="000B6604">
      <w:pPr>
        <w:pStyle w:val="BodyText"/>
        <w:sectPr w:rsidR="00EA6577" w:rsidRPr="001A2F85" w:rsidSect="005747A8">
          <w:headerReference w:type="even" r:id="rId63"/>
          <w:headerReference w:type="default" r:id="rId64"/>
          <w:footerReference w:type="even" r:id="rId65"/>
          <w:footerReference w:type="default" r:id="rId66"/>
          <w:headerReference w:type="first" r:id="rId67"/>
          <w:footerReference w:type="first" r:id="rId68"/>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EA6577" w:rsidRPr="001A2F85" w14:paraId="16F44155" w14:textId="77777777" w:rsidTr="000B6604">
        <w:trPr>
          <w:trHeight w:hRule="exact" w:val="382"/>
        </w:trPr>
        <w:tc>
          <w:tcPr>
            <w:tcW w:w="4738" w:type="dxa"/>
            <w:shd w:val="clear" w:color="auto" w:fill="9D57A6"/>
          </w:tcPr>
          <w:p w14:paraId="213B6FC7" w14:textId="77777777" w:rsidR="00EA6577" w:rsidRPr="001A2F85" w:rsidRDefault="00A45AB3" w:rsidP="000B6604">
            <w:pPr>
              <w:pStyle w:val="tagchapterBanner"/>
            </w:pPr>
            <w:r>
              <w:rPr>
                <w:noProof/>
                <w:lang w:eastAsia="en-AU"/>
              </w:rPr>
              <mc:AlternateContent>
                <mc:Choice Requires="wps">
                  <w:drawing>
                    <wp:anchor distT="0" distB="0" distL="114300" distR="114300" simplePos="0" relativeHeight="251648512" behindDoc="0" locked="1" layoutInCell="1" allowOverlap="1" wp14:anchorId="2E19189C" wp14:editId="4E21727B">
                      <wp:simplePos x="0" y="0"/>
                      <wp:positionH relativeFrom="page">
                        <wp:posOffset>158750</wp:posOffset>
                      </wp:positionH>
                      <wp:positionV relativeFrom="page">
                        <wp:posOffset>6350</wp:posOffset>
                      </wp:positionV>
                      <wp:extent cx="439420" cy="215265"/>
                      <wp:effectExtent l="0" t="0" r="0" b="0"/>
                      <wp:wrapNone/>
                      <wp:docPr id="14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45F939" id="Freeform 5" o:spid="_x0000_s1026" style="position:absolute;margin-left:12.5pt;margin-top:.5pt;width:34.6pt;height:16.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Fcew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VGuhXH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003BF35F" w14:textId="77777777" w:rsidR="00EA6577" w:rsidRPr="001A2F85" w:rsidRDefault="00EA6577" w:rsidP="000B6604">
            <w:pPr>
              <w:pStyle w:val="spacer"/>
            </w:pPr>
          </w:p>
        </w:tc>
      </w:tr>
      <w:tr w:rsidR="00EA6577" w:rsidRPr="001A2F85" w14:paraId="0BB961BF" w14:textId="77777777" w:rsidTr="000B6604">
        <w:trPr>
          <w:trHeight w:hRule="exact" w:val="3665"/>
        </w:trPr>
        <w:tc>
          <w:tcPr>
            <w:tcW w:w="4738" w:type="dxa"/>
            <w:shd w:val="clear" w:color="auto" w:fill="9D57A6"/>
            <w:tcMar>
              <w:left w:w="0" w:type="dxa"/>
              <w:bottom w:w="0" w:type="dxa"/>
            </w:tcMar>
            <w:vAlign w:val="bottom"/>
          </w:tcPr>
          <w:p w14:paraId="337B07BD" w14:textId="77777777" w:rsidR="00EA6577" w:rsidRPr="001A2F85" w:rsidRDefault="00316B0A" w:rsidP="00316B0A">
            <w:pPr>
              <w:pStyle w:val="Heading1"/>
              <w:spacing w:line="240" w:lineRule="auto"/>
              <w:outlineLvl w:val="0"/>
            </w:pPr>
            <w:r w:rsidRPr="001A2F85">
              <w:t>Overview of the HEPPP</w:t>
            </w:r>
          </w:p>
        </w:tc>
        <w:tc>
          <w:tcPr>
            <w:tcW w:w="3430" w:type="dxa"/>
            <w:shd w:val="clear" w:color="auto" w:fill="9D57A6"/>
            <w:tcMar>
              <w:right w:w="344" w:type="dxa"/>
            </w:tcMar>
          </w:tcPr>
          <w:p w14:paraId="11E4A5CD" w14:textId="77777777" w:rsidR="00EA6577" w:rsidRPr="001A2F85" w:rsidRDefault="008C090E" w:rsidP="000B6604">
            <w:pPr>
              <w:pStyle w:val="HeadingChapter"/>
              <w:keepNext/>
            </w:pPr>
            <w:bookmarkStart w:id="33" w:name="_Toc466657108"/>
            <w:r>
              <w:t>2</w:t>
            </w:r>
            <w:bookmarkEnd w:id="33"/>
          </w:p>
        </w:tc>
      </w:tr>
      <w:tr w:rsidR="00EA6577" w:rsidRPr="001A2F85" w14:paraId="34C6F153" w14:textId="77777777" w:rsidTr="000B6604">
        <w:trPr>
          <w:trHeight w:hRule="exact" w:val="232"/>
        </w:trPr>
        <w:tc>
          <w:tcPr>
            <w:tcW w:w="4738" w:type="dxa"/>
            <w:shd w:val="clear" w:color="auto" w:fill="9D57A6"/>
          </w:tcPr>
          <w:p w14:paraId="61E79FAC" w14:textId="77777777" w:rsidR="00EA6577" w:rsidRPr="001A2F85" w:rsidRDefault="00EA6577" w:rsidP="000B6604">
            <w:pPr>
              <w:pStyle w:val="Chpt-Context"/>
            </w:pPr>
          </w:p>
        </w:tc>
        <w:tc>
          <w:tcPr>
            <w:tcW w:w="3430" w:type="dxa"/>
            <w:shd w:val="clear" w:color="auto" w:fill="9D57A6"/>
          </w:tcPr>
          <w:p w14:paraId="0DE567AC" w14:textId="77777777" w:rsidR="00EA6577" w:rsidRPr="001A2F85" w:rsidRDefault="008C090E" w:rsidP="000B6604">
            <w:pPr>
              <w:pStyle w:val="Chpt-Context"/>
            </w:pPr>
            <w:bookmarkStart w:id="34" w:name="_Toc466657109"/>
            <w:r>
              <w:rPr>
                <w:noProof/>
              </w:rPr>
              <w:t>Overview of the HEPPP</w:t>
            </w:r>
            <w:bookmarkEnd w:id="34"/>
          </w:p>
        </w:tc>
      </w:tr>
      <w:tr w:rsidR="00EA6577" w:rsidRPr="001A2F85" w14:paraId="1FE195DD" w14:textId="77777777" w:rsidTr="000B6604">
        <w:trPr>
          <w:trHeight w:hRule="exact" w:val="228"/>
        </w:trPr>
        <w:tc>
          <w:tcPr>
            <w:tcW w:w="4738" w:type="dxa"/>
            <w:tcBorders>
              <w:top w:val="single" w:sz="4" w:space="0" w:color="9D57A6"/>
            </w:tcBorders>
          </w:tcPr>
          <w:p w14:paraId="4F24CDB3" w14:textId="77777777" w:rsidR="00EA6577" w:rsidRPr="001A2F85" w:rsidRDefault="00EA6577" w:rsidP="000B6604">
            <w:pPr>
              <w:pStyle w:val="spacer"/>
            </w:pPr>
          </w:p>
        </w:tc>
        <w:tc>
          <w:tcPr>
            <w:tcW w:w="3430" w:type="dxa"/>
            <w:tcBorders>
              <w:top w:val="single" w:sz="4" w:space="0" w:color="9D57A6"/>
            </w:tcBorders>
          </w:tcPr>
          <w:p w14:paraId="51F42FFB" w14:textId="77777777" w:rsidR="00EA6577" w:rsidRPr="001A2F85" w:rsidRDefault="00EA6577" w:rsidP="000B6604">
            <w:pPr>
              <w:pStyle w:val="spacer"/>
            </w:pPr>
          </w:p>
        </w:tc>
      </w:tr>
    </w:tbl>
    <w:p w14:paraId="2C3F056B" w14:textId="77777777" w:rsidR="00E77AED" w:rsidRDefault="00E77AED" w:rsidP="00AD49C8">
      <w:pPr>
        <w:pStyle w:val="Introduction"/>
      </w:pPr>
      <w:bookmarkStart w:id="35" w:name="_Ref462944602"/>
      <w:r>
        <w:t>This section provides an introduction to the HEPPP and its components, including its legislative background and recent history.</w:t>
      </w:r>
    </w:p>
    <w:p w14:paraId="08BFB450" w14:textId="77777777" w:rsidR="003907BB" w:rsidRDefault="003907BB" w:rsidP="003907BB">
      <w:pPr>
        <w:pStyle w:val="Heading2"/>
      </w:pPr>
      <w:bookmarkStart w:id="36" w:name="_Toc466657110"/>
      <w:r>
        <w:t>Program overview and objectives</w:t>
      </w:r>
      <w:bookmarkEnd w:id="35"/>
      <w:bookmarkEnd w:id="36"/>
    </w:p>
    <w:p w14:paraId="3D751DC1" w14:textId="77777777" w:rsidR="003907BB" w:rsidRDefault="003907BB" w:rsidP="003907BB">
      <w:pPr>
        <w:pStyle w:val="BodyText"/>
      </w:pPr>
      <w:r>
        <w:t xml:space="preserve">The HEPPP is an Australian Government program established in late 2010 </w:t>
      </w:r>
      <w:r w:rsidRPr="00CA42EE">
        <w:t xml:space="preserve">under the </w:t>
      </w:r>
      <w:r w:rsidRPr="00CA42EE">
        <w:rPr>
          <w:i/>
        </w:rPr>
        <w:t xml:space="preserve">Higher Education Support Act 2003 </w:t>
      </w:r>
      <w:r w:rsidRPr="00CA42EE">
        <w:t xml:space="preserve">(HESA), with its first full year in 2011. The HEPPP is one of three programs outlined in the </w:t>
      </w:r>
      <w:r w:rsidRPr="00CA42EE">
        <w:rPr>
          <w:i/>
        </w:rPr>
        <w:t>Other Grants Guidelines (Education) 2012</w:t>
      </w:r>
      <w:r w:rsidRPr="00CA42EE">
        <w:t xml:space="preserve"> (the Guidelines) in accordance</w:t>
      </w:r>
      <w:r>
        <w:t xml:space="preserve"> with HESA </w:t>
      </w:r>
      <w:r w:rsidR="00C71CE9">
        <w:t xml:space="preserve">Section </w:t>
      </w:r>
      <w:r>
        <w:t>41-15(1), ‘for the purpose of promoting equality of opportunity in higher education’.</w:t>
      </w:r>
      <w:r>
        <w:rPr>
          <w:rStyle w:val="FootnoteReference"/>
        </w:rPr>
        <w:footnoteReference w:id="5"/>
      </w:r>
      <w:r>
        <w:t xml:space="preserve"> The Guidelines provide the legislative basis for the HEPPP.</w:t>
      </w:r>
    </w:p>
    <w:p w14:paraId="510353E6" w14:textId="77777777" w:rsidR="003907BB" w:rsidRDefault="003907BB" w:rsidP="003907BB">
      <w:pPr>
        <w:pStyle w:val="BodyText"/>
      </w:pPr>
      <w:r>
        <w:t xml:space="preserve">Each of the 38 HESA Table A higher education providers is eligible for the HEPPP (HESA 41-10(1)). An agreement between the Batchelor Institute of Indigenous Tertiary Education and Charles Darwin University enables Charles Darwin University to receive Participation funding and undertake relevant activities on behalf of the Batchelor Institute from 2013 onwards. This means that in practice there are 37 universities involved in the Participation component of the HEPPP (this component is discussed in more detail in </w:t>
      </w:r>
      <w:r w:rsidR="00C71CE9">
        <w:t>S</w:t>
      </w:r>
      <w:r>
        <w:t xml:space="preserve">ection </w:t>
      </w:r>
      <w:r w:rsidR="008C090E">
        <w:t>2.1.2</w:t>
      </w:r>
      <w:r>
        <w:t>).</w:t>
      </w:r>
    </w:p>
    <w:p w14:paraId="07B66FC8" w14:textId="77777777" w:rsidR="003907BB" w:rsidRDefault="003907BB" w:rsidP="003907BB">
      <w:pPr>
        <w:pStyle w:val="BodyText"/>
      </w:pPr>
      <w:r>
        <w:t>The HEPPP and its aim are outlined in the Guidelines as follows:</w:t>
      </w:r>
    </w:p>
    <w:p w14:paraId="7CEAFB3B" w14:textId="77777777" w:rsidR="003907BB" w:rsidRDefault="003907BB" w:rsidP="003907BB">
      <w:pPr>
        <w:pStyle w:val="Quote"/>
      </w:pPr>
      <w:r>
        <w:t xml:space="preserve">The Higher Education Participation and Partnerships Program (HEPPP) provides funding to providers to undertake activities and implement strategies that improve access to undergraduate courses for people from low SES backgrounds and improve their retention and completion rates. </w:t>
      </w:r>
    </w:p>
    <w:p w14:paraId="5DB513BF" w14:textId="77777777" w:rsidR="003907BB" w:rsidRDefault="003907BB" w:rsidP="003907BB">
      <w:pPr>
        <w:pStyle w:val="Quote"/>
      </w:pPr>
      <w:r>
        <w:t>The HEPPP aims to encourage and assist providers to meet the Commonwealth Government’s ambition that, by 2020, 20 per cent of domestic undergraduate students must be from low SES backgrounds.</w:t>
      </w:r>
    </w:p>
    <w:p w14:paraId="06C37669" w14:textId="77777777" w:rsidR="003907BB" w:rsidRDefault="003907BB" w:rsidP="003907BB">
      <w:pPr>
        <w:pStyle w:val="QuoteSource"/>
      </w:pPr>
      <w:r>
        <w:t xml:space="preserve">Other Grants Guidelines (Education) 2012, </w:t>
      </w:r>
      <w:r w:rsidR="00C71CE9">
        <w:t xml:space="preserve">Section </w:t>
      </w:r>
      <w:r>
        <w:t>1.40.1</w:t>
      </w:r>
    </w:p>
    <w:p w14:paraId="13A23C77" w14:textId="77777777" w:rsidR="003907BB" w:rsidRDefault="003907BB" w:rsidP="003907BB">
      <w:pPr>
        <w:pStyle w:val="BodyText"/>
      </w:pPr>
      <w:r>
        <w:t>The Guidelines note that a student is considered to have a low socioeconomic status (SES) background if their home address is in the lowest quartile of the Australian Bureau of Statistics (ABS) Socio-Economic Indexes for Areas (SEIFA) Education and Occupation Index, based on the measure of low SES as determined by the Minister.</w:t>
      </w:r>
      <w:r>
        <w:rPr>
          <w:rStyle w:val="FootnoteReference"/>
        </w:rPr>
        <w:footnoteReference w:id="6"/>
      </w:r>
      <w:r>
        <w:t xml:space="preserve"> In practice this is currently measured at the ABS Statistical Area 1 (SA1) level. That is, students considered to be from a low SES background are those whose home address is located in the SA1 areas that contribute (cumulatively) to the lowest 25 per cent of the population on the 2011 SEIFA Index of Education and Occupation. This is the definition used throughout the report. Measurement criteria for SES are discussed further in </w:t>
      </w:r>
      <w:r w:rsidR="00C71CE9">
        <w:t>Section </w:t>
      </w:r>
      <w:r w:rsidR="008C090E">
        <w:t>1.1.1</w:t>
      </w:r>
      <w:r>
        <w:t xml:space="preserve"> of this report.</w:t>
      </w:r>
    </w:p>
    <w:p w14:paraId="51F65C0C" w14:textId="77777777" w:rsidR="003907BB" w:rsidRDefault="003907BB" w:rsidP="003907BB">
      <w:pPr>
        <w:pStyle w:val="BodyText"/>
      </w:pPr>
      <w:r>
        <w:t xml:space="preserve">The ambition referenced above that, by 2020, 20 per cent of domestic undergraduate students will be from low SES backgrounds referred to in the Guidelines was originally recommended </w:t>
      </w:r>
      <w:r w:rsidRPr="00B60C2C">
        <w:t xml:space="preserve">by the </w:t>
      </w:r>
      <w:r w:rsidRPr="00B60C2C">
        <w:rPr>
          <w:i/>
        </w:rPr>
        <w:t>Review of Higher Education</w:t>
      </w:r>
      <w:r w:rsidRPr="00B60C2C">
        <w:t xml:space="preserve"> in 2008 (see </w:t>
      </w:r>
      <w:r w:rsidR="00C71CE9">
        <w:t>S</w:t>
      </w:r>
      <w:r w:rsidRPr="00B60C2C">
        <w:t xml:space="preserve">ection </w:t>
      </w:r>
      <w:r w:rsidR="008C090E">
        <w:t>2.1.1</w:t>
      </w:r>
      <w:r w:rsidRPr="00B60C2C">
        <w:t>). It was adopted by the Government in</w:t>
      </w:r>
      <w:r>
        <w:t xml:space="preserve"> 2009.</w:t>
      </w:r>
    </w:p>
    <w:p w14:paraId="733628C0" w14:textId="77777777" w:rsidR="003907BB" w:rsidRDefault="003907BB" w:rsidP="003907BB">
      <w:pPr>
        <w:pStyle w:val="BodyText"/>
        <w:keepNext/>
      </w:pPr>
      <w:r>
        <w:t>The HEPPP consists of three components, with differing objectives and funding arrangements. The three components of the HEPPP are:</w:t>
      </w:r>
    </w:p>
    <w:p w14:paraId="7FC63945" w14:textId="77777777" w:rsidR="0025146F" w:rsidRDefault="003907BB" w:rsidP="00A45AB3">
      <w:pPr>
        <w:pStyle w:val="ListNumber"/>
        <w:keepNext/>
        <w:numPr>
          <w:ilvl w:val="0"/>
          <w:numId w:val="50"/>
        </w:numPr>
      </w:pPr>
      <w:r>
        <w:t xml:space="preserve">Participation component—aimed at increasing the participation of current and prospective domestic students from low SES backgrounds in accredited undergraduate qualifications </w:t>
      </w:r>
    </w:p>
    <w:p w14:paraId="728FFF14" w14:textId="77777777" w:rsidR="0025146F" w:rsidRDefault="003907BB" w:rsidP="00A45AB3">
      <w:pPr>
        <w:pStyle w:val="ListNumber"/>
        <w:keepNext/>
        <w:numPr>
          <w:ilvl w:val="0"/>
          <w:numId w:val="50"/>
        </w:numPr>
      </w:pPr>
      <w:r>
        <w:t>Partnership component—aimed at increasing the total number of people from low SES backgrounds who access and participate in higher education through effective outreach and related activities</w:t>
      </w:r>
    </w:p>
    <w:p w14:paraId="19399B94" w14:textId="77777777" w:rsidR="003907BB" w:rsidRDefault="003907BB" w:rsidP="00A45AB3">
      <w:pPr>
        <w:pStyle w:val="ListNumber"/>
        <w:keepNext/>
        <w:numPr>
          <w:ilvl w:val="0"/>
          <w:numId w:val="50"/>
        </w:numPr>
      </w:pPr>
      <w:r>
        <w:t>National Priorities Pool (commenced in 2014)—aimed at increasing the effectiveness of the implementation of HEPPP nationally and at an institutional level.</w:t>
      </w:r>
    </w:p>
    <w:p w14:paraId="5212333D" w14:textId="77777777" w:rsidR="003907BB" w:rsidRDefault="003907BB" w:rsidP="003907BB">
      <w:pPr>
        <w:pStyle w:val="BodyText"/>
        <w:keepNext/>
      </w:pPr>
      <w:r>
        <w:t>The</w:t>
      </w:r>
      <w:r w:rsidR="00065F7B">
        <w:t xml:space="preserve"> individual</w:t>
      </w:r>
      <w:r>
        <w:t xml:space="preserve"> components have changed over time </w:t>
      </w:r>
      <w:r w:rsidR="00A5450F">
        <w:t xml:space="preserve">(refer </w:t>
      </w:r>
      <w:r w:rsidR="00C71CE9">
        <w:t xml:space="preserve">Section </w:t>
      </w:r>
      <w:r w:rsidR="008C090E">
        <w:t>2.1.1</w:t>
      </w:r>
      <w:r w:rsidR="00A5450F">
        <w:t>)</w:t>
      </w:r>
      <w:r>
        <w:t xml:space="preserve">, but are considered </w:t>
      </w:r>
      <w:r w:rsidR="00065F7B">
        <w:t xml:space="preserve">collectively </w:t>
      </w:r>
      <w:r>
        <w:t xml:space="preserve">in </w:t>
      </w:r>
      <w:r w:rsidR="008C090E" w:rsidRPr="00AD49C8">
        <w:t>Figure 2.1</w:t>
      </w:r>
      <w:r>
        <w:t>, a high-level logic model overview of the program. The model outlines how the identified core policy problem is addressed through the program, with various inputs and activities at different stages of the student life cycle targeting a number of outputs and intended outcomes.</w:t>
      </w:r>
    </w:p>
    <w:tbl>
      <w:tblPr>
        <w:tblStyle w:val="TableGrid"/>
        <w:tblW w:w="10995"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5"/>
      </w:tblGrid>
      <w:tr w:rsidR="003907BB" w14:paraId="22FCBF2F" w14:textId="77777777" w:rsidTr="003907BB">
        <w:trPr>
          <w:cantSplit/>
          <w:trHeight w:val="160"/>
        </w:trPr>
        <w:tc>
          <w:tcPr>
            <w:tcW w:w="10994" w:type="dxa"/>
            <w:tcBorders>
              <w:top w:val="nil"/>
              <w:left w:val="nil"/>
              <w:bottom w:val="single" w:sz="4" w:space="0" w:color="auto"/>
              <w:right w:val="nil"/>
            </w:tcBorders>
          </w:tcPr>
          <w:p w14:paraId="1F448706" w14:textId="77777777" w:rsidR="003907BB" w:rsidRDefault="003907BB" w:rsidP="003907BB">
            <w:pPr>
              <w:pStyle w:val="spacer"/>
            </w:pPr>
          </w:p>
        </w:tc>
      </w:tr>
      <w:tr w:rsidR="003907BB" w14:paraId="72784A12" w14:textId="77777777" w:rsidTr="003907BB">
        <w:trPr>
          <w:cantSplit/>
        </w:trPr>
        <w:tc>
          <w:tcPr>
            <w:tcW w:w="10994" w:type="dxa"/>
            <w:tcBorders>
              <w:top w:val="single" w:sz="4" w:space="0" w:color="auto"/>
              <w:left w:val="nil"/>
              <w:bottom w:val="nil"/>
              <w:right w:val="nil"/>
            </w:tcBorders>
            <w:hideMark/>
          </w:tcPr>
          <w:p w14:paraId="553F24EC" w14:textId="77777777" w:rsidR="003907BB" w:rsidRDefault="003907BB" w:rsidP="003907BB">
            <w:pPr>
              <w:pStyle w:val="Caption"/>
            </w:pPr>
            <w:bookmarkStart w:id="37" w:name="_Ref462943056"/>
            <w:bookmarkStart w:id="38" w:name="_Toc466655647"/>
            <w:r>
              <w:rPr>
                <w:rStyle w:val="CaptionLabel"/>
              </w:rPr>
              <w:t>Figure </w:t>
            </w:r>
            <w:r w:rsidR="008C090E">
              <w:rPr>
                <w:rStyle w:val="CaptionLabel"/>
                <w:noProof/>
              </w:rPr>
              <w:t>2</w:t>
            </w:r>
            <w:r>
              <w:rPr>
                <w:rStyle w:val="CaptionLabel"/>
              </w:rPr>
              <w:t>.</w:t>
            </w:r>
            <w:r w:rsidR="008C090E">
              <w:rPr>
                <w:rStyle w:val="CaptionLabel"/>
                <w:noProof/>
              </w:rPr>
              <w:t>1</w:t>
            </w:r>
            <w:bookmarkEnd w:id="37"/>
            <w:r>
              <w:tab/>
              <w:t>Logic model for the HEPPP</w:t>
            </w:r>
            <w:bookmarkEnd w:id="38"/>
          </w:p>
        </w:tc>
      </w:tr>
      <w:tr w:rsidR="003907BB" w14:paraId="2A4024A1" w14:textId="77777777" w:rsidTr="003907BB">
        <w:trPr>
          <w:cantSplit/>
          <w:trHeight w:val="380"/>
        </w:trPr>
        <w:tc>
          <w:tcPr>
            <w:tcW w:w="10994" w:type="dxa"/>
            <w:tcBorders>
              <w:top w:val="nil"/>
              <w:left w:val="nil"/>
              <w:bottom w:val="single" w:sz="4" w:space="0" w:color="auto"/>
              <w:right w:val="nil"/>
            </w:tcBorders>
            <w:hideMark/>
          </w:tcPr>
          <w:p w14:paraId="0BBE9AAA" w14:textId="77777777" w:rsidR="003907BB" w:rsidRDefault="00A45AB3" w:rsidP="003907BB">
            <w:pPr>
              <w:pStyle w:val="spacer"/>
            </w:pPr>
            <w:r>
              <w:rPr>
                <w:noProof/>
                <w:lang w:eastAsia="en-AU"/>
              </w:rPr>
              <mc:AlternateContent>
                <mc:Choice Requires="wps">
                  <w:drawing>
                    <wp:anchor distT="0" distB="0" distL="114300" distR="114300" simplePos="0" relativeHeight="251682304" behindDoc="0" locked="1" layoutInCell="1" allowOverlap="1" wp14:anchorId="77180B5B" wp14:editId="7431B704">
                      <wp:simplePos x="0" y="0"/>
                      <wp:positionH relativeFrom="rightMargin">
                        <wp:posOffset>-772795</wp:posOffset>
                      </wp:positionH>
                      <wp:positionV relativeFrom="page">
                        <wp:posOffset>0</wp:posOffset>
                      </wp:positionV>
                      <wp:extent cx="436880" cy="213360"/>
                      <wp:effectExtent l="0" t="0" r="1270" b="0"/>
                      <wp:wrapNone/>
                      <wp:docPr id="298" name="Freeform 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D39ED6" id="Freeform 298" o:spid="_x0000_s1026" style="position:absolute;margin-left:-60.85pt;margin-top:0;width:34.4pt;height:16.8pt;z-index:251682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BFYHZ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56CE271C" w14:textId="77777777" w:rsidTr="003907BB">
        <w:trPr>
          <w:cantSplit/>
        </w:trPr>
        <w:tc>
          <w:tcPr>
            <w:tcW w:w="10994" w:type="dxa"/>
            <w:tcBorders>
              <w:top w:val="single" w:sz="4" w:space="0" w:color="auto"/>
              <w:left w:val="nil"/>
              <w:bottom w:val="single" w:sz="4" w:space="0" w:color="auto"/>
              <w:right w:val="nil"/>
            </w:tcBorders>
            <w:tcMar>
              <w:top w:w="10" w:type="dxa"/>
              <w:left w:w="0" w:type="dxa"/>
              <w:bottom w:w="10" w:type="dxa"/>
              <w:right w:w="0" w:type="dxa"/>
            </w:tcMar>
            <w:hideMark/>
          </w:tcPr>
          <w:p w14:paraId="79CA0927" w14:textId="77777777" w:rsidR="003907BB" w:rsidRDefault="007F5EE9" w:rsidP="003907BB">
            <w:pPr>
              <w:pStyle w:val="Figure"/>
            </w:pPr>
            <w:r>
              <w:rPr>
                <w:noProof/>
                <w:lang w:eastAsia="en-AU"/>
              </w:rPr>
              <w:drawing>
                <wp:inline distT="0" distB="0" distL="0" distR="0" wp14:anchorId="5D382A0E" wp14:editId="32470898">
                  <wp:extent cx="6924675" cy="2228850"/>
                  <wp:effectExtent l="0" t="0" r="0" b="0"/>
                  <wp:docPr id="2"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24675" cy="2228850"/>
                          </a:xfrm>
                          <a:prstGeom prst="rect">
                            <a:avLst/>
                          </a:prstGeom>
                          <a:noFill/>
                          <a:ln>
                            <a:noFill/>
                          </a:ln>
                        </pic:spPr>
                      </pic:pic>
                    </a:graphicData>
                  </a:graphic>
                </wp:inline>
              </w:drawing>
            </w:r>
          </w:p>
        </w:tc>
      </w:tr>
      <w:tr w:rsidR="003907BB" w14:paraId="537A2AB4" w14:textId="77777777" w:rsidTr="003907BB">
        <w:trPr>
          <w:cantSplit/>
        </w:trPr>
        <w:tc>
          <w:tcPr>
            <w:tcW w:w="10994" w:type="dxa"/>
            <w:tcBorders>
              <w:top w:val="single" w:sz="4" w:space="0" w:color="auto"/>
              <w:left w:val="nil"/>
              <w:bottom w:val="single" w:sz="4" w:space="0" w:color="auto"/>
              <w:right w:val="nil"/>
            </w:tcBorders>
            <w:tcMar>
              <w:top w:w="12" w:type="dxa"/>
              <w:left w:w="0" w:type="dxa"/>
              <w:bottom w:w="113" w:type="dxa"/>
              <w:right w:w="0" w:type="dxa"/>
            </w:tcMar>
            <w:hideMark/>
          </w:tcPr>
          <w:p w14:paraId="3DBF4672" w14:textId="77777777" w:rsidR="003907BB" w:rsidRDefault="003907BB" w:rsidP="003907BB">
            <w:pPr>
              <w:pStyle w:val="Note"/>
            </w:pPr>
            <w:r>
              <w:t>Note: The model is based on program documentation and input from the Department.</w:t>
            </w:r>
          </w:p>
          <w:p w14:paraId="6DFE651E" w14:textId="77777777" w:rsidR="003907BB" w:rsidRDefault="003907BB" w:rsidP="003907BB">
            <w:pPr>
              <w:pStyle w:val="Source"/>
            </w:pPr>
            <w:r>
              <w:t>Source: acil allen consulting 2016</w:t>
            </w:r>
          </w:p>
        </w:tc>
      </w:tr>
      <w:tr w:rsidR="003907BB" w14:paraId="77E29B07" w14:textId="77777777" w:rsidTr="003907BB">
        <w:trPr>
          <w:trHeight w:val="160"/>
        </w:trPr>
        <w:tc>
          <w:tcPr>
            <w:tcW w:w="10994" w:type="dxa"/>
            <w:tcBorders>
              <w:top w:val="single" w:sz="4" w:space="0" w:color="auto"/>
              <w:left w:val="nil"/>
              <w:bottom w:val="nil"/>
              <w:right w:val="nil"/>
            </w:tcBorders>
          </w:tcPr>
          <w:p w14:paraId="10C53082" w14:textId="77777777" w:rsidR="003907BB" w:rsidRDefault="003907BB" w:rsidP="003907BB">
            <w:pPr>
              <w:pStyle w:val="spacertbl"/>
            </w:pPr>
          </w:p>
        </w:tc>
      </w:tr>
    </w:tbl>
    <w:p w14:paraId="4B625766" w14:textId="77777777" w:rsidR="003907BB" w:rsidRDefault="003907BB" w:rsidP="00AD49C8">
      <w:pPr>
        <w:pStyle w:val="Heading3"/>
      </w:pPr>
      <w:bookmarkStart w:id="39" w:name="_Ref461003414"/>
      <w:r>
        <w:t>History of the HEPPP</w:t>
      </w:r>
      <w:bookmarkEnd w:id="39"/>
    </w:p>
    <w:p w14:paraId="16BFC7A3" w14:textId="77777777" w:rsidR="003907BB" w:rsidRDefault="003907BB" w:rsidP="003907BB">
      <w:pPr>
        <w:pStyle w:val="BodyText"/>
      </w:pPr>
      <w:r>
        <w:t>The establishment of the HEPPP in 2010 built on more than twenty years of higher education equity policies and reviews in Australia, throughout which time people from a low SES background have been identified as an under-represented group in higher education.</w:t>
      </w:r>
    </w:p>
    <w:p w14:paraId="565A7B0D" w14:textId="77777777" w:rsidR="003907BB" w:rsidRDefault="003907BB" w:rsidP="003907BB">
      <w:pPr>
        <w:pStyle w:val="BodyText"/>
      </w:pPr>
      <w:r>
        <w:t xml:space="preserve">The most recent, comprehensive </w:t>
      </w:r>
      <w:r>
        <w:rPr>
          <w:i/>
        </w:rPr>
        <w:t>Review of Higher Education</w:t>
      </w:r>
      <w:r w:rsidR="007C4F2F">
        <w:rPr>
          <w:i/>
        </w:rPr>
        <w:t xml:space="preserve"> </w:t>
      </w:r>
      <w:r w:rsidR="007C4F2F">
        <w:t>(2008)</w:t>
      </w:r>
      <w:r>
        <w:t>, commonly called the Bradley Review, recognised that ‘the most under-represented groups are those from remote parts of Australia, Indigenous students, those from low socioeconomic backgrounds, and those from regional locations’. The Bradley Review called for the establishment of a HEPPP-type program with increased funding, to improve the participation of students from low SES backgrounds.</w:t>
      </w:r>
    </w:p>
    <w:p w14:paraId="682F7C75" w14:textId="77777777" w:rsidR="003907BB" w:rsidRDefault="003907BB" w:rsidP="003907BB">
      <w:pPr>
        <w:pStyle w:val="Quote"/>
      </w:pPr>
      <w:r>
        <w:t>That the Australian Government increase the funding for the access and participation of under</w:t>
      </w:r>
      <w:r>
        <w:noBreakHyphen/>
        <w:t>represented groups of students to a level equivalent to 4 per cent of the total grants for teaching. This would be allocated through a new program for outreach activities and a loading paid to institutions enrolling students from low socio-economic backgrounds...</w:t>
      </w:r>
    </w:p>
    <w:p w14:paraId="00C69370" w14:textId="77777777" w:rsidR="003907BB" w:rsidRDefault="003907BB" w:rsidP="003907BB">
      <w:pPr>
        <w:pStyle w:val="QuoteSource"/>
      </w:pPr>
      <w:r>
        <w:t>Bradley Review 2008</w:t>
      </w:r>
      <w:r w:rsidR="00430F5D">
        <w:t>,</w:t>
      </w:r>
      <w:r>
        <w:t xml:space="preserve"> Recommendation 31</w:t>
      </w:r>
    </w:p>
    <w:p w14:paraId="5D12D79F" w14:textId="77777777" w:rsidR="003907BB" w:rsidRDefault="003907BB" w:rsidP="003907BB">
      <w:pPr>
        <w:pStyle w:val="BodyText"/>
      </w:pPr>
      <w:r>
        <w:t xml:space="preserve">The broader higher education equity landscape and preceding policy background to the HEPPP is discussed in greater detail in </w:t>
      </w:r>
      <w:r w:rsidR="00C71CE9">
        <w:t xml:space="preserve">Section </w:t>
      </w:r>
      <w:r w:rsidR="008C090E">
        <w:t>2.4</w:t>
      </w:r>
      <w:r>
        <w:t>.</w:t>
      </w:r>
    </w:p>
    <w:p w14:paraId="36E6E7D9" w14:textId="77777777" w:rsidR="003907BB" w:rsidRDefault="003907BB" w:rsidP="003907BB">
      <w:pPr>
        <w:pStyle w:val="BodyText"/>
      </w:pPr>
      <w:r>
        <w:t xml:space="preserve">A number of changes have been made to the HEPPP since it was established in 2010. These are discussed in </w:t>
      </w:r>
      <w:r w:rsidR="00C71CE9">
        <w:t xml:space="preserve">Section </w:t>
      </w:r>
      <w:r w:rsidR="008C090E">
        <w:t>1.1.1</w:t>
      </w:r>
      <w:r w:rsidR="007C4F2F">
        <w:t>, with a</w:t>
      </w:r>
      <w:r>
        <w:t xml:space="preserve"> timeline of the HEPPP from 2010 to 2016 showing the key points of change for each component</w:t>
      </w:r>
      <w:r w:rsidR="007C4F2F" w:rsidRPr="007C4F2F">
        <w:t xml:space="preserve"> </w:t>
      </w:r>
      <w:r w:rsidR="007C4F2F">
        <w:t>(</w:t>
      </w:r>
      <w:r w:rsidR="008C090E" w:rsidRPr="0033271C">
        <w:t>Figure 2.2</w:t>
      </w:r>
      <w:r w:rsidR="007C4F2F" w:rsidRPr="0033271C">
        <w:t>).</w:t>
      </w:r>
    </w:p>
    <w:p w14:paraId="53594327" w14:textId="77777777" w:rsidR="003907BB" w:rsidRDefault="003907BB" w:rsidP="00AD49C8">
      <w:pPr>
        <w:pStyle w:val="Heading3"/>
      </w:pPr>
      <w:bookmarkStart w:id="40" w:name="_Ref461012924"/>
      <w:r>
        <w:t>Participation component</w:t>
      </w:r>
      <w:bookmarkEnd w:id="40"/>
    </w:p>
    <w:p w14:paraId="22720869" w14:textId="77777777" w:rsidR="003907BB" w:rsidRDefault="003907BB" w:rsidP="003907BB">
      <w:pPr>
        <w:pStyle w:val="BodyText"/>
      </w:pPr>
      <w:r>
        <w:t>The objective of the Participation component of the HEPPP, as outlined in the Guidelines, is ‘to increase the participation of current and prospective domestic students from low SES backgrounds in accredited undergraduate qualifications’ at Table A universities.</w:t>
      </w:r>
      <w:r>
        <w:rPr>
          <w:rStyle w:val="FootnoteReference"/>
        </w:rPr>
        <w:footnoteReference w:id="7"/>
      </w:r>
    </w:p>
    <w:p w14:paraId="0BB96470" w14:textId="77777777" w:rsidR="003907BB" w:rsidRDefault="003907BB" w:rsidP="003907BB">
      <w:pPr>
        <w:pStyle w:val="BodyText"/>
      </w:pPr>
      <w:r>
        <w:t>The Guidelines provide a list of examples of activities which may be funded through the Participation allocation.</w:t>
      </w:r>
      <w:r>
        <w:rPr>
          <w:rStyle w:val="FootnoteReference"/>
        </w:rPr>
        <w:footnoteReference w:id="8"/>
      </w:r>
      <w:r>
        <w:t xml:space="preserve"> These activities include:</w:t>
      </w:r>
    </w:p>
    <w:p w14:paraId="624ECA51" w14:textId="77777777" w:rsidR="003907BB" w:rsidRDefault="003907BB" w:rsidP="00A45AB3">
      <w:pPr>
        <w:pStyle w:val="ListBullet"/>
        <w:numPr>
          <w:ilvl w:val="0"/>
          <w:numId w:val="44"/>
        </w:numPr>
      </w:pPr>
      <w:r>
        <w:t>developing and implementing appropriate support services and programs for domestic undergraduate students from low SES backgrounds enrolled or seeking enrolment, such as, but not limited to:</w:t>
      </w:r>
    </w:p>
    <w:p w14:paraId="03B47705" w14:textId="77777777" w:rsidR="003907BB" w:rsidRDefault="003907BB" w:rsidP="00A45AB3">
      <w:pPr>
        <w:pStyle w:val="ListBullet2"/>
        <w:numPr>
          <w:ilvl w:val="1"/>
          <w:numId w:val="44"/>
        </w:numPr>
      </w:pPr>
      <w:r>
        <w:t>inclusive entry processes</w:t>
      </w:r>
    </w:p>
    <w:p w14:paraId="3D46BC61" w14:textId="77777777" w:rsidR="003907BB" w:rsidRDefault="003907BB" w:rsidP="00A45AB3">
      <w:pPr>
        <w:pStyle w:val="ListBullet2"/>
        <w:numPr>
          <w:ilvl w:val="1"/>
          <w:numId w:val="44"/>
        </w:numPr>
      </w:pPr>
      <w:r>
        <w:t>transition programs to support cultural and geographical issues of inclusion</w:t>
      </w:r>
    </w:p>
    <w:p w14:paraId="5DB5AC9A" w14:textId="77777777" w:rsidR="003907BB" w:rsidRDefault="003907BB" w:rsidP="00A45AB3">
      <w:pPr>
        <w:pStyle w:val="ListBullet2"/>
        <w:numPr>
          <w:ilvl w:val="1"/>
          <w:numId w:val="44"/>
        </w:numPr>
      </w:pPr>
      <w:r>
        <w:t>academic preparation</w:t>
      </w:r>
    </w:p>
    <w:p w14:paraId="1DAB8835" w14:textId="77777777" w:rsidR="003907BB" w:rsidRDefault="003907BB" w:rsidP="00A45AB3">
      <w:pPr>
        <w:pStyle w:val="ListBullet2"/>
        <w:numPr>
          <w:ilvl w:val="1"/>
          <w:numId w:val="44"/>
        </w:numPr>
      </w:pPr>
      <w:r>
        <w:t>modifications to teaching delivery and learning methods to better meet the needs of students from a low SES background</w:t>
      </w:r>
    </w:p>
    <w:p w14:paraId="5895212F" w14:textId="77777777" w:rsidR="003907BB" w:rsidRDefault="003907BB" w:rsidP="00A45AB3">
      <w:pPr>
        <w:pStyle w:val="ListBullet2"/>
        <w:numPr>
          <w:ilvl w:val="1"/>
          <w:numId w:val="44"/>
        </w:numPr>
      </w:pPr>
      <w:r>
        <w:t>mentoring, peer support, tutoring and continued academic support</w:t>
      </w:r>
    </w:p>
    <w:p w14:paraId="6C26F04C" w14:textId="77777777" w:rsidR="003907BB" w:rsidRDefault="003907BB" w:rsidP="00A45AB3">
      <w:pPr>
        <w:pStyle w:val="ListBullet2"/>
        <w:numPr>
          <w:ilvl w:val="1"/>
          <w:numId w:val="44"/>
        </w:numPr>
      </w:pPr>
      <w:r>
        <w:t>education programs for parents of low SES students, particularly those with children who are first in their families to access higher education</w:t>
      </w:r>
    </w:p>
    <w:p w14:paraId="2CDD86DA" w14:textId="77777777" w:rsidR="003907BB" w:rsidRDefault="003907BB" w:rsidP="00A45AB3">
      <w:pPr>
        <w:pStyle w:val="ListBullet2"/>
        <w:numPr>
          <w:ilvl w:val="1"/>
          <w:numId w:val="44"/>
        </w:numPr>
      </w:pPr>
      <w:r>
        <w:t>monitoring of student progress</w:t>
      </w:r>
    </w:p>
    <w:p w14:paraId="498B1AC2" w14:textId="77777777" w:rsidR="003907BB" w:rsidRDefault="003907BB" w:rsidP="00A45AB3">
      <w:pPr>
        <w:pStyle w:val="ListBullet"/>
        <w:numPr>
          <w:ilvl w:val="0"/>
          <w:numId w:val="44"/>
        </w:numPr>
      </w:pPr>
      <w:r>
        <w:t>administering application and selection processes for Commonwealth Scholarships</w:t>
      </w:r>
    </w:p>
    <w:p w14:paraId="788E5BD7" w14:textId="77777777" w:rsidR="003907BB" w:rsidRDefault="003907BB" w:rsidP="00A45AB3">
      <w:pPr>
        <w:pStyle w:val="ListBullet"/>
        <w:numPr>
          <w:ilvl w:val="0"/>
          <w:numId w:val="44"/>
        </w:numPr>
      </w:pPr>
      <w:r>
        <w:t>continuing to offer institutional equity scholarships targeted at low SES students</w:t>
      </w:r>
    </w:p>
    <w:p w14:paraId="08663F5E" w14:textId="77777777" w:rsidR="003907BB" w:rsidRDefault="003907BB" w:rsidP="00A45AB3">
      <w:pPr>
        <w:pStyle w:val="ListBullet"/>
        <w:numPr>
          <w:ilvl w:val="0"/>
          <w:numId w:val="44"/>
        </w:numPr>
      </w:pPr>
      <w:r>
        <w:t>undertaking research and monitoring the impact and effectiveness of activities aimed at improving the participation of current and prospective domestic undergraduate students from low SES backgrounds in higher education</w:t>
      </w:r>
    </w:p>
    <w:p w14:paraId="5599C127" w14:textId="77777777" w:rsidR="003907BB" w:rsidRDefault="003907BB" w:rsidP="00A45AB3">
      <w:pPr>
        <w:pStyle w:val="ListBullet"/>
        <w:numPr>
          <w:ilvl w:val="0"/>
          <w:numId w:val="44"/>
        </w:numPr>
      </w:pPr>
      <w:r>
        <w:t>developing and implementing partnership activities for the purpose of encouraging the aspirations and building the capacity of people from low SES backgrounds to access higher education.</w:t>
      </w:r>
    </w:p>
    <w:p w14:paraId="0693E45E" w14:textId="77777777" w:rsidR="003907BB" w:rsidRDefault="003907BB" w:rsidP="003907BB">
      <w:pPr>
        <w:pStyle w:val="BodyText"/>
      </w:pPr>
      <w:r>
        <w:t>Universities may also use Participation funding to supplement their Partnership activities.</w:t>
      </w:r>
      <w:r>
        <w:rPr>
          <w:rStyle w:val="FootnoteReference"/>
        </w:rPr>
        <w:footnoteReference w:id="9"/>
      </w:r>
    </w:p>
    <w:p w14:paraId="72AC8C8A" w14:textId="77777777" w:rsidR="003907BB" w:rsidRDefault="003907BB" w:rsidP="003907BB">
      <w:pPr>
        <w:pStyle w:val="BodyText"/>
      </w:pPr>
      <w:r>
        <w:t>The Participation component of the HEPPP consists of an annual funding allocation to universities, which is calculated using a formula based on their proportion of the national total of domestic undergraduate students from low SES backgrounds</w:t>
      </w:r>
      <w:r w:rsidR="007C4F2F">
        <w:t xml:space="preserve"> (refer Section </w:t>
      </w:r>
      <w:r w:rsidR="008C090E">
        <w:t>1.1.1</w:t>
      </w:r>
      <w:r w:rsidR="007C4F2F">
        <w:t>)</w:t>
      </w:r>
      <w:r>
        <w:t>.</w:t>
      </w:r>
    </w:p>
    <w:p w14:paraId="60987248" w14:textId="77777777" w:rsidR="003907BB" w:rsidRDefault="003907BB" w:rsidP="00AD49C8">
      <w:pPr>
        <w:pStyle w:val="Heading3"/>
      </w:pPr>
      <w:r>
        <w:t>Partnership component</w:t>
      </w:r>
    </w:p>
    <w:p w14:paraId="53652094" w14:textId="77777777" w:rsidR="003907BB" w:rsidRDefault="003907BB" w:rsidP="003907BB">
      <w:pPr>
        <w:pStyle w:val="BodyText"/>
      </w:pPr>
      <w:r>
        <w:t>The purpose of the Partnership component of the HEPPP is to increase access and participation to higher education for people from low SES backgrounds. The objectives of the component are ‘to increase the total number of people from low SES backgrounds who access and participate in higher education through effective outreach and related activities with appropriate stakeholders including, but not limited to, schools, State/Territory Governments, VET providers and community groups’.</w:t>
      </w:r>
      <w:r>
        <w:rPr>
          <w:rStyle w:val="FootnoteReference"/>
        </w:rPr>
        <w:footnoteReference w:id="10"/>
      </w:r>
    </w:p>
    <w:p w14:paraId="699FA13C" w14:textId="77777777" w:rsidR="007C4F2F" w:rsidRDefault="003907BB">
      <w:pPr>
        <w:pStyle w:val="BodyText"/>
      </w:pPr>
      <w:r>
        <w:t xml:space="preserve">Funding is provided to universities to enable them to undertake outreach and other partnership activities with relevant stakeholders. Funding has been allocated in various ways for the Partnership component </w:t>
      </w:r>
      <w:r w:rsidRPr="0033271C">
        <w:t>since 2010</w:t>
      </w:r>
      <w:r w:rsidR="007C4F2F" w:rsidRPr="0033271C">
        <w:t xml:space="preserve"> (</w:t>
      </w:r>
      <w:r w:rsidR="008C090E" w:rsidRPr="0033271C">
        <w:t>Figure 2.2</w:t>
      </w:r>
      <w:r w:rsidR="007C4F2F" w:rsidRPr="0033271C">
        <w:t>)</w:t>
      </w:r>
      <w:r w:rsidRPr="0033271C">
        <w:t>.</w:t>
      </w:r>
      <w:r w:rsidR="007C4F2F">
        <w:t xml:space="preserve"> </w:t>
      </w:r>
    </w:p>
    <w:p w14:paraId="2BF961FA" w14:textId="77777777" w:rsidR="003907BB" w:rsidRDefault="003907BB">
      <w:pPr>
        <w:pStyle w:val="BodyText"/>
        <w:keepNext/>
      </w:pPr>
      <w:r>
        <w:t>Activities undertaken by universities under this component are intended to:</w:t>
      </w:r>
    </w:p>
    <w:p w14:paraId="19306BDF" w14:textId="77777777" w:rsidR="003907BB" w:rsidRDefault="003907BB" w:rsidP="00A45AB3">
      <w:pPr>
        <w:pStyle w:val="ListBullet"/>
        <w:keepNext/>
        <w:numPr>
          <w:ilvl w:val="0"/>
          <w:numId w:val="44"/>
        </w:numPr>
      </w:pPr>
      <w:r>
        <w:t>support collaboration between universities to ensure a coordinated approach to identifying and engaging with appropriate stakeholders…to encourage the participation of prospective domestic undergraduate students from low SES backgrounds in higher education</w:t>
      </w:r>
    </w:p>
    <w:p w14:paraId="71A6F864" w14:textId="77777777" w:rsidR="003907BB" w:rsidRDefault="003907BB" w:rsidP="00A45AB3">
      <w:pPr>
        <w:pStyle w:val="ListBullet"/>
        <w:keepNext/>
        <w:numPr>
          <w:ilvl w:val="0"/>
          <w:numId w:val="44"/>
        </w:numPr>
      </w:pPr>
      <w:r>
        <w:t>concentrate resources to most effectively target low SES communities where aspirations to enter higher education are low and where matriculation to universities is poor.</w:t>
      </w:r>
      <w:r>
        <w:rPr>
          <w:rStyle w:val="FootnoteReference"/>
        </w:rPr>
        <w:footnoteReference w:id="11"/>
      </w:r>
    </w:p>
    <w:p w14:paraId="2D93FEE1" w14:textId="77777777" w:rsidR="003907BB" w:rsidRDefault="003907BB" w:rsidP="003907BB">
      <w:pPr>
        <w:pStyle w:val="BodyText"/>
        <w:keepNext/>
      </w:pPr>
      <w:r>
        <w:t>These activities may:</w:t>
      </w:r>
    </w:p>
    <w:p w14:paraId="21A5BC9B" w14:textId="77777777" w:rsidR="003907BB" w:rsidRDefault="003907BB" w:rsidP="00A45AB3">
      <w:pPr>
        <w:pStyle w:val="ListBullet"/>
        <w:keepNext/>
        <w:numPr>
          <w:ilvl w:val="0"/>
          <w:numId w:val="44"/>
        </w:numPr>
      </w:pPr>
      <w:r>
        <w:t>assist in improving the understanding and awareness of higher education as a viable post-school option</w:t>
      </w:r>
    </w:p>
    <w:p w14:paraId="6E4148FE" w14:textId="77777777" w:rsidR="003907BB" w:rsidRDefault="003907BB" w:rsidP="00A45AB3">
      <w:pPr>
        <w:pStyle w:val="ListBullet"/>
        <w:numPr>
          <w:ilvl w:val="0"/>
          <w:numId w:val="44"/>
        </w:numPr>
      </w:pPr>
      <w:r>
        <w:t>assist in pre-tertiary achievement, either at school or via an alternative pathway, to enable consideration for access to higher education</w:t>
      </w:r>
    </w:p>
    <w:p w14:paraId="599A2B70" w14:textId="77777777" w:rsidR="003907BB" w:rsidRDefault="003907BB" w:rsidP="00A45AB3">
      <w:pPr>
        <w:pStyle w:val="ListBullet"/>
        <w:numPr>
          <w:ilvl w:val="0"/>
          <w:numId w:val="44"/>
        </w:numPr>
      </w:pPr>
      <w:r>
        <w:t>encourage an increase in the proportion of people from low SES backgrounds who apply for attendance at a Table A university</w:t>
      </w:r>
    </w:p>
    <w:p w14:paraId="0A814893" w14:textId="77777777" w:rsidR="003907BB" w:rsidRDefault="003907BB" w:rsidP="00A45AB3">
      <w:pPr>
        <w:pStyle w:val="ListBullet"/>
        <w:numPr>
          <w:ilvl w:val="0"/>
          <w:numId w:val="44"/>
        </w:numPr>
      </w:pPr>
      <w:r>
        <w:t>support people from low SES backgrounds in linking with Table A universities.</w:t>
      </w:r>
      <w:r>
        <w:rPr>
          <w:rStyle w:val="FootnoteReference"/>
        </w:rPr>
        <w:footnoteReference w:id="12"/>
      </w:r>
    </w:p>
    <w:p w14:paraId="1CC9DD90" w14:textId="77777777" w:rsidR="003907BB" w:rsidRDefault="003907BB" w:rsidP="003907BB">
      <w:pPr>
        <w:pStyle w:val="BodyText"/>
      </w:pPr>
      <w:r>
        <w:t>The Guidelines outline a number of conditions of funding under the Partnership component.</w:t>
      </w:r>
      <w:r>
        <w:rPr>
          <w:rStyle w:val="FootnoteReference"/>
        </w:rPr>
        <w:footnoteReference w:id="13"/>
      </w:r>
      <w:r>
        <w:t xml:space="preserve"> As well as meeting the prescribed objectives for the component, universities must also demonstrate their ‘capacity and commitment’ to undertake activities reflecting the following principles:</w:t>
      </w:r>
    </w:p>
    <w:p w14:paraId="07458C99" w14:textId="77777777" w:rsidR="003907BB" w:rsidRDefault="003907BB" w:rsidP="00A45AB3">
      <w:pPr>
        <w:pStyle w:val="ListBullet"/>
        <w:numPr>
          <w:ilvl w:val="0"/>
          <w:numId w:val="44"/>
        </w:numPr>
      </w:pPr>
      <w:r>
        <w:t>collaboration with stakeholders throughout both the design and implementation phases, and engagement with student communities rather than targeting individuals</w:t>
      </w:r>
    </w:p>
    <w:p w14:paraId="122F6E4D" w14:textId="77777777" w:rsidR="003907BB" w:rsidRDefault="003907BB" w:rsidP="00A45AB3">
      <w:pPr>
        <w:pStyle w:val="ListBullet"/>
        <w:numPr>
          <w:ilvl w:val="0"/>
          <w:numId w:val="44"/>
        </w:numPr>
      </w:pPr>
      <w:r>
        <w:t>early intervention and continuing engagement throughout pre-tertiary years</w:t>
      </w:r>
    </w:p>
    <w:p w14:paraId="40A73399" w14:textId="77777777" w:rsidR="003907BB" w:rsidRDefault="003907BB" w:rsidP="00A45AB3">
      <w:pPr>
        <w:pStyle w:val="ListBullet"/>
        <w:numPr>
          <w:ilvl w:val="0"/>
          <w:numId w:val="44"/>
        </w:numPr>
      </w:pPr>
      <w:r>
        <w:t>promoting awareness of pathways to higher education</w:t>
      </w:r>
    </w:p>
    <w:p w14:paraId="69735430" w14:textId="77777777" w:rsidR="003907BB" w:rsidRDefault="003907BB" w:rsidP="00A45AB3">
      <w:pPr>
        <w:pStyle w:val="ListBullet"/>
        <w:numPr>
          <w:ilvl w:val="0"/>
          <w:numId w:val="44"/>
        </w:numPr>
      </w:pPr>
      <w:r>
        <w:t>integrated and multi-layered, complementing rather than duplicating existing work</w:t>
      </w:r>
    </w:p>
    <w:p w14:paraId="0871ACF4" w14:textId="77777777" w:rsidR="003907BB" w:rsidRDefault="003907BB" w:rsidP="00A45AB3">
      <w:pPr>
        <w:pStyle w:val="ListBullet"/>
        <w:numPr>
          <w:ilvl w:val="0"/>
          <w:numId w:val="44"/>
        </w:numPr>
      </w:pPr>
      <w:r>
        <w:t>focused on promoting participation in higher education in general, not at a specific provider</w:t>
      </w:r>
    </w:p>
    <w:p w14:paraId="0C04B541" w14:textId="77777777" w:rsidR="003907BB" w:rsidRDefault="003907BB" w:rsidP="00A45AB3">
      <w:pPr>
        <w:pStyle w:val="ListBullet"/>
        <w:numPr>
          <w:ilvl w:val="0"/>
          <w:numId w:val="44"/>
        </w:numPr>
      </w:pPr>
      <w:r>
        <w:t>evidence-based, including intended outcomes, methodology and measures for tracking outcomes.</w:t>
      </w:r>
    </w:p>
    <w:p w14:paraId="2BAA4353" w14:textId="77777777" w:rsidR="003907BB" w:rsidRDefault="003907BB" w:rsidP="00AD49C8">
      <w:pPr>
        <w:pStyle w:val="Heading3"/>
      </w:pPr>
      <w:r>
        <w:t>National Priorities Pool component</w:t>
      </w:r>
    </w:p>
    <w:p w14:paraId="3DE59048" w14:textId="77777777" w:rsidR="003907BB" w:rsidRDefault="003907BB" w:rsidP="003907BB">
      <w:pPr>
        <w:pStyle w:val="BodyText"/>
      </w:pPr>
      <w:r>
        <w:t>The third component of the HEPPP, the National Priorities Pool (NPP), was established in 2014 (</w:t>
      </w:r>
      <w:r w:rsidR="008C090E" w:rsidRPr="00AD49C8">
        <w:t>Figure 2.2</w:t>
      </w:r>
      <w:r>
        <w:t>) and is outlined in the Guidelines.</w:t>
      </w:r>
      <w:r w:rsidR="00556B2D">
        <w:t xml:space="preserve"> The objective of the NPP is:</w:t>
      </w:r>
    </w:p>
    <w:p w14:paraId="2ADCFEC9" w14:textId="77777777" w:rsidR="003907BB" w:rsidRDefault="003907BB" w:rsidP="00AD49C8">
      <w:pPr>
        <w:pStyle w:val="Quote"/>
      </w:pPr>
      <w:r w:rsidRPr="00140FEE">
        <w:t>to inform more effective implementation of the HEPPP, both by updating the policy basis for the programme and enhancing on-ground delivery at the national level and within individual institutions. It supports projects that develop evidence, trial innovative ideas, build capacity and reform systems to maximise opportunity and outcomes for low SES people in higher education.</w:t>
      </w:r>
    </w:p>
    <w:p w14:paraId="7B273CAF" w14:textId="77777777" w:rsidR="003907BB" w:rsidRPr="00874A0C" w:rsidRDefault="003907BB" w:rsidP="00AD49C8">
      <w:pPr>
        <w:pStyle w:val="QuoteSource"/>
      </w:pPr>
      <w:r w:rsidRPr="0077719E">
        <w:t>National Priorities Pool Investment Plan</w:t>
      </w:r>
      <w:r>
        <w:t xml:space="preserve"> – 2016</w:t>
      </w:r>
    </w:p>
    <w:p w14:paraId="2B4FF359" w14:textId="77777777" w:rsidR="003907BB" w:rsidRDefault="003907BB" w:rsidP="003907BB">
      <w:pPr>
        <w:pStyle w:val="BodyText"/>
      </w:pPr>
      <w:r>
        <w:t xml:space="preserve">Funding through the NPP is provided on a discrete project basis and guided by an annual investment plan approved by the Minister, which outlines the Minister’s priorities for spending the allocated NPP funds for that year. The priority funding areas identified for 2014-2016 are provided in </w:t>
      </w:r>
      <w:r w:rsidR="008C090E" w:rsidRPr="00AD49C8">
        <w:t>Box 2.1</w:t>
      </w:r>
      <w:r>
        <w:t>.</w:t>
      </w:r>
      <w:r w:rsidRPr="002E5AA9">
        <w:t xml:space="preserve"> </w:t>
      </w:r>
      <w:r>
        <w:t>In 2016, as well as these priority funding areas, low SES students from regional and remote Australia were identified as a particular target group for NPP projects. The NPP is discussed in further detail in Chapter 8.</w:t>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14:paraId="26BF1FE4" w14:textId="77777777" w:rsidTr="00A75892">
        <w:trPr>
          <w:cantSplit/>
        </w:trPr>
        <w:tc>
          <w:tcPr>
            <w:tcW w:w="8614" w:type="dxa"/>
            <w:tcMar>
              <w:top w:w="160" w:type="dxa"/>
              <w:left w:w="446" w:type="dxa"/>
              <w:bottom w:w="0" w:type="dxa"/>
              <w:right w:w="0" w:type="dxa"/>
            </w:tcMar>
            <w:hideMark/>
          </w:tcPr>
          <w:p w14:paraId="353754DB" w14:textId="77777777" w:rsidR="003907BB" w:rsidRDefault="003907BB" w:rsidP="003907BB">
            <w:pPr>
              <w:pStyle w:val="Caption"/>
            </w:pPr>
            <w:bookmarkStart w:id="41" w:name="_Ref462943078"/>
            <w:bookmarkStart w:id="42" w:name="_Toc466657009"/>
            <w:r>
              <w:rPr>
                <w:rStyle w:val="CaptionLabel"/>
              </w:rPr>
              <w:t>Box </w:t>
            </w:r>
            <w:r w:rsidR="008C090E">
              <w:rPr>
                <w:rStyle w:val="CaptionLabel"/>
                <w:noProof/>
              </w:rPr>
              <w:t>2</w:t>
            </w:r>
            <w:r>
              <w:rPr>
                <w:rStyle w:val="CaptionLabel"/>
              </w:rPr>
              <w:t>.</w:t>
            </w:r>
            <w:r w:rsidR="008C090E">
              <w:rPr>
                <w:rStyle w:val="CaptionLabel"/>
                <w:noProof/>
              </w:rPr>
              <w:t>1</w:t>
            </w:r>
            <w:bookmarkEnd w:id="41"/>
            <w:r>
              <w:tab/>
              <w:t>NPP priority funding areas 2014-2016</w:t>
            </w:r>
            <w:bookmarkEnd w:id="42"/>
          </w:p>
        </w:tc>
      </w:tr>
      <w:tr w:rsidR="003907BB" w14:paraId="18197298" w14:textId="77777777" w:rsidTr="00A75892">
        <w:trPr>
          <w:cantSplit/>
          <w:trHeight w:val="380"/>
        </w:trPr>
        <w:tc>
          <w:tcPr>
            <w:tcW w:w="8614" w:type="dxa"/>
            <w:shd w:val="clear" w:color="auto" w:fill="E4E0DD"/>
            <w:hideMark/>
          </w:tcPr>
          <w:p w14:paraId="0D372880" w14:textId="77777777" w:rsidR="003907BB" w:rsidRDefault="00A45AB3" w:rsidP="003907BB">
            <w:pPr>
              <w:pStyle w:val="spacer"/>
            </w:pPr>
            <w:r>
              <w:rPr>
                <w:noProof/>
                <w:lang w:eastAsia="en-AU"/>
              </w:rPr>
              <mc:AlternateContent>
                <mc:Choice Requires="wps">
                  <w:drawing>
                    <wp:anchor distT="0" distB="0" distL="114300" distR="114300" simplePos="0" relativeHeight="251621376" behindDoc="0" locked="1" layoutInCell="1" allowOverlap="1" wp14:anchorId="29540F5A" wp14:editId="6A2177AC">
                      <wp:simplePos x="0" y="0"/>
                      <wp:positionH relativeFrom="rightMargin">
                        <wp:posOffset>-772795</wp:posOffset>
                      </wp:positionH>
                      <wp:positionV relativeFrom="page">
                        <wp:posOffset>0</wp:posOffset>
                      </wp:positionV>
                      <wp:extent cx="436880" cy="213360"/>
                      <wp:effectExtent l="0" t="0" r="1270" b="0"/>
                      <wp:wrapNone/>
                      <wp:docPr id="297" name="Freeform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6F5A84" id="Freeform 297" o:spid="_x0000_s1026" style="position:absolute;margin-left:-60.85pt;margin-top:0;width:34.4pt;height:16.8pt;z-index:251621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avLqAX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2935AF81" w14:textId="77777777" w:rsidTr="00A75892">
        <w:trPr>
          <w:cantSplit/>
        </w:trPr>
        <w:tc>
          <w:tcPr>
            <w:tcW w:w="8614" w:type="dxa"/>
            <w:shd w:val="clear" w:color="auto" w:fill="E4E0DD"/>
            <w:tcMar>
              <w:top w:w="276" w:type="dxa"/>
              <w:left w:w="0" w:type="dxa"/>
              <w:bottom w:w="184" w:type="dxa"/>
              <w:right w:w="120" w:type="dxa"/>
            </w:tcMar>
            <w:hideMark/>
          </w:tcPr>
          <w:p w14:paraId="234DFE9F" w14:textId="77777777" w:rsidR="003907BB" w:rsidRDefault="003907BB" w:rsidP="003907BB">
            <w:pPr>
              <w:pStyle w:val="BoxTextBoldItalic"/>
            </w:pPr>
            <w:r>
              <w:t>Building the evidence base</w:t>
            </w:r>
          </w:p>
          <w:p w14:paraId="022DE598" w14:textId="77777777" w:rsidR="003907BB" w:rsidRDefault="003907BB" w:rsidP="003907BB">
            <w:pPr>
              <w:pStyle w:val="BoxText"/>
            </w:pPr>
            <w:r>
              <w:t>Research and projects commissioned from this priority area will gather the evidence on which future policy development will be based. It will explore opportunities for improvement in current practice and achievement, and investigate new developments in approaches to increasing access, participation and success in higher education.</w:t>
            </w:r>
          </w:p>
          <w:p w14:paraId="35CDA4CD" w14:textId="77777777" w:rsidR="003907BB" w:rsidRDefault="003907BB" w:rsidP="003907BB">
            <w:pPr>
              <w:pStyle w:val="BoxTextBoldItalic"/>
            </w:pPr>
            <w:r>
              <w:t>Fostering innovation</w:t>
            </w:r>
          </w:p>
          <w:p w14:paraId="2D38293D" w14:textId="77777777" w:rsidR="003907BB" w:rsidRDefault="003907BB" w:rsidP="003907BB">
            <w:pPr>
              <w:pStyle w:val="BoxText"/>
            </w:pPr>
            <w:r>
              <w:t>Projects commissioned from this priority area will promote innovation within current program delivery by trialling new ideas and practices that assist low SES groups to access and succeed in higher education. This funding area will also target new barriers to higher education, address current gaps in program delivery and assist universities to expand activity to new areas.</w:t>
            </w:r>
          </w:p>
          <w:p w14:paraId="5E92CEB1" w14:textId="77777777" w:rsidR="003907BB" w:rsidRDefault="003907BB" w:rsidP="003907BB">
            <w:pPr>
              <w:pStyle w:val="BoxTextBoldItalic"/>
            </w:pPr>
            <w:r>
              <w:t>More effective program implementation</w:t>
            </w:r>
          </w:p>
          <w:p w14:paraId="41104BB8" w14:textId="77777777" w:rsidR="003907BB" w:rsidRDefault="003907BB" w:rsidP="003907BB">
            <w:pPr>
              <w:pStyle w:val="BoxText"/>
            </w:pPr>
            <w:r>
              <w:t>Projects commissioned from this priority area will promote cooperation between policy-makers and the higher education sector, encourage information-sharing and collaboration among equity practitioners, and improve current practice in program delivery.</w:t>
            </w:r>
          </w:p>
        </w:tc>
      </w:tr>
      <w:tr w:rsidR="003907BB" w14:paraId="4B50A4B3" w14:textId="77777777" w:rsidTr="00A75892">
        <w:trPr>
          <w:cantSplit/>
        </w:trPr>
        <w:tc>
          <w:tcPr>
            <w:tcW w:w="8614" w:type="dxa"/>
            <w:tcMar>
              <w:top w:w="12" w:type="dxa"/>
              <w:left w:w="446" w:type="dxa"/>
              <w:bottom w:w="113" w:type="dxa"/>
              <w:right w:w="0" w:type="dxa"/>
            </w:tcMar>
            <w:hideMark/>
          </w:tcPr>
          <w:p w14:paraId="0B9AC3A7" w14:textId="77777777" w:rsidR="003907BB" w:rsidRDefault="003907BB" w:rsidP="003907BB">
            <w:pPr>
              <w:pStyle w:val="Source"/>
            </w:pPr>
            <w:r w:rsidRPr="00A2625F">
              <w:t>Source: National priorities pool investment plans, 2014-16</w:t>
            </w:r>
          </w:p>
        </w:tc>
      </w:tr>
    </w:tbl>
    <w:p w14:paraId="6FCB485B" w14:textId="77777777" w:rsidR="003907BB" w:rsidRDefault="003907BB" w:rsidP="00AD49C8">
      <w:pPr>
        <w:pStyle w:val="Heading3"/>
      </w:pPr>
      <w:bookmarkStart w:id="43" w:name="_Ref461627463"/>
      <w:bookmarkStart w:id="44" w:name="_Ref461002455"/>
      <w:r>
        <w:t>Funding formula</w:t>
      </w:r>
      <w:bookmarkEnd w:id="43"/>
    </w:p>
    <w:p w14:paraId="64A3C963" w14:textId="77777777" w:rsidR="003907BB" w:rsidRDefault="003907BB" w:rsidP="003907BB">
      <w:pPr>
        <w:pStyle w:val="BodyText"/>
      </w:pPr>
      <w:r>
        <w:t>Funding for the Participation and Partnership components of the HEPPP is allocated by a formula based on each university’s proportion of the total number of students from low SES backgrounds. An overview of the changes to the program and the funding formula from 2010 to 2016 can be seen in</w:t>
      </w:r>
      <w:r w:rsidR="002C7BFE">
        <w:t xml:space="preserve"> </w:t>
      </w:r>
      <w:r w:rsidR="008C090E" w:rsidRPr="00AD49C8">
        <w:t>Figure 2.2</w:t>
      </w:r>
      <w:r>
        <w:t>, below.</w:t>
      </w:r>
    </w:p>
    <w:p w14:paraId="7A71BE64" w14:textId="77777777" w:rsidR="003907BB" w:rsidRDefault="003907BB" w:rsidP="003907BB">
      <w:pPr>
        <w:pStyle w:val="BodyText"/>
      </w:pPr>
      <w:r>
        <w:t>From 2010 until 2014, the formula provided in the Guidelines was used. This formula includes students from low SES backgrounds and students who meet relevant support payment criteria (</w:t>
      </w:r>
      <w:r w:rsidR="008C090E" w:rsidRPr="00AD49C8">
        <w:t>Box 2.2</w:t>
      </w:r>
      <w:r>
        <w:t>).</w:t>
      </w:r>
      <w:r>
        <w:rPr>
          <w:rStyle w:val="FootnoteReference"/>
        </w:rPr>
        <w:footnoteReference w:id="14"/>
      </w:r>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14:paraId="7A7E8AC4" w14:textId="77777777" w:rsidTr="00A75892">
        <w:trPr>
          <w:cantSplit/>
        </w:trPr>
        <w:tc>
          <w:tcPr>
            <w:tcW w:w="8614" w:type="dxa"/>
            <w:tcMar>
              <w:top w:w="160" w:type="dxa"/>
              <w:left w:w="446" w:type="dxa"/>
              <w:bottom w:w="0" w:type="dxa"/>
              <w:right w:w="0" w:type="dxa"/>
            </w:tcMar>
            <w:hideMark/>
          </w:tcPr>
          <w:p w14:paraId="78A203F3" w14:textId="77777777" w:rsidR="003907BB" w:rsidRDefault="003907BB" w:rsidP="003907BB">
            <w:pPr>
              <w:pStyle w:val="Caption"/>
            </w:pPr>
            <w:bookmarkStart w:id="45" w:name="_Ref462943092"/>
            <w:bookmarkStart w:id="46" w:name="_Toc466657010"/>
            <w:r>
              <w:rPr>
                <w:rStyle w:val="CaptionLabel"/>
              </w:rPr>
              <w:t>Box </w:t>
            </w:r>
            <w:r w:rsidR="008C090E">
              <w:rPr>
                <w:rStyle w:val="CaptionLabel"/>
                <w:noProof/>
              </w:rPr>
              <w:t>2</w:t>
            </w:r>
            <w:r>
              <w:rPr>
                <w:rStyle w:val="CaptionLabel"/>
              </w:rPr>
              <w:t>.</w:t>
            </w:r>
            <w:r w:rsidR="008C090E">
              <w:rPr>
                <w:rStyle w:val="CaptionLabel"/>
                <w:noProof/>
              </w:rPr>
              <w:t>2</w:t>
            </w:r>
            <w:bookmarkEnd w:id="45"/>
            <w:r>
              <w:tab/>
              <w:t>HEPPP funding formula, 2010-2014</w:t>
            </w:r>
            <w:bookmarkEnd w:id="46"/>
          </w:p>
        </w:tc>
      </w:tr>
      <w:tr w:rsidR="003907BB" w14:paraId="54A32FD6" w14:textId="77777777" w:rsidTr="00A75892">
        <w:trPr>
          <w:cantSplit/>
          <w:trHeight w:val="380"/>
        </w:trPr>
        <w:tc>
          <w:tcPr>
            <w:tcW w:w="8614" w:type="dxa"/>
            <w:shd w:val="clear" w:color="auto" w:fill="E4E0DD"/>
            <w:hideMark/>
          </w:tcPr>
          <w:p w14:paraId="639E8D64" w14:textId="77777777" w:rsidR="003907BB" w:rsidRDefault="00A45AB3" w:rsidP="003907BB">
            <w:pPr>
              <w:pStyle w:val="spacer"/>
            </w:pPr>
            <w:r>
              <w:rPr>
                <w:noProof/>
                <w:lang w:eastAsia="en-AU"/>
              </w:rPr>
              <mc:AlternateContent>
                <mc:Choice Requires="wps">
                  <w:drawing>
                    <wp:anchor distT="0" distB="0" distL="114300" distR="114300" simplePos="0" relativeHeight="251612160" behindDoc="0" locked="1" layoutInCell="1" allowOverlap="1" wp14:anchorId="51A284A4" wp14:editId="20F8F420">
                      <wp:simplePos x="0" y="0"/>
                      <wp:positionH relativeFrom="rightMargin">
                        <wp:posOffset>-772795</wp:posOffset>
                      </wp:positionH>
                      <wp:positionV relativeFrom="page">
                        <wp:posOffset>0</wp:posOffset>
                      </wp:positionV>
                      <wp:extent cx="436880" cy="213360"/>
                      <wp:effectExtent l="0" t="0" r="1270" b="0"/>
                      <wp:wrapNone/>
                      <wp:docPr id="296" name="Freeform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651460" id="Freeform 296" o:spid="_x0000_s1026" style="position:absolute;margin-left:-60.85pt;margin-top:0;width:34.4pt;height:16.8pt;z-index:251612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Ed4HhZ/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021BDB6B" w14:textId="77777777" w:rsidTr="00A75892">
        <w:trPr>
          <w:cantSplit/>
        </w:trPr>
        <w:tc>
          <w:tcPr>
            <w:tcW w:w="8614" w:type="dxa"/>
            <w:shd w:val="clear" w:color="auto" w:fill="E4E0DD"/>
            <w:tcMar>
              <w:top w:w="276" w:type="dxa"/>
              <w:left w:w="0" w:type="dxa"/>
              <w:bottom w:w="184" w:type="dxa"/>
              <w:right w:w="120" w:type="dxa"/>
            </w:tcMar>
            <w:hideMark/>
          </w:tcPr>
          <w:p w14:paraId="136EFDE9" w14:textId="77777777" w:rsidR="003907BB" w:rsidRPr="00AD49C8" w:rsidRDefault="003907BB" w:rsidP="00A45AB3">
            <w:pPr>
              <w:pStyle w:val="BoxListNumber"/>
              <w:numPr>
                <w:ilvl w:val="0"/>
                <w:numId w:val="41"/>
              </w:numPr>
              <w:rPr>
                <w:b/>
              </w:rPr>
            </w:pPr>
            <w:r>
              <w:t xml:space="preserve">According to the Guidelines, the indicator is calculated by the following formula: </w:t>
            </w:r>
            <m:oMath>
              <m:r>
                <m:rPr>
                  <m:nor/>
                </m:rPr>
                <w:rPr>
                  <w:b/>
                </w:rPr>
                <m:t>C</m:t>
              </m:r>
              <m:r>
                <m:rPr>
                  <m:sty m:val="bi"/>
                </m:rPr>
                <w:rPr>
                  <w:rFonts w:ascii="Cambria Math" w:hAnsi="Cambria Math"/>
                </w:rPr>
                <m:t>=</m:t>
              </m:r>
              <m:f>
                <m:fPr>
                  <m:ctrlPr>
                    <w:rPr>
                      <w:rFonts w:ascii="Cambria Math" w:hAnsi="Cambria Math"/>
                      <w:b/>
                      <w:i/>
                    </w:rPr>
                  </m:ctrlPr>
                </m:fPr>
                <m:num>
                  <m:d>
                    <m:dPr>
                      <m:ctrlPr>
                        <w:rPr>
                          <w:rFonts w:ascii="Cambria Math" w:hAnsi="Cambria Math"/>
                          <w:b/>
                          <w:i/>
                        </w:rPr>
                      </m:ctrlPr>
                    </m:dPr>
                    <m:e>
                      <m:r>
                        <m:rPr>
                          <m:nor/>
                        </m:rPr>
                        <w:rPr>
                          <w:rFonts w:ascii="Cambria Math"/>
                          <w:b/>
                        </w:rPr>
                        <m:t xml:space="preserve"> </m:t>
                      </m:r>
                      <m:r>
                        <m:rPr>
                          <m:nor/>
                        </m:rPr>
                        <w:rPr>
                          <w:b/>
                        </w:rPr>
                        <m:t>2</m:t>
                      </m:r>
                      <m:r>
                        <m:rPr>
                          <m:nor/>
                        </m:rPr>
                        <w:rPr>
                          <w:rFonts w:ascii="Cambria Math"/>
                          <w:b/>
                        </w:rPr>
                        <m:t xml:space="preserve"> </m:t>
                      </m:r>
                      <m:r>
                        <m:rPr>
                          <m:sty m:val="bi"/>
                        </m:rPr>
                        <w:rPr>
                          <w:rFonts w:ascii="Cambria Math" w:hAnsi="Cambria Math"/>
                        </w:rPr>
                        <m:t xml:space="preserve">× </m:t>
                      </m:r>
                      <m:r>
                        <m:rPr>
                          <m:nor/>
                        </m:rPr>
                        <w:rPr>
                          <w:b/>
                        </w:rPr>
                        <m:t>A</m:t>
                      </m:r>
                      <m:r>
                        <m:rPr>
                          <m:nor/>
                        </m:rPr>
                        <w:rPr>
                          <w:rFonts w:ascii="Cambria Math"/>
                          <w:b/>
                        </w:rPr>
                        <m:t xml:space="preserve"> </m:t>
                      </m:r>
                      <m:r>
                        <m:rPr>
                          <m:sty m:val="bi"/>
                        </m:rPr>
                        <w:rPr>
                          <w:rFonts w:ascii="Cambria Math" w:hAnsi="Cambria Math"/>
                        </w:rPr>
                        <m:t xml:space="preserve">+ </m:t>
                      </m:r>
                      <m:r>
                        <m:rPr>
                          <m:nor/>
                        </m:rPr>
                        <w:rPr>
                          <w:b/>
                        </w:rPr>
                        <m:t>B</m:t>
                      </m:r>
                      <m:r>
                        <m:rPr>
                          <m:nor/>
                        </m:rPr>
                        <w:rPr>
                          <w:rFonts w:ascii="Cambria Math"/>
                          <w:b/>
                        </w:rPr>
                        <m:t xml:space="preserve"> </m:t>
                      </m:r>
                    </m:e>
                  </m:d>
                </m:num>
                <m:den>
                  <m:r>
                    <m:rPr>
                      <m:nor/>
                    </m:rPr>
                    <w:rPr>
                      <w:b/>
                    </w:rPr>
                    <m:t>3</m:t>
                  </m:r>
                </m:den>
              </m:f>
            </m:oMath>
            <w:r w:rsidRPr="00AD49C8">
              <w:rPr>
                <w:b/>
              </w:rPr>
              <w:t xml:space="preserve"> </w:t>
            </w:r>
          </w:p>
          <w:p w14:paraId="240F8CF7" w14:textId="77777777" w:rsidR="003907BB" w:rsidRPr="00AD49C8" w:rsidRDefault="003907BB" w:rsidP="003907BB">
            <w:pPr>
              <w:pStyle w:val="BoxText"/>
            </w:pPr>
            <w:r w:rsidRPr="004201E7">
              <w:t xml:space="preserve">where: </w:t>
            </w:r>
          </w:p>
          <w:p w14:paraId="039FB7DA" w14:textId="77777777" w:rsidR="003907BB" w:rsidRPr="00A5137C" w:rsidRDefault="003907BB" w:rsidP="003907BB">
            <w:pPr>
              <w:pStyle w:val="BoxText"/>
            </w:pPr>
            <w:r w:rsidRPr="00AD49C8">
              <w:rPr>
                <w:b/>
              </w:rPr>
              <w:t>A</w:t>
            </w:r>
            <w:r w:rsidRPr="004201E7">
              <w:t xml:space="preserve"> = total number of domestic undergraduate students enrolled at a Table A university who have home addresses in the lowest quartile of the SEIFA Education and Occupation Index, based on the measure of low SES a</w:t>
            </w:r>
            <w:r w:rsidRPr="00A5137C">
              <w:t>s determined by the Minister</w:t>
            </w:r>
          </w:p>
          <w:p w14:paraId="215CCAB0" w14:textId="77777777" w:rsidR="003907BB" w:rsidRPr="00140FEE" w:rsidRDefault="003907BB" w:rsidP="003907BB">
            <w:pPr>
              <w:pStyle w:val="BoxText"/>
            </w:pPr>
            <w:r w:rsidRPr="00AD49C8">
              <w:rPr>
                <w:b/>
              </w:rPr>
              <w:t>B</w:t>
            </w:r>
            <w:r w:rsidRPr="00A5137C">
              <w:t xml:space="preserve"> = </w:t>
            </w:r>
            <w:r w:rsidRPr="00140FEE">
              <w:t>number of domestic undergraduate students who meet relevant income support payment criteria</w:t>
            </w:r>
          </w:p>
          <w:p w14:paraId="7FD88705" w14:textId="77777777" w:rsidR="003907BB" w:rsidRPr="00A5137C" w:rsidRDefault="003907BB" w:rsidP="003907BB">
            <w:pPr>
              <w:pStyle w:val="BoxText"/>
            </w:pPr>
            <w:r w:rsidRPr="00AD49C8">
              <w:rPr>
                <w:b/>
              </w:rPr>
              <w:t>C</w:t>
            </w:r>
            <w:r w:rsidRPr="00A5137C">
              <w:t xml:space="preserve"> = indicator of undergraduates from low SES backgrounds</w:t>
            </w:r>
          </w:p>
          <w:p w14:paraId="30C0B6CA" w14:textId="77777777" w:rsidR="003907BB" w:rsidRDefault="003907BB" w:rsidP="003907BB">
            <w:pPr>
              <w:pStyle w:val="BoxText"/>
            </w:pPr>
          </w:p>
          <w:p w14:paraId="6C31337B" w14:textId="77777777" w:rsidR="003907BB" w:rsidRDefault="003907BB" w:rsidP="00A45AB3">
            <w:pPr>
              <w:pStyle w:val="BoxListNumber"/>
              <w:numPr>
                <w:ilvl w:val="0"/>
                <w:numId w:val="41"/>
              </w:numPr>
            </w:pPr>
            <w:r>
              <w:t xml:space="preserve">Annual funding for the Participation component of HEPPP for each provider is then calculated according to the following formula: </w:t>
            </w:r>
            <m:oMath>
              <m:r>
                <m:rPr>
                  <m:nor/>
                </m:rPr>
                <w:rPr>
                  <w:b/>
                </w:rPr>
                <m:t>Funding</m:t>
              </m:r>
              <m:r>
                <m:rPr>
                  <m:sty m:val="bi"/>
                </m:rPr>
                <w:rPr>
                  <w:rFonts w:ascii="Cambria Math" w:hAnsi="Cambria Math"/>
                </w:rPr>
                <m:t>=</m:t>
              </m:r>
              <m:d>
                <m:dPr>
                  <m:ctrlPr>
                    <w:rPr>
                      <w:rFonts w:ascii="Cambria Math" w:hAnsi="Cambria Math"/>
                      <w:b/>
                      <w:i/>
                    </w:rPr>
                  </m:ctrlPr>
                </m:dPr>
                <m:e>
                  <m:f>
                    <m:fPr>
                      <m:ctrlPr>
                        <w:rPr>
                          <w:rFonts w:ascii="Cambria Math" w:hAnsi="Cambria Math"/>
                          <w:b/>
                          <w:i/>
                        </w:rPr>
                      </m:ctrlPr>
                    </m:fPr>
                    <m:num>
                      <m:r>
                        <m:rPr>
                          <m:nor/>
                        </m:rPr>
                        <w:rPr>
                          <w:b/>
                        </w:rPr>
                        <m:t xml:space="preserve"> C </m:t>
                      </m:r>
                    </m:num>
                    <m:den>
                      <m:r>
                        <m:rPr>
                          <m:sty m:val="bi"/>
                        </m:rPr>
                        <w:rPr>
                          <w:rFonts w:ascii="Cambria Math" w:hAnsi="Cambria Math"/>
                        </w:rPr>
                        <m:t xml:space="preserve"> </m:t>
                      </m:r>
                      <m:r>
                        <m:rPr>
                          <m:nor/>
                        </m:rPr>
                        <w:rPr>
                          <w:b/>
                        </w:rPr>
                        <m:t>D</m:t>
                      </m:r>
                      <m:r>
                        <m:rPr>
                          <m:sty m:val="bi"/>
                        </m:rPr>
                        <w:rPr>
                          <w:rFonts w:ascii="Cambria Math" w:hAnsi="Cambria Math"/>
                        </w:rPr>
                        <m:t xml:space="preserve"> </m:t>
                      </m:r>
                    </m:den>
                  </m:f>
                </m:e>
              </m:d>
              <m:r>
                <m:rPr>
                  <m:sty m:val="bi"/>
                </m:rPr>
                <w:rPr>
                  <w:rFonts w:ascii="Cambria Math" w:hAnsi="Cambria Math"/>
                </w:rPr>
                <m:t>×</m:t>
              </m:r>
              <m:r>
                <m:rPr>
                  <m:nor/>
                </m:rPr>
                <w:rPr>
                  <w:b/>
                </w:rPr>
                <m:t>E</m:t>
              </m:r>
            </m:oMath>
          </w:p>
          <w:p w14:paraId="3690D631" w14:textId="77777777" w:rsidR="003907BB" w:rsidRDefault="003907BB" w:rsidP="003907BB">
            <w:pPr>
              <w:pStyle w:val="BoxText"/>
            </w:pPr>
            <w:r>
              <w:t xml:space="preserve">where: </w:t>
            </w:r>
          </w:p>
          <w:p w14:paraId="6D75EDD7" w14:textId="77777777" w:rsidR="003907BB" w:rsidRDefault="003907BB" w:rsidP="003907BB">
            <w:pPr>
              <w:pStyle w:val="BoxText"/>
            </w:pPr>
            <w:r w:rsidRPr="00AD49C8">
              <w:rPr>
                <w:b/>
              </w:rPr>
              <w:t>D</w:t>
            </w:r>
            <w:r>
              <w:t xml:space="preserve"> = total of the indicators of domestic undergraduate students from low SES backgrounds enrolled over all Table A universities</w:t>
            </w:r>
          </w:p>
          <w:p w14:paraId="60323B5A" w14:textId="77777777" w:rsidR="003907BB" w:rsidRDefault="003907BB" w:rsidP="003907BB">
            <w:pPr>
              <w:pStyle w:val="BoxText"/>
            </w:pPr>
            <w:r w:rsidRPr="00AD49C8">
              <w:rPr>
                <w:b/>
              </w:rPr>
              <w:t>E</w:t>
            </w:r>
            <w:r>
              <w:t xml:space="preserve"> = Participation funding in that year</w:t>
            </w:r>
          </w:p>
        </w:tc>
      </w:tr>
      <w:tr w:rsidR="003907BB" w14:paraId="55009284" w14:textId="77777777" w:rsidTr="00A75892">
        <w:trPr>
          <w:cantSplit/>
        </w:trPr>
        <w:tc>
          <w:tcPr>
            <w:tcW w:w="8614" w:type="dxa"/>
            <w:tcMar>
              <w:top w:w="12" w:type="dxa"/>
              <w:left w:w="446" w:type="dxa"/>
              <w:bottom w:w="113" w:type="dxa"/>
              <w:right w:w="0" w:type="dxa"/>
            </w:tcMar>
            <w:hideMark/>
          </w:tcPr>
          <w:p w14:paraId="01BD44AF" w14:textId="77777777" w:rsidR="003907BB" w:rsidRDefault="003907BB" w:rsidP="003907BB">
            <w:pPr>
              <w:pStyle w:val="Source"/>
            </w:pPr>
            <w:r w:rsidRPr="00B60C2C">
              <w:t>Source: Other grants guidelines (education) 2012, sections 1.60.1 and 1.60.10</w:t>
            </w:r>
          </w:p>
        </w:tc>
      </w:tr>
    </w:tbl>
    <w:p w14:paraId="1201B17C" w14:textId="77777777" w:rsidR="003907BB" w:rsidRDefault="003907BB" w:rsidP="003907BB">
      <w:pPr>
        <w:pStyle w:val="BodyText"/>
      </w:pPr>
      <w:r>
        <w:t>Between 2010 and 2014, membership of the lowest quartile of the SEIFA Index of Education and Occupation was determined using census district. In 2015 a revised approach to measuring SES was adopted in response to feedback from providers and analysis by the Department in its discussion paper</w:t>
      </w:r>
      <w:r w:rsidRPr="0041476B">
        <w:t xml:space="preserve">, </w:t>
      </w:r>
      <w:r w:rsidRPr="0041476B">
        <w:rPr>
          <w:i/>
        </w:rPr>
        <w:t>Moving to an Enhanced Indicator of Higher Education Students’ Socio-Economic Status</w:t>
      </w:r>
      <w:r w:rsidRPr="0041476B">
        <w:t xml:space="preserve"> (2013). The paper</w:t>
      </w:r>
      <w:r>
        <w:t xml:space="preserve"> investigated alternative measures of SES, including individual measures of parental education or secondary school background, rather than geographical measures. It ultimately recommended continuing to use a geographical measure of SES with the SEIFA Index of Education and Occupation, though using SA1 level geographical areas rather than census district, due to the greater accuracy of the SA1 level.</w:t>
      </w:r>
    </w:p>
    <w:p w14:paraId="6602A495" w14:textId="77777777" w:rsidR="003907BB" w:rsidRDefault="003907BB" w:rsidP="003907BB">
      <w:pPr>
        <w:pStyle w:val="BodyText"/>
      </w:pPr>
      <w:r w:rsidRPr="00CB6487">
        <w:t>The Department’s 2013 paper also recommended removing the income support criterion from the formula, based on sector feedbac</w:t>
      </w:r>
      <w:r w:rsidRPr="00BD0B02">
        <w:t>k. Both of these recommendations were adopted and the formula was changed in 2014 to comprise only the proportion of low SES students. The amended formula was adopted for use in the HEPPP in 2015 and continues to be used at the time of this evaluation.</w:t>
      </w:r>
    </w:p>
    <w:tbl>
      <w:tblPr>
        <w:tblStyle w:val="TableGrid"/>
        <w:tblW w:w="10995"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5"/>
      </w:tblGrid>
      <w:tr w:rsidR="003907BB" w14:paraId="1883051C" w14:textId="77777777" w:rsidTr="003907BB">
        <w:trPr>
          <w:cantSplit/>
          <w:trHeight w:val="160"/>
        </w:trPr>
        <w:tc>
          <w:tcPr>
            <w:tcW w:w="10994" w:type="dxa"/>
            <w:tcBorders>
              <w:top w:val="nil"/>
              <w:left w:val="nil"/>
              <w:bottom w:val="single" w:sz="4" w:space="0" w:color="auto"/>
              <w:right w:val="nil"/>
            </w:tcBorders>
          </w:tcPr>
          <w:p w14:paraId="0E70CD5C" w14:textId="77777777" w:rsidR="003907BB" w:rsidRDefault="003907BB" w:rsidP="003907BB">
            <w:pPr>
              <w:pStyle w:val="spacer"/>
            </w:pPr>
          </w:p>
        </w:tc>
      </w:tr>
      <w:tr w:rsidR="003907BB" w14:paraId="2AA26444" w14:textId="77777777" w:rsidTr="003907BB">
        <w:trPr>
          <w:cantSplit/>
        </w:trPr>
        <w:tc>
          <w:tcPr>
            <w:tcW w:w="10994" w:type="dxa"/>
            <w:tcBorders>
              <w:top w:val="single" w:sz="4" w:space="0" w:color="auto"/>
              <w:left w:val="nil"/>
              <w:bottom w:val="nil"/>
              <w:right w:val="nil"/>
            </w:tcBorders>
            <w:hideMark/>
          </w:tcPr>
          <w:p w14:paraId="7567CFF8" w14:textId="77777777" w:rsidR="003907BB" w:rsidRDefault="003907BB" w:rsidP="00F30CC3">
            <w:pPr>
              <w:pStyle w:val="Caption"/>
            </w:pPr>
            <w:bookmarkStart w:id="47" w:name="_Ref462943833"/>
            <w:bookmarkStart w:id="48" w:name="_Toc466655648"/>
            <w:r>
              <w:rPr>
                <w:rStyle w:val="CaptionLabel"/>
              </w:rPr>
              <w:t>Figure </w:t>
            </w:r>
            <w:r w:rsidR="008C090E">
              <w:rPr>
                <w:rStyle w:val="CaptionLabel"/>
                <w:noProof/>
              </w:rPr>
              <w:t>2</w:t>
            </w:r>
            <w:r>
              <w:rPr>
                <w:rStyle w:val="CaptionLabel"/>
              </w:rPr>
              <w:t>.</w:t>
            </w:r>
            <w:r w:rsidR="008C090E">
              <w:rPr>
                <w:rStyle w:val="CaptionLabel"/>
                <w:noProof/>
              </w:rPr>
              <w:t>2</w:t>
            </w:r>
            <w:bookmarkEnd w:id="47"/>
            <w:r>
              <w:tab/>
              <w:t>the funding approach to the heppp over 2010</w:t>
            </w:r>
            <w:r w:rsidR="00F30CC3">
              <w:t>—</w:t>
            </w:r>
            <w:r>
              <w:t>2016</w:t>
            </w:r>
            <w:bookmarkEnd w:id="48"/>
          </w:p>
        </w:tc>
      </w:tr>
      <w:tr w:rsidR="003907BB" w14:paraId="55796160" w14:textId="77777777" w:rsidTr="003907BB">
        <w:trPr>
          <w:cantSplit/>
          <w:trHeight w:val="380"/>
        </w:trPr>
        <w:tc>
          <w:tcPr>
            <w:tcW w:w="10994" w:type="dxa"/>
            <w:tcBorders>
              <w:top w:val="nil"/>
              <w:left w:val="nil"/>
              <w:bottom w:val="single" w:sz="4" w:space="0" w:color="auto"/>
              <w:right w:val="nil"/>
            </w:tcBorders>
            <w:hideMark/>
          </w:tcPr>
          <w:p w14:paraId="32ED5241" w14:textId="77777777" w:rsidR="003907BB" w:rsidRDefault="00A45AB3" w:rsidP="003907BB">
            <w:pPr>
              <w:pStyle w:val="spacer"/>
            </w:pPr>
            <w:r>
              <w:rPr>
                <w:noProof/>
                <w:lang w:eastAsia="en-AU"/>
              </w:rPr>
              <mc:AlternateContent>
                <mc:Choice Requires="wps">
                  <w:drawing>
                    <wp:anchor distT="0" distB="0" distL="114300" distR="114300" simplePos="0" relativeHeight="251613184" behindDoc="0" locked="1" layoutInCell="1" allowOverlap="1" wp14:anchorId="16081683" wp14:editId="09BA4605">
                      <wp:simplePos x="0" y="0"/>
                      <wp:positionH relativeFrom="rightMargin">
                        <wp:posOffset>-772795</wp:posOffset>
                      </wp:positionH>
                      <wp:positionV relativeFrom="page">
                        <wp:posOffset>0</wp:posOffset>
                      </wp:positionV>
                      <wp:extent cx="436880" cy="213360"/>
                      <wp:effectExtent l="0" t="0" r="1270" b="0"/>
                      <wp:wrapNone/>
                      <wp:docPr id="798" name="Freeform 7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A51B24" id="Freeform 798" o:spid="_x0000_s1026" style="position:absolute;margin-left:-60.85pt;margin-top:0;width:34.4pt;height:16.8pt;z-index:251613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wrtpB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1A5A4B10" w14:textId="77777777" w:rsidTr="003907BB">
        <w:trPr>
          <w:cantSplit/>
        </w:trPr>
        <w:tc>
          <w:tcPr>
            <w:tcW w:w="10994" w:type="dxa"/>
            <w:tcBorders>
              <w:top w:val="single" w:sz="4" w:space="0" w:color="auto"/>
              <w:left w:val="nil"/>
              <w:bottom w:val="single" w:sz="4" w:space="0" w:color="auto"/>
              <w:right w:val="nil"/>
            </w:tcBorders>
            <w:tcMar>
              <w:top w:w="10" w:type="dxa"/>
              <w:left w:w="0" w:type="dxa"/>
              <w:bottom w:w="10" w:type="dxa"/>
              <w:right w:w="0" w:type="dxa"/>
            </w:tcMar>
            <w:hideMark/>
          </w:tcPr>
          <w:p w14:paraId="2C9990F1" w14:textId="77777777" w:rsidR="003907BB" w:rsidRDefault="007F5EE9" w:rsidP="003907BB">
            <w:pPr>
              <w:pStyle w:val="Figure"/>
            </w:pPr>
            <w:r>
              <w:rPr>
                <w:noProof/>
                <w:lang w:eastAsia="en-AU"/>
              </w:rPr>
              <w:drawing>
                <wp:inline distT="0" distB="0" distL="0" distR="0" wp14:anchorId="71C13C4F" wp14:editId="4A1CF1DA">
                  <wp:extent cx="6915150" cy="4352925"/>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15150" cy="4352925"/>
                          </a:xfrm>
                          <a:prstGeom prst="rect">
                            <a:avLst/>
                          </a:prstGeom>
                          <a:noFill/>
                          <a:ln>
                            <a:noFill/>
                          </a:ln>
                        </pic:spPr>
                      </pic:pic>
                    </a:graphicData>
                  </a:graphic>
                </wp:inline>
              </w:drawing>
            </w:r>
          </w:p>
        </w:tc>
      </w:tr>
      <w:tr w:rsidR="003907BB" w14:paraId="0ABE1A7E" w14:textId="77777777" w:rsidTr="003907BB">
        <w:trPr>
          <w:cantSplit/>
        </w:trPr>
        <w:tc>
          <w:tcPr>
            <w:tcW w:w="10994" w:type="dxa"/>
            <w:tcBorders>
              <w:top w:val="single" w:sz="4" w:space="0" w:color="auto"/>
              <w:left w:val="nil"/>
              <w:bottom w:val="single" w:sz="4" w:space="0" w:color="auto"/>
              <w:right w:val="nil"/>
            </w:tcBorders>
            <w:tcMar>
              <w:top w:w="12" w:type="dxa"/>
              <w:left w:w="0" w:type="dxa"/>
              <w:bottom w:w="113" w:type="dxa"/>
              <w:right w:w="0" w:type="dxa"/>
            </w:tcMar>
            <w:hideMark/>
          </w:tcPr>
          <w:p w14:paraId="14FE72AA" w14:textId="77777777" w:rsidR="003907BB" w:rsidRPr="00A32065" w:rsidRDefault="003907BB" w:rsidP="003907BB">
            <w:pPr>
              <w:pStyle w:val="Note"/>
            </w:pPr>
            <w:r>
              <w:rPr>
                <w:rStyle w:val="Notelabel"/>
              </w:rPr>
              <w:t>1</w:t>
            </w:r>
            <w:r>
              <w:t xml:space="preserve"> The Department’s funding record is unclear here; some universities appear to receive negative amounts.</w:t>
            </w:r>
            <w:r>
              <w:rPr>
                <w:rStyle w:val="Notelabel"/>
                <w:vertAlign w:val="baseline"/>
              </w:rPr>
              <w:br/>
            </w:r>
            <w:r>
              <w:rPr>
                <w:rStyle w:val="Notelabel"/>
              </w:rPr>
              <w:t>2</w:t>
            </w:r>
            <w:r>
              <w:t xml:space="preserve"> The 2011 Competitive Grants Round was also known as ‘Round 1’.</w:t>
            </w:r>
            <w:r>
              <w:rPr>
                <w:rStyle w:val="Notelabel"/>
              </w:rPr>
              <w:br/>
              <w:t>3</w:t>
            </w:r>
            <w:r>
              <w:t xml:space="preserve"> The 2013 Competitive Grants Round was also known as the ‘Indigenous Round’.</w:t>
            </w:r>
            <w:r>
              <w:br/>
            </w:r>
            <w:r>
              <w:rPr>
                <w:vertAlign w:val="superscript"/>
              </w:rPr>
              <w:t>4</w:t>
            </w:r>
            <w:r>
              <w:t xml:space="preserve"> This refers to the same formula as for the Participation component.</w:t>
            </w:r>
          </w:p>
          <w:p w14:paraId="0081B309" w14:textId="77777777" w:rsidR="003907BB" w:rsidRPr="00E663EF" w:rsidRDefault="003907BB" w:rsidP="00AD49C8">
            <w:pPr>
              <w:rPr>
                <w:szCs w:val="24"/>
              </w:rPr>
            </w:pPr>
            <w:r w:rsidRPr="00AD49C8">
              <w:rPr>
                <w:i/>
                <w:caps/>
                <w:sz w:val="14"/>
                <w:szCs w:val="24"/>
              </w:rPr>
              <w:t>Source: HEPPP FINANCE DATA, AUSTRALIAN GOVERNMENT BUDGET</w:t>
            </w:r>
          </w:p>
        </w:tc>
      </w:tr>
      <w:tr w:rsidR="003907BB" w14:paraId="54E85680" w14:textId="77777777" w:rsidTr="003907BB">
        <w:trPr>
          <w:trHeight w:val="160"/>
        </w:trPr>
        <w:tc>
          <w:tcPr>
            <w:tcW w:w="10994" w:type="dxa"/>
            <w:tcBorders>
              <w:top w:val="single" w:sz="4" w:space="0" w:color="auto"/>
              <w:left w:val="nil"/>
              <w:bottom w:val="nil"/>
              <w:right w:val="nil"/>
            </w:tcBorders>
          </w:tcPr>
          <w:p w14:paraId="3A0B0C6C" w14:textId="77777777" w:rsidR="003907BB" w:rsidRDefault="003907BB" w:rsidP="003907BB">
            <w:pPr>
              <w:pStyle w:val="spacertbl"/>
            </w:pPr>
          </w:p>
        </w:tc>
      </w:tr>
    </w:tbl>
    <w:p w14:paraId="704B44C3" w14:textId="77777777" w:rsidR="003907BB" w:rsidRDefault="003907BB" w:rsidP="00AD49C8">
      <w:pPr>
        <w:pStyle w:val="Heading3"/>
      </w:pPr>
      <w:r>
        <w:t>Reporting requirements</w:t>
      </w:r>
    </w:p>
    <w:bookmarkEnd w:id="44"/>
    <w:p w14:paraId="1299EBFF" w14:textId="77777777" w:rsidR="003907BB" w:rsidRDefault="003907BB" w:rsidP="003907BB">
      <w:pPr>
        <w:pStyle w:val="BodyText"/>
      </w:pPr>
      <w:r>
        <w:t>Eligible universities are required to report to the Department each year regarding the activities they have undertaken through the HEPPP and the outcomes that have been achieved. The Guidelines specify that ‘as part of assessing outcomes, providers will be required to demonstrate the progression of domestic undergraduate students from a low SES background, by year, in terms of participation, retention and success’.</w:t>
      </w:r>
      <w:r>
        <w:rPr>
          <w:rStyle w:val="FootnoteReference"/>
        </w:rPr>
        <w:footnoteReference w:id="15"/>
      </w:r>
      <w:r>
        <w:t xml:space="preserve"> In addition to the reporting requirements set out in the Guidelines, reporting for the Partnership grant rounds and for the NPP grants are detailed in the associated Conditions of Grant documents.</w:t>
      </w:r>
    </w:p>
    <w:p w14:paraId="35FF528E" w14:textId="77777777" w:rsidR="003907BB" w:rsidRDefault="003907BB" w:rsidP="00AD49C8">
      <w:pPr>
        <w:pStyle w:val="Heading4"/>
      </w:pPr>
      <w:r>
        <w:t>Participation component</w:t>
      </w:r>
    </w:p>
    <w:p w14:paraId="1F0EDEEA" w14:textId="77777777" w:rsidR="003907BB" w:rsidRDefault="003907BB" w:rsidP="003907BB">
      <w:pPr>
        <w:pStyle w:val="BodyText"/>
      </w:pPr>
      <w:r>
        <w:t xml:space="preserve">In relation to the Participation funding allocated through the formula, universities are asked to provide the Department with relevant information about the activities they have undertaken with the funds. Universities are ‘required to report on program activities undertaken, including engagement and support strategies and alternative pathways to university for students, consistent with the objectives at </w:t>
      </w:r>
      <w:r w:rsidR="00C71CE9">
        <w:t xml:space="preserve">Section </w:t>
      </w:r>
      <w:r>
        <w:t xml:space="preserve">1.55.1 and the activities mentioned in </w:t>
      </w:r>
      <w:r w:rsidR="00C71CE9">
        <w:t xml:space="preserve">Subsection </w:t>
      </w:r>
      <w:r>
        <w:t>1.65.1’.</w:t>
      </w:r>
      <w:r>
        <w:rPr>
          <w:rStyle w:val="FootnoteReference"/>
        </w:rPr>
        <w:footnoteReference w:id="16"/>
      </w:r>
      <w:r>
        <w:t xml:space="preserve"> The objective and activities referred to here are discussed earlier in this report, in </w:t>
      </w:r>
      <w:r w:rsidR="00C71CE9">
        <w:t xml:space="preserve">Section </w:t>
      </w:r>
      <w:r w:rsidR="008C090E">
        <w:t>2.1.2</w:t>
      </w:r>
      <w:r>
        <w:t xml:space="preserve">. </w:t>
      </w:r>
    </w:p>
    <w:p w14:paraId="188A7BDF" w14:textId="77777777" w:rsidR="003907BB" w:rsidRDefault="003907BB" w:rsidP="003907BB">
      <w:pPr>
        <w:pStyle w:val="BodyText"/>
      </w:pPr>
      <w:r>
        <w:t>This information is provided to the Department at the end of each calendar year in a standardised annual report format. While the template format for the reports has changed a number of times since 2010, the reports generally include the following information for each project:</w:t>
      </w:r>
    </w:p>
    <w:p w14:paraId="13BECAB8" w14:textId="77777777" w:rsidR="003907BB" w:rsidRDefault="003907BB" w:rsidP="00A45AB3">
      <w:pPr>
        <w:pStyle w:val="ListBullet"/>
        <w:numPr>
          <w:ilvl w:val="0"/>
          <w:numId w:val="44"/>
        </w:numPr>
      </w:pPr>
      <w:r>
        <w:t>title</w:t>
      </w:r>
    </w:p>
    <w:p w14:paraId="1973AADF" w14:textId="77777777" w:rsidR="003907BB" w:rsidRDefault="003907BB" w:rsidP="00A45AB3">
      <w:pPr>
        <w:pStyle w:val="ListBullet"/>
        <w:numPr>
          <w:ilvl w:val="0"/>
          <w:numId w:val="44"/>
        </w:numPr>
      </w:pPr>
      <w:r>
        <w:t>type (for example, inclusive entry processes, mentoring, administering student scholarships)</w:t>
      </w:r>
    </w:p>
    <w:p w14:paraId="056EDF11" w14:textId="77777777" w:rsidR="003907BB" w:rsidRDefault="003907BB" w:rsidP="00A45AB3">
      <w:pPr>
        <w:pStyle w:val="ListBullet"/>
        <w:numPr>
          <w:ilvl w:val="0"/>
          <w:numId w:val="44"/>
        </w:numPr>
      </w:pPr>
      <w:r>
        <w:t>objectives</w:t>
      </w:r>
    </w:p>
    <w:p w14:paraId="09704F8B" w14:textId="77777777" w:rsidR="003907BB" w:rsidRDefault="003907BB" w:rsidP="00A45AB3">
      <w:pPr>
        <w:pStyle w:val="ListBullet"/>
        <w:numPr>
          <w:ilvl w:val="0"/>
          <w:numId w:val="44"/>
        </w:numPr>
      </w:pPr>
      <w:r>
        <w:t>activities</w:t>
      </w:r>
    </w:p>
    <w:p w14:paraId="34A83C19" w14:textId="77777777" w:rsidR="003907BB" w:rsidRDefault="003907BB" w:rsidP="00A45AB3">
      <w:pPr>
        <w:pStyle w:val="ListBullet"/>
        <w:numPr>
          <w:ilvl w:val="0"/>
          <w:numId w:val="44"/>
        </w:numPr>
      </w:pPr>
      <w:r>
        <w:t>target group</w:t>
      </w:r>
      <w:r w:rsidR="001277F0">
        <w:t xml:space="preserve"> (including equity group)</w:t>
      </w:r>
    </w:p>
    <w:p w14:paraId="35165231" w14:textId="77777777" w:rsidR="003907BB" w:rsidRDefault="003907BB" w:rsidP="00A45AB3">
      <w:pPr>
        <w:pStyle w:val="ListBullet"/>
        <w:numPr>
          <w:ilvl w:val="0"/>
          <w:numId w:val="44"/>
        </w:numPr>
      </w:pPr>
      <w:r>
        <w:t>location of project</w:t>
      </w:r>
    </w:p>
    <w:p w14:paraId="345BE3BD" w14:textId="77777777" w:rsidR="003907BB" w:rsidRDefault="003907BB" w:rsidP="00A45AB3">
      <w:pPr>
        <w:pStyle w:val="ListBullet"/>
        <w:numPr>
          <w:ilvl w:val="0"/>
          <w:numId w:val="44"/>
        </w:numPr>
      </w:pPr>
      <w:r>
        <w:t>progress achieved</w:t>
      </w:r>
    </w:p>
    <w:p w14:paraId="443C9D81" w14:textId="77777777" w:rsidR="003907BB" w:rsidRDefault="003907BB" w:rsidP="00A45AB3">
      <w:pPr>
        <w:pStyle w:val="ListBullet"/>
        <w:numPr>
          <w:ilvl w:val="0"/>
          <w:numId w:val="44"/>
        </w:numPr>
      </w:pPr>
      <w:r>
        <w:t>expenditure (total and by source).</w:t>
      </w:r>
    </w:p>
    <w:p w14:paraId="64734184" w14:textId="77777777" w:rsidR="003907BB" w:rsidRDefault="003907BB" w:rsidP="00AD49C8">
      <w:pPr>
        <w:pStyle w:val="Heading4"/>
      </w:pPr>
      <w:r>
        <w:t>Partnership component</w:t>
      </w:r>
    </w:p>
    <w:p w14:paraId="34A5551F" w14:textId="77777777" w:rsidR="003907BB" w:rsidRDefault="003907BB" w:rsidP="003907BB">
      <w:pPr>
        <w:pStyle w:val="BodyText"/>
      </w:pPr>
      <w:r>
        <w:t>Reporting requirements for the Partnership component of the HEPPP differ for each funding type. For baseline funding provided from 2010 until 2013, universities were required to:</w:t>
      </w:r>
    </w:p>
    <w:p w14:paraId="45BF5CE1" w14:textId="77777777" w:rsidR="003907BB" w:rsidRDefault="003907BB" w:rsidP="00A45AB3">
      <w:pPr>
        <w:pStyle w:val="ListBullet"/>
        <w:numPr>
          <w:ilvl w:val="0"/>
          <w:numId w:val="44"/>
        </w:numPr>
      </w:pPr>
      <w:r>
        <w:t>explain how the Partnership activities undertaken link with their institution’s mission statement and strategic plan</w:t>
      </w:r>
    </w:p>
    <w:p w14:paraId="595AFCAD" w14:textId="77777777" w:rsidR="003907BB" w:rsidRDefault="003907BB" w:rsidP="00A45AB3">
      <w:pPr>
        <w:pStyle w:val="ListBullet"/>
        <w:numPr>
          <w:ilvl w:val="0"/>
          <w:numId w:val="44"/>
        </w:numPr>
      </w:pPr>
      <w:r>
        <w:t>provide an outline of their institution’s Partnership strategy and any memorandums of understanding (MOU)/agreements entered into with partner organisations such as schools, VET providers, community groups, state and territory governments, or industry</w:t>
      </w:r>
    </w:p>
    <w:p w14:paraId="129C69FE" w14:textId="77777777" w:rsidR="003907BB" w:rsidRDefault="003907BB" w:rsidP="00A45AB3">
      <w:pPr>
        <w:pStyle w:val="ListBullet"/>
        <w:numPr>
          <w:ilvl w:val="0"/>
          <w:numId w:val="44"/>
        </w:numPr>
      </w:pPr>
      <w:r>
        <w:t>outline the key Partnership activities undertaken indicating:</w:t>
      </w:r>
    </w:p>
    <w:p w14:paraId="159AF364" w14:textId="77777777" w:rsidR="003907BB" w:rsidRDefault="003907BB" w:rsidP="00A45AB3">
      <w:pPr>
        <w:pStyle w:val="ListBullet2"/>
        <w:numPr>
          <w:ilvl w:val="1"/>
          <w:numId w:val="44"/>
        </w:numPr>
      </w:pPr>
      <w:r>
        <w:t>number, type and geographic location of schools or other institutions involved</w:t>
      </w:r>
    </w:p>
    <w:p w14:paraId="74780D0E" w14:textId="77777777" w:rsidR="003907BB" w:rsidRDefault="003907BB" w:rsidP="00A45AB3">
      <w:pPr>
        <w:pStyle w:val="ListBullet2"/>
        <w:numPr>
          <w:ilvl w:val="1"/>
          <w:numId w:val="44"/>
        </w:numPr>
      </w:pPr>
      <w:r>
        <w:t>number of students who participated and, where possible, their age and/or year level for school attendees</w:t>
      </w:r>
    </w:p>
    <w:p w14:paraId="3C99C819" w14:textId="77777777" w:rsidR="003907BB" w:rsidRDefault="003907BB" w:rsidP="00A45AB3">
      <w:pPr>
        <w:pStyle w:val="ListBullet2"/>
        <w:numPr>
          <w:ilvl w:val="1"/>
          <w:numId w:val="44"/>
        </w:numPr>
      </w:pPr>
      <w:r>
        <w:t>activities directed towards other target groups</w:t>
      </w:r>
    </w:p>
    <w:p w14:paraId="729E4437" w14:textId="77777777" w:rsidR="003907BB" w:rsidRDefault="003907BB" w:rsidP="00A45AB3">
      <w:pPr>
        <w:pStyle w:val="ListBullet"/>
        <w:numPr>
          <w:ilvl w:val="0"/>
          <w:numId w:val="44"/>
        </w:numPr>
      </w:pPr>
      <w:r>
        <w:t>provide any information indicating how Partnership activities meet the prescribed objectives of the component.</w:t>
      </w:r>
      <w:r>
        <w:rPr>
          <w:rStyle w:val="FootnoteReference"/>
        </w:rPr>
        <w:footnoteReference w:id="17"/>
      </w:r>
    </w:p>
    <w:p w14:paraId="3CABE9B7" w14:textId="77777777" w:rsidR="003907BB" w:rsidRDefault="003907BB" w:rsidP="003907BB">
      <w:pPr>
        <w:pStyle w:val="BodyText"/>
      </w:pPr>
      <w:r>
        <w:t>For the submission-based grant rounds—in 2011, 2013, and 2014—the reporting requirements were outlined in the relevant documents as part of the competitive grants process. Universities were required to provide a report to the Department on the performance of their partnership project/s for each round, which described the project and its outcomes, and included any relevant university-published reports. Audited financial statements that showed acquittal of the grant money were also required.</w:t>
      </w:r>
    </w:p>
    <w:p w14:paraId="2A31F583" w14:textId="77777777" w:rsidR="003907BB" w:rsidRDefault="003907BB" w:rsidP="003907BB">
      <w:pPr>
        <w:pStyle w:val="BodyText"/>
      </w:pPr>
      <w:r>
        <w:t>Reporting for Partnership activities in 2015 and 2016 is included in the relevant annual reports (the format for which is outlined above), along with reporting for Participation activities, as funding was provided as a single formula-based allocation covering both components.</w:t>
      </w:r>
    </w:p>
    <w:p w14:paraId="59A468DF" w14:textId="77777777" w:rsidR="003907BB" w:rsidRDefault="003907BB" w:rsidP="00AD49C8">
      <w:pPr>
        <w:pStyle w:val="Heading4"/>
      </w:pPr>
      <w:r>
        <w:t>National Priorities Pool component</w:t>
      </w:r>
    </w:p>
    <w:p w14:paraId="13581B64" w14:textId="77777777" w:rsidR="003907BB" w:rsidRDefault="003907BB" w:rsidP="003907BB">
      <w:pPr>
        <w:pStyle w:val="BodyText"/>
      </w:pPr>
      <w:r>
        <w:t xml:space="preserve">As with the Partnership grant rounds, the reporting requirements for the NPP are outlined in the relevant grant documentation. Grant recipients </w:t>
      </w:r>
      <w:r w:rsidR="00065F7B">
        <w:t xml:space="preserve">are required to </w:t>
      </w:r>
      <w:r>
        <w:t>provide a final report for the project, which includes an acquittal report comprising an audited income and expenditure statement.</w:t>
      </w:r>
    </w:p>
    <w:p w14:paraId="361F7FC7" w14:textId="77777777" w:rsidR="003907BB" w:rsidRDefault="003907BB" w:rsidP="00AD49C8">
      <w:pPr>
        <w:pStyle w:val="Heading3"/>
      </w:pPr>
      <w:bookmarkStart w:id="49" w:name="_Ref462944167"/>
      <w:r>
        <w:t>Overview of HEPPP funding</w:t>
      </w:r>
      <w:bookmarkEnd w:id="49"/>
    </w:p>
    <w:p w14:paraId="7175D4D3" w14:textId="5C740B38" w:rsidR="003907BB" w:rsidRDefault="003907BB" w:rsidP="003907BB">
      <w:pPr>
        <w:pStyle w:val="BodyText"/>
      </w:pPr>
      <w:r w:rsidRPr="00266E5D">
        <w:t>Total program funding for the HEPPP increased from 2010 u</w:t>
      </w:r>
      <w:r w:rsidRPr="00C63871">
        <w:t>ntil 2013, before a reduction in 2014, 2015 and 2016. Forward estimates show an additional decrease in funding in 2017, after which the funding level is forecast to remain relatively constant until 2020 (</w:t>
      </w:r>
      <w:r w:rsidR="008C090E" w:rsidRPr="00C63871">
        <w:t>Figure 2.3</w:t>
      </w:r>
      <w:r w:rsidRPr="00C63871">
        <w:t xml:space="preserve">). </w:t>
      </w:r>
      <w:r w:rsidR="00297132" w:rsidRPr="00C63871">
        <w:t xml:space="preserve">As a proportion of </w:t>
      </w:r>
      <w:r w:rsidR="00ED5642" w:rsidRPr="00C63871">
        <w:t xml:space="preserve">teaching and learning </w:t>
      </w:r>
      <w:r w:rsidR="0090622A">
        <w:t>funding</w:t>
      </w:r>
      <w:r w:rsidR="00297132" w:rsidRPr="00C63871">
        <w:t xml:space="preserve">, </w:t>
      </w:r>
      <w:r w:rsidRPr="00C63871">
        <w:t xml:space="preserve">HEPPP funding </w:t>
      </w:r>
      <w:r w:rsidR="008B4C44" w:rsidRPr="00C63871">
        <w:t>grew</w:t>
      </w:r>
      <w:r w:rsidR="00297132" w:rsidRPr="00C63871">
        <w:t xml:space="preserve"> from</w:t>
      </w:r>
      <w:r w:rsidRPr="00C63871">
        <w:t xml:space="preserve"> 1 per cent </w:t>
      </w:r>
      <w:r w:rsidR="00297132" w:rsidRPr="00C63871">
        <w:t xml:space="preserve">in 2010 to </w:t>
      </w:r>
      <w:r w:rsidR="0090622A">
        <w:t>2.7</w:t>
      </w:r>
      <w:r w:rsidR="00ED5642" w:rsidRPr="00266E5D">
        <w:t> </w:t>
      </w:r>
      <w:r w:rsidR="00297132" w:rsidRPr="00C63871">
        <w:t>per</w:t>
      </w:r>
      <w:r w:rsidR="00ED5642" w:rsidRPr="00C63871">
        <w:t> </w:t>
      </w:r>
      <w:r w:rsidR="00297132" w:rsidRPr="00C63871">
        <w:t xml:space="preserve">cent in 2014 (refer </w:t>
      </w:r>
      <w:r w:rsidR="00955839" w:rsidRPr="00C63871">
        <w:t xml:space="preserve">Chapter </w:t>
      </w:r>
      <w:r w:rsidR="00955839" w:rsidRPr="00C63871">
        <w:fldChar w:fldCharType="begin"/>
      </w:r>
      <w:r w:rsidR="00955839" w:rsidRPr="00C63871">
        <w:instrText xml:space="preserve"> REF _Ref470083710 \r \h </w:instrText>
      </w:r>
      <w:r w:rsidR="00204D8D" w:rsidRPr="00D334C1">
        <w:instrText xml:space="preserve"> \* MERGEFORMAT </w:instrText>
      </w:r>
      <w:r w:rsidR="00955839" w:rsidRPr="00C63871">
        <w:fldChar w:fldCharType="separate"/>
      </w:r>
      <w:r w:rsidR="0064083A">
        <w:t>10</w:t>
      </w:r>
      <w:r w:rsidR="00955839" w:rsidRPr="00C63871">
        <w:fldChar w:fldCharType="end"/>
      </w:r>
      <w:r w:rsidR="00297132" w:rsidRPr="00C63871">
        <w:t>).</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3907BB" w14:paraId="5685B869" w14:textId="77777777" w:rsidTr="003907BB">
        <w:trPr>
          <w:cantSplit/>
          <w:trHeight w:val="160"/>
        </w:trPr>
        <w:tc>
          <w:tcPr>
            <w:tcW w:w="8168" w:type="dxa"/>
            <w:tcBorders>
              <w:top w:val="nil"/>
              <w:left w:val="nil"/>
              <w:bottom w:val="single" w:sz="4" w:space="0" w:color="auto"/>
              <w:right w:val="nil"/>
            </w:tcBorders>
          </w:tcPr>
          <w:p w14:paraId="50729332" w14:textId="77777777" w:rsidR="003907BB" w:rsidRDefault="003907BB" w:rsidP="003907BB">
            <w:pPr>
              <w:pStyle w:val="spacer"/>
            </w:pPr>
          </w:p>
        </w:tc>
      </w:tr>
      <w:tr w:rsidR="003907BB" w14:paraId="2165DB48" w14:textId="77777777" w:rsidTr="003907BB">
        <w:trPr>
          <w:cantSplit/>
        </w:trPr>
        <w:tc>
          <w:tcPr>
            <w:tcW w:w="8168" w:type="dxa"/>
            <w:tcBorders>
              <w:top w:val="single" w:sz="4" w:space="0" w:color="auto"/>
              <w:left w:val="nil"/>
              <w:bottom w:val="nil"/>
              <w:right w:val="nil"/>
            </w:tcBorders>
            <w:hideMark/>
          </w:tcPr>
          <w:p w14:paraId="6300666A" w14:textId="77777777" w:rsidR="003907BB" w:rsidRDefault="003907BB" w:rsidP="003907BB">
            <w:pPr>
              <w:pStyle w:val="Caption"/>
            </w:pPr>
            <w:bookmarkStart w:id="50" w:name="_Ref461783227"/>
            <w:bookmarkStart w:id="51" w:name="_Toc466655649"/>
            <w:r>
              <w:rPr>
                <w:rStyle w:val="CaptionLabel"/>
              </w:rPr>
              <w:t>Figure </w:t>
            </w:r>
            <w:r w:rsidR="008C090E">
              <w:rPr>
                <w:rStyle w:val="CaptionLabel"/>
                <w:noProof/>
              </w:rPr>
              <w:t>2</w:t>
            </w:r>
            <w:r>
              <w:rPr>
                <w:rStyle w:val="CaptionLabel"/>
              </w:rPr>
              <w:t>.</w:t>
            </w:r>
            <w:r w:rsidR="008C090E">
              <w:rPr>
                <w:rStyle w:val="CaptionLabel"/>
                <w:noProof/>
              </w:rPr>
              <w:t>3</w:t>
            </w:r>
            <w:bookmarkEnd w:id="50"/>
            <w:r>
              <w:tab/>
              <w:t>Annual HEPPP funding, 2010-2020</w:t>
            </w:r>
            <w:bookmarkEnd w:id="51"/>
          </w:p>
        </w:tc>
      </w:tr>
      <w:tr w:rsidR="003907BB" w14:paraId="44B49D0B" w14:textId="77777777" w:rsidTr="003907BB">
        <w:trPr>
          <w:cantSplit/>
          <w:trHeight w:val="380"/>
        </w:trPr>
        <w:tc>
          <w:tcPr>
            <w:tcW w:w="8168" w:type="dxa"/>
            <w:tcBorders>
              <w:top w:val="nil"/>
              <w:left w:val="nil"/>
              <w:bottom w:val="single" w:sz="4" w:space="0" w:color="auto"/>
              <w:right w:val="nil"/>
            </w:tcBorders>
            <w:hideMark/>
          </w:tcPr>
          <w:p w14:paraId="5B9A2CC6" w14:textId="77777777" w:rsidR="003907BB" w:rsidRDefault="00A45AB3" w:rsidP="003907BB">
            <w:pPr>
              <w:pStyle w:val="spacer"/>
            </w:pPr>
            <w:r>
              <w:rPr>
                <w:noProof/>
                <w:lang w:eastAsia="en-AU"/>
              </w:rPr>
              <mc:AlternateContent>
                <mc:Choice Requires="wps">
                  <w:drawing>
                    <wp:anchor distT="0" distB="0" distL="114300" distR="114300" simplePos="0" relativeHeight="251595264" behindDoc="0" locked="1" layoutInCell="1" allowOverlap="1" wp14:anchorId="6067D063" wp14:editId="53770F56">
                      <wp:simplePos x="0" y="0"/>
                      <wp:positionH relativeFrom="rightMargin">
                        <wp:posOffset>-772795</wp:posOffset>
                      </wp:positionH>
                      <wp:positionV relativeFrom="page">
                        <wp:posOffset>0</wp:posOffset>
                      </wp:positionV>
                      <wp:extent cx="436880" cy="213360"/>
                      <wp:effectExtent l="0" t="0" r="1270" b="0"/>
                      <wp:wrapNone/>
                      <wp:docPr id="550" name="Freeform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1BB787" id="Freeform 550" o:spid="_x0000_s1026" style="position:absolute;margin-left:-60.85pt;margin-top:0;width:34.4pt;height:16.8pt;z-index:251595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027671C1" w14:textId="77777777" w:rsidTr="003907BB">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5FF98529" w14:textId="77777777" w:rsidR="003907BB" w:rsidRDefault="007F5EE9" w:rsidP="003907BB">
            <w:pPr>
              <w:pStyle w:val="Figure"/>
            </w:pPr>
            <w:r>
              <w:rPr>
                <w:noProof/>
                <w:lang w:eastAsia="en-AU"/>
              </w:rPr>
              <w:drawing>
                <wp:inline distT="0" distB="0" distL="0" distR="0" wp14:anchorId="1A9F0176" wp14:editId="1994399A">
                  <wp:extent cx="5153025" cy="219075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53025" cy="2190750"/>
                          </a:xfrm>
                          <a:prstGeom prst="rect">
                            <a:avLst/>
                          </a:prstGeom>
                          <a:noFill/>
                          <a:ln>
                            <a:noFill/>
                          </a:ln>
                        </pic:spPr>
                      </pic:pic>
                    </a:graphicData>
                  </a:graphic>
                </wp:inline>
              </w:drawing>
            </w:r>
          </w:p>
        </w:tc>
      </w:tr>
      <w:tr w:rsidR="003907BB" w14:paraId="57BABDD8" w14:textId="77777777" w:rsidTr="003907BB">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14F6B642" w14:textId="77777777" w:rsidR="003907BB" w:rsidRDefault="003907BB" w:rsidP="003907BB">
            <w:pPr>
              <w:pStyle w:val="Source"/>
            </w:pPr>
            <w:r w:rsidRPr="00AD49C8">
              <w:rPr>
                <w:i w:val="0"/>
                <w:caps w:val="0"/>
              </w:rPr>
              <w:t>Note: Figures for 2010-2015 reflect actual expenditure (i.e. funds allocated less any underspends), while figures for 2016 onward reflect PBS figures.</w:t>
            </w:r>
            <w:r>
              <w:br/>
              <w:t xml:space="preserve">Source: </w:t>
            </w:r>
            <w:r w:rsidRPr="0000163B">
              <w:t>Department of Training and Education, Acil Allen Consulting 2016</w:t>
            </w:r>
          </w:p>
        </w:tc>
      </w:tr>
      <w:tr w:rsidR="003907BB" w14:paraId="77307500" w14:textId="77777777" w:rsidTr="003907BB">
        <w:trPr>
          <w:trHeight w:val="160"/>
        </w:trPr>
        <w:tc>
          <w:tcPr>
            <w:tcW w:w="8168" w:type="dxa"/>
            <w:tcBorders>
              <w:top w:val="single" w:sz="4" w:space="0" w:color="auto"/>
              <w:left w:val="nil"/>
              <w:bottom w:val="nil"/>
              <w:right w:val="nil"/>
            </w:tcBorders>
          </w:tcPr>
          <w:p w14:paraId="3211FD55" w14:textId="77777777" w:rsidR="003907BB" w:rsidRDefault="003907BB" w:rsidP="003907BB">
            <w:pPr>
              <w:pStyle w:val="spacertbl"/>
            </w:pPr>
          </w:p>
        </w:tc>
      </w:tr>
    </w:tbl>
    <w:p w14:paraId="19057A03" w14:textId="77777777" w:rsidR="003907BB" w:rsidRDefault="003907BB" w:rsidP="00AD49C8">
      <w:pPr>
        <w:pStyle w:val="Heading2"/>
      </w:pPr>
      <w:bookmarkStart w:id="52" w:name="_Toc466024923"/>
      <w:bookmarkStart w:id="53" w:name="_Toc466281040"/>
      <w:bookmarkStart w:id="54" w:name="_Toc466293706"/>
      <w:bookmarkStart w:id="55" w:name="_Toc466295661"/>
      <w:bookmarkStart w:id="56" w:name="_Toc466297101"/>
      <w:bookmarkStart w:id="57" w:name="_Toc466304857"/>
      <w:bookmarkStart w:id="58" w:name="_Toc466024924"/>
      <w:bookmarkStart w:id="59" w:name="_Toc466281041"/>
      <w:bookmarkStart w:id="60" w:name="_Toc466293707"/>
      <w:bookmarkStart w:id="61" w:name="_Toc466295662"/>
      <w:bookmarkStart w:id="62" w:name="_Toc466297102"/>
      <w:bookmarkStart w:id="63" w:name="_Toc466304858"/>
      <w:bookmarkStart w:id="64" w:name="_Toc466657111"/>
      <w:bookmarkEnd w:id="52"/>
      <w:bookmarkEnd w:id="53"/>
      <w:bookmarkEnd w:id="54"/>
      <w:bookmarkEnd w:id="55"/>
      <w:bookmarkEnd w:id="56"/>
      <w:bookmarkEnd w:id="57"/>
      <w:bookmarkEnd w:id="58"/>
      <w:bookmarkEnd w:id="59"/>
      <w:bookmarkEnd w:id="60"/>
      <w:bookmarkEnd w:id="61"/>
      <w:bookmarkEnd w:id="62"/>
      <w:bookmarkEnd w:id="63"/>
      <w:r>
        <w:t>Other policy supporting higher education equity</w:t>
      </w:r>
      <w:bookmarkEnd w:id="64"/>
    </w:p>
    <w:p w14:paraId="0226860F" w14:textId="77777777" w:rsidR="003907BB" w:rsidRDefault="003907BB" w:rsidP="003907BB">
      <w:pPr>
        <w:pStyle w:val="BodyText"/>
      </w:pPr>
      <w:r>
        <w:t xml:space="preserve">While the HEPPP is the Australian Government’s targeted program to improve low SES participation in higher education, there are a number of other programs within the higher education system in Australia that support equity while not necessarily targeting low SES individuals. </w:t>
      </w:r>
    </w:p>
    <w:p w14:paraId="1AF18D12" w14:textId="77777777" w:rsidR="003907BB" w:rsidRDefault="003907BB" w:rsidP="003907BB">
      <w:pPr>
        <w:pStyle w:val="BodyText"/>
      </w:pPr>
      <w:r>
        <w:t xml:space="preserve">The most important of these is the Higher Education Loan Program (HELP) which provides an income contingent loan to eligible higher education students to cover university tuition fees. Loans are repaid by recipients once their income exceeds a minimum threshold. The HELP removes the significant potential barrier to university study of upfront fees and means that students are able to access higher education regardless of their ability to pay tuition fees. </w:t>
      </w:r>
    </w:p>
    <w:p w14:paraId="3FBDB80B" w14:textId="77777777" w:rsidR="003907BB" w:rsidRDefault="003907BB" w:rsidP="003907BB">
      <w:pPr>
        <w:pStyle w:val="BodyText"/>
      </w:pPr>
      <w:r>
        <w:t xml:space="preserve">In addition to the HEPPP and the HELP, the Australian Government has a range of other programs and policies that support equity in higher education. These include a number of additional access and participation initiatives that are targeted at other equity groups, as well as income support arrangements that provide financial assistance to university students (and others) that are not targeted specifically to students from equity groups, but provide additional support for these and other students. These programs are outlined below in </w:t>
      </w:r>
      <w:r w:rsidR="008C090E" w:rsidRPr="00AD49C8">
        <w:t>Table 2.1</w:t>
      </w:r>
      <w:r>
        <w:t>.</w:t>
      </w:r>
    </w:p>
    <w:p w14:paraId="6C4A59EE" w14:textId="77777777" w:rsidR="003907BB" w:rsidRDefault="003907BB" w:rsidP="003907BB">
      <w:pPr>
        <w:pStyle w:val="BodyText"/>
      </w:pPr>
      <w:r>
        <w:t>These programs are not in scope for this evaluation, but they are detailed here to provide the broader higher education system context in which the HEPPP operates.</w:t>
      </w:r>
    </w:p>
    <w:p w14:paraId="7B68FACA" w14:textId="77777777" w:rsidR="003907BB" w:rsidRDefault="003907BB" w:rsidP="003907BB">
      <w:pPr>
        <w:pStyle w:val="Caption"/>
        <w:spacing w:before="160"/>
        <w:ind w:left="-1753" w:firstLine="0"/>
      </w:pPr>
      <w:bookmarkStart w:id="65" w:name="_Ref461726041"/>
      <w:bookmarkStart w:id="66" w:name="_Toc466655753"/>
      <w:r>
        <w:rPr>
          <w:rStyle w:val="CaptionLabel"/>
        </w:rPr>
        <w:t>Table </w:t>
      </w:r>
      <w:r w:rsidR="008C090E">
        <w:rPr>
          <w:rStyle w:val="CaptionLabel"/>
          <w:noProof/>
        </w:rPr>
        <w:t>2</w:t>
      </w:r>
      <w:r>
        <w:rPr>
          <w:rStyle w:val="CaptionLabel"/>
        </w:rPr>
        <w:t>.</w:t>
      </w:r>
      <w:r w:rsidR="008C090E">
        <w:rPr>
          <w:rStyle w:val="CaptionLabel"/>
          <w:noProof/>
        </w:rPr>
        <w:t>1</w:t>
      </w:r>
      <w:bookmarkEnd w:id="65"/>
      <w:r>
        <w:tab/>
        <w:t>Additional higher education support, 2016</w:t>
      </w:r>
      <w:bookmarkEnd w:id="66"/>
    </w:p>
    <w:tbl>
      <w:tblPr>
        <w:tblW w:w="10307" w:type="dxa"/>
        <w:tblInd w:w="-2207" w:type="dxa"/>
        <w:tblLayout w:type="fixed"/>
        <w:tblCellMar>
          <w:left w:w="0" w:type="dxa"/>
          <w:bottom w:w="40" w:type="dxa"/>
          <w:right w:w="0" w:type="dxa"/>
        </w:tblCellMar>
        <w:tblLook w:val="04A0" w:firstRow="1" w:lastRow="0" w:firstColumn="1" w:lastColumn="0" w:noHBand="0" w:noVBand="1"/>
      </w:tblPr>
      <w:tblGrid>
        <w:gridCol w:w="442"/>
        <w:gridCol w:w="1766"/>
        <w:gridCol w:w="1701"/>
        <w:gridCol w:w="5246"/>
        <w:gridCol w:w="1132"/>
        <w:gridCol w:w="20"/>
      </w:tblGrid>
      <w:tr w:rsidR="003907BB" w14:paraId="57747F7C" w14:textId="77777777" w:rsidTr="00AD49C8">
        <w:trPr>
          <w:cantSplit/>
          <w:tblHeader/>
        </w:trPr>
        <w:tc>
          <w:tcPr>
            <w:tcW w:w="1072" w:type="pct"/>
            <w:gridSpan w:val="2"/>
            <w:shd w:val="clear" w:color="auto" w:fill="9D57A6"/>
            <w:tcMar>
              <w:top w:w="0" w:type="dxa"/>
              <w:left w:w="454" w:type="dxa"/>
              <w:bottom w:w="0" w:type="dxa"/>
              <w:right w:w="0" w:type="dxa"/>
            </w:tcMar>
            <w:hideMark/>
          </w:tcPr>
          <w:p w14:paraId="056A16FD" w14:textId="77777777" w:rsidR="003907BB" w:rsidRDefault="003907BB" w:rsidP="003907BB">
            <w:pPr>
              <w:pStyle w:val="Tablecolumnheadings"/>
            </w:pPr>
            <w:r>
              <w:t>Program title</w:t>
            </w:r>
          </w:p>
        </w:tc>
        <w:tc>
          <w:tcPr>
            <w:tcW w:w="825" w:type="pct"/>
            <w:shd w:val="clear" w:color="auto" w:fill="9D57A6"/>
            <w:tcMar>
              <w:top w:w="0" w:type="dxa"/>
              <w:left w:w="0" w:type="dxa"/>
              <w:bottom w:w="0" w:type="dxa"/>
              <w:right w:w="0" w:type="dxa"/>
            </w:tcMar>
            <w:hideMark/>
          </w:tcPr>
          <w:p w14:paraId="5200A846" w14:textId="77777777" w:rsidR="003907BB" w:rsidRPr="00AD49C8" w:rsidRDefault="003907BB" w:rsidP="003907BB">
            <w:pPr>
              <w:pStyle w:val="Tablecolumnheadings"/>
              <w:rPr>
                <w:vertAlign w:val="superscript"/>
              </w:rPr>
            </w:pPr>
            <w:r>
              <w:t>Target group</w:t>
            </w:r>
            <w:r>
              <w:rPr>
                <w:vertAlign w:val="superscript"/>
              </w:rPr>
              <w:t>a</w:t>
            </w:r>
          </w:p>
        </w:tc>
        <w:tc>
          <w:tcPr>
            <w:tcW w:w="3094" w:type="pct"/>
            <w:gridSpan w:val="2"/>
            <w:shd w:val="clear" w:color="auto" w:fill="9D57A6"/>
            <w:tcMar>
              <w:top w:w="0" w:type="dxa"/>
              <w:left w:w="0" w:type="dxa"/>
              <w:bottom w:w="0" w:type="dxa"/>
              <w:right w:w="0" w:type="dxa"/>
            </w:tcMar>
            <w:hideMark/>
          </w:tcPr>
          <w:p w14:paraId="7E446064" w14:textId="77777777" w:rsidR="003907BB" w:rsidRDefault="003907BB" w:rsidP="003907BB">
            <w:pPr>
              <w:pStyle w:val="Tablecolumnheadings"/>
            </w:pPr>
            <w:r>
              <w:t>Description</w:t>
            </w:r>
          </w:p>
        </w:tc>
        <w:tc>
          <w:tcPr>
            <w:tcW w:w="10" w:type="pct"/>
            <w:shd w:val="clear" w:color="auto" w:fill="9D57A6"/>
            <w:tcMar>
              <w:top w:w="0" w:type="dxa"/>
              <w:left w:w="0" w:type="dxa"/>
              <w:bottom w:w="0" w:type="dxa"/>
              <w:right w:w="0" w:type="dxa"/>
            </w:tcMar>
            <w:hideMark/>
          </w:tcPr>
          <w:p w14:paraId="2032C9CD" w14:textId="77777777" w:rsidR="003907BB" w:rsidRDefault="003907BB" w:rsidP="003907BB">
            <w:pPr>
              <w:pStyle w:val="Tablecolumnheadings"/>
            </w:pPr>
          </w:p>
        </w:tc>
      </w:tr>
      <w:tr w:rsidR="003907BB" w14:paraId="45997FAB" w14:textId="77777777" w:rsidTr="00AD49C8">
        <w:trPr>
          <w:gridBefore w:val="1"/>
          <w:gridAfter w:val="1"/>
          <w:wBefore w:w="215" w:type="pct"/>
          <w:wAfter w:w="10" w:type="pct"/>
          <w:cantSplit/>
        </w:trPr>
        <w:tc>
          <w:tcPr>
            <w:tcW w:w="1682" w:type="pct"/>
            <w:gridSpan w:val="2"/>
            <w:tcBorders>
              <w:top w:val="nil"/>
              <w:left w:val="nil"/>
              <w:bottom w:val="single" w:sz="4" w:space="0" w:color="646464"/>
              <w:right w:val="nil"/>
            </w:tcBorders>
            <w:shd w:val="clear" w:color="auto" w:fill="E6E6E6"/>
            <w:hideMark/>
          </w:tcPr>
          <w:p w14:paraId="2B4B92DD" w14:textId="77777777" w:rsidR="003907BB" w:rsidRDefault="003907BB" w:rsidP="003907BB">
            <w:pPr>
              <w:pStyle w:val="Tabletext"/>
            </w:pPr>
            <w:r>
              <w:t>Access and participation</w:t>
            </w:r>
          </w:p>
        </w:tc>
        <w:tc>
          <w:tcPr>
            <w:tcW w:w="2545" w:type="pct"/>
            <w:tcBorders>
              <w:top w:val="nil"/>
              <w:left w:val="nil"/>
              <w:bottom w:val="single" w:sz="4" w:space="0" w:color="646464"/>
              <w:right w:val="nil"/>
            </w:tcBorders>
            <w:shd w:val="clear" w:color="auto" w:fill="E6E6E6"/>
          </w:tcPr>
          <w:p w14:paraId="0D4DE175" w14:textId="77777777" w:rsidR="003907BB" w:rsidRDefault="003907BB" w:rsidP="003907BB">
            <w:pPr>
              <w:pStyle w:val="Tabletext"/>
            </w:pPr>
          </w:p>
        </w:tc>
        <w:tc>
          <w:tcPr>
            <w:tcW w:w="548" w:type="pct"/>
            <w:tcBorders>
              <w:top w:val="nil"/>
              <w:left w:val="nil"/>
              <w:bottom w:val="single" w:sz="4" w:space="0" w:color="646464"/>
              <w:right w:val="nil"/>
            </w:tcBorders>
            <w:shd w:val="clear" w:color="auto" w:fill="E6E6E6"/>
          </w:tcPr>
          <w:p w14:paraId="7FCF0FAE" w14:textId="77777777" w:rsidR="003907BB" w:rsidRDefault="003907BB" w:rsidP="003907BB">
            <w:pPr>
              <w:pStyle w:val="Tabletext"/>
            </w:pPr>
          </w:p>
        </w:tc>
      </w:tr>
      <w:tr w:rsidR="003907BB" w14:paraId="63EC8EED" w14:textId="77777777" w:rsidTr="00AD49C8">
        <w:trPr>
          <w:gridBefore w:val="1"/>
          <w:wBefore w:w="215" w:type="pct"/>
          <w:cantSplit/>
        </w:trPr>
        <w:tc>
          <w:tcPr>
            <w:tcW w:w="857" w:type="pct"/>
            <w:tcBorders>
              <w:top w:val="nil"/>
              <w:left w:val="nil"/>
              <w:bottom w:val="single" w:sz="4" w:space="0" w:color="646464"/>
              <w:right w:val="nil"/>
            </w:tcBorders>
            <w:hideMark/>
          </w:tcPr>
          <w:p w14:paraId="2CC3ADE5" w14:textId="77777777" w:rsidR="003907BB" w:rsidRDefault="003907BB" w:rsidP="00234D2D">
            <w:pPr>
              <w:pStyle w:val="Tabletext"/>
            </w:pPr>
            <w:r>
              <w:t xml:space="preserve">Indigenous </w:t>
            </w:r>
            <w:r w:rsidR="00234D2D">
              <w:t xml:space="preserve">Student </w:t>
            </w:r>
            <w:r>
              <w:t>Support Program</w:t>
            </w:r>
            <w:r>
              <w:rPr>
                <w:rStyle w:val="FootnoteReference"/>
              </w:rPr>
              <w:footnoteReference w:id="18"/>
            </w:r>
          </w:p>
        </w:tc>
        <w:tc>
          <w:tcPr>
            <w:tcW w:w="825" w:type="pct"/>
            <w:tcBorders>
              <w:top w:val="nil"/>
              <w:left w:val="nil"/>
              <w:bottom w:val="single" w:sz="4" w:space="0" w:color="646464"/>
              <w:right w:val="nil"/>
            </w:tcBorders>
            <w:hideMark/>
          </w:tcPr>
          <w:p w14:paraId="69F2FDCF" w14:textId="77777777" w:rsidR="003907BB" w:rsidRDefault="00A64DC3" w:rsidP="003907BB">
            <w:pPr>
              <w:pStyle w:val="Tabletext"/>
            </w:pPr>
            <w:r>
              <w:t>Indigenous</w:t>
            </w:r>
            <w:r w:rsidR="003907BB">
              <w:t xml:space="preserve"> people</w:t>
            </w:r>
          </w:p>
        </w:tc>
        <w:tc>
          <w:tcPr>
            <w:tcW w:w="3094" w:type="pct"/>
            <w:gridSpan w:val="2"/>
            <w:tcBorders>
              <w:top w:val="nil"/>
              <w:left w:val="nil"/>
              <w:bottom w:val="single" w:sz="4" w:space="0" w:color="646464"/>
              <w:right w:val="nil"/>
            </w:tcBorders>
            <w:hideMark/>
          </w:tcPr>
          <w:p w14:paraId="29FFE350" w14:textId="77777777" w:rsidR="003907BB" w:rsidRDefault="003907BB" w:rsidP="00234D2D">
            <w:pPr>
              <w:pStyle w:val="Tabletext"/>
            </w:pPr>
            <w:r>
              <w:t xml:space="preserve">The Indigenous </w:t>
            </w:r>
            <w:r w:rsidR="00234D2D">
              <w:t xml:space="preserve">Student </w:t>
            </w:r>
            <w:r>
              <w:t xml:space="preserve">Support </w:t>
            </w:r>
            <w:r w:rsidRPr="00AD49C8">
              <w:t>Program</w:t>
            </w:r>
            <w:r>
              <w:t xml:space="preserve"> provides grants to higher education providers to assist them to meet the needs of their </w:t>
            </w:r>
            <w:r w:rsidR="00A64DC3">
              <w:t xml:space="preserve">Indigenous </w:t>
            </w:r>
            <w:r>
              <w:t>students.</w:t>
            </w:r>
          </w:p>
        </w:tc>
        <w:tc>
          <w:tcPr>
            <w:tcW w:w="10" w:type="pct"/>
            <w:tcBorders>
              <w:top w:val="nil"/>
              <w:left w:val="nil"/>
              <w:bottom w:val="single" w:sz="4" w:space="0" w:color="646464"/>
              <w:right w:val="nil"/>
            </w:tcBorders>
          </w:tcPr>
          <w:p w14:paraId="58C04A3B" w14:textId="77777777" w:rsidR="003907BB" w:rsidRDefault="003907BB" w:rsidP="003907BB">
            <w:pPr>
              <w:pStyle w:val="Tabletext"/>
            </w:pPr>
          </w:p>
        </w:tc>
      </w:tr>
      <w:tr w:rsidR="003907BB" w14:paraId="13F08C3D" w14:textId="77777777" w:rsidTr="00AD49C8">
        <w:trPr>
          <w:gridBefore w:val="1"/>
          <w:wBefore w:w="215" w:type="pct"/>
          <w:cantSplit/>
        </w:trPr>
        <w:tc>
          <w:tcPr>
            <w:tcW w:w="857" w:type="pct"/>
            <w:tcBorders>
              <w:top w:val="nil"/>
              <w:left w:val="nil"/>
              <w:bottom w:val="single" w:sz="4" w:space="0" w:color="646464"/>
              <w:right w:val="nil"/>
            </w:tcBorders>
            <w:hideMark/>
          </w:tcPr>
          <w:p w14:paraId="0533FD9B" w14:textId="77777777" w:rsidR="003907BB" w:rsidRDefault="003907BB" w:rsidP="003907BB">
            <w:pPr>
              <w:pStyle w:val="Tabletext"/>
            </w:pPr>
            <w:r>
              <w:t>Indigenous Tutorial Assistance Scheme — Tertiary Tuition</w:t>
            </w:r>
          </w:p>
        </w:tc>
        <w:tc>
          <w:tcPr>
            <w:tcW w:w="825" w:type="pct"/>
            <w:tcBorders>
              <w:top w:val="nil"/>
              <w:left w:val="nil"/>
              <w:bottom w:val="single" w:sz="4" w:space="0" w:color="646464"/>
              <w:right w:val="nil"/>
            </w:tcBorders>
            <w:hideMark/>
          </w:tcPr>
          <w:p w14:paraId="3694DF2D" w14:textId="77777777" w:rsidR="003907BB" w:rsidRDefault="00A64DC3" w:rsidP="003907BB">
            <w:pPr>
              <w:pStyle w:val="Tabletext"/>
            </w:pPr>
            <w:r>
              <w:t xml:space="preserve">Indigenous </w:t>
            </w:r>
            <w:r w:rsidR="003907BB">
              <w:t>people</w:t>
            </w:r>
          </w:p>
        </w:tc>
        <w:tc>
          <w:tcPr>
            <w:tcW w:w="3094" w:type="pct"/>
            <w:gridSpan w:val="2"/>
            <w:tcBorders>
              <w:top w:val="nil"/>
              <w:left w:val="nil"/>
              <w:bottom w:val="single" w:sz="4" w:space="0" w:color="646464"/>
              <w:right w:val="nil"/>
            </w:tcBorders>
            <w:hideMark/>
          </w:tcPr>
          <w:p w14:paraId="0842A036" w14:textId="77777777" w:rsidR="003907BB" w:rsidRDefault="003907BB" w:rsidP="003907BB">
            <w:pPr>
              <w:pStyle w:val="Tabletext"/>
            </w:pPr>
            <w:r>
              <w:t>The Indigenous Tutorial Assistance Scheme provides funding for additional tuition support for Indigenous students.</w:t>
            </w:r>
          </w:p>
        </w:tc>
        <w:tc>
          <w:tcPr>
            <w:tcW w:w="10" w:type="pct"/>
            <w:tcBorders>
              <w:top w:val="nil"/>
              <w:left w:val="nil"/>
              <w:bottom w:val="single" w:sz="4" w:space="0" w:color="646464"/>
              <w:right w:val="nil"/>
            </w:tcBorders>
          </w:tcPr>
          <w:p w14:paraId="7F08E971" w14:textId="77777777" w:rsidR="003907BB" w:rsidRDefault="003907BB" w:rsidP="003907BB">
            <w:pPr>
              <w:pStyle w:val="Tabletext"/>
            </w:pPr>
          </w:p>
        </w:tc>
      </w:tr>
      <w:tr w:rsidR="003907BB" w14:paraId="3033E3F1" w14:textId="77777777" w:rsidTr="00AD49C8">
        <w:trPr>
          <w:gridBefore w:val="1"/>
          <w:wBefore w:w="215" w:type="pct"/>
          <w:cantSplit/>
        </w:trPr>
        <w:tc>
          <w:tcPr>
            <w:tcW w:w="857" w:type="pct"/>
            <w:tcBorders>
              <w:top w:val="nil"/>
              <w:left w:val="nil"/>
              <w:bottom w:val="single" w:sz="4" w:space="0" w:color="646464"/>
              <w:right w:val="nil"/>
            </w:tcBorders>
            <w:hideMark/>
          </w:tcPr>
          <w:p w14:paraId="0E40C120" w14:textId="77777777" w:rsidR="003907BB" w:rsidRDefault="003907BB" w:rsidP="003907BB">
            <w:pPr>
              <w:pStyle w:val="Tabletext"/>
            </w:pPr>
            <w:r>
              <w:t>Disability Support Programme</w:t>
            </w:r>
          </w:p>
        </w:tc>
        <w:tc>
          <w:tcPr>
            <w:tcW w:w="825" w:type="pct"/>
            <w:tcBorders>
              <w:top w:val="nil"/>
              <w:left w:val="nil"/>
              <w:bottom w:val="single" w:sz="4" w:space="0" w:color="646464"/>
              <w:right w:val="nil"/>
            </w:tcBorders>
            <w:hideMark/>
          </w:tcPr>
          <w:p w14:paraId="653DAE9B" w14:textId="77777777" w:rsidR="003907BB" w:rsidRDefault="003907BB" w:rsidP="003907BB">
            <w:pPr>
              <w:pStyle w:val="Tabletext"/>
            </w:pPr>
            <w:r>
              <w:t xml:space="preserve">People with disability </w:t>
            </w:r>
          </w:p>
        </w:tc>
        <w:tc>
          <w:tcPr>
            <w:tcW w:w="3094" w:type="pct"/>
            <w:gridSpan w:val="2"/>
            <w:tcBorders>
              <w:top w:val="nil"/>
              <w:left w:val="nil"/>
              <w:bottom w:val="single" w:sz="4" w:space="0" w:color="646464"/>
              <w:right w:val="nil"/>
            </w:tcBorders>
            <w:hideMark/>
          </w:tcPr>
          <w:p w14:paraId="0A60632D" w14:textId="77777777" w:rsidR="003907BB" w:rsidRDefault="003907BB" w:rsidP="003907BB">
            <w:pPr>
              <w:pStyle w:val="Tabletext"/>
            </w:pPr>
            <w:r>
              <w:t>The Disability Support Programme provides funding to eligible higher education providers to undertake activities that assist in removing barriers to access for students with disability. It has three components:</w:t>
            </w:r>
          </w:p>
          <w:p w14:paraId="2EC97A48" w14:textId="77777777" w:rsidR="003907BB" w:rsidRDefault="003907BB" w:rsidP="00A45AB3">
            <w:pPr>
              <w:pStyle w:val="Tablelistbullet"/>
              <w:numPr>
                <w:ilvl w:val="0"/>
                <w:numId w:val="43"/>
              </w:numPr>
              <w:ind w:right="60"/>
            </w:pPr>
            <w:r>
              <w:t>Additional Support for Students with Disabilities</w:t>
            </w:r>
          </w:p>
          <w:p w14:paraId="0264FA32" w14:textId="77777777" w:rsidR="003907BB" w:rsidRDefault="003907BB" w:rsidP="00A45AB3">
            <w:pPr>
              <w:pStyle w:val="Tablelistbullet"/>
              <w:numPr>
                <w:ilvl w:val="0"/>
                <w:numId w:val="43"/>
              </w:numPr>
              <w:ind w:right="60"/>
            </w:pPr>
            <w:r>
              <w:t>Performance-based Disability Support Funding</w:t>
            </w:r>
          </w:p>
          <w:p w14:paraId="76DF0210" w14:textId="77777777" w:rsidR="003907BB" w:rsidRDefault="003907BB" w:rsidP="00A45AB3">
            <w:pPr>
              <w:pStyle w:val="Tablelistbullet"/>
              <w:numPr>
                <w:ilvl w:val="0"/>
                <w:numId w:val="43"/>
              </w:numPr>
              <w:ind w:right="60"/>
            </w:pPr>
            <w:r>
              <w:t>The Australian Disability Clearinghouse on Education and Training (ADCET).</w:t>
            </w:r>
          </w:p>
        </w:tc>
        <w:tc>
          <w:tcPr>
            <w:tcW w:w="10" w:type="pct"/>
            <w:tcBorders>
              <w:top w:val="nil"/>
              <w:left w:val="nil"/>
              <w:bottom w:val="single" w:sz="4" w:space="0" w:color="646464"/>
              <w:right w:val="nil"/>
            </w:tcBorders>
          </w:tcPr>
          <w:p w14:paraId="645F1EF7" w14:textId="77777777" w:rsidR="003907BB" w:rsidRDefault="003907BB" w:rsidP="003907BB">
            <w:pPr>
              <w:pStyle w:val="Tabletext"/>
            </w:pPr>
          </w:p>
        </w:tc>
      </w:tr>
      <w:tr w:rsidR="003907BB" w14:paraId="2CB422C1" w14:textId="77777777" w:rsidTr="00AD49C8">
        <w:trPr>
          <w:gridBefore w:val="1"/>
          <w:wBefore w:w="215" w:type="pct"/>
          <w:cantSplit/>
        </w:trPr>
        <w:tc>
          <w:tcPr>
            <w:tcW w:w="857" w:type="pct"/>
            <w:tcBorders>
              <w:top w:val="nil"/>
              <w:left w:val="nil"/>
              <w:bottom w:val="single" w:sz="4" w:space="0" w:color="646464"/>
              <w:right w:val="nil"/>
            </w:tcBorders>
            <w:hideMark/>
          </w:tcPr>
          <w:p w14:paraId="51BC51D7" w14:textId="77777777" w:rsidR="003907BB" w:rsidRDefault="003907BB" w:rsidP="003907BB">
            <w:pPr>
              <w:pStyle w:val="Tabletext"/>
            </w:pPr>
            <w:r>
              <w:t>National Disability Coordination Officer Programme (NDCO)</w:t>
            </w:r>
          </w:p>
        </w:tc>
        <w:tc>
          <w:tcPr>
            <w:tcW w:w="825" w:type="pct"/>
            <w:tcBorders>
              <w:top w:val="nil"/>
              <w:left w:val="nil"/>
              <w:bottom w:val="single" w:sz="4" w:space="0" w:color="646464"/>
              <w:right w:val="nil"/>
            </w:tcBorders>
            <w:hideMark/>
          </w:tcPr>
          <w:p w14:paraId="409C9546" w14:textId="77777777" w:rsidR="003907BB" w:rsidRDefault="003907BB" w:rsidP="003907BB">
            <w:pPr>
              <w:pStyle w:val="Tabletext"/>
            </w:pPr>
            <w:r>
              <w:t>People with disability</w:t>
            </w:r>
          </w:p>
        </w:tc>
        <w:tc>
          <w:tcPr>
            <w:tcW w:w="3094" w:type="pct"/>
            <w:gridSpan w:val="2"/>
            <w:tcBorders>
              <w:top w:val="nil"/>
              <w:left w:val="nil"/>
              <w:bottom w:val="single" w:sz="4" w:space="0" w:color="646464"/>
              <w:right w:val="nil"/>
            </w:tcBorders>
            <w:hideMark/>
          </w:tcPr>
          <w:p w14:paraId="5217750C" w14:textId="77777777" w:rsidR="003907BB" w:rsidRDefault="003907BB" w:rsidP="003907BB">
            <w:pPr>
              <w:pStyle w:val="Tabletext"/>
            </w:pPr>
            <w:r>
              <w:t>The NDCO Programme works strategically to assist people with disability access and participate in tertiary education and subsequent employment, through a network of regionally based NDCOs.</w:t>
            </w:r>
          </w:p>
        </w:tc>
        <w:tc>
          <w:tcPr>
            <w:tcW w:w="10" w:type="pct"/>
            <w:tcBorders>
              <w:top w:val="nil"/>
              <w:left w:val="nil"/>
              <w:bottom w:val="single" w:sz="4" w:space="0" w:color="646464"/>
              <w:right w:val="nil"/>
            </w:tcBorders>
          </w:tcPr>
          <w:p w14:paraId="68F2264C" w14:textId="77777777" w:rsidR="003907BB" w:rsidRDefault="003907BB" w:rsidP="003907BB">
            <w:pPr>
              <w:pStyle w:val="Tabletext"/>
            </w:pPr>
          </w:p>
        </w:tc>
      </w:tr>
      <w:tr w:rsidR="003907BB" w14:paraId="0D329058" w14:textId="77777777" w:rsidTr="00AD49C8">
        <w:trPr>
          <w:gridBefore w:val="1"/>
          <w:gridAfter w:val="1"/>
          <w:wBefore w:w="215" w:type="pct"/>
          <w:wAfter w:w="10" w:type="pct"/>
          <w:cantSplit/>
        </w:trPr>
        <w:tc>
          <w:tcPr>
            <w:tcW w:w="1682" w:type="pct"/>
            <w:gridSpan w:val="2"/>
            <w:tcBorders>
              <w:top w:val="single" w:sz="4" w:space="0" w:color="646464"/>
              <w:left w:val="nil"/>
              <w:bottom w:val="single" w:sz="4" w:space="0" w:color="646464"/>
              <w:right w:val="nil"/>
            </w:tcBorders>
            <w:shd w:val="clear" w:color="auto" w:fill="E6E6E6"/>
            <w:hideMark/>
          </w:tcPr>
          <w:p w14:paraId="15A6043B" w14:textId="77777777" w:rsidR="003907BB" w:rsidRDefault="003907BB" w:rsidP="003907BB">
            <w:pPr>
              <w:pStyle w:val="Tabletext"/>
            </w:pPr>
            <w:r>
              <w:t>Higher Education Loan Program (HELP)</w:t>
            </w:r>
          </w:p>
        </w:tc>
        <w:tc>
          <w:tcPr>
            <w:tcW w:w="2545" w:type="pct"/>
            <w:tcBorders>
              <w:top w:val="single" w:sz="4" w:space="0" w:color="646464"/>
              <w:left w:val="nil"/>
              <w:bottom w:val="single" w:sz="4" w:space="0" w:color="646464"/>
              <w:right w:val="nil"/>
            </w:tcBorders>
            <w:shd w:val="clear" w:color="auto" w:fill="E6E6E6"/>
          </w:tcPr>
          <w:p w14:paraId="1CFD152A" w14:textId="77777777" w:rsidR="003907BB" w:rsidRDefault="003907BB" w:rsidP="003907BB">
            <w:pPr>
              <w:pStyle w:val="Tabletext"/>
            </w:pPr>
          </w:p>
        </w:tc>
        <w:tc>
          <w:tcPr>
            <w:tcW w:w="548" w:type="pct"/>
            <w:tcBorders>
              <w:top w:val="single" w:sz="4" w:space="0" w:color="646464"/>
              <w:left w:val="nil"/>
              <w:bottom w:val="single" w:sz="4" w:space="0" w:color="646464"/>
              <w:right w:val="nil"/>
            </w:tcBorders>
            <w:shd w:val="clear" w:color="auto" w:fill="E6E6E6"/>
          </w:tcPr>
          <w:p w14:paraId="3421BBE8" w14:textId="77777777" w:rsidR="003907BB" w:rsidRDefault="003907BB" w:rsidP="003907BB">
            <w:pPr>
              <w:pStyle w:val="Tabletext"/>
            </w:pPr>
          </w:p>
        </w:tc>
      </w:tr>
      <w:tr w:rsidR="003907BB" w14:paraId="280D7B8E" w14:textId="77777777" w:rsidTr="00AD49C8">
        <w:trPr>
          <w:gridBefore w:val="1"/>
          <w:wBefore w:w="215" w:type="pct"/>
          <w:cantSplit/>
        </w:trPr>
        <w:tc>
          <w:tcPr>
            <w:tcW w:w="857" w:type="pct"/>
            <w:tcBorders>
              <w:top w:val="nil"/>
              <w:left w:val="nil"/>
              <w:bottom w:val="single" w:sz="4" w:space="0" w:color="646464"/>
              <w:right w:val="nil"/>
            </w:tcBorders>
            <w:hideMark/>
          </w:tcPr>
          <w:p w14:paraId="67D84A5F" w14:textId="77777777" w:rsidR="003907BB" w:rsidRDefault="003907BB" w:rsidP="003907BB">
            <w:pPr>
              <w:pStyle w:val="Tabletext"/>
            </w:pPr>
            <w:r>
              <w:t>HECS-HELP</w:t>
            </w:r>
          </w:p>
        </w:tc>
        <w:tc>
          <w:tcPr>
            <w:tcW w:w="825" w:type="pct"/>
            <w:tcBorders>
              <w:top w:val="nil"/>
              <w:left w:val="nil"/>
              <w:bottom w:val="single" w:sz="4" w:space="0" w:color="646464"/>
              <w:right w:val="nil"/>
            </w:tcBorders>
            <w:hideMark/>
          </w:tcPr>
          <w:p w14:paraId="6FAA0682" w14:textId="77777777" w:rsidR="003907BB" w:rsidRDefault="003907BB" w:rsidP="003907BB">
            <w:pPr>
              <w:pStyle w:val="Tabletext"/>
            </w:pPr>
            <w:r>
              <w:t>Commonwealth-supported students</w:t>
            </w:r>
          </w:p>
        </w:tc>
        <w:tc>
          <w:tcPr>
            <w:tcW w:w="3094" w:type="pct"/>
            <w:gridSpan w:val="2"/>
            <w:tcBorders>
              <w:top w:val="nil"/>
              <w:left w:val="nil"/>
              <w:bottom w:val="single" w:sz="4" w:space="0" w:color="646464"/>
              <w:right w:val="nil"/>
            </w:tcBorders>
            <w:hideMark/>
          </w:tcPr>
          <w:p w14:paraId="68C8ADEC" w14:textId="77777777" w:rsidR="003907BB" w:rsidRDefault="003907BB" w:rsidP="003907BB">
            <w:pPr>
              <w:pStyle w:val="Tabletext"/>
            </w:pPr>
            <w:r>
              <w:t>The HECS-HELP scheme provides loans to eligible students studying in a Commonwealth supported place, to cover the student contribution amount of their university fees. Until 1 January 2017, students are offered a 10 per cent discount for upfront payments under the scheme. Loans are repaid by recipients once their income exceeds a minimum annual threshold.</w:t>
            </w:r>
          </w:p>
        </w:tc>
        <w:tc>
          <w:tcPr>
            <w:tcW w:w="10" w:type="pct"/>
            <w:vMerge w:val="restart"/>
            <w:tcBorders>
              <w:top w:val="nil"/>
              <w:left w:val="nil"/>
              <w:bottom w:val="single" w:sz="4" w:space="0" w:color="646464"/>
              <w:right w:val="nil"/>
            </w:tcBorders>
          </w:tcPr>
          <w:p w14:paraId="75C52AF2" w14:textId="77777777" w:rsidR="003907BB" w:rsidRDefault="003907BB" w:rsidP="003907BB">
            <w:pPr>
              <w:pStyle w:val="Tabletext"/>
            </w:pPr>
          </w:p>
        </w:tc>
      </w:tr>
      <w:tr w:rsidR="003907BB" w14:paraId="53B1FBB5" w14:textId="77777777" w:rsidTr="00AD49C8">
        <w:trPr>
          <w:gridBefore w:val="1"/>
          <w:wBefore w:w="215" w:type="pct"/>
          <w:cantSplit/>
        </w:trPr>
        <w:tc>
          <w:tcPr>
            <w:tcW w:w="857" w:type="pct"/>
            <w:tcBorders>
              <w:top w:val="nil"/>
              <w:left w:val="nil"/>
              <w:bottom w:val="single" w:sz="4" w:space="0" w:color="646464"/>
              <w:right w:val="nil"/>
            </w:tcBorders>
            <w:hideMark/>
          </w:tcPr>
          <w:p w14:paraId="2849B0F5" w14:textId="77777777" w:rsidR="003907BB" w:rsidRDefault="003907BB" w:rsidP="003907BB">
            <w:pPr>
              <w:pStyle w:val="Tabletext"/>
            </w:pPr>
            <w:r>
              <w:t>FEE-HELP</w:t>
            </w:r>
          </w:p>
        </w:tc>
        <w:tc>
          <w:tcPr>
            <w:tcW w:w="825" w:type="pct"/>
            <w:tcBorders>
              <w:top w:val="nil"/>
              <w:left w:val="nil"/>
              <w:bottom w:val="single" w:sz="4" w:space="0" w:color="646464"/>
              <w:right w:val="nil"/>
            </w:tcBorders>
            <w:hideMark/>
          </w:tcPr>
          <w:p w14:paraId="2E166D96" w14:textId="77777777" w:rsidR="003907BB" w:rsidRDefault="003907BB" w:rsidP="003907BB">
            <w:pPr>
              <w:pStyle w:val="Tabletext"/>
            </w:pPr>
            <w:r>
              <w:t>Fee-paying students</w:t>
            </w:r>
          </w:p>
        </w:tc>
        <w:tc>
          <w:tcPr>
            <w:tcW w:w="3094" w:type="pct"/>
            <w:gridSpan w:val="2"/>
            <w:tcBorders>
              <w:top w:val="nil"/>
              <w:left w:val="nil"/>
              <w:bottom w:val="single" w:sz="4" w:space="0" w:color="646464"/>
              <w:right w:val="nil"/>
            </w:tcBorders>
            <w:hideMark/>
          </w:tcPr>
          <w:p w14:paraId="2D76F161" w14:textId="77777777" w:rsidR="003907BB" w:rsidRDefault="003907BB" w:rsidP="003907BB">
            <w:pPr>
              <w:pStyle w:val="Tabletext"/>
            </w:pPr>
            <w:r>
              <w:t>The FEE-HELP scheme provides eligible fee-paying students with assistance towards their university fees, on a loan basis. Loans are to be repaid by recipients once their income exceeds a minimum threshold determined by the Government.</w:t>
            </w:r>
          </w:p>
        </w:tc>
        <w:tc>
          <w:tcPr>
            <w:tcW w:w="10" w:type="pct"/>
            <w:vMerge/>
            <w:tcBorders>
              <w:top w:val="nil"/>
              <w:left w:val="nil"/>
              <w:bottom w:val="single" w:sz="4" w:space="0" w:color="646464"/>
              <w:right w:val="nil"/>
            </w:tcBorders>
            <w:vAlign w:val="center"/>
          </w:tcPr>
          <w:p w14:paraId="4716E091" w14:textId="77777777" w:rsidR="003907BB" w:rsidRDefault="003907BB" w:rsidP="003907BB">
            <w:pPr>
              <w:spacing w:after="0" w:line="256" w:lineRule="auto"/>
              <w:rPr>
                <w:color w:val="000100"/>
                <w:sz w:val="20"/>
              </w:rPr>
            </w:pPr>
          </w:p>
        </w:tc>
      </w:tr>
      <w:tr w:rsidR="003907BB" w14:paraId="3CD1ADC2" w14:textId="77777777" w:rsidTr="00AD49C8">
        <w:trPr>
          <w:gridBefore w:val="1"/>
          <w:gridAfter w:val="1"/>
          <w:wBefore w:w="215" w:type="pct"/>
          <w:wAfter w:w="10" w:type="pct"/>
          <w:cantSplit/>
        </w:trPr>
        <w:tc>
          <w:tcPr>
            <w:tcW w:w="1682" w:type="pct"/>
            <w:gridSpan w:val="2"/>
            <w:tcBorders>
              <w:top w:val="single" w:sz="4" w:space="0" w:color="646464"/>
              <w:left w:val="nil"/>
              <w:bottom w:val="single" w:sz="4" w:space="0" w:color="646464"/>
              <w:right w:val="nil"/>
            </w:tcBorders>
            <w:shd w:val="clear" w:color="auto" w:fill="E6E6E6"/>
            <w:hideMark/>
          </w:tcPr>
          <w:p w14:paraId="6E123135" w14:textId="77777777" w:rsidR="003907BB" w:rsidRDefault="003907BB" w:rsidP="003907BB">
            <w:pPr>
              <w:pStyle w:val="Tabletext"/>
            </w:pPr>
            <w:r>
              <w:t>Student income support</w:t>
            </w:r>
          </w:p>
        </w:tc>
        <w:tc>
          <w:tcPr>
            <w:tcW w:w="2545" w:type="pct"/>
            <w:tcBorders>
              <w:top w:val="single" w:sz="4" w:space="0" w:color="646464"/>
              <w:left w:val="nil"/>
              <w:bottom w:val="single" w:sz="4" w:space="0" w:color="646464"/>
              <w:right w:val="nil"/>
            </w:tcBorders>
            <w:shd w:val="clear" w:color="auto" w:fill="E6E6E6"/>
          </w:tcPr>
          <w:p w14:paraId="4AF6B205" w14:textId="77777777" w:rsidR="003907BB" w:rsidRDefault="003907BB" w:rsidP="003907BB">
            <w:pPr>
              <w:pStyle w:val="Tabletext"/>
            </w:pPr>
          </w:p>
        </w:tc>
        <w:tc>
          <w:tcPr>
            <w:tcW w:w="548" w:type="pct"/>
            <w:tcBorders>
              <w:top w:val="single" w:sz="4" w:space="0" w:color="646464"/>
              <w:left w:val="nil"/>
              <w:bottom w:val="single" w:sz="4" w:space="0" w:color="646464"/>
              <w:right w:val="nil"/>
            </w:tcBorders>
            <w:shd w:val="clear" w:color="auto" w:fill="E6E6E6"/>
          </w:tcPr>
          <w:p w14:paraId="751835B7" w14:textId="77777777" w:rsidR="003907BB" w:rsidRDefault="003907BB" w:rsidP="003907BB">
            <w:pPr>
              <w:pStyle w:val="Tabletext"/>
            </w:pPr>
          </w:p>
        </w:tc>
      </w:tr>
      <w:tr w:rsidR="003907BB" w14:paraId="6B5E86EC" w14:textId="77777777" w:rsidTr="00AD49C8">
        <w:trPr>
          <w:gridBefore w:val="1"/>
          <w:wBefore w:w="215" w:type="pct"/>
          <w:cantSplit/>
        </w:trPr>
        <w:tc>
          <w:tcPr>
            <w:tcW w:w="857" w:type="pct"/>
            <w:tcBorders>
              <w:top w:val="single" w:sz="4" w:space="0" w:color="646464"/>
              <w:left w:val="nil"/>
              <w:bottom w:val="single" w:sz="4" w:space="0" w:color="646464"/>
              <w:right w:val="nil"/>
            </w:tcBorders>
            <w:hideMark/>
          </w:tcPr>
          <w:p w14:paraId="5303C41E" w14:textId="77777777" w:rsidR="003907BB" w:rsidRDefault="003907BB" w:rsidP="003907BB">
            <w:pPr>
              <w:pStyle w:val="Tabletext"/>
            </w:pPr>
            <w:r>
              <w:t>Youth Allowance</w:t>
            </w:r>
          </w:p>
        </w:tc>
        <w:tc>
          <w:tcPr>
            <w:tcW w:w="825" w:type="pct"/>
            <w:tcBorders>
              <w:top w:val="single" w:sz="4" w:space="0" w:color="646464"/>
              <w:left w:val="nil"/>
              <w:bottom w:val="single" w:sz="4" w:space="0" w:color="646464"/>
              <w:right w:val="nil"/>
            </w:tcBorders>
            <w:hideMark/>
          </w:tcPr>
          <w:p w14:paraId="5287882B" w14:textId="77777777" w:rsidR="003907BB" w:rsidRDefault="003907BB" w:rsidP="003907BB">
            <w:pPr>
              <w:pStyle w:val="Tabletext"/>
            </w:pPr>
            <w:r>
              <w:t>Young people (various eligibility criteria)</w:t>
            </w:r>
          </w:p>
        </w:tc>
        <w:tc>
          <w:tcPr>
            <w:tcW w:w="3094" w:type="pct"/>
            <w:gridSpan w:val="2"/>
            <w:tcBorders>
              <w:top w:val="single" w:sz="4" w:space="0" w:color="646464"/>
              <w:left w:val="nil"/>
              <w:bottom w:val="single" w:sz="4" w:space="0" w:color="646464"/>
              <w:right w:val="nil"/>
            </w:tcBorders>
            <w:hideMark/>
          </w:tcPr>
          <w:p w14:paraId="347FA839" w14:textId="77777777" w:rsidR="003907BB" w:rsidRDefault="003907BB" w:rsidP="003907BB">
            <w:pPr>
              <w:pStyle w:val="Tabletext"/>
            </w:pPr>
            <w:r>
              <w:t>Youth Allowance provides financial assistance for people aged 16 to 24 years who are studying full time, undertaking a full time Australian Apprenticeship, training, looking for work or sick.</w:t>
            </w:r>
          </w:p>
        </w:tc>
        <w:tc>
          <w:tcPr>
            <w:tcW w:w="10" w:type="pct"/>
            <w:tcBorders>
              <w:top w:val="single" w:sz="4" w:space="0" w:color="646464"/>
              <w:left w:val="nil"/>
              <w:bottom w:val="single" w:sz="4" w:space="0" w:color="646464"/>
              <w:right w:val="nil"/>
            </w:tcBorders>
          </w:tcPr>
          <w:p w14:paraId="20655AF1" w14:textId="77777777" w:rsidR="003907BB" w:rsidRDefault="003907BB" w:rsidP="003907BB">
            <w:pPr>
              <w:pStyle w:val="Tabletext"/>
            </w:pPr>
          </w:p>
        </w:tc>
      </w:tr>
      <w:tr w:rsidR="003907BB" w14:paraId="3D349E07" w14:textId="77777777" w:rsidTr="00AD49C8">
        <w:trPr>
          <w:gridBefore w:val="1"/>
          <w:wBefore w:w="215" w:type="pct"/>
          <w:cantSplit/>
        </w:trPr>
        <w:tc>
          <w:tcPr>
            <w:tcW w:w="857" w:type="pct"/>
            <w:tcBorders>
              <w:top w:val="single" w:sz="4" w:space="0" w:color="646464"/>
              <w:left w:val="nil"/>
              <w:bottom w:val="single" w:sz="4" w:space="0" w:color="646464"/>
              <w:right w:val="nil"/>
            </w:tcBorders>
            <w:hideMark/>
          </w:tcPr>
          <w:p w14:paraId="246AEE7E" w14:textId="77777777" w:rsidR="003907BB" w:rsidRDefault="003907BB" w:rsidP="003907BB">
            <w:pPr>
              <w:pStyle w:val="Tabletext"/>
            </w:pPr>
            <w:r>
              <w:t>Austudy</w:t>
            </w:r>
          </w:p>
        </w:tc>
        <w:tc>
          <w:tcPr>
            <w:tcW w:w="825" w:type="pct"/>
            <w:tcBorders>
              <w:top w:val="single" w:sz="4" w:space="0" w:color="646464"/>
              <w:left w:val="nil"/>
              <w:bottom w:val="single" w:sz="4" w:space="0" w:color="646464"/>
              <w:right w:val="nil"/>
            </w:tcBorders>
            <w:hideMark/>
          </w:tcPr>
          <w:p w14:paraId="354C1AD6" w14:textId="77777777" w:rsidR="003907BB" w:rsidRDefault="003907BB" w:rsidP="003907BB">
            <w:pPr>
              <w:pStyle w:val="Tabletext"/>
            </w:pPr>
            <w:r>
              <w:t>Full time students or apprentices aged 25 years or more</w:t>
            </w:r>
          </w:p>
        </w:tc>
        <w:tc>
          <w:tcPr>
            <w:tcW w:w="3094" w:type="pct"/>
            <w:gridSpan w:val="2"/>
            <w:tcBorders>
              <w:top w:val="single" w:sz="4" w:space="0" w:color="646464"/>
              <w:left w:val="nil"/>
              <w:bottom w:val="single" w:sz="4" w:space="0" w:color="646464"/>
              <w:right w:val="nil"/>
            </w:tcBorders>
            <w:hideMark/>
          </w:tcPr>
          <w:p w14:paraId="43AE4D06" w14:textId="77777777" w:rsidR="003907BB" w:rsidRDefault="003907BB" w:rsidP="003907BB">
            <w:pPr>
              <w:pStyle w:val="Tabletext"/>
            </w:pPr>
            <w:r>
              <w:t>Austudy provides financial assistance for people aged over 25 years who are studying full time or undertaking a full time Australian Apprenticeship.</w:t>
            </w:r>
          </w:p>
        </w:tc>
        <w:tc>
          <w:tcPr>
            <w:tcW w:w="10" w:type="pct"/>
            <w:tcBorders>
              <w:top w:val="single" w:sz="4" w:space="0" w:color="646464"/>
              <w:left w:val="nil"/>
              <w:bottom w:val="single" w:sz="4" w:space="0" w:color="646464"/>
              <w:right w:val="nil"/>
            </w:tcBorders>
          </w:tcPr>
          <w:p w14:paraId="10CDAB63" w14:textId="77777777" w:rsidR="003907BB" w:rsidRDefault="003907BB" w:rsidP="003907BB">
            <w:pPr>
              <w:pStyle w:val="Tabletext"/>
            </w:pPr>
          </w:p>
        </w:tc>
      </w:tr>
      <w:tr w:rsidR="003907BB" w14:paraId="11168DA1" w14:textId="77777777" w:rsidTr="00AD49C8">
        <w:trPr>
          <w:gridBefore w:val="1"/>
          <w:wBefore w:w="215" w:type="pct"/>
          <w:cantSplit/>
        </w:trPr>
        <w:tc>
          <w:tcPr>
            <w:tcW w:w="857" w:type="pct"/>
            <w:tcBorders>
              <w:top w:val="single" w:sz="4" w:space="0" w:color="646464"/>
              <w:left w:val="nil"/>
              <w:bottom w:val="single" w:sz="4" w:space="0" w:color="646464"/>
              <w:right w:val="nil"/>
            </w:tcBorders>
            <w:hideMark/>
          </w:tcPr>
          <w:p w14:paraId="269F3AB3" w14:textId="77777777" w:rsidR="003907BB" w:rsidRDefault="003907BB" w:rsidP="003907BB">
            <w:pPr>
              <w:pStyle w:val="Tabletext"/>
            </w:pPr>
            <w:r>
              <w:t>ABSTUDY</w:t>
            </w:r>
          </w:p>
        </w:tc>
        <w:tc>
          <w:tcPr>
            <w:tcW w:w="825" w:type="pct"/>
            <w:tcBorders>
              <w:top w:val="single" w:sz="4" w:space="0" w:color="646464"/>
              <w:left w:val="nil"/>
              <w:bottom w:val="single" w:sz="4" w:space="0" w:color="646464"/>
              <w:right w:val="nil"/>
            </w:tcBorders>
            <w:hideMark/>
          </w:tcPr>
          <w:p w14:paraId="459BBBCB" w14:textId="77777777" w:rsidR="003907BB" w:rsidRDefault="00A64DC3" w:rsidP="003907BB">
            <w:pPr>
              <w:pStyle w:val="Tabletext"/>
            </w:pPr>
            <w:r>
              <w:t xml:space="preserve">Indigenous </w:t>
            </w:r>
            <w:r w:rsidR="003907BB">
              <w:t>people</w:t>
            </w:r>
          </w:p>
        </w:tc>
        <w:tc>
          <w:tcPr>
            <w:tcW w:w="3094" w:type="pct"/>
            <w:gridSpan w:val="2"/>
            <w:tcBorders>
              <w:top w:val="single" w:sz="4" w:space="0" w:color="646464"/>
              <w:left w:val="nil"/>
              <w:bottom w:val="single" w:sz="4" w:space="0" w:color="646464"/>
              <w:right w:val="nil"/>
            </w:tcBorders>
            <w:hideMark/>
          </w:tcPr>
          <w:p w14:paraId="028041A0" w14:textId="77777777" w:rsidR="003907BB" w:rsidRDefault="003907BB" w:rsidP="003907BB">
            <w:pPr>
              <w:pStyle w:val="Tabletext"/>
            </w:pPr>
            <w:r>
              <w:t xml:space="preserve">ABSTUDY provides financial assistance for </w:t>
            </w:r>
            <w:r w:rsidR="00A64DC3">
              <w:t xml:space="preserve">Indigenous </w:t>
            </w:r>
            <w:r>
              <w:t>Australians who are studying or undertaking an Australian Apprenticeship.</w:t>
            </w:r>
          </w:p>
        </w:tc>
        <w:tc>
          <w:tcPr>
            <w:tcW w:w="10" w:type="pct"/>
            <w:tcBorders>
              <w:top w:val="single" w:sz="4" w:space="0" w:color="646464"/>
              <w:left w:val="nil"/>
              <w:bottom w:val="single" w:sz="4" w:space="0" w:color="646464"/>
              <w:right w:val="nil"/>
            </w:tcBorders>
          </w:tcPr>
          <w:p w14:paraId="0D6259AA" w14:textId="77777777" w:rsidR="003907BB" w:rsidRDefault="003907BB" w:rsidP="003907BB">
            <w:pPr>
              <w:pStyle w:val="Tabletext"/>
            </w:pPr>
          </w:p>
        </w:tc>
      </w:tr>
      <w:tr w:rsidR="003907BB" w14:paraId="6738969C" w14:textId="77777777" w:rsidTr="00AD49C8">
        <w:trPr>
          <w:gridBefore w:val="1"/>
          <w:wBefore w:w="215" w:type="pct"/>
          <w:cantSplit/>
        </w:trPr>
        <w:tc>
          <w:tcPr>
            <w:tcW w:w="857" w:type="pct"/>
            <w:tcBorders>
              <w:top w:val="single" w:sz="4" w:space="0" w:color="646464"/>
              <w:left w:val="nil"/>
              <w:bottom w:val="single" w:sz="4" w:space="0" w:color="646464"/>
              <w:right w:val="nil"/>
            </w:tcBorders>
            <w:hideMark/>
          </w:tcPr>
          <w:p w14:paraId="29440CD1" w14:textId="77777777" w:rsidR="003907BB" w:rsidRDefault="003907BB" w:rsidP="003907BB">
            <w:pPr>
              <w:pStyle w:val="Tabletext"/>
            </w:pPr>
            <w:r>
              <w:t>Student Start-Up Loan/Scholarship</w:t>
            </w:r>
          </w:p>
        </w:tc>
        <w:tc>
          <w:tcPr>
            <w:tcW w:w="825" w:type="pct"/>
            <w:tcBorders>
              <w:top w:val="single" w:sz="4" w:space="0" w:color="646464"/>
              <w:left w:val="nil"/>
              <w:bottom w:val="single" w:sz="4" w:space="0" w:color="646464"/>
              <w:right w:val="nil"/>
            </w:tcBorders>
            <w:hideMark/>
          </w:tcPr>
          <w:p w14:paraId="32AC71A9" w14:textId="77777777" w:rsidR="003907BB" w:rsidRDefault="003907BB" w:rsidP="003907BB">
            <w:pPr>
              <w:pStyle w:val="Tabletext"/>
            </w:pPr>
            <w:r>
              <w:t>Recipients of Youth Allowance, Austudy and ABSTUDY</w:t>
            </w:r>
          </w:p>
        </w:tc>
        <w:tc>
          <w:tcPr>
            <w:tcW w:w="3094" w:type="pct"/>
            <w:gridSpan w:val="2"/>
            <w:tcBorders>
              <w:top w:val="single" w:sz="4" w:space="0" w:color="646464"/>
              <w:left w:val="nil"/>
              <w:bottom w:val="single" w:sz="4" w:space="0" w:color="646464"/>
              <w:right w:val="nil"/>
            </w:tcBorders>
            <w:hideMark/>
          </w:tcPr>
          <w:p w14:paraId="1C914207" w14:textId="77777777" w:rsidR="003907BB" w:rsidRDefault="003907BB" w:rsidP="003907BB">
            <w:pPr>
              <w:pStyle w:val="Tabletext"/>
            </w:pPr>
            <w:r>
              <w:t>The Student Start-Up Loan is a voluntary, tax-free loan for higher education students receiving another form of student income support. Loans are to be repaid by recipients once their income exceeds a minimum threshold determined by the Government. Before 1 January 2016, the program was provided on a scholarship, rather than a loan, basis.</w:t>
            </w:r>
          </w:p>
        </w:tc>
        <w:tc>
          <w:tcPr>
            <w:tcW w:w="10" w:type="pct"/>
            <w:tcBorders>
              <w:top w:val="single" w:sz="4" w:space="0" w:color="646464"/>
              <w:left w:val="nil"/>
              <w:bottom w:val="single" w:sz="4" w:space="0" w:color="646464"/>
              <w:right w:val="nil"/>
            </w:tcBorders>
          </w:tcPr>
          <w:p w14:paraId="0B9ED406" w14:textId="77777777" w:rsidR="003907BB" w:rsidRDefault="003907BB" w:rsidP="003907BB">
            <w:pPr>
              <w:pStyle w:val="Tabletext"/>
            </w:pPr>
          </w:p>
        </w:tc>
      </w:tr>
      <w:tr w:rsidR="003907BB" w14:paraId="3CE9F47B" w14:textId="77777777" w:rsidTr="00AD49C8">
        <w:trPr>
          <w:gridBefore w:val="1"/>
          <w:wBefore w:w="215" w:type="pct"/>
          <w:cantSplit/>
        </w:trPr>
        <w:tc>
          <w:tcPr>
            <w:tcW w:w="857" w:type="pct"/>
            <w:tcBorders>
              <w:top w:val="single" w:sz="4" w:space="0" w:color="646464"/>
              <w:left w:val="nil"/>
              <w:bottom w:val="single" w:sz="4" w:space="0" w:color="646464"/>
              <w:right w:val="nil"/>
            </w:tcBorders>
            <w:hideMark/>
          </w:tcPr>
          <w:p w14:paraId="00F6D3DD" w14:textId="77777777" w:rsidR="003907BB" w:rsidRDefault="003907BB" w:rsidP="003907BB">
            <w:pPr>
              <w:pStyle w:val="Tabletext"/>
            </w:pPr>
            <w:r>
              <w:t>Relocation Scholarship</w:t>
            </w:r>
          </w:p>
        </w:tc>
        <w:tc>
          <w:tcPr>
            <w:tcW w:w="825" w:type="pct"/>
            <w:tcBorders>
              <w:top w:val="single" w:sz="4" w:space="0" w:color="646464"/>
              <w:left w:val="nil"/>
              <w:bottom w:val="single" w:sz="4" w:space="0" w:color="646464"/>
              <w:right w:val="nil"/>
            </w:tcBorders>
            <w:hideMark/>
          </w:tcPr>
          <w:p w14:paraId="182A7C0F" w14:textId="77777777" w:rsidR="003907BB" w:rsidRDefault="003907BB" w:rsidP="003907BB">
            <w:pPr>
              <w:pStyle w:val="Tabletext"/>
            </w:pPr>
            <w:r>
              <w:t>ABSTUDY or Youth Allowance students relocating from a regional or remote area for study</w:t>
            </w:r>
          </w:p>
        </w:tc>
        <w:tc>
          <w:tcPr>
            <w:tcW w:w="3094" w:type="pct"/>
            <w:gridSpan w:val="2"/>
            <w:tcBorders>
              <w:top w:val="single" w:sz="4" w:space="0" w:color="646464"/>
              <w:left w:val="nil"/>
              <w:bottom w:val="single" w:sz="4" w:space="0" w:color="646464"/>
              <w:right w:val="nil"/>
            </w:tcBorders>
            <w:hideMark/>
          </w:tcPr>
          <w:p w14:paraId="30E61CD3" w14:textId="77777777" w:rsidR="003907BB" w:rsidRDefault="003907BB" w:rsidP="003907BB">
            <w:pPr>
              <w:pStyle w:val="Tabletext"/>
            </w:pPr>
            <w:r>
              <w:t>The Relocation Scholarship is an annual payment to help eligible ABSTUDY or Youth Allowance students with their higher education if they have relocated to or from a regional or remote area to study.</w:t>
            </w:r>
          </w:p>
        </w:tc>
        <w:tc>
          <w:tcPr>
            <w:tcW w:w="10" w:type="pct"/>
            <w:tcBorders>
              <w:top w:val="single" w:sz="4" w:space="0" w:color="646464"/>
              <w:left w:val="nil"/>
              <w:bottom w:val="single" w:sz="4" w:space="0" w:color="646464"/>
              <w:right w:val="nil"/>
            </w:tcBorders>
          </w:tcPr>
          <w:p w14:paraId="06EC93AC" w14:textId="77777777" w:rsidR="003907BB" w:rsidRDefault="003907BB" w:rsidP="003907BB">
            <w:pPr>
              <w:pStyle w:val="Tabletext"/>
            </w:pPr>
          </w:p>
        </w:tc>
      </w:tr>
      <w:tr w:rsidR="003907BB" w14:paraId="4B37F094" w14:textId="77777777" w:rsidTr="00AD49C8">
        <w:trPr>
          <w:gridBefore w:val="1"/>
          <w:wBefore w:w="215" w:type="pct"/>
          <w:cantSplit/>
        </w:trPr>
        <w:tc>
          <w:tcPr>
            <w:tcW w:w="857" w:type="pct"/>
            <w:tcBorders>
              <w:top w:val="single" w:sz="4" w:space="0" w:color="646464"/>
              <w:left w:val="nil"/>
              <w:bottom w:val="single" w:sz="4" w:space="0" w:color="646464"/>
              <w:right w:val="nil"/>
            </w:tcBorders>
            <w:hideMark/>
          </w:tcPr>
          <w:p w14:paraId="7654DD59" w14:textId="77777777" w:rsidR="003907BB" w:rsidRDefault="003907BB" w:rsidP="003907BB">
            <w:pPr>
              <w:pStyle w:val="Tabletext"/>
            </w:pPr>
            <w:r>
              <w:t>Commonwealth Scholarships Programme</w:t>
            </w:r>
          </w:p>
        </w:tc>
        <w:tc>
          <w:tcPr>
            <w:tcW w:w="825" w:type="pct"/>
            <w:tcBorders>
              <w:top w:val="single" w:sz="4" w:space="0" w:color="646464"/>
              <w:left w:val="nil"/>
              <w:bottom w:val="single" w:sz="4" w:space="0" w:color="646464"/>
              <w:right w:val="nil"/>
            </w:tcBorders>
            <w:hideMark/>
          </w:tcPr>
          <w:p w14:paraId="30BC8C94" w14:textId="77777777" w:rsidR="003907BB" w:rsidRDefault="00A64DC3" w:rsidP="003907BB">
            <w:pPr>
              <w:pStyle w:val="Tabletext"/>
            </w:pPr>
            <w:r>
              <w:t xml:space="preserve">Indigenous </w:t>
            </w:r>
            <w:r w:rsidR="003907BB">
              <w:t>people</w:t>
            </w:r>
          </w:p>
        </w:tc>
        <w:tc>
          <w:tcPr>
            <w:tcW w:w="3094" w:type="pct"/>
            <w:gridSpan w:val="2"/>
            <w:tcBorders>
              <w:top w:val="single" w:sz="4" w:space="0" w:color="646464"/>
              <w:left w:val="nil"/>
              <w:bottom w:val="single" w:sz="4" w:space="0" w:color="646464"/>
              <w:right w:val="nil"/>
            </w:tcBorders>
            <w:hideMark/>
          </w:tcPr>
          <w:p w14:paraId="4C69DD4F" w14:textId="77777777" w:rsidR="003907BB" w:rsidRDefault="003907BB" w:rsidP="003907BB">
            <w:pPr>
              <w:pStyle w:val="Tabletext"/>
            </w:pPr>
            <w:r>
              <w:t>The Commonwealth Scholarships Programme provides support to eligible Indigenous higher education students with the general costs of study and support where they have had to move from a rural or remote area to study. A number of scholarships are offered through the program:</w:t>
            </w:r>
          </w:p>
          <w:p w14:paraId="145C0DD9" w14:textId="77777777" w:rsidR="003907BB" w:rsidRDefault="003907BB" w:rsidP="00A45AB3">
            <w:pPr>
              <w:pStyle w:val="Tablelistbullet"/>
              <w:numPr>
                <w:ilvl w:val="0"/>
                <w:numId w:val="43"/>
              </w:numPr>
              <w:ind w:right="60"/>
            </w:pPr>
            <w:r>
              <w:t>Indigenous Access Scholarship</w:t>
            </w:r>
          </w:p>
          <w:p w14:paraId="2A8BF1C2" w14:textId="77777777" w:rsidR="003907BB" w:rsidRDefault="003907BB" w:rsidP="00A45AB3">
            <w:pPr>
              <w:pStyle w:val="Tablelistbullet"/>
              <w:numPr>
                <w:ilvl w:val="0"/>
                <w:numId w:val="43"/>
              </w:numPr>
              <w:ind w:right="60"/>
            </w:pPr>
            <w:r>
              <w:t>Indigenous Commonwealth Education Costs Scholarship</w:t>
            </w:r>
          </w:p>
          <w:p w14:paraId="55C67498" w14:textId="77777777" w:rsidR="003907BB" w:rsidRDefault="003907BB" w:rsidP="00A45AB3">
            <w:pPr>
              <w:pStyle w:val="Tablelistbullet"/>
              <w:numPr>
                <w:ilvl w:val="0"/>
                <w:numId w:val="43"/>
              </w:numPr>
              <w:ind w:right="60"/>
            </w:pPr>
            <w:r>
              <w:t>Indigenous Commonwealth Accommodation Costs Scholarship</w:t>
            </w:r>
          </w:p>
          <w:p w14:paraId="3973D23F" w14:textId="77777777" w:rsidR="003907BB" w:rsidRDefault="003907BB" w:rsidP="00A45AB3">
            <w:pPr>
              <w:pStyle w:val="Tablelistbullet"/>
              <w:numPr>
                <w:ilvl w:val="0"/>
                <w:numId w:val="43"/>
              </w:numPr>
              <w:ind w:right="60"/>
            </w:pPr>
            <w:r>
              <w:t>Indigenous Enabling Commonwealth Education Costs Scholarship</w:t>
            </w:r>
          </w:p>
          <w:p w14:paraId="2B558B5C" w14:textId="77777777" w:rsidR="003907BB" w:rsidRDefault="003907BB" w:rsidP="00A45AB3">
            <w:pPr>
              <w:pStyle w:val="Tablelistbullet"/>
              <w:numPr>
                <w:ilvl w:val="0"/>
                <w:numId w:val="43"/>
              </w:numPr>
              <w:ind w:right="60"/>
            </w:pPr>
            <w:r>
              <w:t>Indigenous Enabling Commonwealth Accommodation Scholarship.</w:t>
            </w:r>
          </w:p>
        </w:tc>
        <w:tc>
          <w:tcPr>
            <w:tcW w:w="10" w:type="pct"/>
            <w:tcBorders>
              <w:top w:val="single" w:sz="4" w:space="0" w:color="646464"/>
              <w:left w:val="nil"/>
              <w:bottom w:val="single" w:sz="4" w:space="0" w:color="646464"/>
              <w:right w:val="nil"/>
            </w:tcBorders>
          </w:tcPr>
          <w:p w14:paraId="0BD02569" w14:textId="77777777" w:rsidR="003907BB" w:rsidRDefault="003907BB" w:rsidP="003907BB">
            <w:pPr>
              <w:pStyle w:val="Tabletext"/>
            </w:pPr>
          </w:p>
        </w:tc>
      </w:tr>
      <w:tr w:rsidR="003907BB" w14:paraId="7F47635B" w14:textId="77777777" w:rsidTr="00AD49C8">
        <w:trPr>
          <w:gridBefore w:val="1"/>
          <w:wBefore w:w="215" w:type="pct"/>
          <w:cantSplit/>
        </w:trPr>
        <w:tc>
          <w:tcPr>
            <w:tcW w:w="857" w:type="pct"/>
            <w:tcBorders>
              <w:top w:val="single" w:sz="4" w:space="0" w:color="646464"/>
              <w:left w:val="nil"/>
              <w:bottom w:val="single" w:sz="4" w:space="0" w:color="646464"/>
              <w:right w:val="nil"/>
            </w:tcBorders>
            <w:hideMark/>
          </w:tcPr>
          <w:p w14:paraId="3C1549E3" w14:textId="77777777" w:rsidR="003907BB" w:rsidRDefault="003907BB" w:rsidP="003907BB">
            <w:pPr>
              <w:pStyle w:val="Tabletext"/>
            </w:pPr>
            <w:r>
              <w:t>Child care assistance</w:t>
            </w:r>
          </w:p>
          <w:p w14:paraId="17C0676D" w14:textId="77777777" w:rsidR="003907BB" w:rsidRDefault="003907BB" w:rsidP="00A45AB3">
            <w:pPr>
              <w:pStyle w:val="Tablelistbullet"/>
              <w:numPr>
                <w:ilvl w:val="0"/>
                <w:numId w:val="43"/>
              </w:numPr>
              <w:ind w:right="60"/>
            </w:pPr>
            <w:r>
              <w:t>Child Care Benefit</w:t>
            </w:r>
          </w:p>
          <w:p w14:paraId="4B4C91E5" w14:textId="77777777" w:rsidR="003907BB" w:rsidRDefault="003907BB" w:rsidP="00A45AB3">
            <w:pPr>
              <w:pStyle w:val="Tablelistbullet"/>
              <w:numPr>
                <w:ilvl w:val="0"/>
                <w:numId w:val="43"/>
              </w:numPr>
              <w:ind w:right="60"/>
            </w:pPr>
            <w:r>
              <w:t>Child Care Rebate</w:t>
            </w:r>
          </w:p>
          <w:p w14:paraId="5385DB1A" w14:textId="77777777" w:rsidR="003907BB" w:rsidRDefault="003907BB" w:rsidP="00A45AB3">
            <w:pPr>
              <w:pStyle w:val="Tablelistbullet"/>
              <w:numPr>
                <w:ilvl w:val="0"/>
                <w:numId w:val="43"/>
              </w:numPr>
              <w:ind w:right="60"/>
            </w:pPr>
            <w:r>
              <w:t>Jobs, Education and Training Child Care Fee Assistance</w:t>
            </w:r>
          </w:p>
        </w:tc>
        <w:tc>
          <w:tcPr>
            <w:tcW w:w="825" w:type="pct"/>
            <w:tcBorders>
              <w:top w:val="single" w:sz="4" w:space="0" w:color="646464"/>
              <w:left w:val="nil"/>
              <w:bottom w:val="single" w:sz="4" w:space="0" w:color="646464"/>
              <w:right w:val="nil"/>
            </w:tcBorders>
            <w:hideMark/>
          </w:tcPr>
          <w:p w14:paraId="51335746" w14:textId="77777777" w:rsidR="003907BB" w:rsidRDefault="003907BB" w:rsidP="003907BB">
            <w:pPr>
              <w:pStyle w:val="Tabletext"/>
            </w:pPr>
            <w:r>
              <w:t>Parents</w:t>
            </w:r>
          </w:p>
        </w:tc>
        <w:tc>
          <w:tcPr>
            <w:tcW w:w="3094" w:type="pct"/>
            <w:gridSpan w:val="2"/>
            <w:tcBorders>
              <w:top w:val="single" w:sz="4" w:space="0" w:color="646464"/>
              <w:left w:val="nil"/>
              <w:bottom w:val="single" w:sz="4" w:space="0" w:color="646464"/>
              <w:right w:val="nil"/>
            </w:tcBorders>
            <w:hideMark/>
          </w:tcPr>
          <w:p w14:paraId="39A808AC" w14:textId="77777777" w:rsidR="003907BB" w:rsidRDefault="003907BB" w:rsidP="003907BB">
            <w:pPr>
              <w:pStyle w:val="Tabletext"/>
            </w:pPr>
            <w:r>
              <w:t>The Commonwealth provides various forms of support to assist with the cost of child care for families, including additional assistance for parents receiving income support payments and undertaking approved study or work-seeking activities.</w:t>
            </w:r>
          </w:p>
        </w:tc>
        <w:tc>
          <w:tcPr>
            <w:tcW w:w="10" w:type="pct"/>
            <w:tcBorders>
              <w:top w:val="single" w:sz="4" w:space="0" w:color="646464"/>
              <w:left w:val="nil"/>
              <w:bottom w:val="single" w:sz="4" w:space="0" w:color="646464"/>
              <w:right w:val="nil"/>
            </w:tcBorders>
          </w:tcPr>
          <w:p w14:paraId="7E618C11" w14:textId="77777777" w:rsidR="003907BB" w:rsidRDefault="003907BB" w:rsidP="003907BB">
            <w:pPr>
              <w:pStyle w:val="Tabletext"/>
            </w:pPr>
          </w:p>
        </w:tc>
      </w:tr>
      <w:tr w:rsidR="003907BB" w14:paraId="4B7078ED" w14:textId="77777777" w:rsidTr="00AD49C8">
        <w:trPr>
          <w:gridBefore w:val="1"/>
          <w:gridAfter w:val="1"/>
          <w:wBefore w:w="215" w:type="pct"/>
          <w:wAfter w:w="10" w:type="pct"/>
          <w:cantSplit/>
        </w:trPr>
        <w:tc>
          <w:tcPr>
            <w:tcW w:w="1682" w:type="pct"/>
            <w:gridSpan w:val="2"/>
            <w:tcBorders>
              <w:top w:val="single" w:sz="4" w:space="0" w:color="646464"/>
              <w:left w:val="nil"/>
              <w:bottom w:val="single" w:sz="4" w:space="0" w:color="646464"/>
              <w:right w:val="nil"/>
            </w:tcBorders>
            <w:shd w:val="clear" w:color="auto" w:fill="E6E6E6"/>
            <w:hideMark/>
          </w:tcPr>
          <w:p w14:paraId="70BB8B93" w14:textId="77777777" w:rsidR="003907BB" w:rsidRDefault="003907BB" w:rsidP="003907BB">
            <w:pPr>
              <w:pStyle w:val="Tabletext"/>
            </w:pPr>
            <w:r>
              <w:t>Commonwealth Grant Scheme</w:t>
            </w:r>
          </w:p>
        </w:tc>
        <w:tc>
          <w:tcPr>
            <w:tcW w:w="2545" w:type="pct"/>
            <w:tcBorders>
              <w:top w:val="single" w:sz="4" w:space="0" w:color="646464"/>
              <w:left w:val="nil"/>
              <w:bottom w:val="single" w:sz="4" w:space="0" w:color="646464"/>
              <w:right w:val="nil"/>
            </w:tcBorders>
            <w:shd w:val="clear" w:color="auto" w:fill="E6E6E6"/>
          </w:tcPr>
          <w:p w14:paraId="65E6676F" w14:textId="77777777" w:rsidR="003907BB" w:rsidRDefault="003907BB" w:rsidP="003907BB">
            <w:pPr>
              <w:pStyle w:val="Tabletext"/>
            </w:pPr>
          </w:p>
        </w:tc>
        <w:tc>
          <w:tcPr>
            <w:tcW w:w="548" w:type="pct"/>
            <w:tcBorders>
              <w:top w:val="single" w:sz="4" w:space="0" w:color="646464"/>
              <w:left w:val="nil"/>
              <w:bottom w:val="single" w:sz="4" w:space="0" w:color="646464"/>
              <w:right w:val="nil"/>
            </w:tcBorders>
            <w:shd w:val="clear" w:color="auto" w:fill="E6E6E6"/>
          </w:tcPr>
          <w:p w14:paraId="531AEFDB" w14:textId="77777777" w:rsidR="003907BB" w:rsidRDefault="003907BB" w:rsidP="003907BB">
            <w:pPr>
              <w:pStyle w:val="Tabletext"/>
            </w:pPr>
          </w:p>
        </w:tc>
      </w:tr>
      <w:tr w:rsidR="003907BB" w14:paraId="7B81AD22" w14:textId="77777777" w:rsidTr="00AD49C8">
        <w:trPr>
          <w:gridBefore w:val="1"/>
          <w:wBefore w:w="215" w:type="pct"/>
          <w:cantSplit/>
        </w:trPr>
        <w:tc>
          <w:tcPr>
            <w:tcW w:w="857" w:type="pct"/>
            <w:tcBorders>
              <w:top w:val="single" w:sz="4" w:space="0" w:color="646464"/>
              <w:left w:val="nil"/>
              <w:bottom w:val="single" w:sz="4" w:space="0" w:color="646464"/>
              <w:right w:val="nil"/>
            </w:tcBorders>
            <w:hideMark/>
          </w:tcPr>
          <w:p w14:paraId="34DC0A2B" w14:textId="77777777" w:rsidR="003907BB" w:rsidRDefault="003907BB" w:rsidP="003907BB">
            <w:pPr>
              <w:pStyle w:val="Tabletext"/>
            </w:pPr>
            <w:r>
              <w:t>Regional loading for universities</w:t>
            </w:r>
          </w:p>
        </w:tc>
        <w:tc>
          <w:tcPr>
            <w:tcW w:w="825" w:type="pct"/>
            <w:tcBorders>
              <w:top w:val="single" w:sz="4" w:space="0" w:color="646464"/>
              <w:left w:val="nil"/>
              <w:bottom w:val="single" w:sz="4" w:space="0" w:color="646464"/>
              <w:right w:val="nil"/>
            </w:tcBorders>
            <w:hideMark/>
          </w:tcPr>
          <w:p w14:paraId="787EE6F0" w14:textId="77777777" w:rsidR="003907BB" w:rsidRDefault="003907BB" w:rsidP="003907BB">
            <w:pPr>
              <w:pStyle w:val="Tabletext"/>
            </w:pPr>
            <w:r>
              <w:t>Regional universities</w:t>
            </w:r>
          </w:p>
        </w:tc>
        <w:tc>
          <w:tcPr>
            <w:tcW w:w="3094" w:type="pct"/>
            <w:gridSpan w:val="2"/>
            <w:tcBorders>
              <w:top w:val="single" w:sz="4" w:space="0" w:color="646464"/>
              <w:left w:val="nil"/>
              <w:bottom w:val="single" w:sz="4" w:space="0" w:color="646464"/>
              <w:right w:val="nil"/>
            </w:tcBorders>
            <w:hideMark/>
          </w:tcPr>
          <w:p w14:paraId="376E84CB" w14:textId="77777777" w:rsidR="003907BB" w:rsidRDefault="003907BB" w:rsidP="003907BB">
            <w:pPr>
              <w:pStyle w:val="Tabletext"/>
            </w:pPr>
            <w:r>
              <w:t>The Commonwealth provides regional loading funding to assist with the additional costs associated with operating regional universities.</w:t>
            </w:r>
          </w:p>
        </w:tc>
        <w:tc>
          <w:tcPr>
            <w:tcW w:w="10" w:type="pct"/>
            <w:tcBorders>
              <w:top w:val="single" w:sz="4" w:space="0" w:color="646464"/>
              <w:left w:val="nil"/>
              <w:bottom w:val="single" w:sz="4" w:space="0" w:color="646464"/>
              <w:right w:val="nil"/>
            </w:tcBorders>
          </w:tcPr>
          <w:p w14:paraId="25E9201D" w14:textId="77777777" w:rsidR="003907BB" w:rsidRDefault="003907BB" w:rsidP="003907BB">
            <w:pPr>
              <w:pStyle w:val="Tabletext"/>
            </w:pPr>
          </w:p>
        </w:tc>
      </w:tr>
      <w:tr w:rsidR="003907BB" w14:paraId="2A0C8293" w14:textId="77777777" w:rsidTr="00AD49C8">
        <w:trPr>
          <w:gridBefore w:val="1"/>
          <w:gridAfter w:val="1"/>
          <w:wBefore w:w="215" w:type="pct"/>
          <w:wAfter w:w="10" w:type="pct"/>
          <w:cantSplit/>
        </w:trPr>
        <w:tc>
          <w:tcPr>
            <w:tcW w:w="4775" w:type="pct"/>
            <w:gridSpan w:val="4"/>
            <w:tcBorders>
              <w:top w:val="single" w:sz="4" w:space="0" w:color="646464"/>
              <w:left w:val="nil"/>
              <w:bottom w:val="single" w:sz="4" w:space="0" w:color="646464"/>
              <w:right w:val="nil"/>
            </w:tcBorders>
            <w:hideMark/>
          </w:tcPr>
          <w:p w14:paraId="38DBDED3" w14:textId="77777777" w:rsidR="003907BB" w:rsidRPr="00AD49C8" w:rsidRDefault="003907BB" w:rsidP="003907BB">
            <w:pPr>
              <w:pStyle w:val="Source"/>
              <w:spacing w:line="256" w:lineRule="auto"/>
              <w:rPr>
                <w:i w:val="0"/>
                <w:caps w:val="0"/>
              </w:rPr>
            </w:pPr>
            <w:r>
              <w:rPr>
                <w:i w:val="0"/>
                <w:caps w:val="0"/>
                <w:vertAlign w:val="superscript"/>
              </w:rPr>
              <w:t>a</w:t>
            </w:r>
            <w:r w:rsidRPr="00AD49C8">
              <w:rPr>
                <w:i w:val="0"/>
                <w:caps w:val="0"/>
              </w:rPr>
              <w:t xml:space="preserve"> The</w:t>
            </w:r>
            <w:r>
              <w:rPr>
                <w:i w:val="0"/>
                <w:caps w:val="0"/>
              </w:rPr>
              <w:t>se</w:t>
            </w:r>
            <w:r w:rsidRPr="00AD49C8">
              <w:rPr>
                <w:i w:val="0"/>
                <w:caps w:val="0"/>
              </w:rPr>
              <w:t xml:space="preserve"> programs provide support to students from equity groups</w:t>
            </w:r>
            <w:r>
              <w:rPr>
                <w:i w:val="0"/>
                <w:caps w:val="0"/>
              </w:rPr>
              <w:t xml:space="preserve"> or universities that may have a significant proportion of students from these equity groups. However, the programs are not necessarily intended </w:t>
            </w:r>
            <w:r>
              <w:rPr>
                <w:caps w:val="0"/>
              </w:rPr>
              <w:t xml:space="preserve">only </w:t>
            </w:r>
            <w:r>
              <w:rPr>
                <w:i w:val="0"/>
                <w:caps w:val="0"/>
              </w:rPr>
              <w:t>for students from these groups. For example, child care assistance is available</w:t>
            </w:r>
            <w:r w:rsidRPr="00585799">
              <w:rPr>
                <w:i w:val="0"/>
                <w:caps w:val="0"/>
              </w:rPr>
              <w:t xml:space="preserve"> </w:t>
            </w:r>
            <w:r>
              <w:rPr>
                <w:i w:val="0"/>
                <w:caps w:val="0"/>
              </w:rPr>
              <w:t>for parents who are studying, independent of any equity group background.</w:t>
            </w:r>
          </w:p>
          <w:p w14:paraId="660006AA" w14:textId="77777777" w:rsidR="003907BB" w:rsidRDefault="003907BB" w:rsidP="003907BB">
            <w:pPr>
              <w:pStyle w:val="Source"/>
              <w:spacing w:line="256" w:lineRule="auto"/>
            </w:pPr>
            <w:r>
              <w:t>Source</w:t>
            </w:r>
            <w:r w:rsidRPr="006158F6">
              <w:t xml:space="preserve">: Gale and Parker </w:t>
            </w:r>
            <w:r w:rsidRPr="00EB640A">
              <w:t xml:space="preserve">2013; Budget papers; </w:t>
            </w:r>
            <w:r w:rsidRPr="00D3789C">
              <w:t xml:space="preserve">Department of Education and Training, </w:t>
            </w:r>
            <w:r w:rsidRPr="009F7DD3">
              <w:t xml:space="preserve">study </w:t>
            </w:r>
            <w:r w:rsidRPr="00D3789C">
              <w:t>assist and Department of Infrastructure and Regional Development Websites</w:t>
            </w:r>
          </w:p>
        </w:tc>
      </w:tr>
      <w:tr w:rsidR="003907BB" w14:paraId="5D0EA394" w14:textId="77777777" w:rsidTr="00AD49C8">
        <w:trPr>
          <w:gridBefore w:val="1"/>
          <w:gridAfter w:val="1"/>
          <w:wBefore w:w="215" w:type="pct"/>
          <w:wAfter w:w="10" w:type="pct"/>
          <w:cantSplit/>
          <w:trHeight w:val="120"/>
        </w:trPr>
        <w:tc>
          <w:tcPr>
            <w:tcW w:w="4775" w:type="pct"/>
            <w:gridSpan w:val="4"/>
            <w:tcBorders>
              <w:top w:val="single" w:sz="4" w:space="0" w:color="646464"/>
              <w:left w:val="nil"/>
              <w:bottom w:val="nil"/>
              <w:right w:val="nil"/>
            </w:tcBorders>
          </w:tcPr>
          <w:p w14:paraId="3CF9FA93" w14:textId="77777777" w:rsidR="003907BB" w:rsidRDefault="003907BB" w:rsidP="003907BB">
            <w:pPr>
              <w:pStyle w:val="spacertbl"/>
              <w:spacing w:line="256" w:lineRule="auto"/>
            </w:pPr>
          </w:p>
        </w:tc>
      </w:tr>
    </w:tbl>
    <w:p w14:paraId="15A65E3A" w14:textId="77777777" w:rsidR="003907BB" w:rsidRDefault="003907BB" w:rsidP="00AD49C8">
      <w:pPr>
        <w:pStyle w:val="Heading2"/>
      </w:pPr>
      <w:bookmarkStart w:id="67" w:name="_Ref462943150"/>
      <w:bookmarkStart w:id="68" w:name="_Toc466657112"/>
      <w:r>
        <w:t>Current policy context</w:t>
      </w:r>
      <w:bookmarkEnd w:id="67"/>
      <w:bookmarkEnd w:id="68"/>
    </w:p>
    <w:p w14:paraId="2A799B68" w14:textId="77777777" w:rsidR="003907BB" w:rsidRDefault="003907BB" w:rsidP="003907BB">
      <w:pPr>
        <w:pStyle w:val="BodyText"/>
      </w:pPr>
      <w:r>
        <w:t>The HEPPP was introduced during a period of broad and significant change for the higher education sector and has had a strong influence on equity objectives in subsequent years. Recent reforms and the current landscape of higher education policy are discussed below, including the introduction of the demand driven system</w:t>
      </w:r>
      <w:r w:rsidR="007B5594">
        <w:t xml:space="preserve"> (DDS)</w:t>
      </w:r>
      <w:r>
        <w:t xml:space="preserve"> in 2012, the reform packages proposed in 2014, and the Government’s current consultation process and review of the sector.</w:t>
      </w:r>
    </w:p>
    <w:p w14:paraId="164BB170" w14:textId="77777777" w:rsidR="003907BB" w:rsidRDefault="003907BB" w:rsidP="00AD49C8">
      <w:pPr>
        <w:pStyle w:val="Heading3"/>
      </w:pPr>
      <w:r>
        <w:t>Demand driven system</w:t>
      </w:r>
    </w:p>
    <w:p w14:paraId="70E2C231" w14:textId="77777777" w:rsidR="003907BB" w:rsidRDefault="003907BB" w:rsidP="003907BB">
      <w:pPr>
        <w:pStyle w:val="BodyText"/>
      </w:pPr>
      <w:r>
        <w:t xml:space="preserve">The Bradley Review (2008) made 46 recommendations in total, including a number regarding equity. It also recommended introducing ‘a demand-driven entitlement system for domestic higher education students, in which recognised providers are free to enrol as many eligible students as they wish in eligible higher education courses and receive corresponding government subsidies for those students’ (Recommendation 29). The Australian Government adopted the recommendation and the </w:t>
      </w:r>
      <w:r w:rsidR="007B5594">
        <w:t>DDS</w:t>
      </w:r>
      <w:r>
        <w:t xml:space="preserve"> was implemented in 2012. As a form of transition to the system, universities were given permission to over-enrol Commonwealth Supported Places by 10 per cent from </w:t>
      </w:r>
      <w:r w:rsidRPr="001555D6">
        <w:t>2010 (Department of Education and Training 2015).</w:t>
      </w:r>
    </w:p>
    <w:p w14:paraId="4640CDF5" w14:textId="77777777" w:rsidR="003907BB" w:rsidRDefault="003907BB" w:rsidP="003907BB">
      <w:pPr>
        <w:pStyle w:val="BodyText"/>
      </w:pPr>
      <w:bookmarkStart w:id="69" w:name="_Ref462943222"/>
      <w:r>
        <w:t xml:space="preserve">Since the </w:t>
      </w:r>
      <w:r w:rsidR="007B5594">
        <w:t>DDS</w:t>
      </w:r>
      <w:r>
        <w:t xml:space="preserve"> was implemented, the sector has seen an increase in university enrolments across all student segments, including students from low SES </w:t>
      </w:r>
      <w:r w:rsidRPr="00B60C2C">
        <w:t xml:space="preserve">backgrounds (Kemp Norton 2014). The impact of the </w:t>
      </w:r>
      <w:r w:rsidR="007B5594">
        <w:t>DDS</w:t>
      </w:r>
      <w:r w:rsidR="00556B2D" w:rsidRPr="00B60C2C">
        <w:t xml:space="preserve"> </w:t>
      </w:r>
      <w:r w:rsidRPr="00B60C2C">
        <w:t>on participation is discussed further in Chapter 3 of</w:t>
      </w:r>
      <w:r>
        <w:t xml:space="preserve"> this evaluation report.</w:t>
      </w:r>
    </w:p>
    <w:bookmarkEnd w:id="69"/>
    <w:p w14:paraId="3F2A0918" w14:textId="77777777" w:rsidR="003907BB" w:rsidRDefault="003907BB" w:rsidP="00AD49C8">
      <w:pPr>
        <w:pStyle w:val="Heading3"/>
      </w:pPr>
      <w:r>
        <w:t>Proposed higher education reform</w:t>
      </w:r>
    </w:p>
    <w:p w14:paraId="4AABB66F" w14:textId="6ADF4C8A" w:rsidR="003907BB" w:rsidRDefault="003907BB" w:rsidP="003907BB">
      <w:pPr>
        <w:pStyle w:val="BodyText"/>
      </w:pPr>
      <w:r>
        <w:t>The Australian Government proposed a range of reforms to the higher education sector in 2014, through the 2014-15 Budget, the Higher Education and Research Reform Amendment Bill 2014 and, following recommendations by the Senate Education and Employment Legislation Committee and negotiations with various Senators, the subsequent Higher Education and Research Reform Bill 2014. The Higher Education and Research Reform Bill 2014 has not passed the Parliament</w:t>
      </w:r>
      <w:r w:rsidR="003C579E">
        <w:t>;</w:t>
      </w:r>
      <w:r>
        <w:t xml:space="preserve"> however its Schedule 9A proposes a number changes for the HEPPP which are important to note for recent policy context of the program.</w:t>
      </w:r>
    </w:p>
    <w:p w14:paraId="38829C90" w14:textId="77777777" w:rsidR="003907BB" w:rsidRDefault="003907BB" w:rsidP="003907BB">
      <w:pPr>
        <w:pStyle w:val="BodyText"/>
      </w:pPr>
      <w:r>
        <w:t>The Bill proposes replacing the HEPPP with the Higher Education Participation Programmes, comprising:</w:t>
      </w:r>
    </w:p>
    <w:p w14:paraId="05BD0ACC" w14:textId="77777777" w:rsidR="0025146F" w:rsidRDefault="003907BB" w:rsidP="00AD49C8">
      <w:pPr>
        <w:pStyle w:val="ListBullet"/>
      </w:pPr>
      <w:r>
        <w:t>a grants programme, the Higher Education Participation (Access and Participation) Programme</w:t>
      </w:r>
    </w:p>
    <w:p w14:paraId="4053D65A" w14:textId="77777777" w:rsidR="007C6B78" w:rsidRDefault="003907BB" w:rsidP="00AD49C8">
      <w:pPr>
        <w:pStyle w:val="ListBullet"/>
      </w:pPr>
      <w:r>
        <w:t>a scholarships programme, the Higher Education Participation (Scholarships Fund) Programme</w:t>
      </w:r>
    </w:p>
    <w:p w14:paraId="6B5314E8" w14:textId="77777777" w:rsidR="003907BB" w:rsidRDefault="003907BB" w:rsidP="00AD49C8">
      <w:pPr>
        <w:pStyle w:val="ListBullet"/>
      </w:pPr>
      <w:r>
        <w:t>retention of the National Priorities Pool, through the Higher Education Participation (National Priorities Pool) Programme.</w:t>
      </w:r>
    </w:p>
    <w:p w14:paraId="6D55FCCB" w14:textId="77777777" w:rsidR="003907BB" w:rsidRDefault="003907BB" w:rsidP="003907BB">
      <w:pPr>
        <w:pStyle w:val="BodyText"/>
      </w:pPr>
      <w:r>
        <w:t xml:space="preserve">An overview of these programs, and their key differences from the existing HEPPP, is provided in </w:t>
      </w:r>
      <w:r w:rsidR="008C090E" w:rsidRPr="00AD49C8">
        <w:t>Figure 2.4</w:t>
      </w:r>
      <w:r>
        <w:t>. The major differences are:</w:t>
      </w:r>
    </w:p>
    <w:p w14:paraId="16CFE2F9" w14:textId="77777777" w:rsidR="003907BB" w:rsidRDefault="003907BB" w:rsidP="00A45AB3">
      <w:pPr>
        <w:pStyle w:val="ListBullet"/>
        <w:numPr>
          <w:ilvl w:val="0"/>
          <w:numId w:val="44"/>
        </w:numPr>
      </w:pPr>
      <w:r>
        <w:t>the programs would target a broader group of students, those from six disadvantaged groups, rather than only those from low SES backgrounds:</w:t>
      </w:r>
    </w:p>
    <w:p w14:paraId="40431B3C" w14:textId="77777777" w:rsidR="003907BB" w:rsidRDefault="003907BB" w:rsidP="00A45AB3">
      <w:pPr>
        <w:pStyle w:val="ListBullet2"/>
        <w:numPr>
          <w:ilvl w:val="1"/>
          <w:numId w:val="44"/>
        </w:numPr>
      </w:pPr>
      <w:r>
        <w:t>people from a low SES background</w:t>
      </w:r>
    </w:p>
    <w:p w14:paraId="6978B026" w14:textId="77777777" w:rsidR="003907BB" w:rsidRDefault="003907BB" w:rsidP="00A45AB3">
      <w:pPr>
        <w:pStyle w:val="ListBullet2"/>
        <w:numPr>
          <w:ilvl w:val="1"/>
          <w:numId w:val="44"/>
        </w:numPr>
      </w:pPr>
      <w:r>
        <w:t>people with disability</w:t>
      </w:r>
    </w:p>
    <w:p w14:paraId="560A9C76" w14:textId="77777777" w:rsidR="003907BB" w:rsidRDefault="00A64DC3" w:rsidP="00A45AB3">
      <w:pPr>
        <w:pStyle w:val="ListBullet2"/>
        <w:numPr>
          <w:ilvl w:val="1"/>
          <w:numId w:val="44"/>
        </w:numPr>
      </w:pPr>
      <w:r>
        <w:t xml:space="preserve">Indigenous </w:t>
      </w:r>
      <w:r w:rsidR="003907BB">
        <w:t>people</w:t>
      </w:r>
    </w:p>
    <w:p w14:paraId="702141F7" w14:textId="77777777" w:rsidR="003907BB" w:rsidRDefault="003907BB" w:rsidP="00A45AB3">
      <w:pPr>
        <w:pStyle w:val="ListBullet2"/>
        <w:numPr>
          <w:ilvl w:val="1"/>
          <w:numId w:val="44"/>
        </w:numPr>
      </w:pPr>
      <w:r>
        <w:t>people from regional or remote areas</w:t>
      </w:r>
    </w:p>
    <w:p w14:paraId="46EC9E89" w14:textId="77777777" w:rsidR="003907BB" w:rsidRDefault="003907BB" w:rsidP="00A45AB3">
      <w:pPr>
        <w:pStyle w:val="ListBullet2"/>
        <w:numPr>
          <w:ilvl w:val="1"/>
          <w:numId w:val="44"/>
        </w:numPr>
      </w:pPr>
      <w:r>
        <w:t>people from a non-English speaking background</w:t>
      </w:r>
    </w:p>
    <w:p w14:paraId="7E8AC6B5" w14:textId="77777777" w:rsidR="003907BB" w:rsidRDefault="003907BB" w:rsidP="00A45AB3">
      <w:pPr>
        <w:pStyle w:val="ListBullet2"/>
        <w:numPr>
          <w:ilvl w:val="1"/>
          <w:numId w:val="44"/>
        </w:numPr>
      </w:pPr>
      <w:r>
        <w:t>women in non-traditional areas of study</w:t>
      </w:r>
    </w:p>
    <w:p w14:paraId="2CF5FEE6" w14:textId="77777777" w:rsidR="003907BB" w:rsidRDefault="003907BB" w:rsidP="00A45AB3">
      <w:pPr>
        <w:pStyle w:val="ListBullet"/>
        <w:numPr>
          <w:ilvl w:val="0"/>
          <w:numId w:val="44"/>
        </w:numPr>
      </w:pPr>
      <w:r>
        <w:t>the scope of the programs would be broadened to include students undertaking postgraduate degrees as well as undergraduate degrees</w:t>
      </w:r>
    </w:p>
    <w:p w14:paraId="74407BD1" w14:textId="77777777" w:rsidR="003907BB" w:rsidRDefault="003907BB" w:rsidP="00A45AB3">
      <w:pPr>
        <w:pStyle w:val="ListBullet"/>
        <w:numPr>
          <w:ilvl w:val="0"/>
          <w:numId w:val="44"/>
        </w:numPr>
      </w:pPr>
      <w:r>
        <w:t xml:space="preserve">the </w:t>
      </w:r>
      <w:r w:rsidR="000729C9">
        <w:t>P</w:t>
      </w:r>
      <w:r>
        <w:t>articipation funding and reporting period would shift from annual to a three-year period</w:t>
      </w:r>
    </w:p>
    <w:p w14:paraId="68DAFEF4" w14:textId="77777777" w:rsidR="003907BB" w:rsidRDefault="003907BB" w:rsidP="00A45AB3">
      <w:pPr>
        <w:pStyle w:val="ListBullet"/>
        <w:numPr>
          <w:ilvl w:val="0"/>
          <w:numId w:val="44"/>
        </w:numPr>
      </w:pPr>
      <w:r>
        <w:t>the formula for calculating funding allocations would change to incorporate low SES students’ success as well as the number of low SES students</w:t>
      </w:r>
    </w:p>
    <w:p w14:paraId="3473C490" w14:textId="77777777" w:rsidR="003907BB" w:rsidRDefault="003907BB" w:rsidP="00A45AB3">
      <w:pPr>
        <w:pStyle w:val="ListBullet"/>
        <w:numPr>
          <w:ilvl w:val="0"/>
          <w:numId w:val="44"/>
        </w:numPr>
      </w:pPr>
      <w:r>
        <w:t>institutional eligibility would change for the first two components, to include those Table A universities with a proportion of low SES students which is above a given threshold, to be determined by the Minister.</w:t>
      </w:r>
    </w:p>
    <w:p w14:paraId="58488DB2" w14:textId="77777777" w:rsidR="003907BB" w:rsidRDefault="003907BB" w:rsidP="003907BB">
      <w:pPr>
        <w:pStyle w:val="BodyText"/>
      </w:pPr>
      <w:r>
        <w:t>The six ‘</w:t>
      </w:r>
      <w:r w:rsidRPr="00B60C2C">
        <w:t xml:space="preserve">disadvantaged’ groups proposed </w:t>
      </w:r>
      <w:r w:rsidR="001277F0">
        <w:t>by the Bill</w:t>
      </w:r>
      <w:r w:rsidRPr="00B60C2C">
        <w:t xml:space="preserve"> are largely in line with the original six groups identified in </w:t>
      </w:r>
      <w:r w:rsidRPr="00B60C2C">
        <w:rPr>
          <w:i/>
        </w:rPr>
        <w:t xml:space="preserve">A Fair Chance for All </w:t>
      </w:r>
      <w:r w:rsidRPr="00B60C2C">
        <w:t>(</w:t>
      </w:r>
      <w:r w:rsidR="00556B2D">
        <w:t xml:space="preserve">refer </w:t>
      </w:r>
      <w:r w:rsidR="00C71CE9">
        <w:t xml:space="preserve">Section </w:t>
      </w:r>
      <w:r w:rsidR="008C090E">
        <w:t>2.3</w:t>
      </w:r>
      <w:r>
        <w:t>).</w:t>
      </w:r>
    </w:p>
    <w:tbl>
      <w:tblPr>
        <w:tblStyle w:val="TableGrid"/>
        <w:tblW w:w="10995"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5"/>
      </w:tblGrid>
      <w:tr w:rsidR="003907BB" w14:paraId="6B94BC57" w14:textId="77777777" w:rsidTr="003907BB">
        <w:trPr>
          <w:cantSplit/>
          <w:trHeight w:val="160"/>
        </w:trPr>
        <w:tc>
          <w:tcPr>
            <w:tcW w:w="10994" w:type="dxa"/>
            <w:tcBorders>
              <w:top w:val="nil"/>
              <w:left w:val="nil"/>
              <w:bottom w:val="single" w:sz="4" w:space="0" w:color="auto"/>
              <w:right w:val="nil"/>
            </w:tcBorders>
          </w:tcPr>
          <w:p w14:paraId="7270C725" w14:textId="77777777" w:rsidR="003907BB" w:rsidRDefault="003907BB" w:rsidP="003907BB">
            <w:pPr>
              <w:pStyle w:val="spacer"/>
            </w:pPr>
          </w:p>
        </w:tc>
      </w:tr>
      <w:tr w:rsidR="003907BB" w14:paraId="5BB8B5E0" w14:textId="77777777" w:rsidTr="003907BB">
        <w:trPr>
          <w:cantSplit/>
        </w:trPr>
        <w:tc>
          <w:tcPr>
            <w:tcW w:w="10994" w:type="dxa"/>
            <w:tcBorders>
              <w:top w:val="single" w:sz="4" w:space="0" w:color="auto"/>
              <w:left w:val="nil"/>
              <w:bottom w:val="nil"/>
              <w:right w:val="nil"/>
            </w:tcBorders>
            <w:hideMark/>
          </w:tcPr>
          <w:p w14:paraId="440A5702" w14:textId="77777777" w:rsidR="003907BB" w:rsidRDefault="003907BB" w:rsidP="003907BB">
            <w:pPr>
              <w:pStyle w:val="Caption"/>
            </w:pPr>
            <w:bookmarkStart w:id="70" w:name="_Ref460948687"/>
            <w:bookmarkStart w:id="71" w:name="_Toc466655650"/>
            <w:r>
              <w:rPr>
                <w:rStyle w:val="CaptionLabel"/>
              </w:rPr>
              <w:t>Figure </w:t>
            </w:r>
            <w:r w:rsidR="008C090E">
              <w:rPr>
                <w:rStyle w:val="CaptionLabel"/>
                <w:noProof/>
              </w:rPr>
              <w:t>2</w:t>
            </w:r>
            <w:r>
              <w:rPr>
                <w:rStyle w:val="CaptionLabel"/>
              </w:rPr>
              <w:t>.</w:t>
            </w:r>
            <w:r w:rsidR="008C090E">
              <w:rPr>
                <w:rStyle w:val="CaptionLabel"/>
                <w:noProof/>
              </w:rPr>
              <w:t>4</w:t>
            </w:r>
            <w:bookmarkEnd w:id="70"/>
            <w:r>
              <w:tab/>
              <w:t>Changes proposed in the 2014 Budget and the Higher Education Research and reform bill 2014</w:t>
            </w:r>
            <w:bookmarkEnd w:id="71"/>
            <w:r>
              <w:t xml:space="preserve"> </w:t>
            </w:r>
          </w:p>
        </w:tc>
      </w:tr>
      <w:tr w:rsidR="003907BB" w14:paraId="4E130DC7" w14:textId="77777777" w:rsidTr="003907BB">
        <w:trPr>
          <w:cantSplit/>
          <w:trHeight w:val="380"/>
        </w:trPr>
        <w:tc>
          <w:tcPr>
            <w:tcW w:w="10994" w:type="dxa"/>
            <w:tcBorders>
              <w:top w:val="nil"/>
              <w:left w:val="nil"/>
              <w:bottom w:val="single" w:sz="4" w:space="0" w:color="auto"/>
              <w:right w:val="nil"/>
            </w:tcBorders>
            <w:hideMark/>
          </w:tcPr>
          <w:p w14:paraId="58263D85" w14:textId="77777777" w:rsidR="003907BB" w:rsidRDefault="00A45AB3" w:rsidP="003907BB">
            <w:pPr>
              <w:pStyle w:val="spacer"/>
            </w:pPr>
            <w:r>
              <w:rPr>
                <w:noProof/>
                <w:lang w:eastAsia="en-AU"/>
              </w:rPr>
              <mc:AlternateContent>
                <mc:Choice Requires="wps">
                  <w:drawing>
                    <wp:anchor distT="0" distB="0" distL="114300" distR="114300" simplePos="0" relativeHeight="251597312" behindDoc="0" locked="1" layoutInCell="1" allowOverlap="1" wp14:anchorId="03A8A919" wp14:editId="667276E0">
                      <wp:simplePos x="0" y="0"/>
                      <wp:positionH relativeFrom="rightMargin">
                        <wp:posOffset>-772795</wp:posOffset>
                      </wp:positionH>
                      <wp:positionV relativeFrom="page">
                        <wp:posOffset>0</wp:posOffset>
                      </wp:positionV>
                      <wp:extent cx="436880" cy="213360"/>
                      <wp:effectExtent l="0" t="0" r="1270" b="0"/>
                      <wp:wrapNone/>
                      <wp:docPr id="403" name="Freeform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97B4EF" id="Freeform 403" o:spid="_x0000_s1026" style="position:absolute;margin-left:-60.85pt;margin-top:0;width:34.4pt;height:16.8pt;z-index:251597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MTttLd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60A86F83" w14:textId="77777777" w:rsidTr="003907BB">
        <w:trPr>
          <w:cantSplit/>
        </w:trPr>
        <w:tc>
          <w:tcPr>
            <w:tcW w:w="10994" w:type="dxa"/>
            <w:tcBorders>
              <w:top w:val="single" w:sz="4" w:space="0" w:color="auto"/>
              <w:left w:val="nil"/>
              <w:bottom w:val="single" w:sz="4" w:space="0" w:color="auto"/>
              <w:right w:val="nil"/>
            </w:tcBorders>
            <w:tcMar>
              <w:top w:w="10" w:type="dxa"/>
              <w:left w:w="0" w:type="dxa"/>
              <w:bottom w:w="10" w:type="dxa"/>
              <w:right w:w="0" w:type="dxa"/>
            </w:tcMar>
            <w:hideMark/>
          </w:tcPr>
          <w:p w14:paraId="4C046BCD" w14:textId="77777777" w:rsidR="003907BB" w:rsidRDefault="00234D2D" w:rsidP="003907BB">
            <w:pPr>
              <w:pStyle w:val="Figure"/>
            </w:pPr>
            <w:r w:rsidRPr="00234D2D">
              <w:rPr>
                <w:noProof/>
                <w:lang w:eastAsia="en-AU"/>
              </w:rPr>
              <w:drawing>
                <wp:inline distT="0" distB="0" distL="0" distR="0" wp14:anchorId="5CD77382" wp14:editId="5047567A">
                  <wp:extent cx="6978650" cy="315722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78650" cy="3157220"/>
                          </a:xfrm>
                          <a:prstGeom prst="rect">
                            <a:avLst/>
                          </a:prstGeom>
                          <a:noFill/>
                          <a:ln>
                            <a:noFill/>
                          </a:ln>
                        </pic:spPr>
                      </pic:pic>
                    </a:graphicData>
                  </a:graphic>
                </wp:inline>
              </w:drawing>
            </w:r>
            <w:r w:rsidRPr="00234D2D" w:rsidDel="00234D2D">
              <w:rPr>
                <w:noProof/>
                <w:lang w:val="en-GB" w:eastAsia="en-GB"/>
              </w:rPr>
              <w:t xml:space="preserve"> </w:t>
            </w:r>
            <w:r w:rsidR="003907BB">
              <w:t xml:space="preserve"> </w:t>
            </w:r>
          </w:p>
        </w:tc>
      </w:tr>
      <w:tr w:rsidR="003907BB" w14:paraId="27C66D4C" w14:textId="77777777" w:rsidTr="003907BB">
        <w:trPr>
          <w:cantSplit/>
        </w:trPr>
        <w:tc>
          <w:tcPr>
            <w:tcW w:w="10994" w:type="dxa"/>
            <w:tcBorders>
              <w:top w:val="single" w:sz="4" w:space="0" w:color="auto"/>
              <w:left w:val="nil"/>
              <w:bottom w:val="single" w:sz="4" w:space="0" w:color="auto"/>
              <w:right w:val="nil"/>
            </w:tcBorders>
            <w:tcMar>
              <w:top w:w="12" w:type="dxa"/>
              <w:left w:w="0" w:type="dxa"/>
              <w:bottom w:w="113" w:type="dxa"/>
              <w:right w:w="0" w:type="dxa"/>
            </w:tcMar>
            <w:hideMark/>
          </w:tcPr>
          <w:p w14:paraId="38CADED7" w14:textId="77777777" w:rsidR="003907BB" w:rsidRDefault="003907BB" w:rsidP="003907BB">
            <w:pPr>
              <w:pStyle w:val="Note"/>
            </w:pPr>
            <w:r>
              <w:rPr>
                <w:rStyle w:val="Notelabel"/>
              </w:rPr>
              <w:t>1</w:t>
            </w:r>
            <w:r>
              <w:t xml:space="preserve"> The Access and Participation Fund would fund activities previously eligible under both the Participation and Partnership components.</w:t>
            </w:r>
          </w:p>
          <w:p w14:paraId="59D3A74F" w14:textId="77777777" w:rsidR="003907BB" w:rsidRDefault="003907BB" w:rsidP="003907BB">
            <w:pPr>
              <w:pStyle w:val="Source"/>
            </w:pPr>
            <w:r w:rsidRPr="0000163B">
              <w:t>Source: DEPARTMENT OF EDUCATION AND TRAINING 2016</w:t>
            </w:r>
          </w:p>
        </w:tc>
      </w:tr>
      <w:tr w:rsidR="003907BB" w14:paraId="174D5651" w14:textId="77777777" w:rsidTr="003907BB">
        <w:trPr>
          <w:trHeight w:val="160"/>
        </w:trPr>
        <w:tc>
          <w:tcPr>
            <w:tcW w:w="10994" w:type="dxa"/>
            <w:tcBorders>
              <w:top w:val="single" w:sz="4" w:space="0" w:color="auto"/>
              <w:left w:val="nil"/>
              <w:bottom w:val="nil"/>
              <w:right w:val="nil"/>
            </w:tcBorders>
          </w:tcPr>
          <w:p w14:paraId="025BD029" w14:textId="77777777" w:rsidR="003907BB" w:rsidRDefault="003907BB" w:rsidP="003907BB">
            <w:pPr>
              <w:pStyle w:val="spacertbl"/>
            </w:pPr>
          </w:p>
        </w:tc>
      </w:tr>
    </w:tbl>
    <w:p w14:paraId="0CF5155B" w14:textId="77777777" w:rsidR="003907BB" w:rsidRDefault="003907BB" w:rsidP="00AD49C8">
      <w:pPr>
        <w:pStyle w:val="Heading3"/>
      </w:pPr>
      <w:r>
        <w:t>Higher education reform consultation</w:t>
      </w:r>
    </w:p>
    <w:p w14:paraId="314109D1" w14:textId="77777777" w:rsidR="003907BB" w:rsidRDefault="003907BB" w:rsidP="003907BB">
      <w:pPr>
        <w:pStyle w:val="BodyText"/>
      </w:pPr>
      <w:r>
        <w:t xml:space="preserve">In 2016, the Department of Education and Training undertook a public consultation process on the future of higher education funding and reform. A discussion </w:t>
      </w:r>
      <w:r w:rsidRPr="0041476B">
        <w:t xml:space="preserve">paper, </w:t>
      </w:r>
      <w:r w:rsidRPr="0041476B">
        <w:rPr>
          <w:i/>
        </w:rPr>
        <w:t>Driving Innovation, Fairness and Excellence in Australian Higher Education</w:t>
      </w:r>
      <w:r w:rsidRPr="0041476B">
        <w:t>, was released in May 2016 for public</w:t>
      </w:r>
      <w:r>
        <w:t xml:space="preserve"> comment. The discussion paper outlined a range of issues for Australia’s higher education system and suggested potential policy changes. The consultation process closed on 25 July 2016, and the Government has indicated that it intends to appoint an expert advisory panel to provide advice on the content and implementation of the final higher education reform package. The HEPPP evaluation was outlined in the ‘Fairness and equity’ chapter of the paper. Particular reference was made to improving educational outcomes for Indigenous students and those from regional and remote areas.</w:t>
      </w:r>
    </w:p>
    <w:p w14:paraId="272274E3" w14:textId="77777777" w:rsidR="003907BB" w:rsidRDefault="003907BB" w:rsidP="00AD49C8">
      <w:pPr>
        <w:pStyle w:val="Heading2"/>
      </w:pPr>
      <w:bookmarkStart w:id="72" w:name="_Ref461094248"/>
      <w:bookmarkStart w:id="73" w:name="_Ref458603311"/>
      <w:bookmarkStart w:id="74" w:name="_Toc466657113"/>
      <w:r>
        <w:t>Preceding higher education equity policy</w:t>
      </w:r>
      <w:bookmarkEnd w:id="72"/>
      <w:bookmarkEnd w:id="73"/>
      <w:bookmarkEnd w:id="74"/>
    </w:p>
    <w:p w14:paraId="6FEAF9C2" w14:textId="77777777" w:rsidR="003907BB" w:rsidRDefault="003907BB" w:rsidP="003907BB">
      <w:pPr>
        <w:pStyle w:val="BodyText"/>
      </w:pPr>
      <w:r>
        <w:t>Equity in higher education has been a consideration of the Australian Government for a number of decades, with participation of students from low SES backgrounds consistently identified as an area for attention.</w:t>
      </w:r>
    </w:p>
    <w:p w14:paraId="247C8AC1" w14:textId="77777777" w:rsidR="003907BB" w:rsidRDefault="003907BB" w:rsidP="00AD49C8">
      <w:pPr>
        <w:pStyle w:val="Heading3"/>
      </w:pPr>
      <w:r>
        <w:t>Higher Education Equity Program</w:t>
      </w:r>
    </w:p>
    <w:p w14:paraId="58E3CA94" w14:textId="77777777" w:rsidR="003907BB" w:rsidRDefault="003907BB" w:rsidP="00AD49C8">
      <w:pPr>
        <w:pStyle w:val="Heading4"/>
      </w:pPr>
      <w:r>
        <w:t>Dawkins White Paper</w:t>
      </w:r>
    </w:p>
    <w:p w14:paraId="35DF8002" w14:textId="77777777" w:rsidR="003907BB" w:rsidRDefault="003907BB" w:rsidP="003907BB">
      <w:pPr>
        <w:pStyle w:val="BodyText"/>
      </w:pPr>
      <w:r>
        <w:t xml:space="preserve">The Australian Government has allocated equity funding to higher education providers since 1985, originally using an annual competitive grants </w:t>
      </w:r>
      <w:r w:rsidRPr="00B60C2C">
        <w:t>process (Broadbent 1994). The</w:t>
      </w:r>
      <w:r>
        <w:t xml:space="preserve"> first comprehensive higher education equity policy in Australia was developed through the Green Paper and White Paper processes undertaken in 1987 and 1988 by then Minister for Employment, Education and Training, The Hon. John Dawkins AO </w:t>
      </w:r>
      <w:r w:rsidRPr="00B60C2C">
        <w:t>(Ramsay 2005).</w:t>
      </w:r>
    </w:p>
    <w:p w14:paraId="5A3EAA50" w14:textId="77777777" w:rsidR="003907BB" w:rsidRDefault="003907BB" w:rsidP="003907BB">
      <w:pPr>
        <w:pStyle w:val="BodyText"/>
      </w:pPr>
      <w:r>
        <w:t xml:space="preserve">The White Paper drew attention to the importance of equity in higher education, and identified a number of key disadvantaged groups that remain the focus of contemporary equity policy, including people from families with low incomes, those from rural areas, people with disability, </w:t>
      </w:r>
      <w:r w:rsidR="00A64DC3">
        <w:t xml:space="preserve">Indigenous </w:t>
      </w:r>
      <w:r>
        <w:t xml:space="preserve">people, and women in non-traditional areas of study. These groups broadly follow from the disadvantaged groups identified with respect to school education in the </w:t>
      </w:r>
      <w:r w:rsidRPr="0066029F">
        <w:t>1970s (DEST 2007).</w:t>
      </w:r>
      <w:r>
        <w:t xml:space="preserve"> The White Paper notes the importance of sector growth as well as the need for ‘direct and specific strategies’ at the institutional, state and federal levels to promote equity, and it identifies the ‘crucial role’ of schools as well as higher education institutions in improving equity (</w:t>
      </w:r>
      <w:r w:rsidR="008C090E" w:rsidRPr="00AD49C8">
        <w:t>Box 2.3</w:t>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14:paraId="16EE1042" w14:textId="77777777" w:rsidTr="003907BB">
        <w:trPr>
          <w:cantSplit/>
        </w:trPr>
        <w:tc>
          <w:tcPr>
            <w:tcW w:w="8614" w:type="dxa"/>
            <w:tcMar>
              <w:top w:w="160" w:type="dxa"/>
              <w:left w:w="446" w:type="dxa"/>
              <w:bottom w:w="0" w:type="dxa"/>
              <w:right w:w="0" w:type="dxa"/>
            </w:tcMar>
            <w:hideMark/>
          </w:tcPr>
          <w:p w14:paraId="311893E2" w14:textId="77777777" w:rsidR="003907BB" w:rsidRDefault="003907BB" w:rsidP="003907BB">
            <w:pPr>
              <w:pStyle w:val="Caption"/>
            </w:pPr>
            <w:bookmarkStart w:id="75" w:name="_Ref462943181"/>
            <w:bookmarkStart w:id="76" w:name="_Toc466657011"/>
            <w:r>
              <w:rPr>
                <w:rStyle w:val="CaptionLabel"/>
              </w:rPr>
              <w:t>Box </w:t>
            </w:r>
            <w:r w:rsidR="008C090E">
              <w:rPr>
                <w:rStyle w:val="CaptionLabel"/>
                <w:noProof/>
              </w:rPr>
              <w:t>2</w:t>
            </w:r>
            <w:r>
              <w:rPr>
                <w:rStyle w:val="CaptionLabel"/>
              </w:rPr>
              <w:t>.</w:t>
            </w:r>
            <w:r w:rsidR="008C090E">
              <w:rPr>
                <w:rStyle w:val="CaptionLabel"/>
                <w:noProof/>
              </w:rPr>
              <w:t>3</w:t>
            </w:r>
            <w:bookmarkEnd w:id="75"/>
            <w:r>
              <w:tab/>
              <w:t>HE equity policy direction from the Dawkins White Paper</w:t>
            </w:r>
            <w:bookmarkEnd w:id="76"/>
          </w:p>
        </w:tc>
      </w:tr>
      <w:tr w:rsidR="003907BB" w14:paraId="0088B288" w14:textId="77777777" w:rsidTr="003907BB">
        <w:trPr>
          <w:cantSplit/>
          <w:trHeight w:val="380"/>
        </w:trPr>
        <w:tc>
          <w:tcPr>
            <w:tcW w:w="8614" w:type="dxa"/>
            <w:shd w:val="clear" w:color="auto" w:fill="E4E0DD"/>
            <w:hideMark/>
          </w:tcPr>
          <w:p w14:paraId="45F26E92" w14:textId="77777777" w:rsidR="003907BB" w:rsidRDefault="00A45AB3" w:rsidP="003907BB">
            <w:pPr>
              <w:pStyle w:val="spacer"/>
            </w:pPr>
            <w:r>
              <w:rPr>
                <w:noProof/>
                <w:lang w:eastAsia="en-AU"/>
              </w:rPr>
              <mc:AlternateContent>
                <mc:Choice Requires="wps">
                  <w:drawing>
                    <wp:anchor distT="0" distB="0" distL="114300" distR="114300" simplePos="0" relativeHeight="251599360" behindDoc="0" locked="1" layoutInCell="1" allowOverlap="1" wp14:anchorId="04F5446B" wp14:editId="5BCD5DC3">
                      <wp:simplePos x="0" y="0"/>
                      <wp:positionH relativeFrom="rightMargin">
                        <wp:posOffset>-772795</wp:posOffset>
                      </wp:positionH>
                      <wp:positionV relativeFrom="page">
                        <wp:posOffset>0</wp:posOffset>
                      </wp:positionV>
                      <wp:extent cx="436880" cy="213360"/>
                      <wp:effectExtent l="0" t="0" r="1270" b="0"/>
                      <wp:wrapNone/>
                      <wp:docPr id="404" name="Freeform 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169F0E" id="Freeform 404" o:spid="_x0000_s1026" style="position:absolute;margin-left:-60.85pt;margin-top:0;width:34.4pt;height:16.8pt;z-index:251599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vQewMAAMQJAAAOAAAAZHJzL2Uyb0RvYy54bWysVsFu2zgQvS/QfyB0LNDIsh3HMaIURbIp&#10;FkjbAHHRMy1RllCJ1JK05fTr+4YSbdmNm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B1t70H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6FBD466D" w14:textId="77777777" w:rsidTr="003907BB">
        <w:trPr>
          <w:cantSplit/>
        </w:trPr>
        <w:tc>
          <w:tcPr>
            <w:tcW w:w="8614" w:type="dxa"/>
            <w:shd w:val="clear" w:color="auto" w:fill="E4E0DD"/>
            <w:tcMar>
              <w:top w:w="276" w:type="dxa"/>
              <w:left w:w="0" w:type="dxa"/>
              <w:bottom w:w="184" w:type="dxa"/>
              <w:right w:w="120" w:type="dxa"/>
            </w:tcMar>
            <w:hideMark/>
          </w:tcPr>
          <w:p w14:paraId="1735B691" w14:textId="77777777" w:rsidR="003907BB" w:rsidRDefault="003907BB" w:rsidP="003907BB">
            <w:pPr>
              <w:pStyle w:val="BoxText"/>
            </w:pPr>
            <w:r>
              <w:t>‘The Government is committed to improving access to and success in the higher education system. This goal is critical to our ability to realise the full potential of all Australians and to produce the highest quality graduates.</w:t>
            </w:r>
          </w:p>
          <w:p w14:paraId="02A9A422" w14:textId="77777777" w:rsidR="003907BB" w:rsidRDefault="003907BB" w:rsidP="003907BB">
            <w:pPr>
              <w:pStyle w:val="BoxText"/>
            </w:pPr>
            <w:r>
              <w:t>Inefficiencies arise because significant barriers still exist to the full participation of disadvantaged groups in higher education. Capable and qualified people from families with relatively low income levels, from rural areas and the disabled, draw less on the benefits of higher education than others. As well, for reasons related not only to income, Aboriginals face distinct disadvantages in terms of access and some migrant groups face particular cultural and language barriers to successful participation and inadequate recognition of qualifications gained overseas. Furthermore, women now account for more than half the total enrolments in higher education, but they remain heavily concentrated in a narrow range of courses and disciplines. This high degree of concentration is not only a significant barrier to women's full and equal participation in subsequent employment but is also a major source of structural rigidity and inefficiency.</w:t>
            </w:r>
          </w:p>
          <w:p w14:paraId="410A67F5" w14:textId="77777777" w:rsidR="003907BB" w:rsidRDefault="003907BB" w:rsidP="003907BB">
            <w:pPr>
              <w:pStyle w:val="BoxText"/>
            </w:pPr>
            <w:r>
              <w:t>Improvements in access and equity are heavily dependent on growth in the system. Without new places in the system, it will be difficult to change the balance of the student body to reflect more closely the structure and composition of society as a whole.</w:t>
            </w:r>
          </w:p>
          <w:p w14:paraId="4742FBA8" w14:textId="77777777" w:rsidR="003907BB" w:rsidRDefault="003907BB" w:rsidP="003907BB">
            <w:pPr>
              <w:pStyle w:val="BoxText"/>
            </w:pPr>
            <w:r>
              <w:t>While growth will facilitate the achievement of greater equity in higher education, growth alone will not be sufficient. As a complement, more direct and specific strategies are needed at the institutional, State and national levels. The development of these strategies requires a close examination of factors influencing both access to higher education and the success rates of those who gain entry. Schools as well as higher education institutions will have a crucial role to play in this process.’</w:t>
            </w:r>
          </w:p>
        </w:tc>
      </w:tr>
      <w:tr w:rsidR="003907BB" w14:paraId="0153E5E1" w14:textId="77777777" w:rsidTr="003907BB">
        <w:trPr>
          <w:cantSplit/>
        </w:trPr>
        <w:tc>
          <w:tcPr>
            <w:tcW w:w="8614" w:type="dxa"/>
            <w:tcMar>
              <w:top w:w="12" w:type="dxa"/>
              <w:left w:w="446" w:type="dxa"/>
              <w:bottom w:w="113" w:type="dxa"/>
              <w:right w:w="0" w:type="dxa"/>
            </w:tcMar>
            <w:hideMark/>
          </w:tcPr>
          <w:p w14:paraId="4B43C11A" w14:textId="77777777" w:rsidR="003907BB" w:rsidRDefault="003907BB">
            <w:pPr>
              <w:pStyle w:val="Source"/>
            </w:pPr>
            <w:r w:rsidRPr="00B60C2C">
              <w:t>Source: dawkins 1988</w:t>
            </w:r>
          </w:p>
        </w:tc>
      </w:tr>
    </w:tbl>
    <w:p w14:paraId="0AA69DA4" w14:textId="77777777" w:rsidR="003907BB" w:rsidRDefault="003907BB" w:rsidP="003907BB">
      <w:pPr>
        <w:pStyle w:val="BodyText"/>
      </w:pPr>
      <w:r>
        <w:t xml:space="preserve">The Dawkins White Paper also proposed a range of key higher education reforms, including the establishment of the HECS scheme (now HECS-HELP). This reform agenda led to the development of a public discussion paper in 1990, </w:t>
      </w:r>
      <w:r>
        <w:rPr>
          <w:i/>
        </w:rPr>
        <w:t>A Fair Chance for All</w:t>
      </w:r>
      <w:r>
        <w:t xml:space="preserve">, by the Department of Employment, Education and Training and the National Board of Employment, Education and Training. </w:t>
      </w:r>
      <w:r>
        <w:rPr>
          <w:i/>
        </w:rPr>
        <w:t>A Fair Chance for All</w:t>
      </w:r>
      <w:r>
        <w:t xml:space="preserve"> has continued to provide a foundation for higher education equity policy in the decades since.</w:t>
      </w:r>
    </w:p>
    <w:p w14:paraId="34FA5933" w14:textId="77777777" w:rsidR="003907BB" w:rsidRDefault="003907BB" w:rsidP="00AD49C8">
      <w:pPr>
        <w:pStyle w:val="Heading4"/>
      </w:pPr>
      <w:r>
        <w:rPr>
          <w:i/>
        </w:rPr>
        <w:t>A Fair Chance for All</w:t>
      </w:r>
    </w:p>
    <w:p w14:paraId="033CB67C" w14:textId="77777777" w:rsidR="003907BB" w:rsidRDefault="003907BB" w:rsidP="003907BB">
      <w:pPr>
        <w:pStyle w:val="BodyText"/>
        <w:keepNext/>
      </w:pPr>
      <w:r>
        <w:t xml:space="preserve">The Department’s </w:t>
      </w:r>
      <w:r w:rsidRPr="00B60C2C">
        <w:t xml:space="preserve">discussion paper, </w:t>
      </w:r>
      <w:r w:rsidRPr="00B60C2C">
        <w:rPr>
          <w:i/>
        </w:rPr>
        <w:t>A Fair Chance for All</w:t>
      </w:r>
      <w:r w:rsidRPr="00B60C2C">
        <w:t xml:space="preserve"> (1990), formally</w:t>
      </w:r>
      <w:r w:rsidRPr="00B60C2C">
        <w:rPr>
          <w:i/>
        </w:rPr>
        <w:t xml:space="preserve"> </w:t>
      </w:r>
      <w:r w:rsidRPr="00B60C2C">
        <w:t>identified</w:t>
      </w:r>
      <w:r>
        <w:t xml:space="preserve"> the following six ‘specific groups’ as the focus of equity policy:</w:t>
      </w:r>
    </w:p>
    <w:p w14:paraId="4B3170AD" w14:textId="77777777" w:rsidR="003907BB" w:rsidRDefault="003907BB" w:rsidP="00A45AB3">
      <w:pPr>
        <w:pStyle w:val="ListBullet"/>
        <w:keepNext/>
        <w:numPr>
          <w:ilvl w:val="0"/>
          <w:numId w:val="44"/>
        </w:numPr>
        <w:ind w:hanging="448"/>
      </w:pPr>
      <w:r>
        <w:t>people from socio</w:t>
      </w:r>
      <w:r w:rsidR="00C87D70">
        <w:t>-</w:t>
      </w:r>
      <w:r>
        <w:t>economically disadvantaged backgrounds</w:t>
      </w:r>
    </w:p>
    <w:p w14:paraId="42BC72D5" w14:textId="77777777" w:rsidR="003907BB" w:rsidRDefault="003907BB" w:rsidP="00A45AB3">
      <w:pPr>
        <w:pStyle w:val="ListBullet"/>
        <w:keepNext/>
        <w:numPr>
          <w:ilvl w:val="0"/>
          <w:numId w:val="44"/>
        </w:numPr>
        <w:ind w:hanging="448"/>
      </w:pPr>
      <w:r>
        <w:t>Aboriginal and Torres Strait Islander people</w:t>
      </w:r>
    </w:p>
    <w:p w14:paraId="528E1D3C" w14:textId="77777777" w:rsidR="003907BB" w:rsidRDefault="003907BB" w:rsidP="00A45AB3">
      <w:pPr>
        <w:pStyle w:val="ListBullet"/>
        <w:keepNext/>
        <w:numPr>
          <w:ilvl w:val="0"/>
          <w:numId w:val="44"/>
        </w:numPr>
        <w:ind w:hanging="448"/>
      </w:pPr>
      <w:r>
        <w:t>women, with particular emphasis on non-traditional courses and research and higher degrees</w:t>
      </w:r>
    </w:p>
    <w:p w14:paraId="3104680E" w14:textId="77777777" w:rsidR="003907BB" w:rsidRDefault="003907BB" w:rsidP="00A45AB3">
      <w:pPr>
        <w:pStyle w:val="ListBullet"/>
        <w:keepNext/>
        <w:numPr>
          <w:ilvl w:val="0"/>
          <w:numId w:val="44"/>
        </w:numPr>
        <w:ind w:hanging="448"/>
      </w:pPr>
      <w:r>
        <w:t>people from non-English speaking backgrounds</w:t>
      </w:r>
    </w:p>
    <w:p w14:paraId="1118B216" w14:textId="77777777" w:rsidR="003907BB" w:rsidRDefault="003907BB" w:rsidP="00A45AB3">
      <w:pPr>
        <w:pStyle w:val="ListBullet"/>
        <w:keepNext/>
        <w:numPr>
          <w:ilvl w:val="0"/>
          <w:numId w:val="44"/>
        </w:numPr>
        <w:ind w:hanging="448"/>
      </w:pPr>
      <w:r>
        <w:t>people with disabilities</w:t>
      </w:r>
    </w:p>
    <w:p w14:paraId="7B74B707" w14:textId="77777777" w:rsidR="003907BB" w:rsidRDefault="003907BB" w:rsidP="00A45AB3">
      <w:pPr>
        <w:pStyle w:val="ListBullet"/>
        <w:keepNext/>
        <w:numPr>
          <w:ilvl w:val="0"/>
          <w:numId w:val="44"/>
        </w:numPr>
        <w:ind w:hanging="448"/>
      </w:pPr>
      <w:r>
        <w:t>people from rural and isolated areas.</w:t>
      </w:r>
    </w:p>
    <w:p w14:paraId="479E7ADC" w14:textId="77777777" w:rsidR="003907BB" w:rsidRDefault="003907BB" w:rsidP="003907BB">
      <w:pPr>
        <w:pStyle w:val="BodyText"/>
      </w:pPr>
      <w:r>
        <w:t>Although operational definitions for the groups were not established until 1994—in Marti</w:t>
      </w:r>
      <w:r w:rsidRPr="00B60C2C">
        <w:t>n’s</w:t>
      </w:r>
      <w:r>
        <w:t xml:space="preserve"> (1994)</w:t>
      </w:r>
      <w:r w:rsidRPr="00B60C2C">
        <w:t xml:space="preserve"> </w:t>
      </w:r>
      <w:r w:rsidRPr="00B60C2C">
        <w:rPr>
          <w:i/>
        </w:rPr>
        <w:t>Equity and General Performance Indicators in Higher Education</w:t>
      </w:r>
      <w:r w:rsidRPr="00B60C2C">
        <w:t xml:space="preserve"> report—</w:t>
      </w:r>
      <w:r>
        <w:rPr>
          <w:i/>
        </w:rPr>
        <w:t>A Fair Chance for All</w:t>
      </w:r>
      <w:r>
        <w:t xml:space="preserve"> set out specific objectives and targets for each group, and provided a range of strategies that could be used to achieve these</w:t>
      </w:r>
      <w:r w:rsidR="00556B2D">
        <w:t xml:space="preserve"> (</w:t>
      </w:r>
      <w:r w:rsidR="008C090E" w:rsidRPr="00AD49C8">
        <w:t>Box 2.4</w:t>
      </w:r>
      <w:r w:rsidR="00556B2D">
        <w:t>)</w:t>
      </w:r>
      <w:r>
        <w:t xml:space="preserve">. The six equity groups continue to shape higher education equity policy in Australia, including as the six disadvantaged groups proposed as the target for HEPPP in the reforms discussed </w:t>
      </w:r>
      <w:r w:rsidR="000E3BC7">
        <w:t>above</w:t>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14:paraId="06B9DF85" w14:textId="77777777" w:rsidTr="003907BB">
        <w:trPr>
          <w:cantSplit/>
        </w:trPr>
        <w:tc>
          <w:tcPr>
            <w:tcW w:w="8614" w:type="dxa"/>
            <w:tcMar>
              <w:top w:w="160" w:type="dxa"/>
              <w:left w:w="446" w:type="dxa"/>
              <w:bottom w:w="0" w:type="dxa"/>
              <w:right w:w="0" w:type="dxa"/>
            </w:tcMar>
            <w:hideMark/>
          </w:tcPr>
          <w:p w14:paraId="25DC1261" w14:textId="77777777" w:rsidR="003907BB" w:rsidRDefault="003907BB" w:rsidP="000729C9">
            <w:pPr>
              <w:pStyle w:val="Caption"/>
              <w:rPr>
                <w:i/>
              </w:rPr>
            </w:pPr>
            <w:bookmarkStart w:id="77" w:name="_Ref462943197"/>
            <w:bookmarkStart w:id="78" w:name="_Toc466657012"/>
            <w:r>
              <w:rPr>
                <w:rStyle w:val="CaptionLabel"/>
              </w:rPr>
              <w:t>Box </w:t>
            </w:r>
            <w:r w:rsidR="008C090E">
              <w:rPr>
                <w:rStyle w:val="CaptionLabel"/>
                <w:noProof/>
              </w:rPr>
              <w:t>2</w:t>
            </w:r>
            <w:r>
              <w:rPr>
                <w:rStyle w:val="CaptionLabel"/>
              </w:rPr>
              <w:t>.</w:t>
            </w:r>
            <w:r w:rsidR="008C090E">
              <w:rPr>
                <w:rStyle w:val="CaptionLabel"/>
                <w:noProof/>
              </w:rPr>
              <w:t>4</w:t>
            </w:r>
            <w:bookmarkEnd w:id="77"/>
            <w:r>
              <w:tab/>
              <w:t>Objectives, targets and strategies for people from socio</w:t>
            </w:r>
            <w:r w:rsidR="00C87D70">
              <w:noBreakHyphen/>
            </w:r>
            <w:r>
              <w:t xml:space="preserve">economically disadvantaged backgrounds, </w:t>
            </w:r>
            <w:r>
              <w:rPr>
                <w:i/>
              </w:rPr>
              <w:t>A Fair Chance for All</w:t>
            </w:r>
            <w:bookmarkEnd w:id="78"/>
          </w:p>
        </w:tc>
      </w:tr>
      <w:tr w:rsidR="003907BB" w14:paraId="2FFA975E" w14:textId="77777777" w:rsidTr="003907BB">
        <w:trPr>
          <w:cantSplit/>
          <w:trHeight w:val="380"/>
        </w:trPr>
        <w:tc>
          <w:tcPr>
            <w:tcW w:w="8614" w:type="dxa"/>
            <w:shd w:val="clear" w:color="auto" w:fill="E4E0DD"/>
            <w:hideMark/>
          </w:tcPr>
          <w:p w14:paraId="23C0A159" w14:textId="77777777" w:rsidR="003907BB" w:rsidRDefault="00A45AB3" w:rsidP="003907BB">
            <w:pPr>
              <w:pStyle w:val="spacer"/>
            </w:pPr>
            <w:r>
              <w:rPr>
                <w:noProof/>
                <w:lang w:eastAsia="en-AU"/>
              </w:rPr>
              <mc:AlternateContent>
                <mc:Choice Requires="wps">
                  <w:drawing>
                    <wp:anchor distT="0" distB="0" distL="114300" distR="114300" simplePos="0" relativeHeight="251601408" behindDoc="0" locked="1" layoutInCell="1" allowOverlap="1" wp14:anchorId="6EF63872" wp14:editId="7092DAB4">
                      <wp:simplePos x="0" y="0"/>
                      <wp:positionH relativeFrom="rightMargin">
                        <wp:posOffset>-772795</wp:posOffset>
                      </wp:positionH>
                      <wp:positionV relativeFrom="page">
                        <wp:posOffset>0</wp:posOffset>
                      </wp:positionV>
                      <wp:extent cx="436880" cy="213360"/>
                      <wp:effectExtent l="0" t="0" r="1270" b="0"/>
                      <wp:wrapNone/>
                      <wp:docPr id="405" name="Freeform 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903A1B" id="Freeform 405" o:spid="_x0000_s1026" style="position:absolute;margin-left:-60.85pt;margin-top:0;width:34.4pt;height:16.8pt;z-index:25160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HgAMAAMQ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712F54F6" w14:textId="77777777" w:rsidTr="003907BB">
        <w:trPr>
          <w:cantSplit/>
        </w:trPr>
        <w:tc>
          <w:tcPr>
            <w:tcW w:w="8614" w:type="dxa"/>
            <w:shd w:val="clear" w:color="auto" w:fill="E4E0DD"/>
            <w:tcMar>
              <w:top w:w="276" w:type="dxa"/>
              <w:left w:w="0" w:type="dxa"/>
              <w:bottom w:w="184" w:type="dxa"/>
              <w:right w:w="120" w:type="dxa"/>
            </w:tcMar>
            <w:hideMark/>
          </w:tcPr>
          <w:p w14:paraId="3B8DC84A" w14:textId="77777777" w:rsidR="003907BB" w:rsidRDefault="003907BB" w:rsidP="003907BB">
            <w:pPr>
              <w:pStyle w:val="BoxTextBoldItalic"/>
            </w:pPr>
            <w:r>
              <w:t>Objective</w:t>
            </w:r>
          </w:p>
          <w:p w14:paraId="4949A23D" w14:textId="77777777" w:rsidR="003907BB" w:rsidRDefault="003907BB" w:rsidP="003907BB">
            <w:pPr>
              <w:pStyle w:val="BoxText"/>
            </w:pPr>
            <w:r>
              <w:t>To improve the participation in higher education of people from socio</w:t>
            </w:r>
            <w:r w:rsidR="00C87D70">
              <w:t>-</w:t>
            </w:r>
            <w:r>
              <w:t>economically disadvantaged backgrounds so that the mix of commencing students more closely resembles the mix of the general population.</w:t>
            </w:r>
          </w:p>
          <w:p w14:paraId="28E1D275" w14:textId="77777777" w:rsidR="003907BB" w:rsidRDefault="003907BB" w:rsidP="003907BB">
            <w:pPr>
              <w:pStyle w:val="BoxTextBoldItalic"/>
            </w:pPr>
            <w:r>
              <w:t>Target</w:t>
            </w:r>
          </w:p>
          <w:p w14:paraId="7A53933D" w14:textId="77777777" w:rsidR="003907BB" w:rsidRDefault="003907BB" w:rsidP="003907BB">
            <w:pPr>
              <w:pStyle w:val="BoxText"/>
            </w:pPr>
            <w:r>
              <w:t>All institutions to develop special entry arrangements for people from socio</w:t>
            </w:r>
            <w:r w:rsidR="00C87D70">
              <w:t>-</w:t>
            </w:r>
            <w:r>
              <w:t>economically disadvantaged backgrounds by 1992.</w:t>
            </w:r>
          </w:p>
          <w:p w14:paraId="734488F6" w14:textId="77777777" w:rsidR="003907BB" w:rsidRDefault="003907BB" w:rsidP="003907BB">
            <w:pPr>
              <w:pStyle w:val="BoxTextBoldItalic"/>
            </w:pPr>
            <w:r>
              <w:t>Strategies to achieve the objective and target</w:t>
            </w:r>
          </w:p>
          <w:p w14:paraId="274744AC" w14:textId="77777777" w:rsidR="003907BB" w:rsidRDefault="003907BB" w:rsidP="00A45AB3">
            <w:pPr>
              <w:pStyle w:val="BoxListBullet"/>
              <w:numPr>
                <w:ilvl w:val="0"/>
                <w:numId w:val="42"/>
              </w:numPr>
            </w:pPr>
            <w:r>
              <w:t>Further development of special entry arrangements</w:t>
            </w:r>
          </w:p>
          <w:p w14:paraId="74224556" w14:textId="77777777" w:rsidR="003907BB" w:rsidRDefault="003907BB" w:rsidP="00A45AB3">
            <w:pPr>
              <w:pStyle w:val="BoxListBullet"/>
              <w:numPr>
                <w:ilvl w:val="0"/>
                <w:numId w:val="42"/>
              </w:numPr>
            </w:pPr>
            <w:r>
              <w:t>Bridging and supplementary support programs</w:t>
            </w:r>
          </w:p>
          <w:p w14:paraId="61CADFB0" w14:textId="77777777" w:rsidR="003907BB" w:rsidRDefault="003907BB" w:rsidP="00A45AB3">
            <w:pPr>
              <w:pStyle w:val="BoxListBullet"/>
              <w:numPr>
                <w:ilvl w:val="0"/>
                <w:numId w:val="42"/>
              </w:numPr>
            </w:pPr>
            <w:r>
              <w:t>School and community higher education awareness programs in disadvantaged areas</w:t>
            </w:r>
          </w:p>
          <w:p w14:paraId="3EF44F0F" w14:textId="77777777" w:rsidR="003907BB" w:rsidRDefault="003907BB" w:rsidP="00A45AB3">
            <w:pPr>
              <w:pStyle w:val="BoxListBullet"/>
              <w:numPr>
                <w:ilvl w:val="0"/>
                <w:numId w:val="42"/>
              </w:numPr>
            </w:pPr>
            <w:r>
              <w:t>Subsidised child care</w:t>
            </w:r>
          </w:p>
          <w:p w14:paraId="3D89D069" w14:textId="77777777" w:rsidR="00C87D70" w:rsidRDefault="003907BB" w:rsidP="00A45AB3">
            <w:pPr>
              <w:pStyle w:val="BoxListBullet"/>
              <w:numPr>
                <w:ilvl w:val="0"/>
                <w:numId w:val="42"/>
              </w:numPr>
            </w:pPr>
            <w:r>
              <w:t>Improving links with TAFE</w:t>
            </w:r>
          </w:p>
          <w:p w14:paraId="6B0D1D70" w14:textId="77777777" w:rsidR="003907BB" w:rsidRDefault="003907BB" w:rsidP="00A45AB3">
            <w:pPr>
              <w:pStyle w:val="BoxListBullet"/>
              <w:numPr>
                <w:ilvl w:val="0"/>
                <w:numId w:val="42"/>
              </w:numPr>
            </w:pPr>
            <w:r>
              <w:t>Developing information directed at long-term unemployed people.</w:t>
            </w:r>
          </w:p>
        </w:tc>
      </w:tr>
      <w:tr w:rsidR="003907BB" w:rsidRPr="000E4785" w14:paraId="59D4227B" w14:textId="77777777" w:rsidTr="003907BB">
        <w:trPr>
          <w:cantSplit/>
        </w:trPr>
        <w:tc>
          <w:tcPr>
            <w:tcW w:w="8614" w:type="dxa"/>
            <w:tcMar>
              <w:top w:w="12" w:type="dxa"/>
              <w:left w:w="446" w:type="dxa"/>
              <w:bottom w:w="113" w:type="dxa"/>
              <w:right w:w="0" w:type="dxa"/>
            </w:tcMar>
            <w:hideMark/>
          </w:tcPr>
          <w:p w14:paraId="3FDB4433" w14:textId="77777777" w:rsidR="003907BB" w:rsidRPr="000E4785" w:rsidRDefault="003907BB">
            <w:pPr>
              <w:pStyle w:val="Source"/>
            </w:pPr>
            <w:r w:rsidRPr="000E4785">
              <w:t>Source: department of employment, education and training and National Board of employment, education and training 1990</w:t>
            </w:r>
          </w:p>
        </w:tc>
      </w:tr>
    </w:tbl>
    <w:p w14:paraId="3A3BAD3D" w14:textId="77777777" w:rsidR="003907BB" w:rsidRDefault="003907BB" w:rsidP="003907BB">
      <w:pPr>
        <w:pStyle w:val="BodyText"/>
      </w:pPr>
      <w:r>
        <w:t xml:space="preserve">A number of features of current equity policy as manifested through the HEPPP are visible in the strategies and broader objectives of </w:t>
      </w:r>
      <w:r>
        <w:rPr>
          <w:i/>
        </w:rPr>
        <w:t xml:space="preserve">A Fair Chance for All. </w:t>
      </w:r>
      <w:r>
        <w:t>These include the specific focus on outreach (through schools and communities, as well as the VET sector), the importance of special entry arrangements and support programs, and the focus on participation and improving the representation of people from low SES backgrounds to be more aligned with that in the broader population.</w:t>
      </w:r>
    </w:p>
    <w:p w14:paraId="1E71CDDC" w14:textId="77777777" w:rsidR="003907BB" w:rsidRDefault="003907BB" w:rsidP="003907BB">
      <w:pPr>
        <w:pStyle w:val="BodyText"/>
      </w:pPr>
      <w:r>
        <w:rPr>
          <w:i/>
        </w:rPr>
        <w:t xml:space="preserve">A Fair Chance for All </w:t>
      </w:r>
      <w:r>
        <w:t>identified the responsibilities of both the Government and higher education institutions to achieve national equity goals (</w:t>
      </w:r>
      <w:r w:rsidR="008C090E" w:rsidRPr="00AD49C8">
        <w:t>Box 2.5</w:t>
      </w:r>
      <w:r>
        <w:t>), and these responsibilities formed the Higher Education Equity Program (Broadbent 1994).</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7"/>
        <w:gridCol w:w="4307"/>
      </w:tblGrid>
      <w:tr w:rsidR="003907BB" w14:paraId="2462E537" w14:textId="77777777" w:rsidTr="003907BB">
        <w:trPr>
          <w:cantSplit/>
        </w:trPr>
        <w:tc>
          <w:tcPr>
            <w:tcW w:w="8614" w:type="dxa"/>
            <w:gridSpan w:val="2"/>
            <w:tcMar>
              <w:top w:w="160" w:type="dxa"/>
              <w:left w:w="446" w:type="dxa"/>
              <w:bottom w:w="0" w:type="dxa"/>
              <w:right w:w="0" w:type="dxa"/>
            </w:tcMar>
            <w:hideMark/>
          </w:tcPr>
          <w:p w14:paraId="0EF33C74" w14:textId="77777777" w:rsidR="003907BB" w:rsidRDefault="003907BB" w:rsidP="003907BB">
            <w:pPr>
              <w:pStyle w:val="Caption"/>
            </w:pPr>
            <w:bookmarkStart w:id="79" w:name="_Ref461633416"/>
            <w:bookmarkStart w:id="80" w:name="_Toc466657013"/>
            <w:r>
              <w:rPr>
                <w:rStyle w:val="CaptionLabel"/>
              </w:rPr>
              <w:t>Box </w:t>
            </w:r>
            <w:r w:rsidR="008C090E">
              <w:rPr>
                <w:rStyle w:val="CaptionLabel"/>
                <w:noProof/>
              </w:rPr>
              <w:t>2</w:t>
            </w:r>
            <w:r>
              <w:rPr>
                <w:rStyle w:val="CaptionLabel"/>
              </w:rPr>
              <w:t>.</w:t>
            </w:r>
            <w:r w:rsidR="008C090E">
              <w:rPr>
                <w:rStyle w:val="CaptionLabel"/>
                <w:noProof/>
              </w:rPr>
              <w:t>5</w:t>
            </w:r>
            <w:bookmarkEnd w:id="79"/>
            <w:r>
              <w:tab/>
              <w:t>Commonwealth and Institutional equity responsibilities</w:t>
            </w:r>
            <w:bookmarkEnd w:id="80"/>
          </w:p>
        </w:tc>
      </w:tr>
      <w:tr w:rsidR="003907BB" w14:paraId="001F32AF" w14:textId="77777777" w:rsidTr="003907BB">
        <w:trPr>
          <w:cantSplit/>
          <w:trHeight w:val="380"/>
        </w:trPr>
        <w:tc>
          <w:tcPr>
            <w:tcW w:w="8614" w:type="dxa"/>
            <w:gridSpan w:val="2"/>
            <w:shd w:val="clear" w:color="auto" w:fill="E4E0DD"/>
            <w:hideMark/>
          </w:tcPr>
          <w:p w14:paraId="010035DE" w14:textId="77777777" w:rsidR="003907BB" w:rsidRDefault="00A45AB3" w:rsidP="003907BB">
            <w:pPr>
              <w:pStyle w:val="spacer"/>
            </w:pPr>
            <w:r>
              <w:rPr>
                <w:noProof/>
                <w:lang w:eastAsia="en-AU"/>
              </w:rPr>
              <mc:AlternateContent>
                <mc:Choice Requires="wps">
                  <w:drawing>
                    <wp:anchor distT="0" distB="0" distL="114300" distR="114300" simplePos="0" relativeHeight="251603456" behindDoc="0" locked="1" layoutInCell="1" allowOverlap="1" wp14:anchorId="199266E4" wp14:editId="4CDD1590">
                      <wp:simplePos x="0" y="0"/>
                      <wp:positionH relativeFrom="rightMargin">
                        <wp:posOffset>-772795</wp:posOffset>
                      </wp:positionH>
                      <wp:positionV relativeFrom="page">
                        <wp:posOffset>0</wp:posOffset>
                      </wp:positionV>
                      <wp:extent cx="436880" cy="213360"/>
                      <wp:effectExtent l="0" t="0" r="1270" b="0"/>
                      <wp:wrapNone/>
                      <wp:docPr id="532" name="Freeform 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E103C4" id="Freeform 532" o:spid="_x0000_s1026" style="position:absolute;margin-left:-60.85pt;margin-top:0;width:34.4pt;height:16.8pt;z-index:251603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M25XkN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4C2877FE" w14:textId="77777777" w:rsidTr="003907BB">
        <w:trPr>
          <w:cantSplit/>
        </w:trPr>
        <w:tc>
          <w:tcPr>
            <w:tcW w:w="4307" w:type="dxa"/>
            <w:shd w:val="clear" w:color="auto" w:fill="E4E0DD"/>
            <w:tcMar>
              <w:top w:w="276" w:type="dxa"/>
              <w:left w:w="0" w:type="dxa"/>
              <w:bottom w:w="184" w:type="dxa"/>
              <w:right w:w="120" w:type="dxa"/>
            </w:tcMar>
            <w:hideMark/>
          </w:tcPr>
          <w:p w14:paraId="47E81D6B" w14:textId="77777777" w:rsidR="003907BB" w:rsidRDefault="003907BB" w:rsidP="003907BB">
            <w:pPr>
              <w:pStyle w:val="BoxTextBoldItalic"/>
            </w:pPr>
            <w:r>
              <w:t>Commonwealth responsibilities</w:t>
            </w:r>
          </w:p>
          <w:p w14:paraId="2EBD7FE7" w14:textId="77777777" w:rsidR="003907BB" w:rsidRDefault="003907BB" w:rsidP="00A45AB3">
            <w:pPr>
              <w:pStyle w:val="BoxListBullet"/>
              <w:numPr>
                <w:ilvl w:val="0"/>
                <w:numId w:val="42"/>
              </w:numPr>
            </w:pPr>
            <w:r>
              <w:t>develop a national overview of equity problems, initiatives and gaps in provision</w:t>
            </w:r>
          </w:p>
          <w:p w14:paraId="36E08FD1" w14:textId="77777777" w:rsidR="003907BB" w:rsidRDefault="003907BB" w:rsidP="00A45AB3">
            <w:pPr>
              <w:pStyle w:val="BoxListBullet"/>
              <w:numPr>
                <w:ilvl w:val="0"/>
                <w:numId w:val="42"/>
              </w:numPr>
            </w:pPr>
            <w:r>
              <w:t>fund and evaluate specific purpose programs (such as HEEP and the Aboriginal Participation Initiative)</w:t>
            </w:r>
          </w:p>
          <w:p w14:paraId="5FFA2907" w14:textId="77777777" w:rsidR="003907BB" w:rsidRDefault="003907BB" w:rsidP="00A45AB3">
            <w:pPr>
              <w:pStyle w:val="BoxListBullet"/>
              <w:numPr>
                <w:ilvl w:val="0"/>
                <w:numId w:val="42"/>
              </w:numPr>
            </w:pPr>
            <w:r>
              <w:t>disseminate information on successful and innovative equity strategies</w:t>
            </w:r>
          </w:p>
          <w:p w14:paraId="1B04E529" w14:textId="77777777" w:rsidR="003907BB" w:rsidRDefault="003907BB" w:rsidP="00A45AB3">
            <w:pPr>
              <w:pStyle w:val="BoxListBullet"/>
              <w:numPr>
                <w:ilvl w:val="0"/>
                <w:numId w:val="42"/>
              </w:numPr>
            </w:pPr>
            <w:r>
              <w:t>monitor national progress toward the achievement of equity.</w:t>
            </w:r>
          </w:p>
        </w:tc>
        <w:tc>
          <w:tcPr>
            <w:tcW w:w="4307" w:type="dxa"/>
            <w:shd w:val="clear" w:color="auto" w:fill="E4E0DD"/>
            <w:hideMark/>
          </w:tcPr>
          <w:p w14:paraId="25D813CA" w14:textId="77777777" w:rsidR="003907BB" w:rsidRDefault="003907BB" w:rsidP="003907BB">
            <w:pPr>
              <w:pStyle w:val="BoxTextBoldItalic"/>
            </w:pPr>
            <w:r>
              <w:t>Institutional responsibilities</w:t>
            </w:r>
          </w:p>
          <w:p w14:paraId="6D7BE134" w14:textId="77777777" w:rsidR="003907BB" w:rsidRDefault="003907BB" w:rsidP="00A45AB3">
            <w:pPr>
              <w:pStyle w:val="BoxListBullet"/>
              <w:numPr>
                <w:ilvl w:val="0"/>
                <w:numId w:val="42"/>
              </w:numPr>
            </w:pPr>
            <w:r>
              <w:t>develop detailed equity plans for their own institution each year</w:t>
            </w:r>
          </w:p>
          <w:p w14:paraId="447B8A44" w14:textId="77777777" w:rsidR="003907BB" w:rsidRDefault="003907BB" w:rsidP="00A45AB3">
            <w:pPr>
              <w:pStyle w:val="BoxListBullet"/>
              <w:numPr>
                <w:ilvl w:val="0"/>
                <w:numId w:val="42"/>
              </w:numPr>
            </w:pPr>
            <w:r>
              <w:t>integrate equity objectives into the financial plans of the institution</w:t>
            </w:r>
          </w:p>
          <w:p w14:paraId="52742EA4" w14:textId="77777777" w:rsidR="003907BB" w:rsidRDefault="003907BB" w:rsidP="00A45AB3">
            <w:pPr>
              <w:pStyle w:val="BoxListBullet"/>
              <w:numPr>
                <w:ilvl w:val="0"/>
                <w:numId w:val="42"/>
              </w:numPr>
            </w:pPr>
            <w:r>
              <w:t>examine the composition of the student population to determine which of the six disadvantaged groups are the most appropriate to target within their institution</w:t>
            </w:r>
          </w:p>
          <w:p w14:paraId="4E2E1E8C" w14:textId="77777777" w:rsidR="003907BB" w:rsidRDefault="003907BB" w:rsidP="00A45AB3">
            <w:pPr>
              <w:pStyle w:val="BoxListBullet"/>
              <w:numPr>
                <w:ilvl w:val="0"/>
                <w:numId w:val="42"/>
              </w:numPr>
            </w:pPr>
            <w:r>
              <w:t>develop ways of monitoring the success of specific equity initiatives</w:t>
            </w:r>
          </w:p>
          <w:p w14:paraId="5A56B9F3" w14:textId="77777777" w:rsidR="003907BB" w:rsidRDefault="003907BB" w:rsidP="00A45AB3">
            <w:pPr>
              <w:pStyle w:val="BoxListBullet"/>
              <w:numPr>
                <w:ilvl w:val="0"/>
                <w:numId w:val="42"/>
              </w:numPr>
            </w:pPr>
            <w:r>
              <w:t>prepare annual reports on progress towards achieving equity objectives.</w:t>
            </w:r>
          </w:p>
        </w:tc>
      </w:tr>
      <w:tr w:rsidR="003907BB" w14:paraId="00489713" w14:textId="77777777" w:rsidTr="003907BB">
        <w:trPr>
          <w:cantSplit/>
        </w:trPr>
        <w:tc>
          <w:tcPr>
            <w:tcW w:w="8614" w:type="dxa"/>
            <w:gridSpan w:val="2"/>
            <w:tcMar>
              <w:top w:w="12" w:type="dxa"/>
              <w:left w:w="446" w:type="dxa"/>
              <w:bottom w:w="113" w:type="dxa"/>
              <w:right w:w="0" w:type="dxa"/>
            </w:tcMar>
            <w:hideMark/>
          </w:tcPr>
          <w:p w14:paraId="47902783" w14:textId="77777777" w:rsidR="003907BB" w:rsidRDefault="003907BB" w:rsidP="003907BB">
            <w:pPr>
              <w:pStyle w:val="Source"/>
            </w:pPr>
            <w:r w:rsidRPr="00B60C2C">
              <w:t>Source: Broadbent 1994</w:t>
            </w:r>
          </w:p>
        </w:tc>
      </w:tr>
    </w:tbl>
    <w:p w14:paraId="7BD85624" w14:textId="77777777" w:rsidR="003907BB" w:rsidRDefault="003907BB" w:rsidP="00AD49C8">
      <w:pPr>
        <w:pStyle w:val="Heading4"/>
      </w:pPr>
      <w:r>
        <w:t>Higher Education Equity Program</w:t>
      </w:r>
      <w:r w:rsidR="00556B2D">
        <w:t xml:space="preserve"> (HEEP)</w:t>
      </w:r>
    </w:p>
    <w:p w14:paraId="356DA3A8" w14:textId="77777777" w:rsidR="003907BB" w:rsidRPr="00B60C2C" w:rsidRDefault="00556B2D" w:rsidP="003907BB">
      <w:pPr>
        <w:pStyle w:val="BodyText"/>
      </w:pPr>
      <w:r>
        <w:t xml:space="preserve">The </w:t>
      </w:r>
      <w:r w:rsidR="003907BB">
        <w:t>HEEP required institutions to submit equity plans and progress reports to the Department each year</w:t>
      </w:r>
      <w:r>
        <w:t xml:space="preserve"> (</w:t>
      </w:r>
      <w:r w:rsidR="008C090E" w:rsidRPr="00AD49C8">
        <w:t>Box 2.5</w:t>
      </w:r>
      <w:r>
        <w:t>).</w:t>
      </w:r>
      <w:r w:rsidR="003907BB">
        <w:t xml:space="preserve"> Institutions did not have to target all of the six equity groups, and could tailor plans to their specific student population and catchment area. Indigenous students were supported through the separate Indigenous Support </w:t>
      </w:r>
      <w:r w:rsidR="003907BB" w:rsidRPr="00B60C2C">
        <w:t xml:space="preserve">Funding program (James </w:t>
      </w:r>
      <w:r w:rsidR="00A64DC3">
        <w:t>et al.</w:t>
      </w:r>
      <w:r w:rsidR="003907BB" w:rsidRPr="00B60C2C">
        <w:t xml:space="preserve"> 2004). The</w:t>
      </w:r>
      <w:r w:rsidR="003907BB">
        <w:t xml:space="preserve"> equity plans were </w:t>
      </w:r>
      <w:r w:rsidR="003907BB" w:rsidRPr="00B60C2C">
        <w:t>included in the education profiles that universities provided to the Department, and covered a three year period (Ramsay 2005). The first equity plans were developed in 1990, covering the 1991-1993 period (Broadbent 1994).</w:t>
      </w:r>
    </w:p>
    <w:p w14:paraId="4A2C4091" w14:textId="77777777" w:rsidR="003907BB" w:rsidRDefault="003907BB" w:rsidP="003907BB">
      <w:pPr>
        <w:pStyle w:val="BodyText"/>
      </w:pPr>
      <w:r w:rsidRPr="00B60C2C">
        <w:t>The Government provided funding</w:t>
      </w:r>
      <w:r>
        <w:t xml:space="preserve"> to universities based on their equity plans—approximately $4 million in total funding per year, equivalent to almost $7 million in 2016 (Broadbent 1994). This was ‘not meant to represent the sum total of institutional resources allocated to equity issues, but rather [was] provided as an incentive payment’ to encourage universities to integrate equity objectives into their broader planning and decision-making processes, and to invest their own resources into these objectives (Broadbent 1994).</w:t>
      </w:r>
    </w:p>
    <w:p w14:paraId="1EB5E108" w14:textId="77777777" w:rsidR="003907BB" w:rsidRDefault="003907BB" w:rsidP="003907BB">
      <w:pPr>
        <w:pStyle w:val="BodyText"/>
      </w:pPr>
      <w:r>
        <w:t xml:space="preserve">At the time, low SES was defined at the postcode level, using the ABS Index of Education and Occupation. Funding was calculated using the number of urban low SES students in each university, ‘to avoid the double counting of students from rural or isolated areas’ (James </w:t>
      </w:r>
      <w:r w:rsidR="00A64DC3">
        <w:t>et al.</w:t>
      </w:r>
      <w:r>
        <w:t xml:space="preserve"> 2004).</w:t>
      </w:r>
    </w:p>
    <w:p w14:paraId="4286A807" w14:textId="77777777" w:rsidR="003907BB" w:rsidRDefault="003907BB" w:rsidP="003907BB">
      <w:pPr>
        <w:pStyle w:val="BodyText"/>
      </w:pPr>
      <w:r>
        <w:t xml:space="preserve">In 1994, Broadbent’s evaluation of the program found that in contrast to the other equity groups, which had increasing participation rates and were meeting their set targets, no specific participation targets had been set for the low SES or rural/isolated groups in </w:t>
      </w:r>
      <w:r>
        <w:rPr>
          <w:i/>
        </w:rPr>
        <w:t>A Fair Chance for All</w:t>
      </w:r>
      <w:r>
        <w:t>. Their participation rates remained less than the broader population, although recent trends could not be determined. Broadbent proposed a number of future directions, including the development of measurable and consistent definitions of disadvantaged groups, improved data collection, reassessing access and participation targets, greater emphasis on program effectiveness and increased information-sharing between stakeholders.</w:t>
      </w:r>
    </w:p>
    <w:p w14:paraId="42E8F041" w14:textId="77777777" w:rsidR="003907BB" w:rsidRDefault="003907BB" w:rsidP="003907BB">
      <w:pPr>
        <w:pStyle w:val="BodyText"/>
        <w:jc w:val="both"/>
      </w:pPr>
      <w:r>
        <w:t xml:space="preserve">A further review of the Government’s higher education equity policy was undertaken between 1995 and 1996 by the Higher </w:t>
      </w:r>
      <w:r w:rsidRPr="002C366D">
        <w:t xml:space="preserve">Education Council of the National Board of Employment, Education and Training. The report of that review, </w:t>
      </w:r>
      <w:r w:rsidRPr="002C366D">
        <w:rPr>
          <w:i/>
        </w:rPr>
        <w:t>Equality, Diversity and Excellence: Advancing the National Higher Education Equity Framework</w:t>
      </w:r>
      <w:r w:rsidRPr="002C366D">
        <w:t xml:space="preserve">, examined progress towards the equity objectives set out in the White Paper and </w:t>
      </w:r>
      <w:r w:rsidRPr="002C366D">
        <w:rPr>
          <w:i/>
        </w:rPr>
        <w:t>A Fair Chance for All</w:t>
      </w:r>
      <w:r w:rsidRPr="002C366D">
        <w:t>, and provided</w:t>
      </w:r>
      <w:r>
        <w:t xml:space="preserve"> recommendations for an equity framework for the following five years.</w:t>
      </w:r>
    </w:p>
    <w:p w14:paraId="7D55D409" w14:textId="77777777" w:rsidR="003907BB" w:rsidRDefault="003907BB" w:rsidP="003907BB">
      <w:pPr>
        <w:pStyle w:val="BodyText"/>
      </w:pPr>
      <w:r>
        <w:t>The report noted that access and participation had improved significantly for several groups since 1990, and that people from socioeconomically disadvantaged backgrounds or isolated areas were now the most under-represented in higher education. The review also noted that there had recently been an increased focus on student outcomes, that is, success and retention rates, as well as access and participation. It recommended mainstreaming the equity program into higher education planning and management at the institutional and system level, and also recommended the awarding of performance-based equity funding to universities on a three-yearly basis. However, the report’s recommendations were not adopted and the HEEP continued ‘as per the original framework’ until changes were announced by the Commonwealth in 2003 (Ramsay 2005).</w:t>
      </w:r>
    </w:p>
    <w:p w14:paraId="60B46916" w14:textId="77777777" w:rsidR="003907BB" w:rsidRDefault="003907BB" w:rsidP="00AD49C8">
      <w:pPr>
        <w:pStyle w:val="Heading3"/>
      </w:pPr>
      <w:r>
        <w:t>Higher Education Equity Support Program</w:t>
      </w:r>
    </w:p>
    <w:p w14:paraId="043048BD" w14:textId="77777777" w:rsidR="003907BB" w:rsidRDefault="003907BB" w:rsidP="003907BB">
      <w:pPr>
        <w:pStyle w:val="BodyText"/>
      </w:pPr>
      <w:r>
        <w:t xml:space="preserve">Between 2003 and 2005 a number of changes were made to equity policy as part of the Australian Government’s broader higher education reform program, </w:t>
      </w:r>
      <w:r w:rsidRPr="00E16A56">
        <w:rPr>
          <w:i/>
        </w:rPr>
        <w:t>Our Universities: Backing Australia’s Future</w:t>
      </w:r>
      <w:r w:rsidRPr="00E16A56">
        <w:t>.</w:t>
      </w:r>
      <w:r>
        <w:t xml:space="preserve"> Equity was identified as </w:t>
      </w:r>
      <w:r w:rsidRPr="0066029F">
        <w:t>one of the four principles underpinning the reform, along with quality, sustainability, and diversity (DEST 2007). The</w:t>
      </w:r>
      <w:r>
        <w:t xml:space="preserve"> quantum of total equity funding was increased by $45 million per year, which included the introduction of Commonwealth Learning Scholarships that were targeted to low SES, rural and isolated, and Indigenous students (Ramsay 2005). Additionally, research was commissioned into the performance of the equity groups in higher education over the preceding decade, and into whether the six equity groups that had previously been defined were still appropriate. The resulting report</w:t>
      </w:r>
      <w:r w:rsidRPr="002C366D">
        <w:t xml:space="preserve">, </w:t>
      </w:r>
      <w:r w:rsidRPr="002C366D">
        <w:rPr>
          <w:i/>
        </w:rPr>
        <w:t>Analysis of Equity Groups in Higher Education 1991-2002</w:t>
      </w:r>
      <w:r w:rsidRPr="002C366D">
        <w:t xml:space="preserve"> (James</w:t>
      </w:r>
      <w:r w:rsidR="00A64DC3">
        <w:t> </w:t>
      </w:r>
      <w:r w:rsidR="00A64DC3" w:rsidRPr="00AD49C8">
        <w:t>et</w:t>
      </w:r>
      <w:r w:rsidR="00A64DC3">
        <w:t> </w:t>
      </w:r>
      <w:r w:rsidRPr="00AD49C8">
        <w:t>al</w:t>
      </w:r>
      <w:r w:rsidR="00A64DC3">
        <w:t>.</w:t>
      </w:r>
      <w:r>
        <w:t xml:space="preserve"> 2004), examined the access, participation, success and retention rates for five of the equity groups—the performance of Indigenous people was not included in the research scope. </w:t>
      </w:r>
    </w:p>
    <w:p w14:paraId="4B6322AC" w14:textId="77777777" w:rsidR="003907BB" w:rsidRDefault="003907BB" w:rsidP="003907BB">
      <w:pPr>
        <w:pStyle w:val="BodyText"/>
      </w:pPr>
      <w:r>
        <w:t xml:space="preserve">The report found that higher education access and participation rates for people from low SES backgrounds had remained relatively stable between 1991 and 2002, and were significantly lower than their population share and the rates for people from high SES backgrounds (James </w:t>
      </w:r>
      <w:r w:rsidRPr="00AD49C8">
        <w:t>et al</w:t>
      </w:r>
      <w:r>
        <w:t xml:space="preserve">. 2004). In comparison, the ‘mean success rates for the three SES groups fluctuated only marginally’. Differences in enrolment patterns—including subject </w:t>
      </w:r>
      <w:r w:rsidRPr="006158F6">
        <w:t>discipline, course level and university type—also varied between SES groups, in similar patterns to those seen today (Gale and Parker 2013).</w:t>
      </w:r>
    </w:p>
    <w:p w14:paraId="3535FA2D" w14:textId="77777777" w:rsidR="003907BB" w:rsidRDefault="003907BB" w:rsidP="003907BB">
      <w:pPr>
        <w:pStyle w:val="BodyText"/>
      </w:pPr>
      <w:r>
        <w:t>A key conclusion from the report was that:</w:t>
      </w:r>
    </w:p>
    <w:p w14:paraId="72CB5414" w14:textId="77777777" w:rsidR="003907BB" w:rsidRDefault="003907BB" w:rsidP="003907BB">
      <w:pPr>
        <w:pStyle w:val="Quote"/>
      </w:pPr>
      <w:r>
        <w:t>Special emphasis should be given within the equity policy framework to people from low socio-economic backgrounds due to the continuing extent of under-representation of this group, with recognition of the particular effects of socio-economic background for people from rural and isolated backgrounds.</w:t>
      </w:r>
    </w:p>
    <w:p w14:paraId="7D658B42" w14:textId="77777777" w:rsidR="003907BB" w:rsidRDefault="003907BB" w:rsidP="003907BB">
      <w:pPr>
        <w:pStyle w:val="QuoteSource"/>
      </w:pPr>
      <w:r>
        <w:t>James et al</w:t>
      </w:r>
      <w:r w:rsidR="009F5C29">
        <w:t>.</w:t>
      </w:r>
      <w:r>
        <w:t xml:space="preserve"> 2004</w:t>
      </w:r>
    </w:p>
    <w:p w14:paraId="3B9C56E4" w14:textId="77777777" w:rsidR="003907BB" w:rsidRDefault="003907BB" w:rsidP="003907BB">
      <w:pPr>
        <w:pStyle w:val="BodyText"/>
      </w:pPr>
      <w:r>
        <w:t xml:space="preserve">Following this report, two new programmes were established by the Australian Government, the Higher Education Equity Support Program (ESP) and the Higher Education Disability Support </w:t>
      </w:r>
      <w:r w:rsidRPr="002C366D">
        <w:t>Program (DEST 2007).</w:t>
      </w:r>
      <w:r>
        <w:t xml:space="preserve"> Guidelines for the ESP were contained in previous versions of the </w:t>
      </w:r>
      <w:r w:rsidRPr="00B60C2C">
        <w:rPr>
          <w:i/>
        </w:rPr>
        <w:t>Other Grants (Education) Guidelines</w:t>
      </w:r>
      <w:r w:rsidRPr="00B60C2C">
        <w:t>.</w:t>
      </w:r>
      <w:r>
        <w:t xml:space="preserve"> </w:t>
      </w:r>
    </w:p>
    <w:p w14:paraId="77BE42AA" w14:textId="77777777" w:rsidR="003907BB" w:rsidRDefault="003907BB" w:rsidP="003907BB">
      <w:pPr>
        <w:pStyle w:val="BodyText"/>
      </w:pPr>
      <w:r>
        <w:t>Under the ESP, HESA Table A universities—and the Australian Maritime College in 2006 and 2007—were allocated funding based on the enrolment, retention and success of students from low SES backgrounds, with a weighting for those from rural and isolated backgrounds.</w:t>
      </w:r>
      <w:r>
        <w:rPr>
          <w:rStyle w:val="FootnoteReference"/>
        </w:rPr>
        <w:footnoteReference w:id="19"/>
      </w:r>
      <w:r>
        <w:t xml:space="preserve"> This was a change from the HEEP, through which funding had been provided based on performance across the equity groups. An additional change was that the </w:t>
      </w:r>
      <w:r w:rsidR="001277F0">
        <w:t xml:space="preserve">equity </w:t>
      </w:r>
      <w:r>
        <w:t>group of women in non-traditional areas of study was replaced by a ‘broader equity objective of overcoming educational disadvantage associated with gender’ (DEST 2007).</w:t>
      </w:r>
    </w:p>
    <w:p w14:paraId="59106BCB" w14:textId="77777777" w:rsidR="003907BB" w:rsidRDefault="003907BB" w:rsidP="003907BB">
      <w:pPr>
        <w:pStyle w:val="BodyText"/>
      </w:pPr>
      <w:r>
        <w:t>Annual Commonwealth expenditure on the program grew between 2006 and 2009:</w:t>
      </w:r>
      <w:r>
        <w:rPr>
          <w:rStyle w:val="FootnoteReference"/>
        </w:rPr>
        <w:footnoteReference w:id="20"/>
      </w:r>
    </w:p>
    <w:p w14:paraId="66042449" w14:textId="77777777" w:rsidR="003907BB" w:rsidRDefault="003907BB" w:rsidP="00A45AB3">
      <w:pPr>
        <w:pStyle w:val="ListBullet"/>
        <w:numPr>
          <w:ilvl w:val="0"/>
          <w:numId w:val="44"/>
        </w:numPr>
      </w:pPr>
      <w:r>
        <w:t>2006: $11.028 million</w:t>
      </w:r>
    </w:p>
    <w:p w14:paraId="47F0E0AE" w14:textId="77777777" w:rsidR="003907BB" w:rsidRDefault="003907BB" w:rsidP="00A45AB3">
      <w:pPr>
        <w:pStyle w:val="ListBullet"/>
        <w:numPr>
          <w:ilvl w:val="0"/>
          <w:numId w:val="44"/>
        </w:numPr>
      </w:pPr>
      <w:r>
        <w:t>2007: $11.249 million</w:t>
      </w:r>
    </w:p>
    <w:p w14:paraId="7EE85D15" w14:textId="77777777" w:rsidR="003907BB" w:rsidRDefault="003907BB" w:rsidP="00A45AB3">
      <w:pPr>
        <w:pStyle w:val="ListBullet"/>
        <w:numPr>
          <w:ilvl w:val="0"/>
          <w:numId w:val="44"/>
        </w:numPr>
      </w:pPr>
      <w:r>
        <w:t>2008: $11.474 million</w:t>
      </w:r>
    </w:p>
    <w:p w14:paraId="3347E1B8" w14:textId="77777777" w:rsidR="003907BB" w:rsidRDefault="003907BB" w:rsidP="00A45AB3">
      <w:pPr>
        <w:pStyle w:val="ListBullet"/>
        <w:numPr>
          <w:ilvl w:val="0"/>
          <w:numId w:val="44"/>
        </w:numPr>
      </w:pPr>
      <w:r>
        <w:t>2009: $11.715 million.</w:t>
      </w:r>
    </w:p>
    <w:p w14:paraId="67AB29AE" w14:textId="77777777" w:rsidR="003907BB" w:rsidRDefault="00556B2D" w:rsidP="003907BB">
      <w:pPr>
        <w:pStyle w:val="BodyText"/>
      </w:pPr>
      <w:r>
        <w:t>A</w:t>
      </w:r>
      <w:r w:rsidR="003907BB">
        <w:t xml:space="preserve">verage annual funding per university </w:t>
      </w:r>
      <w:r>
        <w:t>under the ESP, when analysed by university grouping, shows that universities in the Regional Universities Network received significantly more funding than other universities over the life of the program, while the Group of Eight universities received the least funding (</w:t>
      </w:r>
      <w:r w:rsidR="008C090E" w:rsidRPr="00AD49C8">
        <w:t>Figure 2.5</w:t>
      </w:r>
      <w:r>
        <w:t>). The annual funding received within each group is relatively stable over the years.</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3907BB" w14:paraId="1D8F7A47" w14:textId="77777777" w:rsidTr="003907BB">
        <w:trPr>
          <w:cantSplit/>
          <w:trHeight w:val="160"/>
        </w:trPr>
        <w:tc>
          <w:tcPr>
            <w:tcW w:w="8168" w:type="dxa"/>
            <w:tcBorders>
              <w:top w:val="nil"/>
              <w:left w:val="nil"/>
              <w:bottom w:val="single" w:sz="4" w:space="0" w:color="auto"/>
              <w:right w:val="nil"/>
            </w:tcBorders>
          </w:tcPr>
          <w:p w14:paraId="2C6AF03F" w14:textId="77777777" w:rsidR="003907BB" w:rsidRDefault="003907BB" w:rsidP="003907BB">
            <w:pPr>
              <w:pStyle w:val="spacer"/>
            </w:pPr>
          </w:p>
        </w:tc>
      </w:tr>
      <w:tr w:rsidR="003907BB" w14:paraId="1636BF92" w14:textId="77777777" w:rsidTr="003907BB">
        <w:trPr>
          <w:cantSplit/>
        </w:trPr>
        <w:tc>
          <w:tcPr>
            <w:tcW w:w="8168" w:type="dxa"/>
            <w:tcBorders>
              <w:top w:val="single" w:sz="4" w:space="0" w:color="auto"/>
              <w:left w:val="nil"/>
              <w:bottom w:val="nil"/>
              <w:right w:val="nil"/>
            </w:tcBorders>
            <w:hideMark/>
          </w:tcPr>
          <w:p w14:paraId="2452C405" w14:textId="77777777" w:rsidR="003907BB" w:rsidRDefault="003907BB" w:rsidP="003907BB">
            <w:pPr>
              <w:pStyle w:val="Caption"/>
            </w:pPr>
            <w:bookmarkStart w:id="81" w:name="_Ref461710999"/>
            <w:bookmarkStart w:id="82" w:name="_Ref461710996"/>
            <w:bookmarkStart w:id="83" w:name="_Toc466655651"/>
            <w:r>
              <w:rPr>
                <w:rStyle w:val="CaptionLabel"/>
              </w:rPr>
              <w:t>Figure </w:t>
            </w:r>
            <w:r w:rsidR="008C090E">
              <w:rPr>
                <w:rStyle w:val="CaptionLabel"/>
                <w:noProof/>
              </w:rPr>
              <w:t>2</w:t>
            </w:r>
            <w:r>
              <w:rPr>
                <w:rStyle w:val="CaptionLabel"/>
              </w:rPr>
              <w:t>.</w:t>
            </w:r>
            <w:r w:rsidR="008C090E">
              <w:rPr>
                <w:rStyle w:val="CaptionLabel"/>
                <w:noProof/>
              </w:rPr>
              <w:t>5</w:t>
            </w:r>
            <w:bookmarkEnd w:id="81"/>
            <w:r>
              <w:tab/>
              <w:t>Average ESP Funding Per University, 2006-2009</w:t>
            </w:r>
            <w:bookmarkEnd w:id="82"/>
            <w:bookmarkEnd w:id="83"/>
          </w:p>
        </w:tc>
      </w:tr>
      <w:tr w:rsidR="003907BB" w14:paraId="79534A55" w14:textId="77777777" w:rsidTr="003907BB">
        <w:trPr>
          <w:cantSplit/>
          <w:trHeight w:val="380"/>
        </w:trPr>
        <w:tc>
          <w:tcPr>
            <w:tcW w:w="8168" w:type="dxa"/>
            <w:tcBorders>
              <w:top w:val="nil"/>
              <w:left w:val="nil"/>
              <w:bottom w:val="single" w:sz="4" w:space="0" w:color="auto"/>
              <w:right w:val="nil"/>
            </w:tcBorders>
            <w:hideMark/>
          </w:tcPr>
          <w:p w14:paraId="4D601004" w14:textId="77777777" w:rsidR="003907BB" w:rsidRDefault="00A45AB3" w:rsidP="003907BB">
            <w:pPr>
              <w:pStyle w:val="spacer"/>
            </w:pPr>
            <w:r>
              <w:rPr>
                <w:noProof/>
                <w:lang w:eastAsia="en-AU"/>
              </w:rPr>
              <mc:AlternateContent>
                <mc:Choice Requires="wps">
                  <w:drawing>
                    <wp:anchor distT="0" distB="0" distL="114300" distR="114300" simplePos="0" relativeHeight="251605504" behindDoc="0" locked="1" layoutInCell="1" allowOverlap="1" wp14:anchorId="35BA6255" wp14:editId="58911DFC">
                      <wp:simplePos x="0" y="0"/>
                      <wp:positionH relativeFrom="rightMargin">
                        <wp:posOffset>-772795</wp:posOffset>
                      </wp:positionH>
                      <wp:positionV relativeFrom="page">
                        <wp:posOffset>0</wp:posOffset>
                      </wp:positionV>
                      <wp:extent cx="436880" cy="213360"/>
                      <wp:effectExtent l="0" t="0" r="1270" b="0"/>
                      <wp:wrapNone/>
                      <wp:docPr id="657" name="Freeform 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0D4A6A" id="Freeform 657" o:spid="_x0000_s1026" style="position:absolute;margin-left:-60.85pt;margin-top:0;width:34.4pt;height:16.8pt;z-index:251605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M7fgMAAMQ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eIZzO3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14:paraId="3AB2A37C" w14:textId="77777777" w:rsidTr="003907BB">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0B5799C4" w14:textId="77777777" w:rsidR="003907BB" w:rsidRDefault="007F5EE9" w:rsidP="003907BB">
            <w:pPr>
              <w:pStyle w:val="Figure"/>
            </w:pPr>
            <w:r>
              <w:rPr>
                <w:noProof/>
                <w:lang w:eastAsia="en-AU"/>
              </w:rPr>
              <w:drawing>
                <wp:inline distT="0" distB="0" distL="0" distR="0" wp14:anchorId="2768D484" wp14:editId="5238433C">
                  <wp:extent cx="5114925" cy="2266950"/>
                  <wp:effectExtent l="0" t="0" r="0" b="0"/>
                  <wp:docPr id="6"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14925" cy="2266950"/>
                          </a:xfrm>
                          <a:prstGeom prst="rect">
                            <a:avLst/>
                          </a:prstGeom>
                          <a:noFill/>
                          <a:ln>
                            <a:noFill/>
                          </a:ln>
                        </pic:spPr>
                      </pic:pic>
                    </a:graphicData>
                  </a:graphic>
                </wp:inline>
              </w:drawing>
            </w:r>
          </w:p>
        </w:tc>
      </w:tr>
      <w:tr w:rsidR="003907BB" w14:paraId="3262E6B8" w14:textId="77777777" w:rsidTr="003907BB">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7236971F" w14:textId="77777777" w:rsidR="003907BB" w:rsidRDefault="003907BB" w:rsidP="003907BB">
            <w:pPr>
              <w:pStyle w:val="Note"/>
            </w:pPr>
            <w:r>
              <w:t>Note: Funding is depicted in each year’s dollars.</w:t>
            </w:r>
          </w:p>
          <w:p w14:paraId="3350809D" w14:textId="77777777" w:rsidR="003907BB" w:rsidRDefault="003907BB" w:rsidP="003907BB">
            <w:pPr>
              <w:pStyle w:val="Source"/>
            </w:pPr>
            <w:r w:rsidRPr="0066029F">
              <w:t>Source: Higher Education Reports 2006 through 2009, DEST and DEEWR</w:t>
            </w:r>
          </w:p>
        </w:tc>
      </w:tr>
      <w:tr w:rsidR="003907BB" w14:paraId="2610C039" w14:textId="77777777" w:rsidTr="003907BB">
        <w:trPr>
          <w:trHeight w:val="160"/>
        </w:trPr>
        <w:tc>
          <w:tcPr>
            <w:tcW w:w="8168" w:type="dxa"/>
            <w:tcBorders>
              <w:top w:val="single" w:sz="4" w:space="0" w:color="auto"/>
              <w:left w:val="nil"/>
              <w:bottom w:val="nil"/>
              <w:right w:val="nil"/>
            </w:tcBorders>
          </w:tcPr>
          <w:p w14:paraId="1739F8F6" w14:textId="77777777" w:rsidR="003907BB" w:rsidRDefault="003907BB" w:rsidP="003907BB">
            <w:pPr>
              <w:pStyle w:val="spacertbl"/>
            </w:pPr>
          </w:p>
        </w:tc>
      </w:tr>
    </w:tbl>
    <w:p w14:paraId="6BAB0FCA" w14:textId="77777777" w:rsidR="003907BB" w:rsidRDefault="003907BB" w:rsidP="003907BB">
      <w:pPr>
        <w:pStyle w:val="BodyText"/>
        <w:keepNext/>
      </w:pPr>
      <w:r>
        <w:t>In order to receive ESP funding, universities were required to fulfil certain eligibility criteria, including:</w:t>
      </w:r>
    </w:p>
    <w:p w14:paraId="1C89A45B" w14:textId="77777777" w:rsidR="003907BB" w:rsidRDefault="003907BB" w:rsidP="00A45AB3">
      <w:pPr>
        <w:pStyle w:val="ListBullet"/>
        <w:keepNext/>
        <w:numPr>
          <w:ilvl w:val="0"/>
          <w:numId w:val="44"/>
        </w:numPr>
      </w:pPr>
      <w:r>
        <w:t>running outreach programs to attract disadvantaged students into higher education</w:t>
      </w:r>
    </w:p>
    <w:p w14:paraId="67730728" w14:textId="77777777" w:rsidR="003907BB" w:rsidRDefault="003907BB" w:rsidP="00A45AB3">
      <w:pPr>
        <w:pStyle w:val="ListBullet"/>
        <w:keepNext/>
        <w:numPr>
          <w:ilvl w:val="0"/>
          <w:numId w:val="44"/>
        </w:numPr>
      </w:pPr>
      <w:r>
        <w:t>offering specialised support services for disadvantaged students to assist their progression through higher education</w:t>
      </w:r>
    </w:p>
    <w:p w14:paraId="42E66A0A" w14:textId="77777777" w:rsidR="003907BB" w:rsidRDefault="003907BB" w:rsidP="00A45AB3">
      <w:pPr>
        <w:pStyle w:val="ListBullet"/>
        <w:keepNext/>
        <w:numPr>
          <w:ilvl w:val="0"/>
          <w:numId w:val="44"/>
        </w:numPr>
      </w:pPr>
      <w:r>
        <w:t>administering the application and selection process for Commonwealth Learning Scholarships</w:t>
      </w:r>
    </w:p>
    <w:p w14:paraId="1C7ED9AD" w14:textId="77777777" w:rsidR="003907BB" w:rsidRDefault="003907BB" w:rsidP="00A45AB3">
      <w:pPr>
        <w:pStyle w:val="ListBullet"/>
        <w:keepNext/>
        <w:numPr>
          <w:ilvl w:val="0"/>
          <w:numId w:val="44"/>
        </w:numPr>
      </w:pPr>
      <w:r>
        <w:t xml:space="preserve">providing institutional equity scholarships to complement the Commonwealth Scholarships </w:t>
      </w:r>
      <w:r w:rsidRPr="0066029F">
        <w:t>(DEEWR 2009).</w:t>
      </w:r>
    </w:p>
    <w:p w14:paraId="497185BC" w14:textId="77777777" w:rsidR="003907BB" w:rsidRDefault="003907BB" w:rsidP="003907BB">
      <w:pPr>
        <w:pStyle w:val="BodyText"/>
      </w:pPr>
      <w:r>
        <w:t xml:space="preserve">As under the HEEP, universities had the flexibility to target their activities under the program towards the equity groups that were most relevant to their circumstances and </w:t>
      </w:r>
      <w:r w:rsidRPr="002C366D">
        <w:t>environment (DEST 2007).</w:t>
      </w:r>
    </w:p>
    <w:p w14:paraId="23244681" w14:textId="13884B3D" w:rsidR="003907BB" w:rsidRDefault="003907BB" w:rsidP="003907BB">
      <w:pPr>
        <w:pStyle w:val="BodyText"/>
      </w:pPr>
      <w:r>
        <w:t>In 2008, the Australian Government commissioned an expert panel comprising Professor Denise Bradley AC, Mr Peter Noonan, Dr Helen Nugent AO, and Mr Bill Scales AO to undertake a review of the Australian higher education system</w:t>
      </w:r>
      <w:r w:rsidR="00F619B9">
        <w:t xml:space="preserve"> (the Bradley Review)</w:t>
      </w:r>
      <w:r>
        <w:t>. The panel’s final report and recommendations included a significant emphasis on equity and were the catalyst for the development of the HEPPP and its implementation in 2010, replacing the ESP (</w:t>
      </w:r>
      <w:r w:rsidR="00F619B9">
        <w:t xml:space="preserve">refer </w:t>
      </w:r>
      <w:r w:rsidR="00C71CE9">
        <w:t xml:space="preserve">Section </w:t>
      </w:r>
      <w:r w:rsidR="008C090E">
        <w:t>2.1.1</w:t>
      </w:r>
      <w:r>
        <w:t>). The HEPPP was announced in the 2009</w:t>
      </w:r>
      <w:r w:rsidR="003C579E">
        <w:t>–</w:t>
      </w:r>
      <w:r>
        <w:t>2010 budget and replaced the ESP from 2010 (DEEWR 2009).</w:t>
      </w:r>
    </w:p>
    <w:p w14:paraId="41B18819" w14:textId="77777777" w:rsidR="003907BB" w:rsidRDefault="003907BB" w:rsidP="00AD49C8">
      <w:pPr>
        <w:pStyle w:val="Heading3"/>
      </w:pPr>
      <w:r>
        <w:t>Higher education reviews since 2010</w:t>
      </w:r>
    </w:p>
    <w:p w14:paraId="52BEFAA0" w14:textId="77777777" w:rsidR="003907BB" w:rsidRDefault="003907BB" w:rsidP="003907BB">
      <w:pPr>
        <w:pStyle w:val="BodyText"/>
      </w:pPr>
      <w:r>
        <w:t>Although there has not been a specific evaluation of the HEPPP, there have been a number of reviews of higher education since 2010 which have discussed the HEPPP and equity objectives for higher education more broadly.</w:t>
      </w:r>
    </w:p>
    <w:p w14:paraId="03A1BA46" w14:textId="77777777" w:rsidR="003907BB" w:rsidRDefault="003907BB" w:rsidP="003907BB">
      <w:pPr>
        <w:pStyle w:val="BodyText"/>
      </w:pPr>
      <w:r>
        <w:t xml:space="preserve">In 2011, a review of higher education base funding was undertaken by an Expert Panel appointed by the Australian </w:t>
      </w:r>
      <w:r w:rsidRPr="00170E99">
        <w:t>Government (the Lomax-Smith Review). The</w:t>
      </w:r>
      <w:r>
        <w:t xml:space="preserve"> review discussed the under</w:t>
      </w:r>
      <w:r>
        <w:noBreakHyphen/>
        <w:t>representation of students from low SES backgrounds in higher education, their increasing participation, and the increased costs to universities from enrolling and supporting these students. The review recommended continuing government support of this differential cost, and uncapping the Participation component of the HEPPP to maintain the value of funding per low SES FTE student. It also recommended expanding the Partnership component of the program.</w:t>
      </w:r>
    </w:p>
    <w:p w14:paraId="6E73C35A" w14:textId="77777777" w:rsidR="003907BB" w:rsidRDefault="003907BB" w:rsidP="003907BB">
      <w:pPr>
        <w:pStyle w:val="BodyText"/>
      </w:pPr>
      <w:r>
        <w:t xml:space="preserve">The </w:t>
      </w:r>
      <w:r>
        <w:rPr>
          <w:i/>
        </w:rPr>
        <w:t xml:space="preserve">Review of Higher Education Access and Outcomes for Aboriginal and Torres Strait Islander People </w:t>
      </w:r>
      <w:r>
        <w:t xml:space="preserve">undertaken in </w:t>
      </w:r>
      <w:r w:rsidRPr="00170E99">
        <w:t>2012 (the Behrendt Review)</w:t>
      </w:r>
      <w:r>
        <w:t xml:space="preserve"> also provided a number of recommendations for the HEPPP. The Review recommended revision of the Guidelines to provide further clarification that funding under the program should be targeted at promoting higher education in general, rather than promotion of courses at specific institutions, as the panel had ‘heard anecdotally that some universities are using HEPPP funding for marketing activities…rather than to encourage participation in higher education more broadly’ (Behrendt Review 2012). Additionally, the Behrendt Review recommended amending the Guidelines so that projects targeting </w:t>
      </w:r>
      <w:r w:rsidR="00A64DC3">
        <w:t xml:space="preserve">Indigenous </w:t>
      </w:r>
      <w:r>
        <w:t xml:space="preserve">young people have a greater focus on developing the academic skills of school students, as well as building individual and community aspiration and knowledge about higher education. </w:t>
      </w:r>
    </w:p>
    <w:p w14:paraId="6A1A4F2D" w14:textId="77777777" w:rsidR="003907BB" w:rsidRDefault="003907BB" w:rsidP="003907BB">
      <w:pPr>
        <w:pStyle w:val="BodyText"/>
      </w:pPr>
      <w:r>
        <w:t xml:space="preserve">The </w:t>
      </w:r>
      <w:r>
        <w:rPr>
          <w:i/>
        </w:rPr>
        <w:t xml:space="preserve">Review of the Demand Driven Funding </w:t>
      </w:r>
      <w:r w:rsidRPr="00B60C2C">
        <w:rPr>
          <w:i/>
        </w:rPr>
        <w:t>System</w:t>
      </w:r>
      <w:r w:rsidRPr="00B60C2C">
        <w:t xml:space="preserve"> (the Kemp Norton Review 2014) examined</w:t>
      </w:r>
      <w:r>
        <w:t xml:space="preserve"> sectoral participation trends and rates of participation by students from low SES backgrounds. It found that the </w:t>
      </w:r>
      <w:r w:rsidR="007B5594">
        <w:t>DDS</w:t>
      </w:r>
      <w:r>
        <w:t xml:space="preserve"> was responsible for increased enrolments in higher education by low SES students and that low SES students would benefit from increased access to sub-bachelor courses. Kemp and Norton recommended not having set enrolment share targets for low SES students, due to the risk this may incentivise the recruitment of students who were not likely to succeed at university simply to meet the target.</w:t>
      </w:r>
    </w:p>
    <w:p w14:paraId="0E5C5861" w14:textId="77777777" w:rsidR="003907BB" w:rsidRDefault="003907BB" w:rsidP="003907BB">
      <w:pPr>
        <w:pStyle w:val="BodyText"/>
      </w:pPr>
      <w:r>
        <w:t>In their report, Kemp and Norton discuss the HEPPP</w:t>
      </w:r>
      <w:r w:rsidR="00F619B9">
        <w:t xml:space="preserve"> (2014)</w:t>
      </w:r>
      <w:r>
        <w:t xml:space="preserve">, finding it to be ‘a theoretically plausible program’ which is ‘likely to increase low SES higher education participation over the medium term’ when combined with an ‘improved design of the demand driven system’, although they note that at the time of writing, it was ‘too early to make any findings about its effectiveness’. In particular, outcomes data from universities’ outreach activities </w:t>
      </w:r>
      <w:r w:rsidR="00835EC6">
        <w:t xml:space="preserve">have </w:t>
      </w:r>
      <w:r>
        <w:t xml:space="preserve">a lag time of several years, as the activities are often targeted at primary and secondary students who are in the </w:t>
      </w:r>
      <w:r w:rsidR="007C6B78">
        <w:t>Pre</w:t>
      </w:r>
      <w:r>
        <w:t>-</w:t>
      </w:r>
      <w:r w:rsidR="007C6B78">
        <w:t xml:space="preserve">Access </w:t>
      </w:r>
      <w:r>
        <w:t xml:space="preserve">stage of the student life cycle. As the HEPPP has now been in operation for six years, those students are entering the </w:t>
      </w:r>
      <w:r w:rsidR="007C6B78">
        <w:t xml:space="preserve">Access </w:t>
      </w:r>
      <w:r>
        <w:t>stage of the life cycle, and data covering the relevant time period are becoming available, providing one of the first opportunities to evaluate the program’s impact on these students.</w:t>
      </w:r>
    </w:p>
    <w:p w14:paraId="07B72B5A" w14:textId="77777777" w:rsidR="00835D10" w:rsidRPr="001A2F85" w:rsidRDefault="00835D10" w:rsidP="000B6604">
      <w:pPr>
        <w:pStyle w:val="BodyText"/>
      </w:pPr>
    </w:p>
    <w:p w14:paraId="1906D252" w14:textId="77777777" w:rsidR="00EA6577" w:rsidRPr="001A2F85" w:rsidRDefault="00EA6577" w:rsidP="000B6604">
      <w:pPr>
        <w:pStyle w:val="BodyText"/>
      </w:pPr>
    </w:p>
    <w:p w14:paraId="35BF573A" w14:textId="77777777" w:rsidR="00EA6577" w:rsidRPr="001A2F85" w:rsidRDefault="00EA6577" w:rsidP="000B6604">
      <w:pPr>
        <w:pStyle w:val="BodyText"/>
        <w:sectPr w:rsidR="00EA6577" w:rsidRPr="001A2F85" w:rsidSect="00EA6577">
          <w:headerReference w:type="even" r:id="rId74"/>
          <w:headerReference w:type="default" r:id="rId75"/>
          <w:footerReference w:type="even" r:id="rId76"/>
          <w:footerReference w:type="default" r:id="rId77"/>
          <w:headerReference w:type="first" r:id="rId78"/>
          <w:footerReference w:type="first" r:id="rId79"/>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EA6577" w:rsidRPr="001A2F85" w14:paraId="7E217B1D" w14:textId="77777777" w:rsidTr="000B6604">
        <w:trPr>
          <w:trHeight w:hRule="exact" w:val="382"/>
        </w:trPr>
        <w:tc>
          <w:tcPr>
            <w:tcW w:w="4738" w:type="dxa"/>
            <w:shd w:val="clear" w:color="auto" w:fill="9D57A6"/>
          </w:tcPr>
          <w:p w14:paraId="088211D5" w14:textId="77777777" w:rsidR="00EA6577" w:rsidRPr="001A2F85" w:rsidRDefault="00A45AB3" w:rsidP="000B6604">
            <w:pPr>
              <w:pStyle w:val="tagchapterBanner"/>
            </w:pPr>
            <w:r>
              <w:rPr>
                <w:noProof/>
                <w:lang w:eastAsia="en-AU"/>
              </w:rPr>
              <mc:AlternateContent>
                <mc:Choice Requires="wps">
                  <w:drawing>
                    <wp:anchor distT="0" distB="0" distL="114300" distR="114300" simplePos="0" relativeHeight="251591168" behindDoc="0" locked="1" layoutInCell="1" allowOverlap="1" wp14:anchorId="4FACEF31" wp14:editId="537823D8">
                      <wp:simplePos x="0" y="0"/>
                      <wp:positionH relativeFrom="page">
                        <wp:posOffset>158750</wp:posOffset>
                      </wp:positionH>
                      <wp:positionV relativeFrom="page">
                        <wp:posOffset>6350</wp:posOffset>
                      </wp:positionV>
                      <wp:extent cx="439420" cy="215265"/>
                      <wp:effectExtent l="0" t="0" r="0" b="0"/>
                      <wp:wrapNone/>
                      <wp:docPr id="22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AD2829" id="Freeform 5" o:spid="_x0000_s1026" style="position:absolute;margin-left:12.5pt;margin-top:.5pt;width:34.6pt;height:16.9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IFbt2X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00F2CFFB" w14:textId="77777777" w:rsidR="00EA6577" w:rsidRPr="001A2F85" w:rsidRDefault="00EA6577" w:rsidP="000B6604">
            <w:pPr>
              <w:pStyle w:val="spacer"/>
            </w:pPr>
          </w:p>
        </w:tc>
      </w:tr>
      <w:tr w:rsidR="00EA6577" w:rsidRPr="001A2F85" w14:paraId="75BACADE" w14:textId="77777777" w:rsidTr="000B6604">
        <w:trPr>
          <w:trHeight w:hRule="exact" w:val="3665"/>
        </w:trPr>
        <w:tc>
          <w:tcPr>
            <w:tcW w:w="4738" w:type="dxa"/>
            <w:shd w:val="clear" w:color="auto" w:fill="9D57A6"/>
            <w:tcMar>
              <w:left w:w="0" w:type="dxa"/>
              <w:bottom w:w="0" w:type="dxa"/>
            </w:tcMar>
            <w:vAlign w:val="bottom"/>
          </w:tcPr>
          <w:p w14:paraId="657D0ACF" w14:textId="77777777" w:rsidR="00EA6577" w:rsidRPr="001A2F85" w:rsidRDefault="008D60D6" w:rsidP="00284ECE">
            <w:pPr>
              <w:pStyle w:val="Heading1"/>
              <w:spacing w:line="240" w:lineRule="auto"/>
              <w:outlineLvl w:val="0"/>
            </w:pPr>
            <w:r>
              <w:t>I</w:t>
            </w:r>
            <w:r w:rsidRPr="001A2F85">
              <w:t xml:space="preserve">mplementation </w:t>
            </w:r>
            <w:r w:rsidR="00284ECE" w:rsidRPr="001A2F85">
              <w:t>of the HEPPP</w:t>
            </w:r>
          </w:p>
        </w:tc>
        <w:tc>
          <w:tcPr>
            <w:tcW w:w="3430" w:type="dxa"/>
            <w:shd w:val="clear" w:color="auto" w:fill="9D57A6"/>
            <w:tcMar>
              <w:right w:w="344" w:type="dxa"/>
            </w:tcMar>
          </w:tcPr>
          <w:p w14:paraId="09149593" w14:textId="77777777" w:rsidR="00EA6577" w:rsidRPr="001A2F85" w:rsidRDefault="008C090E" w:rsidP="000B6604">
            <w:pPr>
              <w:pStyle w:val="HeadingChapter"/>
              <w:keepNext/>
            </w:pPr>
            <w:bookmarkStart w:id="84" w:name="_Toc466657114"/>
            <w:r>
              <w:t>3</w:t>
            </w:r>
            <w:bookmarkEnd w:id="84"/>
          </w:p>
        </w:tc>
      </w:tr>
      <w:tr w:rsidR="00EA6577" w:rsidRPr="001A2F85" w14:paraId="786610D6" w14:textId="77777777" w:rsidTr="000B6604">
        <w:trPr>
          <w:trHeight w:hRule="exact" w:val="232"/>
        </w:trPr>
        <w:tc>
          <w:tcPr>
            <w:tcW w:w="4738" w:type="dxa"/>
            <w:shd w:val="clear" w:color="auto" w:fill="9D57A6"/>
          </w:tcPr>
          <w:p w14:paraId="1A0595C5" w14:textId="77777777" w:rsidR="00EA6577" w:rsidRPr="001A2F85" w:rsidRDefault="00EA6577" w:rsidP="000B6604">
            <w:pPr>
              <w:pStyle w:val="Chpt-Context"/>
            </w:pPr>
          </w:p>
        </w:tc>
        <w:tc>
          <w:tcPr>
            <w:tcW w:w="3430" w:type="dxa"/>
            <w:shd w:val="clear" w:color="auto" w:fill="9D57A6"/>
          </w:tcPr>
          <w:p w14:paraId="634F686D" w14:textId="77777777" w:rsidR="00EA6577" w:rsidRPr="001A2F85" w:rsidRDefault="008C090E" w:rsidP="000B6604">
            <w:pPr>
              <w:pStyle w:val="Chpt-Context"/>
            </w:pPr>
            <w:bookmarkStart w:id="85" w:name="_Toc466657115"/>
            <w:r>
              <w:rPr>
                <w:noProof/>
              </w:rPr>
              <w:t>Implementation of the HEPPP</w:t>
            </w:r>
            <w:bookmarkEnd w:id="85"/>
          </w:p>
        </w:tc>
      </w:tr>
      <w:tr w:rsidR="00EA6577" w:rsidRPr="001A2F85" w14:paraId="68DBA578" w14:textId="77777777" w:rsidTr="000B6604">
        <w:trPr>
          <w:trHeight w:hRule="exact" w:val="228"/>
        </w:trPr>
        <w:tc>
          <w:tcPr>
            <w:tcW w:w="4738" w:type="dxa"/>
            <w:tcBorders>
              <w:top w:val="single" w:sz="4" w:space="0" w:color="9D57A6"/>
            </w:tcBorders>
          </w:tcPr>
          <w:p w14:paraId="7EA0C984" w14:textId="77777777" w:rsidR="00EA6577" w:rsidRPr="001A2F85" w:rsidRDefault="00EA6577" w:rsidP="000B6604">
            <w:pPr>
              <w:pStyle w:val="spacer"/>
            </w:pPr>
          </w:p>
        </w:tc>
        <w:tc>
          <w:tcPr>
            <w:tcW w:w="3430" w:type="dxa"/>
            <w:tcBorders>
              <w:top w:val="single" w:sz="4" w:space="0" w:color="9D57A6"/>
            </w:tcBorders>
          </w:tcPr>
          <w:p w14:paraId="795FBCD1" w14:textId="77777777" w:rsidR="00EA6577" w:rsidRPr="001A2F85" w:rsidRDefault="00EA6577" w:rsidP="000B6604">
            <w:pPr>
              <w:pStyle w:val="spacer"/>
            </w:pPr>
          </w:p>
        </w:tc>
      </w:tr>
    </w:tbl>
    <w:p w14:paraId="4D67DD10" w14:textId="77777777" w:rsidR="003907BB" w:rsidRPr="001A2F85" w:rsidRDefault="003907BB" w:rsidP="00AD49C8">
      <w:pPr>
        <w:pStyle w:val="Introduction"/>
      </w:pPr>
      <w:r w:rsidRPr="00671E51">
        <w:t>This chapter provides an overview of implementation of the HEPPP, including the nature and extent of projects carried out by universities.</w:t>
      </w:r>
    </w:p>
    <w:p w14:paraId="24987AF1" w14:textId="77777777" w:rsidR="003907BB" w:rsidRPr="001A2F85" w:rsidRDefault="003907BB" w:rsidP="003907BB">
      <w:pPr>
        <w:pStyle w:val="Heading2"/>
      </w:pPr>
      <w:bookmarkStart w:id="86" w:name="_Toc462578111"/>
      <w:bookmarkStart w:id="87" w:name="_Toc465244903"/>
      <w:bookmarkStart w:id="88" w:name="_Toc466657116"/>
      <w:r w:rsidRPr="001A2F85">
        <w:t>Overview of HEPPP activity</w:t>
      </w:r>
      <w:bookmarkEnd w:id="86"/>
      <w:bookmarkEnd w:id="87"/>
      <w:bookmarkEnd w:id="88"/>
    </w:p>
    <w:p w14:paraId="08B13803" w14:textId="77777777" w:rsidR="003907BB" w:rsidRPr="001A2F85" w:rsidRDefault="003907BB" w:rsidP="003907BB">
      <w:pPr>
        <w:pStyle w:val="BodyText"/>
      </w:pPr>
      <w:r w:rsidRPr="001A2F85">
        <w:t xml:space="preserve">Analysis of the annual reports indicates there </w:t>
      </w:r>
      <w:r w:rsidR="00E97DA9">
        <w:t>were</w:t>
      </w:r>
      <w:r w:rsidRPr="001A2F85">
        <w:t xml:space="preserve"> </w:t>
      </w:r>
      <w:r>
        <w:t>2,679</w:t>
      </w:r>
      <w:r w:rsidRPr="001A2F85">
        <w:t xml:space="preserve"> projects across the 37 universities between 2010 and 2015</w:t>
      </w:r>
      <w:r>
        <w:t xml:space="preserve">; </w:t>
      </w:r>
      <w:r w:rsidRPr="001A2F85">
        <w:t xml:space="preserve">an average of </w:t>
      </w:r>
      <w:r>
        <w:t>around 70</w:t>
      </w:r>
      <w:r w:rsidRPr="001A2F85">
        <w:t xml:space="preserve"> projects per university. </w:t>
      </w:r>
      <w:r>
        <w:t>T</w:t>
      </w:r>
      <w:r w:rsidRPr="001A2F85">
        <w:t xml:space="preserve">he </w:t>
      </w:r>
      <w:r w:rsidR="00E97DA9">
        <w:t xml:space="preserve">number of projects and the </w:t>
      </w:r>
      <w:r w:rsidRPr="001A2F85">
        <w:t>distribution of funding is not even across the sector (</w:t>
      </w:r>
      <w:r w:rsidR="008C090E" w:rsidRPr="00AD49C8">
        <w:t>Figure 3.1</w:t>
      </w:r>
      <w:r w:rsidRPr="001A2F85">
        <w:t xml:space="preserve">), reflecting each </w:t>
      </w:r>
      <w:r w:rsidR="00F23309" w:rsidRPr="001A2F85">
        <w:t>universit</w:t>
      </w:r>
      <w:r w:rsidR="00F23309">
        <w:t>y</w:t>
      </w:r>
      <w:r w:rsidR="00F23309" w:rsidRPr="001A2F85">
        <w:t>’</w:t>
      </w:r>
      <w:r w:rsidR="00F23309">
        <w:t>s</w:t>
      </w:r>
      <w:r w:rsidR="00F23309" w:rsidRPr="001A2F85">
        <w:t xml:space="preserve"> </w:t>
      </w:r>
      <w:r w:rsidRPr="001A2F85">
        <w:t>share of low SES students</w:t>
      </w:r>
      <w:r w:rsidR="008D60D6">
        <w:t>,</w:t>
      </w:r>
      <w:r w:rsidRPr="001A2F85">
        <w:t xml:space="preserve"> whether universities have been awarded competitive grant funding under the Partnership grant rounds or the NPP, a</w:t>
      </w:r>
      <w:r w:rsidR="00E97DA9">
        <w:t>s well as the</w:t>
      </w:r>
      <w:r w:rsidRPr="001A2F85">
        <w:t xml:space="preserve"> universities’ </w:t>
      </w:r>
      <w:r w:rsidR="00AF5179">
        <w:t xml:space="preserve">specific </w:t>
      </w:r>
      <w:r w:rsidR="00E97DA9">
        <w:t xml:space="preserve">implementation </w:t>
      </w:r>
      <w:r w:rsidRPr="001A2F85">
        <w:t xml:space="preserve">strategies. </w:t>
      </w:r>
    </w:p>
    <w:p w14:paraId="11BE7102" w14:textId="77777777" w:rsidR="003907BB" w:rsidRPr="001A2F85" w:rsidRDefault="009B68D5" w:rsidP="003907BB">
      <w:pPr>
        <w:pStyle w:val="BodyText"/>
      </w:pPr>
      <w:r>
        <w:t xml:space="preserve">The number of projects </w:t>
      </w:r>
      <w:r w:rsidRPr="001A2F85">
        <w:t>undertaken</w:t>
      </w:r>
      <w:r>
        <w:t xml:space="preserve"> by a single</w:t>
      </w:r>
      <w:r w:rsidRPr="001A2F85">
        <w:t xml:space="preserve"> university </w:t>
      </w:r>
      <w:r>
        <w:t>varied from</w:t>
      </w:r>
      <w:r w:rsidRPr="001A2F85">
        <w:t xml:space="preserve"> </w:t>
      </w:r>
      <w:r>
        <w:t>31 to</w:t>
      </w:r>
      <w:r w:rsidRPr="001A2F85">
        <w:t xml:space="preserve"> </w:t>
      </w:r>
      <w:r>
        <w:t xml:space="preserve">123 for the period, with </w:t>
      </w:r>
      <w:r w:rsidR="00E97DA9">
        <w:t>t</w:t>
      </w:r>
      <w:r w:rsidR="003907BB" w:rsidRPr="00CB6487">
        <w:t xml:space="preserve">otal funding received </w:t>
      </w:r>
      <w:r>
        <w:t>by each university varying</w:t>
      </w:r>
      <w:r w:rsidR="00E97DA9">
        <w:t xml:space="preserve"> </w:t>
      </w:r>
      <w:r>
        <w:t xml:space="preserve">significantly, </w:t>
      </w:r>
      <w:r w:rsidR="00E97DA9">
        <w:t xml:space="preserve">from </w:t>
      </w:r>
      <w:r w:rsidR="003907BB" w:rsidRPr="00E97DA9">
        <w:t xml:space="preserve">$3.5 million </w:t>
      </w:r>
      <w:r w:rsidR="00E97DA9">
        <w:t>to</w:t>
      </w:r>
      <w:r w:rsidR="003907BB" w:rsidRPr="00CB6487">
        <w:t xml:space="preserve"> over $73 million.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333D1B83" w14:textId="77777777" w:rsidTr="003907BB">
        <w:trPr>
          <w:cantSplit/>
          <w:trHeight w:hRule="exact" w:val="160"/>
        </w:trPr>
        <w:tc>
          <w:tcPr>
            <w:tcW w:w="8168" w:type="dxa"/>
            <w:tcBorders>
              <w:bottom w:val="single" w:sz="4" w:space="0" w:color="auto"/>
            </w:tcBorders>
          </w:tcPr>
          <w:p w14:paraId="520209C1" w14:textId="77777777" w:rsidR="003907BB" w:rsidRPr="001A2F85" w:rsidRDefault="003907BB" w:rsidP="003907BB">
            <w:pPr>
              <w:pStyle w:val="spacer"/>
            </w:pPr>
          </w:p>
        </w:tc>
      </w:tr>
      <w:tr w:rsidR="003907BB" w:rsidRPr="001A2F85" w14:paraId="44ADB44A" w14:textId="77777777" w:rsidTr="003907BB">
        <w:trPr>
          <w:cantSplit/>
        </w:trPr>
        <w:tc>
          <w:tcPr>
            <w:tcW w:w="8168" w:type="dxa"/>
            <w:tcBorders>
              <w:top w:val="single" w:sz="4" w:space="0" w:color="auto"/>
            </w:tcBorders>
            <w:tcMar>
              <w:left w:w="0" w:type="dxa"/>
            </w:tcMar>
          </w:tcPr>
          <w:p w14:paraId="4A5547BB" w14:textId="77777777" w:rsidR="003907BB" w:rsidRPr="001A2F85" w:rsidRDefault="003907BB" w:rsidP="003907BB">
            <w:pPr>
              <w:pStyle w:val="Caption"/>
            </w:pPr>
            <w:bookmarkStart w:id="89" w:name="_Ref462906873"/>
            <w:bookmarkStart w:id="90" w:name="_Toc466655652"/>
            <w:r w:rsidRPr="001A2F85">
              <w:rPr>
                <w:rStyle w:val="CaptionLabel"/>
              </w:rPr>
              <w:t>Figure </w:t>
            </w:r>
            <w:r w:rsidR="008C090E">
              <w:rPr>
                <w:rStyle w:val="CaptionLabel"/>
                <w:noProof/>
              </w:rPr>
              <w:t>3</w:t>
            </w:r>
            <w:r w:rsidRPr="001A2F85">
              <w:rPr>
                <w:rStyle w:val="CaptionLabel"/>
              </w:rPr>
              <w:t>.</w:t>
            </w:r>
            <w:r w:rsidR="008C090E">
              <w:rPr>
                <w:rStyle w:val="CaptionLabel"/>
                <w:noProof/>
              </w:rPr>
              <w:t>1</w:t>
            </w:r>
            <w:bookmarkEnd w:id="89"/>
            <w:r w:rsidRPr="001A2F85">
              <w:tab/>
              <w:t>total projects and funding by university, 2010-2015</w:t>
            </w:r>
            <w:bookmarkEnd w:id="90"/>
          </w:p>
        </w:tc>
      </w:tr>
      <w:tr w:rsidR="003907BB" w:rsidRPr="001A2F85" w14:paraId="75EC5872" w14:textId="77777777" w:rsidTr="003907BB">
        <w:trPr>
          <w:cantSplit/>
          <w:trHeight w:hRule="exact" w:val="380"/>
        </w:trPr>
        <w:tc>
          <w:tcPr>
            <w:tcW w:w="8168" w:type="dxa"/>
            <w:tcBorders>
              <w:bottom w:val="single" w:sz="4" w:space="0" w:color="auto"/>
            </w:tcBorders>
          </w:tcPr>
          <w:p w14:paraId="56EA4F2D"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11648" behindDoc="0" locked="1" layoutInCell="1" allowOverlap="1" wp14:anchorId="009F2F5A" wp14:editId="43040782">
                      <wp:simplePos x="0" y="0"/>
                      <wp:positionH relativeFrom="rightMargin">
                        <wp:posOffset>-772795</wp:posOffset>
                      </wp:positionH>
                      <wp:positionV relativeFrom="page">
                        <wp:posOffset>0</wp:posOffset>
                      </wp:positionV>
                      <wp:extent cx="436880" cy="213360"/>
                      <wp:effectExtent l="0" t="0" r="1270" b="0"/>
                      <wp:wrapNone/>
                      <wp:docPr id="28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BF799B" id="Freeform 5" o:spid="_x0000_s1026" style="position:absolute;margin-left:-60.85pt;margin-top:0;width:34.4pt;height:16.8pt;z-index:251611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GbxOuJ/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275D3C49"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070A0B39" w14:textId="77777777" w:rsidR="003907BB" w:rsidRPr="001A2F85" w:rsidRDefault="009B68D5" w:rsidP="003907BB">
            <w:pPr>
              <w:pStyle w:val="Figure"/>
            </w:pPr>
            <w:r w:rsidRPr="009B68D5">
              <w:rPr>
                <w:noProof/>
                <w:lang w:eastAsia="en-AU"/>
              </w:rPr>
              <w:drawing>
                <wp:inline distT="0" distB="0" distL="0" distR="0" wp14:anchorId="6B73F480" wp14:editId="0CA0F19A">
                  <wp:extent cx="5186680" cy="2209165"/>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86680" cy="2209165"/>
                          </a:xfrm>
                          <a:prstGeom prst="rect">
                            <a:avLst/>
                          </a:prstGeom>
                          <a:noFill/>
                          <a:ln>
                            <a:noFill/>
                          </a:ln>
                        </pic:spPr>
                      </pic:pic>
                    </a:graphicData>
                  </a:graphic>
                </wp:inline>
              </w:drawing>
            </w:r>
          </w:p>
        </w:tc>
      </w:tr>
      <w:tr w:rsidR="003907BB" w:rsidRPr="001A2F85" w14:paraId="79F95316"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3EDE874C" w14:textId="77777777" w:rsidR="003907BB" w:rsidRPr="001A2F85" w:rsidRDefault="003907BB" w:rsidP="003907BB">
            <w:pPr>
              <w:pStyle w:val="Source"/>
            </w:pPr>
            <w:r w:rsidRPr="001A2F85">
              <w:t>Source: heppp annual reports, HEPPP finance dataset</w:t>
            </w:r>
          </w:p>
        </w:tc>
      </w:tr>
      <w:tr w:rsidR="003907BB" w:rsidRPr="001A2F85" w14:paraId="1CE712A5" w14:textId="77777777" w:rsidTr="003907BB">
        <w:trPr>
          <w:trHeight w:hRule="exact" w:val="160"/>
        </w:trPr>
        <w:tc>
          <w:tcPr>
            <w:tcW w:w="8168" w:type="dxa"/>
            <w:tcBorders>
              <w:top w:val="single" w:sz="4" w:space="0" w:color="auto"/>
            </w:tcBorders>
          </w:tcPr>
          <w:p w14:paraId="6CF56315" w14:textId="77777777" w:rsidR="003907BB" w:rsidRPr="001A2F85" w:rsidRDefault="003907BB" w:rsidP="003907BB">
            <w:pPr>
              <w:pStyle w:val="spacertbl"/>
            </w:pPr>
          </w:p>
        </w:tc>
      </w:tr>
    </w:tbl>
    <w:p w14:paraId="67C2FAB6" w14:textId="77777777" w:rsidR="003907BB" w:rsidRPr="001A2F85" w:rsidRDefault="003907BB" w:rsidP="003907BB">
      <w:pPr>
        <w:pStyle w:val="BodyText"/>
      </w:pPr>
      <w:r w:rsidRPr="001A2F85">
        <w:t>Similarly, projects and expenditure are not evenly distributed across the student life cycle, with 4</w:t>
      </w:r>
      <w:r>
        <w:t>4</w:t>
      </w:r>
      <w:r w:rsidRPr="001A2F85">
        <w:t xml:space="preserve"> per cent of projects and </w:t>
      </w:r>
      <w:r>
        <w:t xml:space="preserve">43 per cent </w:t>
      </w:r>
      <w:r w:rsidRPr="001A2F85">
        <w:t>expenditure targeted at the Transition, Engagement and Progression stage (</w:t>
      </w:r>
      <w:r w:rsidR="008C090E" w:rsidRPr="00AD49C8">
        <w:t>Figure 3.2</w:t>
      </w:r>
      <w:r w:rsidRPr="001A2F85">
        <w:t xml:space="preserve">). Around </w:t>
      </w:r>
      <w:r>
        <w:t xml:space="preserve">41 per cent </w:t>
      </w:r>
      <w:r w:rsidRPr="001A2F85">
        <w:t xml:space="preserve">of projects </w:t>
      </w:r>
      <w:r>
        <w:t xml:space="preserve">and 45 per cent of expenditure </w:t>
      </w:r>
      <w:r w:rsidRPr="001A2F85">
        <w:t>are at the Outreach stage—this stage also has the highest average project expenditure at $</w:t>
      </w:r>
      <w:r>
        <w:t>504</w:t>
      </w:r>
      <w:r w:rsidRPr="001A2F85">
        <w:t>,000</w:t>
      </w:r>
      <w:r>
        <w:t xml:space="preserve">. </w:t>
      </w:r>
      <w:r w:rsidRPr="001A2F85">
        <w:t xml:space="preserve">Pathways and Admissions account for around </w:t>
      </w:r>
      <w:r>
        <w:t>8</w:t>
      </w:r>
      <w:r w:rsidRPr="001A2F85">
        <w:t xml:space="preserve"> per cent of projects and expenditure</w:t>
      </w:r>
      <w:r>
        <w:t xml:space="preserve">, and </w:t>
      </w:r>
      <w:r w:rsidRPr="001A2F85">
        <w:t xml:space="preserve">Attainment and Transition Out </w:t>
      </w:r>
      <w:r>
        <w:t xml:space="preserve">has around 1 per cent of </w:t>
      </w:r>
      <w:r w:rsidRPr="001A2F85">
        <w:t>projects</w:t>
      </w:r>
      <w:r>
        <w:t>, reflecting universities</w:t>
      </w:r>
      <w:r w:rsidR="00234D2D">
        <w:t>’</w:t>
      </w:r>
      <w:r>
        <w:t xml:space="preserve"> focus on assisting low SES students with their studies, rather than preparing them to t</w:t>
      </w:r>
      <w:r w:rsidR="008D60D6">
        <w:t>ransition</w:t>
      </w:r>
      <w:r>
        <w:t xml:space="preserve"> out</w:t>
      </w:r>
      <w:r w:rsidR="008D60D6">
        <w:t xml:space="preserve"> of university</w:t>
      </w:r>
      <w:r w:rsidR="00F641AC">
        <w:t xml:space="preserve"> </w:t>
      </w:r>
      <w:r w:rsidR="00AF5179">
        <w:t>(which is not an</w:t>
      </w:r>
      <w:r w:rsidR="00F641AC">
        <w:t xml:space="preserve"> activity </w:t>
      </w:r>
      <w:r w:rsidR="00AF5179">
        <w:t>listed</w:t>
      </w:r>
      <w:r w:rsidR="00F641AC">
        <w:t xml:space="preserve"> in the Guidelines</w:t>
      </w:r>
      <w:r w:rsidR="00AF5179">
        <w:t>)</w:t>
      </w:r>
      <w:r w:rsidRPr="001A2F85">
        <w:t xml:space="preserve">. Approximately </w:t>
      </w:r>
      <w:r>
        <w:t>4</w:t>
      </w:r>
      <w:r>
        <w:noBreakHyphen/>
        <w:t>5</w:t>
      </w:r>
      <w:r w:rsidRPr="001A2F85">
        <w:t xml:space="preserve"> per cent of projects </w:t>
      </w:r>
      <w:r>
        <w:t xml:space="preserve">and expenditure do not clearly link to any particular stage of the student life cycle; these projects include </w:t>
      </w:r>
      <w:r w:rsidRPr="001A2F85">
        <w:t>administrati</w:t>
      </w:r>
      <w:r>
        <w:t>on, research and staff training</w:t>
      </w:r>
      <w:r w:rsidRPr="001A2F85">
        <w:t xml:space="preserve"> (</w:t>
      </w:r>
      <w:r w:rsidR="00A5450F">
        <w:t xml:space="preserve">refer </w:t>
      </w:r>
      <w:r w:rsidRPr="001A2F85">
        <w:t>Chapter 10).</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62820213" w14:textId="77777777" w:rsidTr="003907BB">
        <w:trPr>
          <w:cantSplit/>
          <w:trHeight w:hRule="exact" w:val="160"/>
        </w:trPr>
        <w:tc>
          <w:tcPr>
            <w:tcW w:w="8168" w:type="dxa"/>
            <w:tcBorders>
              <w:bottom w:val="single" w:sz="4" w:space="0" w:color="auto"/>
            </w:tcBorders>
          </w:tcPr>
          <w:p w14:paraId="3E190FDA" w14:textId="77777777" w:rsidR="003907BB" w:rsidRPr="001A2F85" w:rsidRDefault="003907BB" w:rsidP="003907BB">
            <w:pPr>
              <w:pStyle w:val="spacer"/>
            </w:pPr>
          </w:p>
        </w:tc>
      </w:tr>
      <w:tr w:rsidR="003907BB" w:rsidRPr="001A2F85" w14:paraId="16915E4B" w14:textId="77777777" w:rsidTr="003907BB">
        <w:trPr>
          <w:cantSplit/>
        </w:trPr>
        <w:tc>
          <w:tcPr>
            <w:tcW w:w="8168" w:type="dxa"/>
            <w:tcBorders>
              <w:top w:val="single" w:sz="4" w:space="0" w:color="auto"/>
            </w:tcBorders>
            <w:tcMar>
              <w:left w:w="0" w:type="dxa"/>
            </w:tcMar>
          </w:tcPr>
          <w:p w14:paraId="3096719D" w14:textId="77777777" w:rsidR="003907BB" w:rsidRPr="001A2F85" w:rsidRDefault="003907BB" w:rsidP="003907BB">
            <w:pPr>
              <w:pStyle w:val="Caption"/>
            </w:pPr>
            <w:bookmarkStart w:id="91" w:name="_Ref462906860"/>
            <w:bookmarkStart w:id="92" w:name="_Toc466655653"/>
            <w:r w:rsidRPr="001A2F85">
              <w:rPr>
                <w:rStyle w:val="CaptionLabel"/>
              </w:rPr>
              <w:t>Figure </w:t>
            </w:r>
            <w:r w:rsidR="008C090E">
              <w:rPr>
                <w:rStyle w:val="CaptionLabel"/>
                <w:noProof/>
              </w:rPr>
              <w:t>3</w:t>
            </w:r>
            <w:r w:rsidRPr="001A2F85">
              <w:rPr>
                <w:rStyle w:val="CaptionLabel"/>
              </w:rPr>
              <w:t>.</w:t>
            </w:r>
            <w:r w:rsidR="008C090E">
              <w:rPr>
                <w:rStyle w:val="CaptionLabel"/>
                <w:noProof/>
              </w:rPr>
              <w:t>2</w:t>
            </w:r>
            <w:bookmarkEnd w:id="91"/>
            <w:r w:rsidRPr="001A2F85">
              <w:tab/>
              <w:t>Share of projects/expenditure, and AVERAGE project expenditure by student life cycle stage, 2010-2015</w:t>
            </w:r>
            <w:bookmarkEnd w:id="92"/>
          </w:p>
        </w:tc>
      </w:tr>
      <w:tr w:rsidR="003907BB" w:rsidRPr="001A2F85" w14:paraId="2D0C287E" w14:textId="77777777" w:rsidTr="003907BB">
        <w:trPr>
          <w:cantSplit/>
          <w:trHeight w:hRule="exact" w:val="380"/>
        </w:trPr>
        <w:tc>
          <w:tcPr>
            <w:tcW w:w="8168" w:type="dxa"/>
            <w:tcBorders>
              <w:bottom w:val="single" w:sz="4" w:space="0" w:color="auto"/>
            </w:tcBorders>
          </w:tcPr>
          <w:p w14:paraId="61DB16F2"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07552" behindDoc="0" locked="1" layoutInCell="1" allowOverlap="1" wp14:anchorId="3D350AAE" wp14:editId="15615F97">
                      <wp:simplePos x="0" y="0"/>
                      <wp:positionH relativeFrom="rightMargin">
                        <wp:posOffset>-772795</wp:posOffset>
                      </wp:positionH>
                      <wp:positionV relativeFrom="page">
                        <wp:posOffset>0</wp:posOffset>
                      </wp:positionV>
                      <wp:extent cx="436880" cy="213360"/>
                      <wp:effectExtent l="0" t="0" r="1270" b="0"/>
                      <wp:wrapNone/>
                      <wp:docPr id="28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FD0303" id="Freeform 5" o:spid="_x0000_s1026" style="position:absolute;margin-left:-60.85pt;margin-top:0;width:34.4pt;height:16.8pt;z-index:251607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n8UpXsDAADC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599525D2" w14:textId="77777777" w:rsidTr="003907BB">
        <w:tblPrEx>
          <w:tblCellMar>
            <w:left w:w="108" w:type="dxa"/>
            <w:right w:w="108" w:type="dxa"/>
          </w:tblCellMar>
        </w:tblPrEx>
        <w:trPr>
          <w:cantSplit/>
        </w:trPr>
        <w:tc>
          <w:tcPr>
            <w:tcW w:w="8168" w:type="dxa"/>
            <w:tcBorders>
              <w:top w:val="single" w:sz="4" w:space="0" w:color="auto"/>
              <w:bottom w:val="single" w:sz="4" w:space="0" w:color="auto"/>
            </w:tcBorders>
          </w:tcPr>
          <w:p w14:paraId="467A36CD" w14:textId="77777777" w:rsidR="003907BB" w:rsidRPr="001A2F85" w:rsidRDefault="007F5EE9" w:rsidP="003907BB">
            <w:pPr>
              <w:pStyle w:val="Figure"/>
            </w:pPr>
            <w:r>
              <w:rPr>
                <w:noProof/>
                <w:lang w:eastAsia="en-AU"/>
              </w:rPr>
              <w:drawing>
                <wp:inline distT="0" distB="0" distL="0" distR="0" wp14:anchorId="6A59AF0F" wp14:editId="539CD1A3">
                  <wp:extent cx="5019675" cy="2133600"/>
                  <wp:effectExtent l="0" t="0" r="0" b="0"/>
                  <wp:docPr id="8"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19675" cy="2133600"/>
                          </a:xfrm>
                          <a:prstGeom prst="rect">
                            <a:avLst/>
                          </a:prstGeom>
                          <a:noFill/>
                          <a:ln>
                            <a:noFill/>
                          </a:ln>
                        </pic:spPr>
                      </pic:pic>
                    </a:graphicData>
                  </a:graphic>
                </wp:inline>
              </w:drawing>
            </w:r>
          </w:p>
        </w:tc>
      </w:tr>
      <w:tr w:rsidR="003907BB" w:rsidRPr="001A2F85" w14:paraId="1DD0A2FF"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49D8D0D7" w14:textId="77777777" w:rsidR="003907BB" w:rsidRPr="001A2F85" w:rsidRDefault="003907BB" w:rsidP="003907BB">
            <w:pPr>
              <w:pStyle w:val="Source"/>
            </w:pPr>
            <w:r w:rsidRPr="001A2F85">
              <w:t>Source: heppp annual reports</w:t>
            </w:r>
          </w:p>
        </w:tc>
      </w:tr>
      <w:tr w:rsidR="003907BB" w:rsidRPr="001A2F85" w14:paraId="5B9B2859" w14:textId="77777777" w:rsidTr="003907BB">
        <w:trPr>
          <w:trHeight w:hRule="exact" w:val="160"/>
        </w:trPr>
        <w:tc>
          <w:tcPr>
            <w:tcW w:w="8168" w:type="dxa"/>
            <w:tcBorders>
              <w:top w:val="single" w:sz="4" w:space="0" w:color="auto"/>
            </w:tcBorders>
          </w:tcPr>
          <w:p w14:paraId="6809D0C6" w14:textId="77777777" w:rsidR="003907BB" w:rsidRPr="001A2F85" w:rsidRDefault="003907BB" w:rsidP="003907BB">
            <w:pPr>
              <w:pStyle w:val="spacertbl"/>
            </w:pPr>
          </w:p>
        </w:tc>
      </w:tr>
    </w:tbl>
    <w:p w14:paraId="6A67D82A" w14:textId="77777777" w:rsidR="003907BB" w:rsidRPr="001A2F85" w:rsidRDefault="003907BB" w:rsidP="003907BB">
      <w:pPr>
        <w:pStyle w:val="BodyText"/>
      </w:pPr>
      <w:r w:rsidRPr="001A2F85">
        <w:t xml:space="preserve">The number of </w:t>
      </w:r>
      <w:r w:rsidR="00F641AC">
        <w:t xml:space="preserve">new and ongoing </w:t>
      </w:r>
      <w:r w:rsidRPr="001A2F85">
        <w:t xml:space="preserve">projects </w:t>
      </w:r>
      <w:r>
        <w:t xml:space="preserve">being implemented </w:t>
      </w:r>
      <w:r w:rsidR="00F641AC">
        <w:t xml:space="preserve">in each year </w:t>
      </w:r>
      <w:r w:rsidRPr="001A2F85">
        <w:t xml:space="preserve">rose from around </w:t>
      </w:r>
      <w:r>
        <w:t>560</w:t>
      </w:r>
      <w:r w:rsidRPr="001A2F85">
        <w:t xml:space="preserve"> projects in 2010 to over </w:t>
      </w:r>
      <w:r>
        <w:t>900</w:t>
      </w:r>
      <w:r w:rsidRPr="001A2F85">
        <w:t xml:space="preserve"> in 2012 and 2013, before falling to </w:t>
      </w:r>
      <w:r>
        <w:t>713</w:t>
      </w:r>
      <w:r w:rsidRPr="001A2F85">
        <w:t xml:space="preserve"> in 2015 (</w:t>
      </w:r>
      <w:r w:rsidR="008C090E" w:rsidRPr="00AD49C8">
        <w:t>Figure 3.3</w:t>
      </w:r>
      <w:r w:rsidRPr="001A2F85">
        <w:t xml:space="preserve">). These data are consistent with information gathered through the consultations for this evaluation—universities generally reported that over recent years they have become more strategic around HEPPP expenditure, and reduced the number of HEPPP projects to focus on what are considered to be key areas of impact. </w:t>
      </w:r>
    </w:p>
    <w:p w14:paraId="2CDCAA70" w14:textId="6EBB156F" w:rsidR="003907BB" w:rsidRPr="001A2F85" w:rsidRDefault="008C479C" w:rsidP="00AD49C8">
      <w:pPr>
        <w:pStyle w:val="BodyText"/>
      </w:pPr>
      <w:r>
        <w:t>T</w:t>
      </w:r>
      <w:r w:rsidR="003907BB" w:rsidRPr="001A2F85">
        <w:t xml:space="preserve">he share of all HEPPP expenditure spent on Outreach projects </w:t>
      </w:r>
      <w:r w:rsidR="003907BB">
        <w:t>rose from 29 per cent in 2010 to a peak 58 per cent in 2013 before falling over 2014 and 2015</w:t>
      </w:r>
      <w:r>
        <w:t xml:space="preserve"> (</w:t>
      </w:r>
      <w:r w:rsidR="008C090E" w:rsidRPr="00AD49C8">
        <w:t>Figure 3.3</w:t>
      </w:r>
      <w:r>
        <w:t>)</w:t>
      </w:r>
      <w:r w:rsidR="003907BB">
        <w:t>. In part, this reflects the Partnership grant rounds in 2011 and 2013</w:t>
      </w:r>
      <w:r>
        <w:t xml:space="preserve"> (refer</w:t>
      </w:r>
      <w:r w:rsidR="003907BB">
        <w:t xml:space="preserve"> Chapter 2</w:t>
      </w:r>
      <w:r>
        <w:t>)</w:t>
      </w:r>
      <w:r w:rsidR="003907BB">
        <w:t xml:space="preserve">. </w:t>
      </w:r>
      <w:r w:rsidR="003907BB" w:rsidRPr="001A2F85">
        <w:t xml:space="preserve">The share of expenditure on Transition, Engagement and Progression projects </w:t>
      </w:r>
      <w:r w:rsidR="003907BB">
        <w:t xml:space="preserve">also </w:t>
      </w:r>
      <w:r w:rsidR="003907BB" w:rsidRPr="001A2F85">
        <w:t>vari</w:t>
      </w:r>
      <w:r w:rsidR="003907BB">
        <w:t xml:space="preserve">es, in large part counterbalancing the fluctuations in Outreach expenditure. </w:t>
      </w:r>
      <w:r w:rsidR="003907BB" w:rsidRPr="001A2F85">
        <w:t xml:space="preserve">The share of expenditure </w:t>
      </w:r>
      <w:r w:rsidR="003907BB">
        <w:t xml:space="preserve">for the other stages </w:t>
      </w:r>
      <w:r w:rsidR="003C579E">
        <w:t xml:space="preserve">is </w:t>
      </w:r>
      <w:r w:rsidR="003907BB">
        <w:t xml:space="preserve">relatively steady over time.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4EA3FB0A" w14:textId="77777777" w:rsidTr="003907BB">
        <w:trPr>
          <w:cantSplit/>
          <w:trHeight w:hRule="exact" w:val="160"/>
        </w:trPr>
        <w:tc>
          <w:tcPr>
            <w:tcW w:w="8168" w:type="dxa"/>
            <w:tcBorders>
              <w:bottom w:val="single" w:sz="4" w:space="0" w:color="auto"/>
            </w:tcBorders>
          </w:tcPr>
          <w:p w14:paraId="288342BC" w14:textId="77777777" w:rsidR="003907BB" w:rsidRPr="001A2F85" w:rsidRDefault="003907BB" w:rsidP="003907BB">
            <w:pPr>
              <w:pStyle w:val="spacer"/>
            </w:pPr>
          </w:p>
        </w:tc>
      </w:tr>
      <w:tr w:rsidR="003907BB" w:rsidRPr="001A2F85" w14:paraId="271B5ECB" w14:textId="77777777" w:rsidTr="003907BB">
        <w:trPr>
          <w:cantSplit/>
        </w:trPr>
        <w:tc>
          <w:tcPr>
            <w:tcW w:w="8168" w:type="dxa"/>
            <w:tcBorders>
              <w:top w:val="single" w:sz="4" w:space="0" w:color="auto"/>
            </w:tcBorders>
            <w:tcMar>
              <w:left w:w="0" w:type="dxa"/>
            </w:tcMar>
          </w:tcPr>
          <w:p w14:paraId="03E2992F" w14:textId="77777777" w:rsidR="003907BB" w:rsidRPr="001A2F85" w:rsidRDefault="003907BB" w:rsidP="003907BB">
            <w:pPr>
              <w:pStyle w:val="Caption"/>
            </w:pPr>
            <w:bookmarkStart w:id="93" w:name="_Ref462906963"/>
            <w:bookmarkStart w:id="94" w:name="_Toc466655654"/>
            <w:r w:rsidRPr="001A2F85">
              <w:rPr>
                <w:rStyle w:val="CaptionLabel"/>
              </w:rPr>
              <w:t>Figure </w:t>
            </w:r>
            <w:r w:rsidR="008C090E">
              <w:rPr>
                <w:rStyle w:val="CaptionLabel"/>
                <w:noProof/>
              </w:rPr>
              <w:t>3</w:t>
            </w:r>
            <w:r w:rsidRPr="001A2F85">
              <w:rPr>
                <w:rStyle w:val="CaptionLabel"/>
              </w:rPr>
              <w:t>.</w:t>
            </w:r>
            <w:r w:rsidR="008C090E">
              <w:rPr>
                <w:rStyle w:val="CaptionLabel"/>
                <w:noProof/>
              </w:rPr>
              <w:t>3</w:t>
            </w:r>
            <w:bookmarkEnd w:id="93"/>
            <w:r w:rsidRPr="001A2F85">
              <w:tab/>
              <w:t>total number of projects and share of expenditure by student life cycle stage, 2010-2015</w:t>
            </w:r>
            <w:bookmarkEnd w:id="94"/>
          </w:p>
        </w:tc>
      </w:tr>
      <w:tr w:rsidR="003907BB" w:rsidRPr="001A2F85" w14:paraId="6B6D4B2E" w14:textId="77777777" w:rsidTr="003907BB">
        <w:trPr>
          <w:cantSplit/>
          <w:trHeight w:hRule="exact" w:val="380"/>
        </w:trPr>
        <w:tc>
          <w:tcPr>
            <w:tcW w:w="8168" w:type="dxa"/>
            <w:tcBorders>
              <w:bottom w:val="single" w:sz="4" w:space="0" w:color="auto"/>
            </w:tcBorders>
          </w:tcPr>
          <w:p w14:paraId="6010467E"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09600" behindDoc="0" locked="1" layoutInCell="1" allowOverlap="1" wp14:anchorId="789ED9BF" wp14:editId="42233361">
                      <wp:simplePos x="0" y="0"/>
                      <wp:positionH relativeFrom="rightMargin">
                        <wp:posOffset>-772795</wp:posOffset>
                      </wp:positionH>
                      <wp:positionV relativeFrom="page">
                        <wp:posOffset>0</wp:posOffset>
                      </wp:positionV>
                      <wp:extent cx="436880" cy="213360"/>
                      <wp:effectExtent l="0" t="0" r="1270" b="0"/>
                      <wp:wrapNone/>
                      <wp:docPr id="25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2BB491" id="Freeform 5" o:spid="_x0000_s1026" style="position:absolute;margin-left:-60.85pt;margin-top:0;width:34.4pt;height:16.8pt;z-index:251609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tqfg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B4gra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5E9F714F"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5AEA03C5" w14:textId="77777777" w:rsidR="003907BB" w:rsidRPr="001A2F85" w:rsidRDefault="007F5EE9" w:rsidP="003907BB">
            <w:pPr>
              <w:pStyle w:val="Figure"/>
            </w:pPr>
            <w:r>
              <w:rPr>
                <w:noProof/>
                <w:lang w:eastAsia="en-AU"/>
              </w:rPr>
              <w:drawing>
                <wp:inline distT="0" distB="0" distL="0" distR="0" wp14:anchorId="05851C2A" wp14:editId="5B76EFEC">
                  <wp:extent cx="5210175" cy="2209800"/>
                  <wp:effectExtent l="0" t="0" r="0" b="0"/>
                  <wp:docPr id="9"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10175" cy="2209800"/>
                          </a:xfrm>
                          <a:prstGeom prst="rect">
                            <a:avLst/>
                          </a:prstGeom>
                          <a:noFill/>
                          <a:ln>
                            <a:noFill/>
                          </a:ln>
                        </pic:spPr>
                      </pic:pic>
                    </a:graphicData>
                  </a:graphic>
                </wp:inline>
              </w:drawing>
            </w:r>
          </w:p>
        </w:tc>
      </w:tr>
      <w:tr w:rsidR="003907BB" w:rsidRPr="001A2F85" w14:paraId="5B3E7DD8"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25CACE40" w14:textId="77777777" w:rsidR="003907BB" w:rsidRPr="001A2F85" w:rsidRDefault="003907BB" w:rsidP="003907BB">
            <w:pPr>
              <w:pStyle w:val="Note"/>
            </w:pPr>
            <w:r w:rsidRPr="001A2F85">
              <w:t xml:space="preserve">Note: </w:t>
            </w:r>
            <w:r>
              <w:t>The same project can appear in more than one year</w:t>
            </w:r>
            <w:r w:rsidRPr="001A2F85">
              <w:t>.</w:t>
            </w:r>
          </w:p>
          <w:p w14:paraId="70572BF6" w14:textId="77777777" w:rsidR="003907BB" w:rsidRPr="001A2F85" w:rsidRDefault="003907BB" w:rsidP="003907BB">
            <w:pPr>
              <w:pStyle w:val="Source"/>
            </w:pPr>
            <w:r w:rsidRPr="001A2F85">
              <w:t>Source: heppp annual reports</w:t>
            </w:r>
          </w:p>
        </w:tc>
      </w:tr>
      <w:tr w:rsidR="003907BB" w:rsidRPr="001A2F85" w14:paraId="39772DA6" w14:textId="77777777" w:rsidTr="003907BB">
        <w:trPr>
          <w:trHeight w:hRule="exact" w:val="160"/>
        </w:trPr>
        <w:tc>
          <w:tcPr>
            <w:tcW w:w="8168" w:type="dxa"/>
            <w:tcBorders>
              <w:top w:val="single" w:sz="4" w:space="0" w:color="auto"/>
            </w:tcBorders>
          </w:tcPr>
          <w:p w14:paraId="076E9C84" w14:textId="77777777" w:rsidR="003907BB" w:rsidRPr="001A2F85" w:rsidRDefault="003907BB" w:rsidP="003907BB">
            <w:pPr>
              <w:pStyle w:val="spacertbl"/>
            </w:pPr>
          </w:p>
        </w:tc>
      </w:tr>
    </w:tbl>
    <w:p w14:paraId="2C1F0DE6" w14:textId="77777777" w:rsidR="003907BB" w:rsidRDefault="003907BB" w:rsidP="008C090E">
      <w:pPr>
        <w:pStyle w:val="BodyText"/>
      </w:pPr>
      <w:r>
        <w:t xml:space="preserve">Data on the length of HEPPP projects indicate that most projects start and finish within a single year. </w:t>
      </w:r>
      <w:r w:rsidR="008C090E" w:rsidRPr="00AD49C8">
        <w:t>Figure 3.4</w:t>
      </w:r>
      <w:r w:rsidRPr="001A2F85">
        <w:t xml:space="preserve"> shows the duration of HEPPP projects </w:t>
      </w:r>
      <w:r>
        <w:t xml:space="preserve">that began in </w:t>
      </w:r>
      <w:r w:rsidRPr="001A2F85">
        <w:t>2010</w:t>
      </w:r>
      <w:r>
        <w:t>-</w:t>
      </w:r>
      <w:r w:rsidRPr="001A2F85">
        <w:t>201</w:t>
      </w:r>
      <w:r>
        <w:t xml:space="preserve">3—this time period is chosen to show a more valid estimate of project length than would be produced by considering all projects, as projects that </w:t>
      </w:r>
      <w:r w:rsidR="008D60D6">
        <w:t>commenced</w:t>
      </w:r>
      <w:r>
        <w:t xml:space="preserve"> in 2014 and 2015 could only be running for a maximum of two and one years respectively. </w:t>
      </w:r>
    </w:p>
    <w:p w14:paraId="3E650D2B" w14:textId="77777777" w:rsidR="003907BB" w:rsidRDefault="003907BB" w:rsidP="00AD49C8">
      <w:pPr>
        <w:pStyle w:val="BodyText"/>
      </w:pPr>
      <w:r>
        <w:t xml:space="preserve">The relative shortness of HEPPP projects—71 per cent of projects conclude within two years—has two contributing factors. Universities reported in interviews for this evaluation that, in some cases, particular interventions were </w:t>
      </w:r>
      <w:r w:rsidR="00052F43">
        <w:t>trialled</w:t>
      </w:r>
      <w:r w:rsidR="00D174B3">
        <w:t xml:space="preserve"> </w:t>
      </w:r>
      <w:r>
        <w:t xml:space="preserve">with HEPPP funding and shown to be ineffective and ceased. In other cases, activities </w:t>
      </w:r>
      <w:r w:rsidR="00052F43">
        <w:t>trialled</w:t>
      </w:r>
      <w:r w:rsidR="00D174B3">
        <w:t xml:space="preserve"> </w:t>
      </w:r>
      <w:r>
        <w:t xml:space="preserve">under HEPPP were shown to be effective, and were then funded by other sources, normally general university revenue. </w:t>
      </w:r>
    </w:p>
    <w:p w14:paraId="45B6F194" w14:textId="77777777" w:rsidR="003907BB" w:rsidRPr="001A2F85" w:rsidRDefault="003907BB" w:rsidP="00AD49C8">
      <w:pPr>
        <w:pStyle w:val="BodyText"/>
      </w:pPr>
      <w:r>
        <w:t xml:space="preserve">The second factor driving short project durations is the HEPPP’s annual funding cycle. Through the interviews and </w:t>
      </w:r>
      <w:r w:rsidR="00516DAD">
        <w:t>written</w:t>
      </w:r>
      <w:r>
        <w:t xml:space="preserve"> submissions, universities almost unanimously reported that the one year funding cycle impacted their ability to design and plan projects over multi-year periods. This in turn, made it more difficult to develop partnerships with external organisations, and challenging to hire and retain experienced and qualified staff. This issue is discussed further in Chapter 11.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458BEF13" w14:textId="77777777" w:rsidTr="003907BB">
        <w:trPr>
          <w:cantSplit/>
          <w:trHeight w:hRule="exact" w:val="160"/>
        </w:trPr>
        <w:tc>
          <w:tcPr>
            <w:tcW w:w="8168" w:type="dxa"/>
            <w:tcBorders>
              <w:bottom w:val="single" w:sz="4" w:space="0" w:color="auto"/>
            </w:tcBorders>
          </w:tcPr>
          <w:p w14:paraId="165E9522" w14:textId="77777777" w:rsidR="003907BB" w:rsidRPr="001A2F85" w:rsidRDefault="003907BB" w:rsidP="003907BB">
            <w:pPr>
              <w:pStyle w:val="spacer"/>
            </w:pPr>
          </w:p>
        </w:tc>
      </w:tr>
      <w:tr w:rsidR="003907BB" w:rsidRPr="001A2F85" w14:paraId="00F66C0D" w14:textId="77777777" w:rsidTr="003907BB">
        <w:trPr>
          <w:cantSplit/>
        </w:trPr>
        <w:tc>
          <w:tcPr>
            <w:tcW w:w="8168" w:type="dxa"/>
            <w:tcBorders>
              <w:top w:val="single" w:sz="4" w:space="0" w:color="auto"/>
            </w:tcBorders>
            <w:tcMar>
              <w:left w:w="0" w:type="dxa"/>
            </w:tcMar>
          </w:tcPr>
          <w:p w14:paraId="245F8ECF" w14:textId="77777777" w:rsidR="003907BB" w:rsidRPr="001A2F85" w:rsidRDefault="003907BB" w:rsidP="003907BB">
            <w:pPr>
              <w:pStyle w:val="Caption"/>
            </w:pPr>
            <w:bookmarkStart w:id="95" w:name="_Ref462907785"/>
            <w:bookmarkStart w:id="96" w:name="_Toc466655655"/>
            <w:r w:rsidRPr="001A2F85">
              <w:rPr>
                <w:rStyle w:val="CaptionLabel"/>
              </w:rPr>
              <w:t>Figure </w:t>
            </w:r>
            <w:r w:rsidR="008C090E">
              <w:rPr>
                <w:rStyle w:val="CaptionLabel"/>
                <w:noProof/>
              </w:rPr>
              <w:t>3</w:t>
            </w:r>
            <w:r w:rsidRPr="001A2F85">
              <w:rPr>
                <w:rStyle w:val="CaptionLabel"/>
              </w:rPr>
              <w:t>.</w:t>
            </w:r>
            <w:r w:rsidR="008C090E">
              <w:rPr>
                <w:rStyle w:val="CaptionLabel"/>
                <w:noProof/>
              </w:rPr>
              <w:t>4</w:t>
            </w:r>
            <w:bookmarkEnd w:id="95"/>
            <w:r w:rsidRPr="001A2F85">
              <w:tab/>
              <w:t>Duration of HEPPP projects, 2010-201</w:t>
            </w:r>
            <w:r>
              <w:t>3</w:t>
            </w:r>
            <w:bookmarkEnd w:id="96"/>
          </w:p>
        </w:tc>
      </w:tr>
      <w:tr w:rsidR="003907BB" w:rsidRPr="001A2F85" w14:paraId="5F3330D8" w14:textId="77777777" w:rsidTr="003907BB">
        <w:trPr>
          <w:cantSplit/>
          <w:trHeight w:hRule="exact" w:val="380"/>
        </w:trPr>
        <w:tc>
          <w:tcPr>
            <w:tcW w:w="8168" w:type="dxa"/>
            <w:tcBorders>
              <w:bottom w:val="single" w:sz="4" w:space="0" w:color="auto"/>
            </w:tcBorders>
          </w:tcPr>
          <w:p w14:paraId="089BE1D4"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15744" behindDoc="0" locked="1" layoutInCell="1" allowOverlap="1" wp14:anchorId="435F5B0B" wp14:editId="7CDF08D9">
                      <wp:simplePos x="0" y="0"/>
                      <wp:positionH relativeFrom="rightMargin">
                        <wp:posOffset>-772795</wp:posOffset>
                      </wp:positionH>
                      <wp:positionV relativeFrom="page">
                        <wp:posOffset>0</wp:posOffset>
                      </wp:positionV>
                      <wp:extent cx="436880" cy="213360"/>
                      <wp:effectExtent l="0" t="0" r="1270" b="0"/>
                      <wp:wrapNone/>
                      <wp:docPr id="30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C99738" id="Freeform 5" o:spid="_x0000_s1026" style="position:absolute;margin-left:-60.85pt;margin-top:0;width:34.4pt;height:16.8pt;z-index:251615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bLO0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0F3529B2"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49E5C7F7" w14:textId="77777777" w:rsidR="003907BB" w:rsidRPr="001A2F85" w:rsidRDefault="007F5EE9" w:rsidP="003907BB">
            <w:pPr>
              <w:pStyle w:val="Figure"/>
            </w:pPr>
            <w:r>
              <w:rPr>
                <w:noProof/>
                <w:lang w:eastAsia="en-AU"/>
              </w:rPr>
              <w:drawing>
                <wp:inline distT="0" distB="0" distL="0" distR="0" wp14:anchorId="44A3B895" wp14:editId="13635E0D">
                  <wp:extent cx="5191125" cy="2143125"/>
                  <wp:effectExtent l="0" t="0" r="0" b="0"/>
                  <wp:docPr id="10"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91125" cy="2143125"/>
                          </a:xfrm>
                          <a:prstGeom prst="rect">
                            <a:avLst/>
                          </a:prstGeom>
                          <a:noFill/>
                          <a:ln>
                            <a:noFill/>
                          </a:ln>
                        </pic:spPr>
                      </pic:pic>
                    </a:graphicData>
                  </a:graphic>
                </wp:inline>
              </w:drawing>
            </w:r>
          </w:p>
        </w:tc>
      </w:tr>
      <w:tr w:rsidR="003907BB" w:rsidRPr="001A2F85" w14:paraId="1A9365DF"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058D58C6" w14:textId="77777777" w:rsidR="003907BB" w:rsidRPr="001A2F85" w:rsidRDefault="003907BB" w:rsidP="003907BB">
            <w:pPr>
              <w:pStyle w:val="Source"/>
            </w:pPr>
            <w:r w:rsidRPr="001A2F85">
              <w:t>Source: heppp annual reports</w:t>
            </w:r>
          </w:p>
        </w:tc>
      </w:tr>
      <w:tr w:rsidR="003907BB" w:rsidRPr="001A2F85" w14:paraId="5CB9CA6D" w14:textId="77777777" w:rsidTr="003907BB">
        <w:trPr>
          <w:trHeight w:hRule="exact" w:val="160"/>
        </w:trPr>
        <w:tc>
          <w:tcPr>
            <w:tcW w:w="8168" w:type="dxa"/>
            <w:tcBorders>
              <w:top w:val="single" w:sz="4" w:space="0" w:color="auto"/>
            </w:tcBorders>
          </w:tcPr>
          <w:p w14:paraId="23B7C97F" w14:textId="77777777" w:rsidR="003907BB" w:rsidRPr="001A2F85" w:rsidRDefault="003907BB" w:rsidP="003907BB">
            <w:pPr>
              <w:pStyle w:val="spacertbl"/>
            </w:pPr>
          </w:p>
        </w:tc>
      </w:tr>
    </w:tbl>
    <w:p w14:paraId="5E97A7C4" w14:textId="77777777" w:rsidR="003907BB" w:rsidRPr="001A2F85" w:rsidRDefault="003907BB" w:rsidP="003907BB">
      <w:pPr>
        <w:pStyle w:val="Heading2"/>
      </w:pPr>
      <w:bookmarkStart w:id="97" w:name="_Toc462578112"/>
      <w:bookmarkStart w:id="98" w:name="_Toc465244904"/>
      <w:bookmarkStart w:id="99" w:name="_Toc466657117"/>
      <w:r w:rsidRPr="001A2F85">
        <w:t>HEPPP activity by university groupings and regionality</w:t>
      </w:r>
      <w:bookmarkEnd w:id="97"/>
      <w:bookmarkEnd w:id="98"/>
      <w:bookmarkEnd w:id="99"/>
    </w:p>
    <w:p w14:paraId="7B0BE0D1" w14:textId="77777777" w:rsidR="003907BB" w:rsidRDefault="003907BB" w:rsidP="00AD49C8">
      <w:pPr>
        <w:pStyle w:val="BodyText"/>
      </w:pPr>
      <w:r w:rsidRPr="001A2F85">
        <w:t>HEPPP activity, including funding and project life cycle stages</w:t>
      </w:r>
      <w:r w:rsidR="006A48DF">
        <w:t>,</w:t>
      </w:r>
      <w:r w:rsidRPr="001A2F85">
        <w:t xml:space="preserve"> varies between universities. In this section, the share of expenditure spent on projects at different stages of the student life cycle is </w:t>
      </w:r>
      <w:r>
        <w:t>analysed</w:t>
      </w:r>
      <w:r w:rsidRPr="001A2F85">
        <w:t xml:space="preserve"> </w:t>
      </w:r>
      <w:r>
        <w:t xml:space="preserve">by </w:t>
      </w:r>
      <w:r w:rsidRPr="001A2F85">
        <w:t>university groupings and across metropolitan and regional universities. The share of average university funding is also compared.</w:t>
      </w:r>
      <w:r>
        <w:t xml:space="preserve"> </w:t>
      </w:r>
    </w:p>
    <w:p w14:paraId="11BCB13B" w14:textId="77777777" w:rsidR="00231458" w:rsidRDefault="003907BB" w:rsidP="00231458">
      <w:pPr>
        <w:pStyle w:val="BodyText"/>
      </w:pPr>
      <w:r>
        <w:t xml:space="preserve">The university groupings are set out in </w:t>
      </w:r>
      <w:r w:rsidR="008C090E" w:rsidRPr="00AD49C8">
        <w:t>Table 3.1</w:t>
      </w:r>
      <w:r>
        <w:t xml:space="preserve">. </w:t>
      </w:r>
      <w:r w:rsidR="003E0792">
        <w:t>For the purposes of this evaluation, u</w:t>
      </w:r>
      <w:r w:rsidR="00231458">
        <w:t>niversities for which the headquarter campus falls within one of the following ABS Australian Statistical Geography Standard (ASGS) Remoteness Structure Areas are referred to as ‘regional universities’:</w:t>
      </w:r>
    </w:p>
    <w:p w14:paraId="0EE7EF4A" w14:textId="77777777" w:rsidR="00231458" w:rsidRDefault="00231458" w:rsidP="006640EC">
      <w:pPr>
        <w:pStyle w:val="ListBullet"/>
      </w:pPr>
      <w:r>
        <w:t xml:space="preserve">Inner Regional </w:t>
      </w:r>
    </w:p>
    <w:p w14:paraId="72D3AEF7" w14:textId="77777777" w:rsidR="00231458" w:rsidRDefault="00231458" w:rsidP="006640EC">
      <w:pPr>
        <w:pStyle w:val="ListBullet"/>
      </w:pPr>
      <w:r>
        <w:t xml:space="preserve">Outer Regional </w:t>
      </w:r>
    </w:p>
    <w:p w14:paraId="3DEC25B4" w14:textId="77777777" w:rsidR="00231458" w:rsidRDefault="00231458" w:rsidP="006640EC">
      <w:pPr>
        <w:pStyle w:val="ListBullet"/>
      </w:pPr>
      <w:r>
        <w:t>Remote</w:t>
      </w:r>
    </w:p>
    <w:p w14:paraId="276F3A7E" w14:textId="77777777" w:rsidR="00231458" w:rsidRDefault="00231458" w:rsidP="006640EC">
      <w:pPr>
        <w:pStyle w:val="ListBullet"/>
      </w:pPr>
      <w:r>
        <w:t>Very Remote.</w:t>
      </w:r>
    </w:p>
    <w:p w14:paraId="7123ADEA" w14:textId="77777777" w:rsidR="00231458" w:rsidRDefault="00231458" w:rsidP="00231458">
      <w:pPr>
        <w:pStyle w:val="BodyText"/>
      </w:pPr>
      <w:r>
        <w:t>Universities that have their headquarter campus address within the classification of Major Cities of Australia are not considered regional or remote for the purposes of the evaluation. This includes, but is not restricted to, areas such as:</w:t>
      </w:r>
    </w:p>
    <w:p w14:paraId="00D3E86B" w14:textId="77777777" w:rsidR="00231458" w:rsidRDefault="00231458" w:rsidP="006640EC">
      <w:pPr>
        <w:pStyle w:val="ListBullet"/>
      </w:pPr>
      <w:r>
        <w:t>Canberra (ACT)</w:t>
      </w:r>
    </w:p>
    <w:p w14:paraId="5C87EE77" w14:textId="77777777" w:rsidR="00231458" w:rsidRDefault="00231458" w:rsidP="006640EC">
      <w:pPr>
        <w:pStyle w:val="ListBullet"/>
      </w:pPr>
      <w:r>
        <w:t>Central Coast</w:t>
      </w:r>
      <w:r w:rsidR="003E0792">
        <w:t>,</w:t>
      </w:r>
      <w:r>
        <w:t xml:space="preserve"> </w:t>
      </w:r>
      <w:r w:rsidR="003E0792">
        <w:t xml:space="preserve">Gold Coast, Newcastle, Queanbeyan and Wollongong </w:t>
      </w:r>
      <w:r>
        <w:t>(NSW)</w:t>
      </w:r>
    </w:p>
    <w:p w14:paraId="65D441C4" w14:textId="77777777" w:rsidR="00231458" w:rsidRDefault="00231458" w:rsidP="006640EC">
      <w:pPr>
        <w:pStyle w:val="ListBullet"/>
      </w:pPr>
      <w:r>
        <w:t xml:space="preserve">Sippy Downs </w:t>
      </w:r>
      <w:r w:rsidR="003E0792">
        <w:t xml:space="preserve">and Sunshine Coast </w:t>
      </w:r>
      <w:r>
        <w:t>(Queensland)</w:t>
      </w:r>
    </w:p>
    <w:p w14:paraId="1AEBEF25" w14:textId="77777777" w:rsidR="00231458" w:rsidRDefault="00231458" w:rsidP="006640EC">
      <w:pPr>
        <w:pStyle w:val="ListBullet"/>
      </w:pPr>
      <w:r>
        <w:t>Mawson Lakes (SA)</w:t>
      </w:r>
    </w:p>
    <w:p w14:paraId="68422A57" w14:textId="77777777" w:rsidR="00231458" w:rsidRDefault="00231458" w:rsidP="006640EC">
      <w:pPr>
        <w:pStyle w:val="ListBullet"/>
      </w:pPr>
      <w:r>
        <w:t>Geelong (Victoria).</w:t>
      </w:r>
    </w:p>
    <w:p w14:paraId="4D5F4BE2" w14:textId="77777777" w:rsidR="003907BB" w:rsidRDefault="00231458" w:rsidP="00AD49C8">
      <w:pPr>
        <w:pStyle w:val="BodyText"/>
      </w:pPr>
      <w:r w:rsidRPr="00135E5A">
        <w:t>Regional universities are identified in bold text in Table 3.1 below.</w:t>
      </w:r>
    </w:p>
    <w:p w14:paraId="5BEEF5BE" w14:textId="77777777" w:rsidR="003907BB" w:rsidRDefault="003907BB" w:rsidP="00BB3E7B">
      <w:pPr>
        <w:pStyle w:val="Caption"/>
        <w:spacing w:before="160"/>
      </w:pPr>
      <w:bookmarkStart w:id="100" w:name="_Ref466639721"/>
      <w:bookmarkStart w:id="101" w:name="_Toc466655754"/>
      <w:r w:rsidRPr="00FC29C8">
        <w:rPr>
          <w:rStyle w:val="CaptionLabel"/>
        </w:rPr>
        <w:t>Table</w:t>
      </w:r>
      <w:r>
        <w:rPr>
          <w:rStyle w:val="CaptionLabel"/>
        </w:rPr>
        <w:t> </w:t>
      </w:r>
      <w:r w:rsidR="008C090E">
        <w:rPr>
          <w:rStyle w:val="CaptionLabel"/>
          <w:noProof/>
        </w:rPr>
        <w:t>3</w:t>
      </w:r>
      <w:r w:rsidRPr="00FC29C8">
        <w:rPr>
          <w:rStyle w:val="CaptionLabel"/>
        </w:rPr>
        <w:t>.</w:t>
      </w:r>
      <w:r w:rsidR="008C090E">
        <w:rPr>
          <w:rStyle w:val="CaptionLabel"/>
          <w:noProof/>
        </w:rPr>
        <w:t>1</w:t>
      </w:r>
      <w:bookmarkEnd w:id="100"/>
      <w:r>
        <w:tab/>
      </w:r>
      <w:r w:rsidRPr="00CB6487">
        <w:t>university groupings and REGIONAL univers</w:t>
      </w:r>
      <w:r w:rsidRPr="00231458">
        <w:t>ities</w:t>
      </w:r>
      <w:bookmarkEnd w:id="101"/>
    </w:p>
    <w:tbl>
      <w:tblPr>
        <w:tblW w:w="8676" w:type="dxa"/>
        <w:tblInd w:w="-454" w:type="dxa"/>
        <w:tblLayout w:type="fixed"/>
        <w:tblCellMar>
          <w:left w:w="0" w:type="dxa"/>
          <w:bottom w:w="40" w:type="dxa"/>
          <w:right w:w="0" w:type="dxa"/>
        </w:tblCellMar>
        <w:tblLook w:val="0000" w:firstRow="0" w:lastRow="0" w:firstColumn="0" w:lastColumn="0" w:noHBand="0" w:noVBand="0"/>
      </w:tblPr>
      <w:tblGrid>
        <w:gridCol w:w="455"/>
        <w:gridCol w:w="1702"/>
        <w:gridCol w:w="3259"/>
        <w:gridCol w:w="3260"/>
      </w:tblGrid>
      <w:tr w:rsidR="003907BB" w14:paraId="72A25323" w14:textId="77777777" w:rsidTr="00AD49C8">
        <w:trPr>
          <w:cantSplit/>
          <w:tblHeader/>
        </w:trPr>
        <w:tc>
          <w:tcPr>
            <w:tcW w:w="1243" w:type="pct"/>
            <w:gridSpan w:val="2"/>
            <w:shd w:val="clear" w:color="auto" w:fill="9D57A6"/>
            <w:tcMar>
              <w:left w:w="454" w:type="dxa"/>
              <w:bottom w:w="0" w:type="dxa"/>
            </w:tcMar>
          </w:tcPr>
          <w:p w14:paraId="79564F4A" w14:textId="77777777" w:rsidR="003907BB" w:rsidRDefault="003907BB" w:rsidP="00AD49C8">
            <w:pPr>
              <w:pStyle w:val="Tablecolumnheadings"/>
            </w:pPr>
            <w:r>
              <w:t>Grouping</w:t>
            </w:r>
          </w:p>
        </w:tc>
        <w:tc>
          <w:tcPr>
            <w:tcW w:w="3757" w:type="pct"/>
            <w:gridSpan w:val="2"/>
            <w:shd w:val="clear" w:color="auto" w:fill="9D57A6"/>
            <w:tcMar>
              <w:bottom w:w="0" w:type="dxa"/>
            </w:tcMar>
            <w:vAlign w:val="center"/>
          </w:tcPr>
          <w:p w14:paraId="7F2CBED8" w14:textId="77777777" w:rsidR="003907BB" w:rsidRDefault="003907BB" w:rsidP="00AD49C8">
            <w:pPr>
              <w:pStyle w:val="Tablecolumnheadings"/>
              <w:jc w:val="center"/>
            </w:pPr>
            <w:r>
              <w:t>Universities</w:t>
            </w:r>
          </w:p>
        </w:tc>
      </w:tr>
      <w:tr w:rsidR="003907BB" w14:paraId="6780364F" w14:textId="77777777" w:rsidTr="00AD49C8">
        <w:tblPrEx>
          <w:tblBorders>
            <w:bottom w:val="single" w:sz="4" w:space="0" w:color="646464"/>
            <w:insideH w:val="single" w:sz="4" w:space="0" w:color="646464"/>
          </w:tblBorders>
        </w:tblPrEx>
        <w:trPr>
          <w:gridBefore w:val="1"/>
          <w:wBefore w:w="262" w:type="pct"/>
          <w:cantSplit/>
        </w:trPr>
        <w:tc>
          <w:tcPr>
            <w:tcW w:w="981" w:type="pct"/>
            <w:tcBorders>
              <w:top w:val="nil"/>
            </w:tcBorders>
          </w:tcPr>
          <w:p w14:paraId="585C4A7E" w14:textId="77777777" w:rsidR="003907BB" w:rsidRDefault="003907BB" w:rsidP="00AD49C8">
            <w:pPr>
              <w:pStyle w:val="Tabletext"/>
            </w:pPr>
            <w:r w:rsidRPr="001661E3">
              <w:rPr>
                <w:lang w:val="en-US"/>
              </w:rPr>
              <w:t>Australian Technology Network (ATN)</w:t>
            </w:r>
          </w:p>
        </w:tc>
        <w:tc>
          <w:tcPr>
            <w:tcW w:w="1878" w:type="pct"/>
            <w:tcBorders>
              <w:top w:val="nil"/>
            </w:tcBorders>
          </w:tcPr>
          <w:p w14:paraId="67A2A973" w14:textId="77777777" w:rsidR="003907BB" w:rsidRDefault="003907BB" w:rsidP="003907BB">
            <w:pPr>
              <w:pStyle w:val="Tabletext"/>
              <w:rPr>
                <w:lang w:val="en-US"/>
              </w:rPr>
            </w:pPr>
            <w:r>
              <w:rPr>
                <w:lang w:val="en-US"/>
              </w:rPr>
              <w:t>Curtin University of Technology</w:t>
            </w:r>
          </w:p>
          <w:p w14:paraId="664B8D46" w14:textId="77777777" w:rsidR="003907BB" w:rsidRDefault="003907BB" w:rsidP="003907BB">
            <w:pPr>
              <w:pStyle w:val="Tabletext"/>
              <w:rPr>
                <w:lang w:val="en-US"/>
              </w:rPr>
            </w:pPr>
            <w:r>
              <w:rPr>
                <w:lang w:val="en-US"/>
              </w:rPr>
              <w:t>Queensland University of Technology</w:t>
            </w:r>
            <w:r w:rsidR="00940E6E">
              <w:rPr>
                <w:lang w:val="en-US"/>
              </w:rPr>
              <w:t xml:space="preserve"> (QUT)</w:t>
            </w:r>
          </w:p>
          <w:p w14:paraId="7B7790DD" w14:textId="77777777" w:rsidR="003907BB" w:rsidRDefault="003907BB" w:rsidP="00AD49C8">
            <w:pPr>
              <w:pStyle w:val="Tabletext"/>
            </w:pPr>
            <w:r>
              <w:rPr>
                <w:lang w:val="en-US"/>
              </w:rPr>
              <w:t>RMIT University</w:t>
            </w:r>
          </w:p>
        </w:tc>
        <w:tc>
          <w:tcPr>
            <w:tcW w:w="1879" w:type="pct"/>
            <w:tcBorders>
              <w:top w:val="nil"/>
            </w:tcBorders>
          </w:tcPr>
          <w:p w14:paraId="34FD77B4" w14:textId="77777777" w:rsidR="003907BB" w:rsidRDefault="003907BB" w:rsidP="003907BB">
            <w:pPr>
              <w:pStyle w:val="Tabletext"/>
              <w:rPr>
                <w:lang w:val="en-US"/>
              </w:rPr>
            </w:pPr>
            <w:r>
              <w:rPr>
                <w:lang w:val="en-US"/>
              </w:rPr>
              <w:t>University of South Australia</w:t>
            </w:r>
          </w:p>
          <w:p w14:paraId="7AE61352" w14:textId="77777777" w:rsidR="003907BB" w:rsidRDefault="003907BB" w:rsidP="00AD49C8">
            <w:pPr>
              <w:pStyle w:val="Tabletext"/>
            </w:pPr>
            <w:r>
              <w:rPr>
                <w:lang w:val="en-US"/>
              </w:rPr>
              <w:t>University of Technology Sydney</w:t>
            </w:r>
            <w:r w:rsidR="00940E6E">
              <w:rPr>
                <w:lang w:val="en-US"/>
              </w:rPr>
              <w:t xml:space="preserve"> (UTS)</w:t>
            </w:r>
          </w:p>
        </w:tc>
      </w:tr>
      <w:tr w:rsidR="003907BB" w14:paraId="31AB708E" w14:textId="77777777" w:rsidTr="00AD49C8">
        <w:tblPrEx>
          <w:tblBorders>
            <w:bottom w:val="single" w:sz="4" w:space="0" w:color="646464"/>
            <w:insideH w:val="single" w:sz="4" w:space="0" w:color="646464"/>
          </w:tblBorders>
        </w:tblPrEx>
        <w:trPr>
          <w:gridBefore w:val="1"/>
          <w:wBefore w:w="262" w:type="pct"/>
          <w:cantSplit/>
        </w:trPr>
        <w:tc>
          <w:tcPr>
            <w:tcW w:w="981" w:type="pct"/>
            <w:tcBorders>
              <w:top w:val="nil"/>
            </w:tcBorders>
          </w:tcPr>
          <w:p w14:paraId="3CB068EA" w14:textId="77777777" w:rsidR="003907BB" w:rsidRDefault="003907BB" w:rsidP="003907BB">
            <w:pPr>
              <w:pStyle w:val="Tabletext"/>
            </w:pPr>
            <w:r w:rsidRPr="001661E3">
              <w:rPr>
                <w:lang w:val="en-US"/>
              </w:rPr>
              <w:t xml:space="preserve">Group of Eight (Go8), </w:t>
            </w:r>
          </w:p>
        </w:tc>
        <w:tc>
          <w:tcPr>
            <w:tcW w:w="1878" w:type="pct"/>
            <w:tcBorders>
              <w:top w:val="nil"/>
            </w:tcBorders>
          </w:tcPr>
          <w:p w14:paraId="56B5A848" w14:textId="77777777" w:rsidR="003907BB" w:rsidRDefault="003907BB" w:rsidP="003907BB">
            <w:pPr>
              <w:pStyle w:val="Tabletext"/>
              <w:rPr>
                <w:lang w:val="en-US"/>
              </w:rPr>
            </w:pPr>
            <w:r>
              <w:rPr>
                <w:lang w:val="en-US"/>
              </w:rPr>
              <w:t>Monash University</w:t>
            </w:r>
          </w:p>
          <w:p w14:paraId="1205B2BE" w14:textId="77777777" w:rsidR="003907BB" w:rsidRDefault="003907BB" w:rsidP="003907BB">
            <w:pPr>
              <w:pStyle w:val="Tabletext"/>
              <w:rPr>
                <w:lang w:val="en-US"/>
              </w:rPr>
            </w:pPr>
            <w:r>
              <w:rPr>
                <w:lang w:val="en-US"/>
              </w:rPr>
              <w:t>The Australian National University</w:t>
            </w:r>
            <w:r w:rsidR="00940E6E">
              <w:rPr>
                <w:lang w:val="en-US"/>
              </w:rPr>
              <w:t xml:space="preserve"> (ANU)</w:t>
            </w:r>
          </w:p>
          <w:p w14:paraId="7FA6DBAA" w14:textId="77777777" w:rsidR="003907BB" w:rsidRDefault="003907BB" w:rsidP="003907BB">
            <w:pPr>
              <w:pStyle w:val="Tabletext"/>
              <w:rPr>
                <w:lang w:val="en-US"/>
              </w:rPr>
            </w:pPr>
            <w:r>
              <w:rPr>
                <w:lang w:val="en-US"/>
              </w:rPr>
              <w:t>The University of Adelaide</w:t>
            </w:r>
          </w:p>
          <w:p w14:paraId="3F461540" w14:textId="77777777" w:rsidR="003907BB" w:rsidRDefault="003907BB" w:rsidP="003907BB">
            <w:pPr>
              <w:pStyle w:val="Tabletext"/>
            </w:pPr>
            <w:r>
              <w:rPr>
                <w:lang w:val="en-US"/>
              </w:rPr>
              <w:t>The University of Melbourne</w:t>
            </w:r>
          </w:p>
        </w:tc>
        <w:tc>
          <w:tcPr>
            <w:tcW w:w="1879" w:type="pct"/>
            <w:tcBorders>
              <w:top w:val="nil"/>
            </w:tcBorders>
          </w:tcPr>
          <w:p w14:paraId="7EAA01E7" w14:textId="77777777" w:rsidR="003907BB" w:rsidRDefault="003907BB" w:rsidP="003907BB">
            <w:pPr>
              <w:pStyle w:val="Tabletext"/>
              <w:rPr>
                <w:lang w:val="en-US"/>
              </w:rPr>
            </w:pPr>
            <w:r>
              <w:rPr>
                <w:lang w:val="en-US"/>
              </w:rPr>
              <w:t>The University of New South Wales</w:t>
            </w:r>
            <w:r w:rsidR="00940E6E">
              <w:rPr>
                <w:lang w:val="en-US"/>
              </w:rPr>
              <w:t xml:space="preserve"> (UNSW)</w:t>
            </w:r>
          </w:p>
          <w:p w14:paraId="5B17E9F6" w14:textId="77777777" w:rsidR="003907BB" w:rsidRDefault="003907BB" w:rsidP="003907BB">
            <w:pPr>
              <w:pStyle w:val="Tabletext"/>
              <w:rPr>
                <w:lang w:val="en-US"/>
              </w:rPr>
            </w:pPr>
            <w:r>
              <w:rPr>
                <w:lang w:val="en-US"/>
              </w:rPr>
              <w:t>The University of Queensland</w:t>
            </w:r>
            <w:r w:rsidR="00940E6E">
              <w:rPr>
                <w:lang w:val="en-US"/>
              </w:rPr>
              <w:t xml:space="preserve"> (UQ)</w:t>
            </w:r>
          </w:p>
          <w:p w14:paraId="3F7763B3" w14:textId="77777777" w:rsidR="003907BB" w:rsidRDefault="003907BB" w:rsidP="003907BB">
            <w:pPr>
              <w:pStyle w:val="Tabletext"/>
              <w:rPr>
                <w:lang w:val="en-US"/>
              </w:rPr>
            </w:pPr>
            <w:r>
              <w:rPr>
                <w:lang w:val="en-US"/>
              </w:rPr>
              <w:t>The University of Western Australia</w:t>
            </w:r>
            <w:r w:rsidR="00940E6E">
              <w:rPr>
                <w:lang w:val="en-US"/>
              </w:rPr>
              <w:t xml:space="preserve"> (UWA)</w:t>
            </w:r>
          </w:p>
          <w:p w14:paraId="6238A1FE" w14:textId="77777777" w:rsidR="003907BB" w:rsidRDefault="003907BB" w:rsidP="003907BB">
            <w:pPr>
              <w:pStyle w:val="Tabletext"/>
            </w:pPr>
            <w:r>
              <w:rPr>
                <w:lang w:val="en-US"/>
              </w:rPr>
              <w:t>University of Sydney</w:t>
            </w:r>
          </w:p>
        </w:tc>
      </w:tr>
      <w:tr w:rsidR="003907BB" w14:paraId="23A53031" w14:textId="77777777" w:rsidTr="00AD49C8">
        <w:tblPrEx>
          <w:tblBorders>
            <w:bottom w:val="single" w:sz="4" w:space="0" w:color="646464"/>
            <w:insideH w:val="single" w:sz="4" w:space="0" w:color="646464"/>
          </w:tblBorders>
        </w:tblPrEx>
        <w:trPr>
          <w:gridBefore w:val="1"/>
          <w:wBefore w:w="262" w:type="pct"/>
          <w:cantSplit/>
        </w:trPr>
        <w:tc>
          <w:tcPr>
            <w:tcW w:w="981" w:type="pct"/>
            <w:tcBorders>
              <w:top w:val="nil"/>
            </w:tcBorders>
          </w:tcPr>
          <w:p w14:paraId="1909C4EA" w14:textId="77777777" w:rsidR="003907BB" w:rsidRDefault="003907BB" w:rsidP="003907BB">
            <w:pPr>
              <w:pStyle w:val="Tabletext"/>
            </w:pPr>
            <w:r w:rsidRPr="001661E3">
              <w:rPr>
                <w:lang w:val="en-US"/>
              </w:rPr>
              <w:t>Innovative. Research Universities (IRU),</w:t>
            </w:r>
          </w:p>
        </w:tc>
        <w:tc>
          <w:tcPr>
            <w:tcW w:w="1878" w:type="pct"/>
            <w:tcBorders>
              <w:top w:val="nil"/>
            </w:tcBorders>
          </w:tcPr>
          <w:p w14:paraId="26D409DE" w14:textId="77777777" w:rsidR="003907BB" w:rsidRPr="00AD49C8" w:rsidRDefault="003907BB" w:rsidP="003907BB">
            <w:pPr>
              <w:pStyle w:val="Tabletext"/>
              <w:rPr>
                <w:b/>
                <w:lang w:val="en-US"/>
              </w:rPr>
            </w:pPr>
            <w:r w:rsidRPr="00AD49C8">
              <w:rPr>
                <w:b/>
                <w:lang w:val="en-US"/>
              </w:rPr>
              <w:t>Charles Darwin University</w:t>
            </w:r>
            <w:r w:rsidR="00940E6E">
              <w:rPr>
                <w:b/>
                <w:lang w:val="en-US"/>
              </w:rPr>
              <w:t xml:space="preserve"> (CDU)</w:t>
            </w:r>
          </w:p>
          <w:p w14:paraId="2F8B60B7" w14:textId="77777777" w:rsidR="003907BB" w:rsidRDefault="003907BB" w:rsidP="003907BB">
            <w:pPr>
              <w:pStyle w:val="Tabletext"/>
              <w:rPr>
                <w:lang w:val="en-US"/>
              </w:rPr>
            </w:pPr>
            <w:r>
              <w:rPr>
                <w:lang w:val="en-US"/>
              </w:rPr>
              <w:t>Flinders University</w:t>
            </w:r>
          </w:p>
          <w:p w14:paraId="110A28DF" w14:textId="77777777" w:rsidR="003907BB" w:rsidRDefault="003907BB" w:rsidP="003907BB">
            <w:pPr>
              <w:pStyle w:val="Tabletext"/>
            </w:pPr>
            <w:r>
              <w:rPr>
                <w:lang w:val="en-US"/>
              </w:rPr>
              <w:t>Griffith University</w:t>
            </w:r>
          </w:p>
        </w:tc>
        <w:tc>
          <w:tcPr>
            <w:tcW w:w="1879" w:type="pct"/>
            <w:tcBorders>
              <w:top w:val="nil"/>
            </w:tcBorders>
          </w:tcPr>
          <w:p w14:paraId="4DCEA510" w14:textId="77777777" w:rsidR="003907BB" w:rsidRPr="00AD49C8" w:rsidRDefault="003907BB" w:rsidP="003907BB">
            <w:pPr>
              <w:pStyle w:val="Tabletext"/>
              <w:rPr>
                <w:b/>
                <w:lang w:val="en-US"/>
              </w:rPr>
            </w:pPr>
            <w:r w:rsidRPr="00AD49C8">
              <w:rPr>
                <w:b/>
                <w:lang w:val="en-US"/>
              </w:rPr>
              <w:t>James Cook University</w:t>
            </w:r>
            <w:r w:rsidR="00940E6E">
              <w:rPr>
                <w:b/>
                <w:lang w:val="en-US"/>
              </w:rPr>
              <w:t xml:space="preserve"> (JCU)</w:t>
            </w:r>
          </w:p>
          <w:p w14:paraId="0B9F3D8B" w14:textId="77777777" w:rsidR="003907BB" w:rsidRDefault="003907BB" w:rsidP="003907BB">
            <w:pPr>
              <w:pStyle w:val="Tabletext"/>
              <w:rPr>
                <w:lang w:val="en-US"/>
              </w:rPr>
            </w:pPr>
            <w:r>
              <w:rPr>
                <w:lang w:val="en-US"/>
              </w:rPr>
              <w:t>La Trobe University</w:t>
            </w:r>
          </w:p>
          <w:p w14:paraId="7708B218" w14:textId="77777777" w:rsidR="003907BB" w:rsidRDefault="003907BB" w:rsidP="003907BB">
            <w:pPr>
              <w:pStyle w:val="Tabletext"/>
            </w:pPr>
            <w:r>
              <w:rPr>
                <w:lang w:val="en-US"/>
              </w:rPr>
              <w:t>Murdoch University</w:t>
            </w:r>
          </w:p>
        </w:tc>
      </w:tr>
      <w:tr w:rsidR="003907BB" w14:paraId="21D43E50" w14:textId="77777777" w:rsidTr="00AD49C8">
        <w:tblPrEx>
          <w:tblBorders>
            <w:bottom w:val="single" w:sz="4" w:space="0" w:color="646464"/>
            <w:insideH w:val="single" w:sz="4" w:space="0" w:color="646464"/>
          </w:tblBorders>
        </w:tblPrEx>
        <w:trPr>
          <w:gridBefore w:val="1"/>
          <w:wBefore w:w="262" w:type="pct"/>
          <w:cantSplit/>
        </w:trPr>
        <w:tc>
          <w:tcPr>
            <w:tcW w:w="981" w:type="pct"/>
          </w:tcPr>
          <w:p w14:paraId="133689D1" w14:textId="77777777" w:rsidR="003907BB" w:rsidRDefault="003907BB" w:rsidP="00AD49C8">
            <w:pPr>
              <w:pStyle w:val="Tabletext"/>
            </w:pPr>
            <w:r w:rsidRPr="001661E3">
              <w:rPr>
                <w:lang w:val="en-US"/>
              </w:rPr>
              <w:t>Regional Universities Network (RUN)</w:t>
            </w:r>
          </w:p>
        </w:tc>
        <w:tc>
          <w:tcPr>
            <w:tcW w:w="1878" w:type="pct"/>
          </w:tcPr>
          <w:p w14:paraId="2E51CB61" w14:textId="77777777" w:rsidR="003907BB" w:rsidRPr="00AD49C8" w:rsidRDefault="003907BB" w:rsidP="003907BB">
            <w:pPr>
              <w:pStyle w:val="Tabletext"/>
              <w:rPr>
                <w:b/>
                <w:lang w:val="en-US"/>
              </w:rPr>
            </w:pPr>
            <w:r w:rsidRPr="00AD49C8">
              <w:rPr>
                <w:b/>
                <w:lang w:val="en-US"/>
              </w:rPr>
              <w:t>Central Queensland University</w:t>
            </w:r>
          </w:p>
          <w:p w14:paraId="12F40169" w14:textId="77777777" w:rsidR="003907BB" w:rsidRPr="00AD49C8" w:rsidRDefault="003907BB" w:rsidP="003907BB">
            <w:pPr>
              <w:pStyle w:val="Tabletext"/>
              <w:rPr>
                <w:b/>
                <w:lang w:val="en-US"/>
              </w:rPr>
            </w:pPr>
            <w:r w:rsidRPr="00AD49C8">
              <w:rPr>
                <w:b/>
                <w:lang w:val="en-US"/>
              </w:rPr>
              <w:t>Federation University Australia</w:t>
            </w:r>
          </w:p>
          <w:p w14:paraId="35E6E353" w14:textId="77777777" w:rsidR="003907BB" w:rsidRPr="00AD49C8" w:rsidRDefault="003907BB" w:rsidP="00AD49C8">
            <w:pPr>
              <w:pStyle w:val="Tabletext"/>
              <w:rPr>
                <w:b/>
              </w:rPr>
            </w:pPr>
            <w:r w:rsidRPr="00AD49C8">
              <w:rPr>
                <w:b/>
                <w:lang w:val="en-US"/>
              </w:rPr>
              <w:t>Southern Cross University</w:t>
            </w:r>
          </w:p>
        </w:tc>
        <w:tc>
          <w:tcPr>
            <w:tcW w:w="1879" w:type="pct"/>
          </w:tcPr>
          <w:p w14:paraId="75ABBA3F" w14:textId="77777777" w:rsidR="003907BB" w:rsidRPr="00AD49C8" w:rsidRDefault="003907BB" w:rsidP="003907BB">
            <w:pPr>
              <w:pStyle w:val="Tabletext"/>
              <w:rPr>
                <w:b/>
                <w:lang w:val="en-US"/>
              </w:rPr>
            </w:pPr>
            <w:r w:rsidRPr="00AD49C8">
              <w:rPr>
                <w:b/>
                <w:lang w:val="en-US"/>
              </w:rPr>
              <w:t>The University of New England</w:t>
            </w:r>
            <w:r w:rsidR="00940E6E">
              <w:rPr>
                <w:b/>
                <w:lang w:val="en-US"/>
              </w:rPr>
              <w:t xml:space="preserve"> (UNE)</w:t>
            </w:r>
          </w:p>
          <w:p w14:paraId="5814ED95" w14:textId="77777777" w:rsidR="003907BB" w:rsidRPr="00AD49C8" w:rsidRDefault="003907BB" w:rsidP="003907BB">
            <w:pPr>
              <w:pStyle w:val="Tabletext"/>
              <w:rPr>
                <w:b/>
                <w:lang w:val="en-US"/>
              </w:rPr>
            </w:pPr>
            <w:r w:rsidRPr="00AD49C8">
              <w:rPr>
                <w:b/>
                <w:lang w:val="en-US"/>
              </w:rPr>
              <w:t>University of Southern Queensland</w:t>
            </w:r>
          </w:p>
          <w:p w14:paraId="35EB6025" w14:textId="77777777" w:rsidR="003907BB" w:rsidRPr="003F6DD7" w:rsidRDefault="003907BB" w:rsidP="00AD49C8">
            <w:pPr>
              <w:pStyle w:val="Tabletext"/>
            </w:pPr>
            <w:r w:rsidRPr="003F6DD7">
              <w:rPr>
                <w:lang w:val="en-US"/>
              </w:rPr>
              <w:t>University of the Sunshine Coast</w:t>
            </w:r>
          </w:p>
        </w:tc>
      </w:tr>
      <w:tr w:rsidR="003907BB" w14:paraId="1FE50ECA" w14:textId="77777777" w:rsidTr="00AD49C8">
        <w:tblPrEx>
          <w:tblBorders>
            <w:bottom w:val="single" w:sz="4" w:space="0" w:color="646464"/>
            <w:insideH w:val="single" w:sz="4" w:space="0" w:color="646464"/>
          </w:tblBorders>
        </w:tblPrEx>
        <w:trPr>
          <w:gridBefore w:val="1"/>
          <w:wBefore w:w="262" w:type="pct"/>
          <w:cantSplit/>
        </w:trPr>
        <w:tc>
          <w:tcPr>
            <w:tcW w:w="981" w:type="pct"/>
          </w:tcPr>
          <w:p w14:paraId="666758DA" w14:textId="77777777" w:rsidR="003907BB" w:rsidRDefault="003907BB" w:rsidP="003907BB">
            <w:pPr>
              <w:pStyle w:val="Tabletext"/>
            </w:pPr>
            <w:r>
              <w:rPr>
                <w:lang w:val="en-US"/>
              </w:rPr>
              <w:t>Unaligned</w:t>
            </w:r>
          </w:p>
        </w:tc>
        <w:tc>
          <w:tcPr>
            <w:tcW w:w="1878" w:type="pct"/>
          </w:tcPr>
          <w:p w14:paraId="25C8A293" w14:textId="77777777" w:rsidR="003907BB" w:rsidRDefault="003907BB" w:rsidP="003907BB">
            <w:pPr>
              <w:pStyle w:val="Tabletext"/>
              <w:rPr>
                <w:lang w:val="en-US"/>
              </w:rPr>
            </w:pPr>
            <w:r>
              <w:rPr>
                <w:lang w:val="en-US"/>
              </w:rPr>
              <w:t>Australian Catholic University</w:t>
            </w:r>
            <w:r w:rsidR="00940E6E">
              <w:rPr>
                <w:lang w:val="en-US"/>
              </w:rPr>
              <w:t xml:space="preserve"> (ACU)</w:t>
            </w:r>
          </w:p>
          <w:p w14:paraId="1D11B327" w14:textId="77777777" w:rsidR="003907BB" w:rsidRPr="00AD49C8" w:rsidRDefault="003907BB" w:rsidP="003907BB">
            <w:pPr>
              <w:pStyle w:val="Tabletext"/>
              <w:rPr>
                <w:b/>
                <w:lang w:val="en-US"/>
              </w:rPr>
            </w:pPr>
            <w:r w:rsidRPr="00AD49C8">
              <w:rPr>
                <w:b/>
                <w:lang w:val="en-US"/>
              </w:rPr>
              <w:t>Charles Sturt University</w:t>
            </w:r>
            <w:r w:rsidR="00940E6E">
              <w:rPr>
                <w:b/>
                <w:lang w:val="en-US"/>
              </w:rPr>
              <w:t xml:space="preserve"> (CSU)</w:t>
            </w:r>
          </w:p>
          <w:p w14:paraId="4B12992A" w14:textId="77777777" w:rsidR="003907BB" w:rsidRDefault="003907BB" w:rsidP="003907BB">
            <w:pPr>
              <w:pStyle w:val="Tabletext"/>
              <w:rPr>
                <w:lang w:val="en-US"/>
              </w:rPr>
            </w:pPr>
            <w:r>
              <w:rPr>
                <w:lang w:val="en-US"/>
              </w:rPr>
              <w:t>Deakin University</w:t>
            </w:r>
          </w:p>
          <w:p w14:paraId="238AAA5D" w14:textId="77777777" w:rsidR="003907BB" w:rsidRDefault="003907BB" w:rsidP="003907BB">
            <w:pPr>
              <w:pStyle w:val="Tabletext"/>
              <w:rPr>
                <w:lang w:val="en-US"/>
              </w:rPr>
            </w:pPr>
            <w:r>
              <w:rPr>
                <w:lang w:val="en-US"/>
              </w:rPr>
              <w:t>Edith Cowan University</w:t>
            </w:r>
          </w:p>
          <w:p w14:paraId="19B67DEA" w14:textId="77777777" w:rsidR="003907BB" w:rsidRDefault="003907BB" w:rsidP="003907BB">
            <w:pPr>
              <w:pStyle w:val="Tabletext"/>
              <w:rPr>
                <w:lang w:val="en-US"/>
              </w:rPr>
            </w:pPr>
            <w:r>
              <w:rPr>
                <w:lang w:val="en-US"/>
              </w:rPr>
              <w:t>Macquarie University</w:t>
            </w:r>
          </w:p>
          <w:p w14:paraId="09094278" w14:textId="77777777" w:rsidR="003907BB" w:rsidRDefault="003907BB" w:rsidP="003907BB">
            <w:pPr>
              <w:pStyle w:val="Tabletext"/>
            </w:pPr>
            <w:r>
              <w:rPr>
                <w:lang w:val="en-US"/>
              </w:rPr>
              <w:t>Swinburne University of Technology</w:t>
            </w:r>
          </w:p>
        </w:tc>
        <w:tc>
          <w:tcPr>
            <w:tcW w:w="1879" w:type="pct"/>
          </w:tcPr>
          <w:p w14:paraId="43479B82" w14:textId="77777777" w:rsidR="003907BB" w:rsidRDefault="003907BB" w:rsidP="003907BB">
            <w:pPr>
              <w:pStyle w:val="Tabletext"/>
              <w:rPr>
                <w:lang w:val="en-US"/>
              </w:rPr>
            </w:pPr>
            <w:r>
              <w:rPr>
                <w:lang w:val="en-US"/>
              </w:rPr>
              <w:t>The University of Newcastle</w:t>
            </w:r>
          </w:p>
          <w:p w14:paraId="2D25A09F" w14:textId="77777777" w:rsidR="003907BB" w:rsidRDefault="003907BB" w:rsidP="003907BB">
            <w:pPr>
              <w:pStyle w:val="Tabletext"/>
              <w:rPr>
                <w:lang w:val="en-US"/>
              </w:rPr>
            </w:pPr>
            <w:r>
              <w:rPr>
                <w:lang w:val="en-US"/>
              </w:rPr>
              <w:t>The University of Wollongong</w:t>
            </w:r>
          </w:p>
          <w:p w14:paraId="178FB7CD" w14:textId="77777777" w:rsidR="003907BB" w:rsidRDefault="003907BB" w:rsidP="003907BB">
            <w:pPr>
              <w:pStyle w:val="Tabletext"/>
              <w:rPr>
                <w:lang w:val="en-US"/>
              </w:rPr>
            </w:pPr>
            <w:r>
              <w:rPr>
                <w:lang w:val="en-US"/>
              </w:rPr>
              <w:t>University of Canberra</w:t>
            </w:r>
          </w:p>
          <w:p w14:paraId="7F8AE43F" w14:textId="77777777" w:rsidR="003907BB" w:rsidRPr="00AD49C8" w:rsidRDefault="003907BB" w:rsidP="003907BB">
            <w:pPr>
              <w:pStyle w:val="Tabletext"/>
              <w:rPr>
                <w:b/>
                <w:lang w:val="en-US"/>
              </w:rPr>
            </w:pPr>
            <w:r w:rsidRPr="00AD49C8">
              <w:rPr>
                <w:b/>
                <w:lang w:val="en-US"/>
              </w:rPr>
              <w:t>University of Tasmania</w:t>
            </w:r>
          </w:p>
          <w:p w14:paraId="0E634E9C" w14:textId="77777777" w:rsidR="003907BB" w:rsidRDefault="003907BB" w:rsidP="003907BB">
            <w:pPr>
              <w:pStyle w:val="Tabletext"/>
              <w:rPr>
                <w:lang w:val="en-US"/>
              </w:rPr>
            </w:pPr>
            <w:r>
              <w:rPr>
                <w:lang w:val="en-US"/>
              </w:rPr>
              <w:t>Victoria University</w:t>
            </w:r>
            <w:r w:rsidR="006D2347">
              <w:rPr>
                <w:lang w:val="en-US"/>
              </w:rPr>
              <w:t xml:space="preserve"> (VU)</w:t>
            </w:r>
          </w:p>
          <w:p w14:paraId="12CB64C2" w14:textId="77777777" w:rsidR="003907BB" w:rsidRDefault="003907BB" w:rsidP="003907BB">
            <w:pPr>
              <w:pStyle w:val="Tabletext"/>
            </w:pPr>
            <w:r>
              <w:rPr>
                <w:lang w:val="en-US"/>
              </w:rPr>
              <w:t>Western Sydney University</w:t>
            </w:r>
            <w:r w:rsidR="00940E6E">
              <w:rPr>
                <w:lang w:val="en-US"/>
              </w:rPr>
              <w:t xml:space="preserve"> (WSU)</w:t>
            </w:r>
          </w:p>
        </w:tc>
      </w:tr>
      <w:tr w:rsidR="003907BB" w14:paraId="5A9EAF27" w14:textId="77777777" w:rsidTr="00AD49C8">
        <w:tblPrEx>
          <w:tblBorders>
            <w:bottom w:val="single" w:sz="4" w:space="0" w:color="646464"/>
            <w:insideH w:val="single" w:sz="4" w:space="0" w:color="646464"/>
          </w:tblBorders>
        </w:tblPrEx>
        <w:trPr>
          <w:gridBefore w:val="1"/>
          <w:wBefore w:w="262" w:type="pct"/>
          <w:cantSplit/>
        </w:trPr>
        <w:tc>
          <w:tcPr>
            <w:tcW w:w="4738" w:type="pct"/>
            <w:gridSpan w:val="3"/>
          </w:tcPr>
          <w:p w14:paraId="31752A95" w14:textId="77777777" w:rsidR="003907BB" w:rsidRPr="00F020BA" w:rsidRDefault="003907BB" w:rsidP="003907BB">
            <w:pPr>
              <w:pStyle w:val="Note"/>
            </w:pPr>
            <w:r w:rsidRPr="00F020BA">
              <w:t xml:space="preserve">Note: </w:t>
            </w:r>
            <w:r>
              <w:t>The nine regionally headquartered universities which are referred to as ‘regional universities’ are bolded. The non-bolded universities are referred to as ‘metropolitan universities’.</w:t>
            </w:r>
          </w:p>
          <w:p w14:paraId="76EF6FBD" w14:textId="77777777" w:rsidR="003907BB" w:rsidRDefault="003907BB" w:rsidP="00AD49C8">
            <w:pPr>
              <w:pStyle w:val="Source"/>
            </w:pPr>
            <w:r>
              <w:t>Source: Department of education</w:t>
            </w:r>
            <w:r w:rsidR="00D91518">
              <w:t xml:space="preserve"> and training</w:t>
            </w:r>
          </w:p>
        </w:tc>
      </w:tr>
      <w:tr w:rsidR="003907BB" w14:paraId="17DA1AB6" w14:textId="77777777" w:rsidTr="00AD49C8">
        <w:tblPrEx>
          <w:tblBorders>
            <w:bottom w:val="single" w:sz="4" w:space="0" w:color="646464"/>
            <w:insideH w:val="single" w:sz="4" w:space="0" w:color="646464"/>
          </w:tblBorders>
        </w:tblPrEx>
        <w:trPr>
          <w:gridBefore w:val="1"/>
          <w:wBefore w:w="262" w:type="pct"/>
          <w:cantSplit/>
          <w:trHeight w:hRule="exact" w:val="120"/>
        </w:trPr>
        <w:tc>
          <w:tcPr>
            <w:tcW w:w="4738" w:type="pct"/>
            <w:gridSpan w:val="3"/>
            <w:tcBorders>
              <w:bottom w:val="nil"/>
            </w:tcBorders>
          </w:tcPr>
          <w:p w14:paraId="14B25100" w14:textId="77777777" w:rsidR="003907BB" w:rsidRDefault="003907BB" w:rsidP="00AD49C8">
            <w:pPr>
              <w:pStyle w:val="spacertbl"/>
            </w:pPr>
          </w:p>
        </w:tc>
      </w:tr>
    </w:tbl>
    <w:p w14:paraId="253F63F4" w14:textId="6542EB1B" w:rsidR="003907BB" w:rsidRPr="001A2F85" w:rsidRDefault="008209D7" w:rsidP="00AD49C8">
      <w:pPr>
        <w:pStyle w:val="BodyText"/>
      </w:pPr>
      <w:r>
        <w:t>T</w:t>
      </w:r>
      <w:r w:rsidR="003907BB" w:rsidRPr="001A2F85">
        <w:t>he relative share of HEPPP expenditure on projects at different stages of the student life cycle</w:t>
      </w:r>
      <w:r>
        <w:t xml:space="preserve"> differs</w:t>
      </w:r>
      <w:r w:rsidR="003907BB" w:rsidRPr="001A2F85">
        <w:t xml:space="preserve"> </w:t>
      </w:r>
      <w:r w:rsidR="00D174B3">
        <w:t xml:space="preserve">by </w:t>
      </w:r>
      <w:r w:rsidR="003907BB" w:rsidRPr="001A2F85">
        <w:t>university grouping</w:t>
      </w:r>
      <w:r>
        <w:t xml:space="preserve"> (</w:t>
      </w:r>
      <w:r w:rsidR="008C090E" w:rsidRPr="00AD49C8">
        <w:t>Figure 3.</w:t>
      </w:r>
      <w:r w:rsidR="00D463FC">
        <w:t>2</w:t>
      </w:r>
      <w:r>
        <w:t>)</w:t>
      </w:r>
      <w:r w:rsidR="003907BB" w:rsidRPr="001A2F85">
        <w:t>.</w:t>
      </w:r>
      <w:r w:rsidR="003907BB">
        <w:t xml:space="preserve"> </w:t>
      </w:r>
      <w:r w:rsidR="003907BB" w:rsidRPr="001A2F85">
        <w:t>Outreach activities are given the greatest share of expenditure by the G</w:t>
      </w:r>
      <w:r w:rsidR="003907BB">
        <w:t>o8</w:t>
      </w:r>
      <w:r w:rsidR="003907BB" w:rsidRPr="001A2F85">
        <w:t xml:space="preserve">, </w:t>
      </w:r>
      <w:r w:rsidR="003907BB">
        <w:t xml:space="preserve">accounting for almost half </w:t>
      </w:r>
      <w:r w:rsidR="003907BB" w:rsidRPr="001A2F85">
        <w:t xml:space="preserve">of the group’s HEPPP </w:t>
      </w:r>
      <w:r w:rsidR="003907BB">
        <w:t>activit</w:t>
      </w:r>
      <w:r w:rsidR="00F30CC3">
        <w:t>y, and the RUN universities (47 per </w:t>
      </w:r>
      <w:r w:rsidR="003907BB">
        <w:t>cent)</w:t>
      </w:r>
      <w:r w:rsidR="003907BB" w:rsidRPr="001A2F85">
        <w:t>. The RUN</w:t>
      </w:r>
      <w:r w:rsidR="003907BB">
        <w:t>,</w:t>
      </w:r>
      <w:r w:rsidR="003907BB" w:rsidRPr="001A2F85">
        <w:t xml:space="preserve"> </w:t>
      </w:r>
      <w:r w:rsidR="003C579E" w:rsidRPr="001A2F85">
        <w:t>Unaligned</w:t>
      </w:r>
      <w:r w:rsidR="003C579E">
        <w:t>,</w:t>
      </w:r>
      <w:r w:rsidR="003C579E" w:rsidRPr="001A2F85">
        <w:t xml:space="preserve"> </w:t>
      </w:r>
      <w:r w:rsidR="003907BB">
        <w:t xml:space="preserve">and IRU </w:t>
      </w:r>
      <w:r w:rsidR="003907BB" w:rsidRPr="001A2F85">
        <w:t xml:space="preserve">university groups each spend </w:t>
      </w:r>
      <w:r w:rsidR="003907BB">
        <w:t xml:space="preserve">45 per cent or more of </w:t>
      </w:r>
      <w:r w:rsidR="003907BB" w:rsidRPr="001A2F85">
        <w:t xml:space="preserve">their HEPPP </w:t>
      </w:r>
      <w:r w:rsidR="003907BB">
        <w:t xml:space="preserve">allocations on </w:t>
      </w:r>
      <w:r w:rsidR="003907BB" w:rsidRPr="001A2F85">
        <w:t>projects at the Transition, Engagement and Progression stage</w:t>
      </w:r>
      <w:r w:rsidR="003907BB">
        <w:t>—t</w:t>
      </w:r>
      <w:r w:rsidR="003907BB" w:rsidRPr="001A2F85">
        <w:t xml:space="preserve">his is significantly lower for the </w:t>
      </w:r>
      <w:r w:rsidR="003907BB">
        <w:t>Go8</w:t>
      </w:r>
      <w:r w:rsidR="003907BB" w:rsidRPr="001A2F85">
        <w:t xml:space="preserve"> at 37 per cent.</w:t>
      </w:r>
      <w:r w:rsidR="003907BB">
        <w:t xml:space="preserve"> In interviews with universities from across the groupings, the focus of Go8 universities on Outreach activities was seen to reflect a relatively lower need to support the high calibre low SES students attending the high ATAR Go8 universities.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35690E5F" w14:textId="77777777" w:rsidTr="003907BB">
        <w:trPr>
          <w:cantSplit/>
          <w:trHeight w:hRule="exact" w:val="160"/>
        </w:trPr>
        <w:tc>
          <w:tcPr>
            <w:tcW w:w="8168" w:type="dxa"/>
            <w:tcBorders>
              <w:bottom w:val="single" w:sz="4" w:space="0" w:color="auto"/>
            </w:tcBorders>
          </w:tcPr>
          <w:p w14:paraId="0BEA4516" w14:textId="77777777" w:rsidR="003907BB" w:rsidRPr="001A2F85" w:rsidRDefault="003907BB" w:rsidP="003907BB">
            <w:pPr>
              <w:pStyle w:val="spacer"/>
            </w:pPr>
          </w:p>
        </w:tc>
      </w:tr>
      <w:tr w:rsidR="003907BB" w:rsidRPr="001A2F85" w14:paraId="684F7E27" w14:textId="77777777" w:rsidTr="003907BB">
        <w:trPr>
          <w:cantSplit/>
        </w:trPr>
        <w:tc>
          <w:tcPr>
            <w:tcW w:w="8168" w:type="dxa"/>
            <w:tcBorders>
              <w:top w:val="single" w:sz="4" w:space="0" w:color="auto"/>
            </w:tcBorders>
            <w:tcMar>
              <w:left w:w="0" w:type="dxa"/>
            </w:tcMar>
          </w:tcPr>
          <w:p w14:paraId="1A5920E4" w14:textId="77777777" w:rsidR="003907BB" w:rsidRPr="001A2F85" w:rsidRDefault="003907BB" w:rsidP="003907BB">
            <w:pPr>
              <w:pStyle w:val="Caption"/>
            </w:pPr>
            <w:bookmarkStart w:id="102" w:name="_Ref465860027"/>
            <w:bookmarkStart w:id="103" w:name="_Toc466655656"/>
            <w:r w:rsidRPr="001A2F85">
              <w:rPr>
                <w:rStyle w:val="CaptionLabel"/>
              </w:rPr>
              <w:t>Figure </w:t>
            </w:r>
            <w:r w:rsidR="008C090E">
              <w:rPr>
                <w:rStyle w:val="CaptionLabel"/>
                <w:noProof/>
              </w:rPr>
              <w:t>3</w:t>
            </w:r>
            <w:r w:rsidRPr="001A2F85">
              <w:rPr>
                <w:rStyle w:val="CaptionLabel"/>
              </w:rPr>
              <w:t>.</w:t>
            </w:r>
            <w:r w:rsidR="00D463FC">
              <w:rPr>
                <w:rStyle w:val="CaptionLabel"/>
                <w:noProof/>
              </w:rPr>
              <w:t>2</w:t>
            </w:r>
            <w:bookmarkEnd w:id="102"/>
            <w:r w:rsidRPr="001A2F85">
              <w:tab/>
              <w:t>share of expenditure by student life cycle stage, by university grouping, 2010-2015</w:t>
            </w:r>
            <w:bookmarkEnd w:id="103"/>
          </w:p>
        </w:tc>
      </w:tr>
      <w:tr w:rsidR="003907BB" w:rsidRPr="001A2F85" w14:paraId="52237A55" w14:textId="77777777" w:rsidTr="003907BB">
        <w:trPr>
          <w:cantSplit/>
          <w:trHeight w:hRule="exact" w:val="380"/>
        </w:trPr>
        <w:tc>
          <w:tcPr>
            <w:tcW w:w="8168" w:type="dxa"/>
            <w:tcBorders>
              <w:bottom w:val="single" w:sz="4" w:space="0" w:color="auto"/>
            </w:tcBorders>
          </w:tcPr>
          <w:p w14:paraId="4CA78844"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13696" behindDoc="0" locked="1" layoutInCell="1" allowOverlap="1" wp14:anchorId="3A55B4EA" wp14:editId="661BDDE1">
                      <wp:simplePos x="0" y="0"/>
                      <wp:positionH relativeFrom="rightMargin">
                        <wp:posOffset>-772795</wp:posOffset>
                      </wp:positionH>
                      <wp:positionV relativeFrom="page">
                        <wp:posOffset>0</wp:posOffset>
                      </wp:positionV>
                      <wp:extent cx="436880" cy="213360"/>
                      <wp:effectExtent l="0" t="0" r="1270" b="0"/>
                      <wp:wrapNone/>
                      <wp:docPr id="81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A6667B" id="Freeform 5" o:spid="_x0000_s1026" style="position:absolute;margin-left:-60.85pt;margin-top:0;width:34.4pt;height:16.8pt;z-index:251613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u9GncX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788A1FA3"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361902B8" w14:textId="77777777" w:rsidR="003907BB" w:rsidRPr="001A2F85" w:rsidRDefault="007F5EE9" w:rsidP="003907BB">
            <w:pPr>
              <w:pStyle w:val="Figure"/>
            </w:pPr>
            <w:r>
              <w:rPr>
                <w:noProof/>
                <w:lang w:eastAsia="en-AU"/>
              </w:rPr>
              <w:drawing>
                <wp:inline distT="0" distB="0" distL="0" distR="0" wp14:anchorId="76185CAB" wp14:editId="561BF3AD">
                  <wp:extent cx="5172075" cy="2200275"/>
                  <wp:effectExtent l="0" t="0" r="0" b="0"/>
                  <wp:docPr id="1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2075" cy="2200275"/>
                          </a:xfrm>
                          <a:prstGeom prst="rect">
                            <a:avLst/>
                          </a:prstGeom>
                          <a:noFill/>
                          <a:ln>
                            <a:noFill/>
                          </a:ln>
                        </pic:spPr>
                      </pic:pic>
                    </a:graphicData>
                  </a:graphic>
                </wp:inline>
              </w:drawing>
            </w:r>
          </w:p>
        </w:tc>
      </w:tr>
      <w:tr w:rsidR="003907BB" w:rsidRPr="001A2F85" w14:paraId="7F5041F4"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65ECA567" w14:textId="77777777" w:rsidR="003907BB" w:rsidRPr="001A2F85" w:rsidRDefault="003907BB" w:rsidP="003907BB">
            <w:pPr>
              <w:pStyle w:val="Note"/>
            </w:pPr>
            <w:r w:rsidRPr="001A2F85">
              <w:t>Note: Administration includes some NPP funding.</w:t>
            </w:r>
          </w:p>
          <w:p w14:paraId="42923D8E" w14:textId="77777777" w:rsidR="003907BB" w:rsidRPr="001A2F85" w:rsidRDefault="003907BB" w:rsidP="003907BB">
            <w:pPr>
              <w:pStyle w:val="Source"/>
            </w:pPr>
            <w:r w:rsidRPr="001A2F85">
              <w:t>Source: heppp annual reports</w:t>
            </w:r>
          </w:p>
        </w:tc>
      </w:tr>
      <w:tr w:rsidR="003907BB" w:rsidRPr="001A2F85" w14:paraId="0E0FB7E4" w14:textId="77777777" w:rsidTr="003907BB">
        <w:trPr>
          <w:trHeight w:hRule="exact" w:val="160"/>
        </w:trPr>
        <w:tc>
          <w:tcPr>
            <w:tcW w:w="8168" w:type="dxa"/>
            <w:tcBorders>
              <w:top w:val="single" w:sz="4" w:space="0" w:color="auto"/>
            </w:tcBorders>
          </w:tcPr>
          <w:p w14:paraId="44FF37E2" w14:textId="77777777" w:rsidR="003907BB" w:rsidRPr="001A2F85" w:rsidRDefault="003907BB" w:rsidP="003907BB">
            <w:pPr>
              <w:pStyle w:val="spacertbl"/>
            </w:pPr>
          </w:p>
        </w:tc>
      </w:tr>
    </w:tbl>
    <w:p w14:paraId="0C0E50B1" w14:textId="77777777" w:rsidR="008209D7" w:rsidRDefault="008209D7" w:rsidP="008209D7">
      <w:pPr>
        <w:pStyle w:val="BodyText"/>
      </w:pPr>
      <w:r>
        <w:t xml:space="preserve">The </w:t>
      </w:r>
      <w:r w:rsidR="003907BB" w:rsidRPr="006A48DF">
        <w:t>share of expenditure by student life cycle stage by metropolitan and regional universities</w:t>
      </w:r>
      <w:r>
        <w:t xml:space="preserve"> varies with r</w:t>
      </w:r>
      <w:r w:rsidR="003907BB" w:rsidRPr="006A48DF">
        <w:t>egional universities devot</w:t>
      </w:r>
      <w:r>
        <w:t>ing</w:t>
      </w:r>
      <w:r w:rsidR="003907BB" w:rsidRPr="006A48DF">
        <w:t xml:space="preserve"> more of the</w:t>
      </w:r>
      <w:r>
        <w:t>ir</w:t>
      </w:r>
      <w:r w:rsidR="003907BB" w:rsidRPr="006A48DF">
        <w:t xml:space="preserve"> HEPPP activity towards the Transition, Engagement and Progression life cycle stage (50 per cent), while metropolitan universities undertake more </w:t>
      </w:r>
      <w:r w:rsidR="003907BB" w:rsidRPr="00135E5A">
        <w:t>Outreach activities (46 per cent)</w:t>
      </w:r>
      <w:r w:rsidRPr="00135E5A">
        <w:t xml:space="preserve"> (</w:t>
      </w:r>
      <w:r w:rsidR="00A0360A" w:rsidRPr="006640EC">
        <w:t>Figure 3.</w:t>
      </w:r>
      <w:r w:rsidR="00D463FC" w:rsidRPr="006640EC">
        <w:t>3</w:t>
      </w:r>
      <w:r w:rsidRPr="00135E5A">
        <w:t>)</w:t>
      </w:r>
      <w:r w:rsidR="003907BB" w:rsidRPr="00135E5A">
        <w:t>. Interviews with universities did not provide any particular</w:t>
      </w:r>
      <w:r w:rsidR="003907BB" w:rsidRPr="006A48DF">
        <w:t xml:space="preserve"> insights as what may be driving this difference, but it could be due to the greater share of Partnership grant projects awarded to metropolitan universities on average</w:t>
      </w:r>
      <w:r w:rsidR="003907BB" w:rsidRPr="006A48DF">
        <w:rPr>
          <w:rStyle w:val="FootnoteReference"/>
        </w:rPr>
        <w:footnoteReference w:id="21"/>
      </w:r>
      <w:r w:rsidR="003907BB" w:rsidRPr="006A48DF">
        <w:t xml:space="preserve"> and that all the Go8 universities</w:t>
      </w:r>
      <w:r w:rsidR="003907BB" w:rsidRPr="000729C9">
        <w:t xml:space="preserve">, which have a much greater focus on Outreach, are all </w:t>
      </w:r>
      <w:r w:rsidR="003907BB" w:rsidRPr="006A48DF">
        <w:t>metropolitan universities.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DA0683" w:rsidRPr="00AA4DEE" w14:paraId="0297AFB2" w14:textId="77777777" w:rsidTr="00DA0683">
        <w:trPr>
          <w:cantSplit/>
          <w:trHeight w:hRule="exact" w:val="160"/>
        </w:trPr>
        <w:tc>
          <w:tcPr>
            <w:tcW w:w="8168" w:type="dxa"/>
            <w:tcBorders>
              <w:bottom w:val="single" w:sz="4" w:space="0" w:color="auto"/>
            </w:tcBorders>
          </w:tcPr>
          <w:p w14:paraId="1C3A45E2" w14:textId="77777777" w:rsidR="00DA0683" w:rsidRPr="00AA4DEE" w:rsidRDefault="00DA0683" w:rsidP="006640EC">
            <w:pPr>
              <w:pStyle w:val="BodyText"/>
              <w:keepNext/>
            </w:pPr>
            <w:bookmarkStart w:id="104" w:name="_Toc466024932"/>
            <w:bookmarkStart w:id="105" w:name="_Toc466281049"/>
            <w:bookmarkStart w:id="106" w:name="_Toc466024933"/>
            <w:bookmarkStart w:id="107" w:name="_Toc466281050"/>
            <w:bookmarkStart w:id="108" w:name="_Toc466024934"/>
            <w:bookmarkStart w:id="109" w:name="_Toc466281051"/>
            <w:bookmarkStart w:id="110" w:name="_Toc466024935"/>
            <w:bookmarkStart w:id="111" w:name="_Toc466281052"/>
            <w:bookmarkStart w:id="112" w:name="_Toc466024937"/>
            <w:bookmarkStart w:id="113" w:name="_Toc466281054"/>
            <w:bookmarkStart w:id="114" w:name="_Toc466024947"/>
            <w:bookmarkStart w:id="115" w:name="_Toc466281064"/>
            <w:bookmarkStart w:id="116" w:name="_Toc462578114"/>
            <w:bookmarkStart w:id="117" w:name="_Toc465244905"/>
            <w:bookmarkStart w:id="118" w:name="_Toc462578113"/>
            <w:bookmarkEnd w:id="104"/>
            <w:bookmarkEnd w:id="105"/>
            <w:bookmarkEnd w:id="106"/>
            <w:bookmarkEnd w:id="107"/>
            <w:bookmarkEnd w:id="108"/>
            <w:bookmarkEnd w:id="109"/>
            <w:bookmarkEnd w:id="110"/>
            <w:bookmarkEnd w:id="111"/>
            <w:bookmarkEnd w:id="112"/>
            <w:bookmarkEnd w:id="113"/>
            <w:bookmarkEnd w:id="114"/>
            <w:bookmarkEnd w:id="115"/>
          </w:p>
        </w:tc>
      </w:tr>
      <w:tr w:rsidR="00DA0683" w:rsidRPr="00897E60" w14:paraId="6478D9F2" w14:textId="77777777" w:rsidTr="00DA0683">
        <w:trPr>
          <w:cantSplit/>
        </w:trPr>
        <w:tc>
          <w:tcPr>
            <w:tcW w:w="8168" w:type="dxa"/>
            <w:tcBorders>
              <w:top w:val="single" w:sz="4" w:space="0" w:color="auto"/>
            </w:tcBorders>
            <w:tcMar>
              <w:left w:w="0" w:type="dxa"/>
            </w:tcMar>
          </w:tcPr>
          <w:p w14:paraId="103BE2CF" w14:textId="77777777" w:rsidR="00DA0683" w:rsidRPr="00897E60" w:rsidRDefault="00DA0683" w:rsidP="00CB6487">
            <w:pPr>
              <w:pStyle w:val="Caption"/>
            </w:pPr>
            <w:bookmarkStart w:id="119" w:name="_Toc466655657"/>
            <w:r w:rsidRPr="00897E60">
              <w:rPr>
                <w:rStyle w:val="CaptionLabel"/>
              </w:rPr>
              <w:t>Figure</w:t>
            </w:r>
            <w:r>
              <w:rPr>
                <w:rStyle w:val="CaptionLabel"/>
              </w:rPr>
              <w:t> </w:t>
            </w:r>
            <w:r w:rsidR="008C090E">
              <w:rPr>
                <w:rStyle w:val="CaptionLabel"/>
                <w:noProof/>
              </w:rPr>
              <w:t>3</w:t>
            </w:r>
            <w:r w:rsidRPr="00897E60">
              <w:rPr>
                <w:rStyle w:val="CaptionLabel"/>
              </w:rPr>
              <w:t>.</w:t>
            </w:r>
            <w:r w:rsidR="00D463FC">
              <w:rPr>
                <w:rStyle w:val="CaptionLabel"/>
                <w:noProof/>
              </w:rPr>
              <w:t>3</w:t>
            </w:r>
            <w:r>
              <w:tab/>
            </w:r>
            <w:r w:rsidRPr="001A2F85">
              <w:t>Share of expenditure</w:t>
            </w:r>
            <w:r>
              <w:t xml:space="preserve"> </w:t>
            </w:r>
            <w:r w:rsidRPr="001A2F85">
              <w:t>by student life cycle stage</w:t>
            </w:r>
            <w:r>
              <w:t>,</w:t>
            </w:r>
            <w:r w:rsidRPr="001A2F85">
              <w:t xml:space="preserve"> by METRO</w:t>
            </w:r>
            <w:r>
              <w:t>POLITAN/regional</w:t>
            </w:r>
            <w:r w:rsidRPr="001A2F85">
              <w:t xml:space="preserve"> university, 2010-2015</w:t>
            </w:r>
            <w:bookmarkEnd w:id="119"/>
          </w:p>
        </w:tc>
      </w:tr>
      <w:tr w:rsidR="00DA0683" w:rsidRPr="00AA4DEE" w14:paraId="486F4766" w14:textId="77777777" w:rsidTr="00DA0683">
        <w:trPr>
          <w:cantSplit/>
          <w:trHeight w:hRule="exact" w:val="380"/>
        </w:trPr>
        <w:tc>
          <w:tcPr>
            <w:tcW w:w="8168" w:type="dxa"/>
            <w:tcBorders>
              <w:bottom w:val="single" w:sz="4" w:space="0" w:color="auto"/>
            </w:tcBorders>
          </w:tcPr>
          <w:p w14:paraId="0B4DF2FB" w14:textId="77777777" w:rsidR="00DA0683" w:rsidRPr="00AA4DEE" w:rsidRDefault="00A45AB3" w:rsidP="00CB6487">
            <w:pPr>
              <w:pStyle w:val="spacer"/>
            </w:pPr>
            <w:r>
              <w:rPr>
                <w:noProof/>
                <w:lang w:eastAsia="en-AU"/>
              </w:rPr>
              <mc:AlternateContent>
                <mc:Choice Requires="wps">
                  <w:drawing>
                    <wp:anchor distT="0" distB="0" distL="114300" distR="114300" simplePos="0" relativeHeight="251628032" behindDoc="0" locked="1" layoutInCell="1" allowOverlap="1" wp14:anchorId="0992247F" wp14:editId="0960261E">
                      <wp:simplePos x="0" y="0"/>
                      <wp:positionH relativeFrom="rightMargin">
                        <wp:posOffset>-772795</wp:posOffset>
                      </wp:positionH>
                      <wp:positionV relativeFrom="page">
                        <wp:posOffset>0</wp:posOffset>
                      </wp:positionV>
                      <wp:extent cx="436880" cy="213360"/>
                      <wp:effectExtent l="0" t="0" r="1270" b="0"/>
                      <wp:wrapNone/>
                      <wp:docPr id="31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4BA66D" id="Freeform 5" o:spid="_x0000_s1026" style="position:absolute;margin-left:-60.85pt;margin-top:0;width:34.4pt;height:16.8pt;z-index:251628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Uqg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DA0683" w:rsidRPr="00AA4DEE" w14:paraId="1F51B1FB" w14:textId="77777777" w:rsidTr="00DA0683">
        <w:trPr>
          <w:cantSplit/>
        </w:trPr>
        <w:tc>
          <w:tcPr>
            <w:tcW w:w="8168" w:type="dxa"/>
            <w:tcBorders>
              <w:top w:val="single" w:sz="4" w:space="0" w:color="auto"/>
              <w:bottom w:val="single" w:sz="4" w:space="0" w:color="auto"/>
            </w:tcBorders>
            <w:tcMar>
              <w:top w:w="10" w:type="dxa"/>
              <w:bottom w:w="10" w:type="dxa"/>
              <w:right w:w="0" w:type="dxa"/>
            </w:tcMar>
          </w:tcPr>
          <w:p w14:paraId="7012E114" w14:textId="77777777" w:rsidR="00DA0683" w:rsidRPr="00AA4DEE" w:rsidRDefault="007F5EE9" w:rsidP="00CB6487">
            <w:pPr>
              <w:pStyle w:val="Figure"/>
            </w:pPr>
            <w:r>
              <w:rPr>
                <w:noProof/>
                <w:lang w:eastAsia="en-AU"/>
              </w:rPr>
              <w:drawing>
                <wp:inline distT="0" distB="0" distL="0" distR="0" wp14:anchorId="705DA497" wp14:editId="48A30073">
                  <wp:extent cx="5172075" cy="2505075"/>
                  <wp:effectExtent l="0" t="0" r="0" b="0"/>
                  <wp:docPr id="12"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72075" cy="2505075"/>
                          </a:xfrm>
                          <a:prstGeom prst="rect">
                            <a:avLst/>
                          </a:prstGeom>
                          <a:noFill/>
                          <a:ln>
                            <a:noFill/>
                          </a:ln>
                        </pic:spPr>
                      </pic:pic>
                    </a:graphicData>
                  </a:graphic>
                </wp:inline>
              </w:drawing>
            </w:r>
          </w:p>
        </w:tc>
      </w:tr>
      <w:tr w:rsidR="00DA0683" w:rsidRPr="00AA4DEE" w14:paraId="6C2F1645" w14:textId="77777777" w:rsidTr="00DA0683">
        <w:trPr>
          <w:cantSplit/>
        </w:trPr>
        <w:tc>
          <w:tcPr>
            <w:tcW w:w="8168" w:type="dxa"/>
            <w:tcBorders>
              <w:top w:val="single" w:sz="4" w:space="0" w:color="auto"/>
              <w:bottom w:val="single" w:sz="4" w:space="0" w:color="auto"/>
            </w:tcBorders>
            <w:tcMar>
              <w:top w:w="12" w:type="dxa"/>
              <w:left w:w="0" w:type="dxa"/>
              <w:bottom w:w="113" w:type="dxa"/>
            </w:tcMar>
          </w:tcPr>
          <w:p w14:paraId="1C25AB73" w14:textId="77777777" w:rsidR="00DA0683" w:rsidRPr="00AA4DEE" w:rsidRDefault="00DA0683" w:rsidP="00CB6487">
            <w:pPr>
              <w:pStyle w:val="Source"/>
            </w:pPr>
            <w:r w:rsidRPr="00AA4DEE">
              <w:t xml:space="preserve">Source: </w:t>
            </w:r>
            <w:r>
              <w:t>HEPPP annual reports</w:t>
            </w:r>
          </w:p>
        </w:tc>
      </w:tr>
      <w:tr w:rsidR="00DA0683" w14:paraId="0339FD4A" w14:textId="77777777" w:rsidTr="00DA0683">
        <w:trPr>
          <w:trHeight w:hRule="exact" w:val="160"/>
        </w:trPr>
        <w:tc>
          <w:tcPr>
            <w:tcW w:w="8168" w:type="dxa"/>
            <w:tcBorders>
              <w:top w:val="single" w:sz="4" w:space="0" w:color="auto"/>
            </w:tcBorders>
          </w:tcPr>
          <w:p w14:paraId="65763772" w14:textId="77777777" w:rsidR="00DA0683" w:rsidRDefault="00DA0683" w:rsidP="006640EC">
            <w:pPr>
              <w:pStyle w:val="spacertbl"/>
              <w:keepNext/>
            </w:pPr>
          </w:p>
        </w:tc>
      </w:tr>
    </w:tbl>
    <w:p w14:paraId="62B6B06F" w14:textId="77777777" w:rsidR="00DA0683" w:rsidRDefault="00DA0683" w:rsidP="00AD49C8">
      <w:pPr>
        <w:pStyle w:val="Heading2"/>
      </w:pPr>
      <w:bookmarkStart w:id="120" w:name="_Toc466657118"/>
      <w:r>
        <w:t>HEPPP activity by project types</w:t>
      </w:r>
      <w:bookmarkEnd w:id="120"/>
    </w:p>
    <w:p w14:paraId="159B8725" w14:textId="77777777" w:rsidR="00DA0683" w:rsidRDefault="00DA0683" w:rsidP="00DA0683">
      <w:pPr>
        <w:spacing w:after="160" w:line="259" w:lineRule="auto"/>
      </w:pPr>
      <w:r>
        <w:t xml:space="preserve">HEPPP projects </w:t>
      </w:r>
      <w:r w:rsidR="00F12DDD">
        <w:t xml:space="preserve">have been categorised for the evaluation </w:t>
      </w:r>
      <w:r>
        <w:t xml:space="preserve">according to 22 types of equity activities, many of which can be delivered across multiple EIF student life cycle stages (for example, career advice activities can take place at the first three life cycle stages </w:t>
      </w:r>
      <w:r w:rsidR="001651A4">
        <w:t>(refer</w:t>
      </w:r>
      <w:r w:rsidR="008209D7">
        <w:t xml:space="preserve"> Chapter 1</w:t>
      </w:r>
      <w:r w:rsidR="001651A4">
        <w:t>)</w:t>
      </w:r>
      <w:r>
        <w:t>. Each HEPPP project can have more than one activity type, for example a project may provide first</w:t>
      </w:r>
      <w:r w:rsidR="006A48DF">
        <w:t> </w:t>
      </w:r>
      <w:r>
        <w:t xml:space="preserve">year transition support and scholarships to students commencing university—around 70 per cent of HEPPP projects incorporate more than one activity. </w:t>
      </w:r>
    </w:p>
    <w:p w14:paraId="0A9C4161" w14:textId="77777777" w:rsidR="00DA0683" w:rsidRDefault="00DA0683" w:rsidP="00DA0683">
      <w:pPr>
        <w:spacing w:after="160" w:line="259" w:lineRule="auto"/>
      </w:pPr>
      <w:r>
        <w:t>The second column in Table 3.2 shows the proportion of HEPPP projects in which each type of equity activity occurs. For example, the ‘Aspiration raising - pre-entry university experience’ activity occurs in 15 per cent of all HEPPP projects. The four right-hand columns show how each equity activity is utilised across the student life cycle stages. For example, 95 per cent of ‘Aspiration raising - pre-entry university experience’ activity takes place in the Pre-Access stage, with the remaining 5 per cent occurring in the Access stage.</w:t>
      </w:r>
    </w:p>
    <w:p w14:paraId="2784DCCA" w14:textId="77777777" w:rsidR="00DA0683" w:rsidRDefault="00DA0683" w:rsidP="00DA0683">
      <w:pPr>
        <w:spacing w:after="160" w:line="259" w:lineRule="auto"/>
      </w:pPr>
      <w:r>
        <w:t>Across the HEPPP, academic preparation/support was the most utilised activity</w:t>
      </w:r>
      <w:r w:rsidR="006A48DF">
        <w:t>,</w:t>
      </w:r>
      <w:r>
        <w:t xml:space="preserve"> appearing in around one third of all projects. This is likely a response to low SES student need for such preparation and support, and also due to the fact that academic preparation/support can take place at three of the four EIF student life cycle stages—34 per cent of academic preparation/support takes place at the Pre Access stage</w:t>
      </w:r>
      <w:r w:rsidR="006A48DF">
        <w:t xml:space="preserve"> and</w:t>
      </w:r>
      <w:r>
        <w:t xml:space="preserve"> 61 per cent at the Participation stage, with the remainder in the Access stage. Mentoring and peer support, and first year transition support were the two next most utilised activities. </w:t>
      </w:r>
    </w:p>
    <w:p w14:paraId="2F16EDDA" w14:textId="77777777" w:rsidR="003907BB" w:rsidRPr="006F1280" w:rsidRDefault="00DA0683" w:rsidP="00AD49C8">
      <w:r>
        <w:t xml:space="preserve">Some activities are spread across EIF stages (such as ‘mentoring and peer support’, ‘academic preparation/support’ and ‘professional development’), while others are concentrated in one particular stage such as ‘monitoring student progress’ in the Participation stage. </w:t>
      </w:r>
      <w:bookmarkEnd w:id="116"/>
      <w:bookmarkEnd w:id="117"/>
      <w:r w:rsidR="0009169D" w:rsidRPr="006F1280">
        <w:br w:type="page"/>
      </w:r>
    </w:p>
    <w:p w14:paraId="1DAF8E14" w14:textId="77777777" w:rsidR="003907BB" w:rsidRPr="001A2F85" w:rsidRDefault="003907BB" w:rsidP="003907BB">
      <w:pPr>
        <w:pStyle w:val="Caption"/>
        <w:spacing w:before="160"/>
        <w:ind w:left="-1753" w:firstLine="0"/>
      </w:pPr>
      <w:bookmarkStart w:id="121" w:name="_Ref465867780"/>
      <w:bookmarkStart w:id="122" w:name="_Toc466655755"/>
      <w:r w:rsidRPr="001A2F85">
        <w:rPr>
          <w:rStyle w:val="CaptionLabel"/>
        </w:rPr>
        <w:t>Table </w:t>
      </w:r>
      <w:r w:rsidR="008C090E">
        <w:rPr>
          <w:rStyle w:val="CaptionLabel"/>
          <w:noProof/>
        </w:rPr>
        <w:t>3</w:t>
      </w:r>
      <w:r w:rsidRPr="001A2F85">
        <w:rPr>
          <w:rStyle w:val="CaptionLabel"/>
        </w:rPr>
        <w:t>.</w:t>
      </w:r>
      <w:r w:rsidR="008C090E">
        <w:rPr>
          <w:rStyle w:val="CaptionLabel"/>
          <w:noProof/>
        </w:rPr>
        <w:t>2</w:t>
      </w:r>
      <w:bookmarkEnd w:id="121"/>
      <w:r w:rsidRPr="001A2F85">
        <w:tab/>
        <w:t>HEPPP projects by activity type</w:t>
      </w:r>
      <w:bookmarkEnd w:id="122"/>
    </w:p>
    <w:tbl>
      <w:tblPr>
        <w:tblW w:w="10459" w:type="dxa"/>
        <w:tblInd w:w="-2207" w:type="dxa"/>
        <w:tblLayout w:type="fixed"/>
        <w:tblCellMar>
          <w:left w:w="0" w:type="dxa"/>
          <w:bottom w:w="40" w:type="dxa"/>
          <w:right w:w="0" w:type="dxa"/>
        </w:tblCellMar>
        <w:tblLook w:val="0000" w:firstRow="0" w:lastRow="0" w:firstColumn="0" w:lastColumn="0" w:noHBand="0" w:noVBand="0"/>
      </w:tblPr>
      <w:tblGrid>
        <w:gridCol w:w="461"/>
        <w:gridCol w:w="3874"/>
        <w:gridCol w:w="253"/>
        <w:gridCol w:w="1404"/>
        <w:gridCol w:w="186"/>
        <w:gridCol w:w="1075"/>
        <w:gridCol w:w="1075"/>
        <w:gridCol w:w="1075"/>
        <w:gridCol w:w="1056"/>
      </w:tblGrid>
      <w:tr w:rsidR="003907BB" w:rsidRPr="001A2F85" w14:paraId="47083444" w14:textId="77777777" w:rsidTr="00AD49C8">
        <w:trPr>
          <w:cantSplit/>
          <w:trHeight w:val="270"/>
          <w:tblHeader/>
        </w:trPr>
        <w:tc>
          <w:tcPr>
            <w:tcW w:w="2072" w:type="pct"/>
            <w:gridSpan w:val="2"/>
            <w:shd w:val="clear" w:color="auto" w:fill="9D57A6"/>
            <w:tcMar>
              <w:left w:w="454" w:type="dxa"/>
              <w:bottom w:w="0" w:type="dxa"/>
            </w:tcMar>
            <w:vAlign w:val="bottom"/>
          </w:tcPr>
          <w:p w14:paraId="72EA4C7C" w14:textId="77777777" w:rsidR="003907BB" w:rsidRPr="001A2F85" w:rsidRDefault="003907BB" w:rsidP="003907BB">
            <w:pPr>
              <w:pStyle w:val="Tablecolumnheadings"/>
            </w:pPr>
          </w:p>
        </w:tc>
        <w:tc>
          <w:tcPr>
            <w:tcW w:w="792" w:type="pct"/>
            <w:gridSpan w:val="2"/>
            <w:shd w:val="clear" w:color="auto" w:fill="9D57A6"/>
            <w:tcMar>
              <w:bottom w:w="0" w:type="dxa"/>
            </w:tcMar>
            <w:vAlign w:val="bottom"/>
          </w:tcPr>
          <w:p w14:paraId="21852C3B" w14:textId="77777777" w:rsidR="003907BB" w:rsidRPr="001A2F85" w:rsidRDefault="003907BB" w:rsidP="003907BB">
            <w:pPr>
              <w:pStyle w:val="Tablecolumnheadings"/>
              <w:jc w:val="center"/>
            </w:pPr>
          </w:p>
        </w:tc>
        <w:tc>
          <w:tcPr>
            <w:tcW w:w="89" w:type="pct"/>
            <w:shd w:val="clear" w:color="auto" w:fill="9D57A6"/>
          </w:tcPr>
          <w:p w14:paraId="0CFE9E97" w14:textId="77777777" w:rsidR="003907BB" w:rsidRPr="001A2F85" w:rsidRDefault="003907BB" w:rsidP="003907BB">
            <w:pPr>
              <w:pStyle w:val="Tablecolumnheadings"/>
              <w:jc w:val="center"/>
            </w:pPr>
          </w:p>
        </w:tc>
        <w:tc>
          <w:tcPr>
            <w:tcW w:w="2047" w:type="pct"/>
            <w:gridSpan w:val="4"/>
            <w:shd w:val="clear" w:color="auto" w:fill="9D57A6"/>
            <w:tcMar>
              <w:bottom w:w="0" w:type="dxa"/>
            </w:tcMar>
            <w:vAlign w:val="center"/>
          </w:tcPr>
          <w:p w14:paraId="1F16C174" w14:textId="77777777" w:rsidR="003907BB" w:rsidRPr="001A2F85" w:rsidRDefault="003907BB" w:rsidP="003907BB">
            <w:pPr>
              <w:pStyle w:val="Tablecolumnheadings"/>
              <w:jc w:val="center"/>
            </w:pPr>
            <w:r w:rsidRPr="001A2F85">
              <w:t>Share of activity cross the EIF stages</w:t>
            </w:r>
          </w:p>
        </w:tc>
      </w:tr>
      <w:tr w:rsidR="003907BB" w:rsidRPr="001A2F85" w14:paraId="41A02BDD" w14:textId="77777777" w:rsidTr="003907BB">
        <w:trPr>
          <w:cantSplit/>
          <w:trHeight w:val="1603"/>
          <w:tblHeader/>
        </w:trPr>
        <w:tc>
          <w:tcPr>
            <w:tcW w:w="2072" w:type="pct"/>
            <w:gridSpan w:val="2"/>
            <w:shd w:val="clear" w:color="auto" w:fill="9D57A6"/>
            <w:tcMar>
              <w:left w:w="454" w:type="dxa"/>
              <w:bottom w:w="0" w:type="dxa"/>
            </w:tcMar>
            <w:vAlign w:val="bottom"/>
          </w:tcPr>
          <w:p w14:paraId="20C9E63A" w14:textId="77777777" w:rsidR="003907BB" w:rsidRPr="001A2F85" w:rsidRDefault="003907BB" w:rsidP="003907BB">
            <w:pPr>
              <w:pStyle w:val="Tablecolumnheadings"/>
            </w:pPr>
            <w:r w:rsidRPr="001A2F85">
              <w:t>EIF activity</w:t>
            </w:r>
          </w:p>
        </w:tc>
        <w:tc>
          <w:tcPr>
            <w:tcW w:w="792" w:type="pct"/>
            <w:gridSpan w:val="2"/>
            <w:shd w:val="clear" w:color="auto" w:fill="9D57A6"/>
            <w:tcMar>
              <w:bottom w:w="0" w:type="dxa"/>
            </w:tcMar>
            <w:vAlign w:val="bottom"/>
          </w:tcPr>
          <w:p w14:paraId="7C920A85" w14:textId="77777777" w:rsidR="003907BB" w:rsidRPr="001A2F85" w:rsidRDefault="003907BB" w:rsidP="003907BB">
            <w:pPr>
              <w:pStyle w:val="Tablecolumnheadings"/>
              <w:jc w:val="center"/>
            </w:pPr>
            <w:r>
              <w:t>Proportion</w:t>
            </w:r>
            <w:r w:rsidRPr="001A2F85">
              <w:t xml:space="preserve"> of HEPPP projects in which the activity takes </w:t>
            </w:r>
            <w:r>
              <w:t xml:space="preserve">place </w:t>
            </w:r>
            <w:r w:rsidRPr="001A2F85">
              <w:t>(does not sum to 100%, see note below)</w:t>
            </w:r>
          </w:p>
        </w:tc>
        <w:tc>
          <w:tcPr>
            <w:tcW w:w="89" w:type="pct"/>
            <w:shd w:val="clear" w:color="auto" w:fill="9D57A6"/>
            <w:textDirection w:val="btLr"/>
          </w:tcPr>
          <w:p w14:paraId="09AA8D27" w14:textId="77777777" w:rsidR="003907BB" w:rsidRPr="001A2F85" w:rsidRDefault="003907BB" w:rsidP="003907BB">
            <w:pPr>
              <w:pStyle w:val="Tablecolumnheadings"/>
              <w:ind w:left="113" w:right="113"/>
            </w:pPr>
          </w:p>
        </w:tc>
        <w:tc>
          <w:tcPr>
            <w:tcW w:w="514" w:type="pct"/>
            <w:shd w:val="clear" w:color="auto" w:fill="9D57A6"/>
            <w:tcMar>
              <w:bottom w:w="0" w:type="dxa"/>
            </w:tcMar>
            <w:textDirection w:val="btLr"/>
            <w:vAlign w:val="center"/>
          </w:tcPr>
          <w:p w14:paraId="6EF5B5F5" w14:textId="77777777" w:rsidR="003907BB" w:rsidRPr="001A2F85" w:rsidRDefault="003907BB" w:rsidP="003907BB">
            <w:pPr>
              <w:pStyle w:val="Tablecolumnheadings"/>
              <w:ind w:left="113" w:right="113"/>
            </w:pPr>
            <w:r w:rsidRPr="001A2F85">
              <w:t>Pre-Access: Outreach to Schools and Communities</w:t>
            </w:r>
          </w:p>
        </w:tc>
        <w:tc>
          <w:tcPr>
            <w:tcW w:w="514" w:type="pct"/>
            <w:shd w:val="clear" w:color="auto" w:fill="9D57A6"/>
            <w:tcMar>
              <w:bottom w:w="0" w:type="dxa"/>
            </w:tcMar>
            <w:textDirection w:val="btLr"/>
            <w:vAlign w:val="center"/>
          </w:tcPr>
          <w:p w14:paraId="635258F6" w14:textId="77777777" w:rsidR="003907BB" w:rsidRPr="001A2F85" w:rsidRDefault="003907BB" w:rsidP="003907BB">
            <w:pPr>
              <w:pStyle w:val="Tablecolumnheadings"/>
              <w:ind w:left="113" w:right="113"/>
            </w:pPr>
            <w:r w:rsidRPr="001A2F85">
              <w:t>Access: Pathways and Admissions</w:t>
            </w:r>
          </w:p>
        </w:tc>
        <w:tc>
          <w:tcPr>
            <w:tcW w:w="514" w:type="pct"/>
            <w:shd w:val="clear" w:color="auto" w:fill="9D57A6"/>
            <w:tcMar>
              <w:bottom w:w="0" w:type="dxa"/>
            </w:tcMar>
            <w:textDirection w:val="btLr"/>
            <w:vAlign w:val="center"/>
          </w:tcPr>
          <w:p w14:paraId="692BB101" w14:textId="77777777" w:rsidR="003907BB" w:rsidRPr="001A2F85" w:rsidRDefault="003907BB" w:rsidP="003907BB">
            <w:pPr>
              <w:pStyle w:val="Tablecolumnheadings"/>
              <w:ind w:left="113" w:right="113"/>
            </w:pPr>
            <w:r w:rsidRPr="001A2F85">
              <w:t>Participation: Transition, Engagement and Progression</w:t>
            </w:r>
          </w:p>
        </w:tc>
        <w:tc>
          <w:tcPr>
            <w:tcW w:w="505" w:type="pct"/>
            <w:shd w:val="clear" w:color="auto" w:fill="9D57A6"/>
            <w:tcMar>
              <w:bottom w:w="0" w:type="dxa"/>
            </w:tcMar>
            <w:textDirection w:val="btLr"/>
            <w:vAlign w:val="center"/>
          </w:tcPr>
          <w:p w14:paraId="4C3252D2" w14:textId="77777777" w:rsidR="003907BB" w:rsidRPr="001A2F85" w:rsidRDefault="003907BB" w:rsidP="003907BB">
            <w:pPr>
              <w:pStyle w:val="Tablecolumnheadings"/>
              <w:ind w:left="113" w:right="113"/>
            </w:pPr>
            <w:r w:rsidRPr="001A2F85">
              <w:t>Attainment and Transition Out</w:t>
            </w:r>
          </w:p>
        </w:tc>
      </w:tr>
      <w:tr w:rsidR="003907BB" w:rsidRPr="001A2F85" w14:paraId="0E25CEBA"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nil"/>
            </w:tcBorders>
            <w:vAlign w:val="center"/>
          </w:tcPr>
          <w:p w14:paraId="38BF9481" w14:textId="77777777" w:rsidR="003907BB" w:rsidRPr="001A2F85" w:rsidRDefault="003907BB" w:rsidP="003907BB">
            <w:pPr>
              <w:pStyle w:val="Tabletext"/>
            </w:pPr>
            <w:r w:rsidRPr="001A2F85">
              <w:t>Aspiration raising - pre-entry university experience</w:t>
            </w:r>
          </w:p>
        </w:tc>
        <w:tc>
          <w:tcPr>
            <w:tcW w:w="792" w:type="pct"/>
            <w:gridSpan w:val="2"/>
            <w:tcBorders>
              <w:top w:val="nil"/>
              <w:left w:val="nil"/>
              <w:bottom w:val="single" w:sz="4" w:space="0" w:color="auto"/>
              <w:right w:val="nil"/>
            </w:tcBorders>
            <w:vAlign w:val="bottom"/>
          </w:tcPr>
          <w:p w14:paraId="28B0DCD3" w14:textId="77777777" w:rsidR="003907BB" w:rsidRPr="001A2F85" w:rsidRDefault="003907BB" w:rsidP="003907BB">
            <w:pPr>
              <w:pStyle w:val="Tabletext"/>
              <w:jc w:val="center"/>
            </w:pPr>
            <w:r>
              <w:rPr>
                <w:sz w:val="18"/>
                <w:szCs w:val="18"/>
              </w:rPr>
              <w:t>15%</w:t>
            </w:r>
          </w:p>
        </w:tc>
        <w:tc>
          <w:tcPr>
            <w:tcW w:w="89" w:type="pct"/>
            <w:tcBorders>
              <w:top w:val="nil"/>
              <w:left w:val="nil"/>
              <w:bottom w:val="single" w:sz="4" w:space="0" w:color="auto"/>
              <w:right w:val="nil"/>
            </w:tcBorders>
          </w:tcPr>
          <w:p w14:paraId="24145AD4" w14:textId="77777777" w:rsidR="003907BB" w:rsidRDefault="003907BB" w:rsidP="003907BB">
            <w:pPr>
              <w:pStyle w:val="Tabletext"/>
              <w:jc w:val="center"/>
              <w:rPr>
                <w:sz w:val="18"/>
                <w:szCs w:val="18"/>
              </w:rPr>
            </w:pPr>
          </w:p>
        </w:tc>
        <w:tc>
          <w:tcPr>
            <w:tcW w:w="514" w:type="pct"/>
            <w:tcBorders>
              <w:top w:val="nil"/>
              <w:left w:val="nil"/>
              <w:bottom w:val="single" w:sz="4" w:space="0" w:color="auto"/>
              <w:right w:val="nil"/>
            </w:tcBorders>
            <w:vAlign w:val="bottom"/>
          </w:tcPr>
          <w:p w14:paraId="3BED3821" w14:textId="77777777" w:rsidR="003907BB" w:rsidRPr="001A2F85" w:rsidRDefault="003907BB" w:rsidP="003907BB">
            <w:pPr>
              <w:pStyle w:val="Tabletext"/>
              <w:jc w:val="center"/>
            </w:pPr>
            <w:r>
              <w:rPr>
                <w:sz w:val="18"/>
                <w:szCs w:val="18"/>
              </w:rPr>
              <w:t>95%</w:t>
            </w:r>
          </w:p>
        </w:tc>
        <w:tc>
          <w:tcPr>
            <w:tcW w:w="514" w:type="pct"/>
            <w:tcBorders>
              <w:top w:val="nil"/>
              <w:left w:val="nil"/>
              <w:bottom w:val="single" w:sz="4" w:space="0" w:color="auto"/>
              <w:right w:val="nil"/>
            </w:tcBorders>
            <w:vAlign w:val="bottom"/>
          </w:tcPr>
          <w:p w14:paraId="168F1DE9" w14:textId="77777777" w:rsidR="003907BB" w:rsidRPr="001A2F85" w:rsidRDefault="003907BB" w:rsidP="003907BB">
            <w:pPr>
              <w:pStyle w:val="Tabletext"/>
              <w:jc w:val="center"/>
            </w:pPr>
            <w:r>
              <w:rPr>
                <w:sz w:val="18"/>
                <w:szCs w:val="18"/>
              </w:rPr>
              <w:t>5%</w:t>
            </w:r>
          </w:p>
        </w:tc>
        <w:tc>
          <w:tcPr>
            <w:tcW w:w="514" w:type="pct"/>
            <w:tcBorders>
              <w:top w:val="nil"/>
              <w:left w:val="nil"/>
              <w:bottom w:val="single" w:sz="4" w:space="0" w:color="auto"/>
              <w:right w:val="nil"/>
            </w:tcBorders>
            <w:vAlign w:val="bottom"/>
          </w:tcPr>
          <w:p w14:paraId="0B7B37E8" w14:textId="77777777" w:rsidR="003907BB" w:rsidRPr="001A2F85" w:rsidRDefault="003907BB" w:rsidP="003907BB">
            <w:pPr>
              <w:pStyle w:val="Tabletext"/>
              <w:jc w:val="center"/>
            </w:pPr>
            <w:r>
              <w:rPr>
                <w:sz w:val="18"/>
                <w:szCs w:val="18"/>
              </w:rPr>
              <w:t>n/a</w:t>
            </w:r>
          </w:p>
        </w:tc>
        <w:tc>
          <w:tcPr>
            <w:tcW w:w="505" w:type="pct"/>
            <w:tcBorders>
              <w:top w:val="nil"/>
              <w:left w:val="nil"/>
              <w:bottom w:val="single" w:sz="4" w:space="0" w:color="auto"/>
              <w:right w:val="nil"/>
            </w:tcBorders>
            <w:vAlign w:val="bottom"/>
          </w:tcPr>
          <w:p w14:paraId="111C84F8" w14:textId="77777777" w:rsidR="003907BB" w:rsidRPr="001A2F85" w:rsidRDefault="003907BB" w:rsidP="003907BB">
            <w:pPr>
              <w:pStyle w:val="Tabletext"/>
              <w:jc w:val="center"/>
            </w:pPr>
            <w:r>
              <w:rPr>
                <w:sz w:val="18"/>
                <w:szCs w:val="18"/>
              </w:rPr>
              <w:t>n/a</w:t>
            </w:r>
          </w:p>
        </w:tc>
      </w:tr>
      <w:tr w:rsidR="003907BB" w:rsidRPr="001A2F85" w14:paraId="289EB351" w14:textId="77777777" w:rsidTr="00AD49C8">
        <w:tblPrEx>
          <w:tblBorders>
            <w:bottom w:val="single" w:sz="4" w:space="0" w:color="646464"/>
            <w:insideH w:val="single" w:sz="4" w:space="0" w:color="646464"/>
          </w:tblBorders>
        </w:tblPrEx>
        <w:trPr>
          <w:gridBefore w:val="1"/>
          <w:wBefore w:w="220" w:type="pct"/>
          <w:cantSplit/>
        </w:trPr>
        <w:tc>
          <w:tcPr>
            <w:tcW w:w="1852" w:type="pct"/>
            <w:vAlign w:val="center"/>
          </w:tcPr>
          <w:p w14:paraId="5B7864A0" w14:textId="77777777" w:rsidR="003907BB" w:rsidRPr="001A2F85" w:rsidRDefault="003907BB" w:rsidP="003907BB">
            <w:pPr>
              <w:pStyle w:val="Tabletext"/>
            </w:pPr>
            <w:r w:rsidRPr="001A2F85">
              <w:t>Aspiration raising - non-university experience</w:t>
            </w:r>
          </w:p>
        </w:tc>
        <w:tc>
          <w:tcPr>
            <w:tcW w:w="792" w:type="pct"/>
            <w:gridSpan w:val="2"/>
            <w:tcBorders>
              <w:top w:val="single" w:sz="4" w:space="0" w:color="auto"/>
              <w:left w:val="nil"/>
              <w:bottom w:val="single" w:sz="4" w:space="0" w:color="auto"/>
              <w:right w:val="nil"/>
            </w:tcBorders>
            <w:vAlign w:val="bottom"/>
          </w:tcPr>
          <w:p w14:paraId="34B92AAA" w14:textId="77777777" w:rsidR="003907BB" w:rsidRPr="001A2F85" w:rsidRDefault="003907BB" w:rsidP="003907BB">
            <w:pPr>
              <w:pStyle w:val="Tabletext"/>
              <w:jc w:val="center"/>
            </w:pPr>
            <w:r>
              <w:rPr>
                <w:sz w:val="18"/>
                <w:szCs w:val="18"/>
              </w:rPr>
              <w:t>16%</w:t>
            </w:r>
          </w:p>
        </w:tc>
        <w:tc>
          <w:tcPr>
            <w:tcW w:w="89" w:type="pct"/>
            <w:tcBorders>
              <w:top w:val="single" w:sz="4" w:space="0" w:color="auto"/>
              <w:left w:val="nil"/>
              <w:bottom w:val="single" w:sz="4" w:space="0" w:color="auto"/>
              <w:right w:val="nil"/>
            </w:tcBorders>
          </w:tcPr>
          <w:p w14:paraId="3EA67BBF"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13E62CE0" w14:textId="77777777" w:rsidR="003907BB" w:rsidRPr="001A2F85" w:rsidRDefault="003907BB" w:rsidP="003907BB">
            <w:pPr>
              <w:pStyle w:val="Tabletext"/>
              <w:jc w:val="center"/>
            </w:pPr>
            <w:r>
              <w:rPr>
                <w:sz w:val="18"/>
                <w:szCs w:val="18"/>
              </w:rPr>
              <w:t>98%</w:t>
            </w:r>
          </w:p>
        </w:tc>
        <w:tc>
          <w:tcPr>
            <w:tcW w:w="514" w:type="pct"/>
            <w:tcBorders>
              <w:top w:val="single" w:sz="4" w:space="0" w:color="auto"/>
              <w:left w:val="nil"/>
              <w:bottom w:val="single" w:sz="4" w:space="0" w:color="auto"/>
              <w:right w:val="nil"/>
            </w:tcBorders>
            <w:vAlign w:val="bottom"/>
          </w:tcPr>
          <w:p w14:paraId="005442BA" w14:textId="77777777" w:rsidR="003907BB" w:rsidRPr="001A2F85" w:rsidRDefault="003907BB" w:rsidP="003907BB">
            <w:pPr>
              <w:pStyle w:val="Tabletext"/>
              <w:jc w:val="center"/>
            </w:pPr>
            <w:r>
              <w:rPr>
                <w:sz w:val="18"/>
                <w:szCs w:val="18"/>
              </w:rPr>
              <w:t>2%</w:t>
            </w:r>
          </w:p>
        </w:tc>
        <w:tc>
          <w:tcPr>
            <w:tcW w:w="514" w:type="pct"/>
            <w:tcBorders>
              <w:top w:val="single" w:sz="4" w:space="0" w:color="auto"/>
              <w:left w:val="nil"/>
              <w:bottom w:val="single" w:sz="4" w:space="0" w:color="auto"/>
              <w:right w:val="nil"/>
            </w:tcBorders>
            <w:vAlign w:val="bottom"/>
          </w:tcPr>
          <w:p w14:paraId="3B9099A2" w14:textId="77777777" w:rsidR="003907BB" w:rsidRPr="001A2F85" w:rsidRDefault="003907BB" w:rsidP="003907BB">
            <w:pPr>
              <w:pStyle w:val="Tabletext"/>
              <w:jc w:val="center"/>
            </w:pPr>
            <w:r>
              <w:rPr>
                <w:sz w:val="18"/>
                <w:szCs w:val="18"/>
              </w:rPr>
              <w:t>n/a</w:t>
            </w:r>
          </w:p>
        </w:tc>
        <w:tc>
          <w:tcPr>
            <w:tcW w:w="505" w:type="pct"/>
            <w:tcBorders>
              <w:top w:val="single" w:sz="4" w:space="0" w:color="auto"/>
              <w:left w:val="nil"/>
              <w:bottom w:val="single" w:sz="4" w:space="0" w:color="auto"/>
              <w:right w:val="nil"/>
            </w:tcBorders>
            <w:vAlign w:val="bottom"/>
          </w:tcPr>
          <w:p w14:paraId="3562C14F" w14:textId="77777777" w:rsidR="003907BB" w:rsidRPr="001A2F85" w:rsidRDefault="003907BB" w:rsidP="003907BB">
            <w:pPr>
              <w:pStyle w:val="Tabletext"/>
              <w:jc w:val="center"/>
            </w:pPr>
            <w:r>
              <w:rPr>
                <w:sz w:val="18"/>
                <w:szCs w:val="18"/>
              </w:rPr>
              <w:t>n/a</w:t>
            </w:r>
          </w:p>
        </w:tc>
      </w:tr>
      <w:tr w:rsidR="003907BB" w:rsidRPr="001A2F85" w14:paraId="1BB48DE2" w14:textId="77777777" w:rsidTr="00AD49C8">
        <w:tblPrEx>
          <w:tblBorders>
            <w:bottom w:val="single" w:sz="4" w:space="0" w:color="646464"/>
            <w:insideH w:val="single" w:sz="4" w:space="0" w:color="646464"/>
          </w:tblBorders>
        </w:tblPrEx>
        <w:trPr>
          <w:gridBefore w:val="1"/>
          <w:wBefore w:w="220" w:type="pct"/>
          <w:cantSplit/>
        </w:trPr>
        <w:tc>
          <w:tcPr>
            <w:tcW w:w="1852" w:type="pct"/>
            <w:vAlign w:val="center"/>
          </w:tcPr>
          <w:p w14:paraId="6B51E611" w14:textId="77777777" w:rsidR="003907BB" w:rsidRPr="001A2F85" w:rsidRDefault="003907BB" w:rsidP="003907BB">
            <w:pPr>
              <w:pStyle w:val="Tabletext"/>
            </w:pPr>
            <w:r w:rsidRPr="001A2F85">
              <w:t>Careers advice</w:t>
            </w:r>
          </w:p>
        </w:tc>
        <w:tc>
          <w:tcPr>
            <w:tcW w:w="792" w:type="pct"/>
            <w:gridSpan w:val="2"/>
            <w:tcBorders>
              <w:top w:val="single" w:sz="4" w:space="0" w:color="auto"/>
              <w:left w:val="nil"/>
              <w:bottom w:val="single" w:sz="4" w:space="0" w:color="auto"/>
              <w:right w:val="nil"/>
            </w:tcBorders>
            <w:vAlign w:val="bottom"/>
          </w:tcPr>
          <w:p w14:paraId="3FF40A7E" w14:textId="77777777" w:rsidR="003907BB" w:rsidRPr="001A2F85" w:rsidRDefault="003907BB" w:rsidP="003907BB">
            <w:pPr>
              <w:pStyle w:val="Tabletext"/>
              <w:jc w:val="center"/>
            </w:pPr>
            <w:r>
              <w:rPr>
                <w:sz w:val="18"/>
                <w:szCs w:val="18"/>
              </w:rPr>
              <w:t>5%</w:t>
            </w:r>
          </w:p>
        </w:tc>
        <w:tc>
          <w:tcPr>
            <w:tcW w:w="89" w:type="pct"/>
            <w:tcBorders>
              <w:top w:val="single" w:sz="4" w:space="0" w:color="auto"/>
              <w:left w:val="nil"/>
              <w:bottom w:val="single" w:sz="4" w:space="0" w:color="auto"/>
              <w:right w:val="nil"/>
            </w:tcBorders>
          </w:tcPr>
          <w:p w14:paraId="10436868"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05090F17" w14:textId="77777777" w:rsidR="003907BB" w:rsidRPr="001A2F85" w:rsidRDefault="003907BB" w:rsidP="003907BB">
            <w:pPr>
              <w:pStyle w:val="Tabletext"/>
              <w:jc w:val="center"/>
            </w:pPr>
            <w:r>
              <w:rPr>
                <w:sz w:val="18"/>
                <w:szCs w:val="18"/>
              </w:rPr>
              <w:t>66%</w:t>
            </w:r>
          </w:p>
        </w:tc>
        <w:tc>
          <w:tcPr>
            <w:tcW w:w="514" w:type="pct"/>
            <w:tcBorders>
              <w:top w:val="single" w:sz="4" w:space="0" w:color="auto"/>
              <w:left w:val="nil"/>
              <w:bottom w:val="single" w:sz="4" w:space="0" w:color="auto"/>
              <w:right w:val="nil"/>
            </w:tcBorders>
            <w:vAlign w:val="bottom"/>
          </w:tcPr>
          <w:p w14:paraId="47948666" w14:textId="77777777" w:rsidR="003907BB" w:rsidRPr="001A2F85" w:rsidRDefault="003907BB" w:rsidP="003907BB">
            <w:pPr>
              <w:pStyle w:val="Tabletext"/>
              <w:jc w:val="center"/>
            </w:pPr>
            <w:r>
              <w:rPr>
                <w:sz w:val="18"/>
                <w:szCs w:val="18"/>
              </w:rPr>
              <w:t>4%</w:t>
            </w:r>
          </w:p>
        </w:tc>
        <w:tc>
          <w:tcPr>
            <w:tcW w:w="514" w:type="pct"/>
            <w:tcBorders>
              <w:top w:val="single" w:sz="4" w:space="0" w:color="auto"/>
              <w:left w:val="nil"/>
              <w:bottom w:val="single" w:sz="4" w:space="0" w:color="auto"/>
              <w:right w:val="nil"/>
            </w:tcBorders>
            <w:vAlign w:val="bottom"/>
          </w:tcPr>
          <w:p w14:paraId="27F4D4DE" w14:textId="77777777" w:rsidR="003907BB" w:rsidRPr="001A2F85" w:rsidRDefault="003907BB" w:rsidP="003907BB">
            <w:pPr>
              <w:pStyle w:val="Tabletext"/>
              <w:jc w:val="center"/>
            </w:pPr>
            <w:r>
              <w:rPr>
                <w:sz w:val="18"/>
                <w:szCs w:val="18"/>
              </w:rPr>
              <w:t>15%</w:t>
            </w:r>
          </w:p>
        </w:tc>
        <w:tc>
          <w:tcPr>
            <w:tcW w:w="505" w:type="pct"/>
            <w:tcBorders>
              <w:top w:val="single" w:sz="4" w:space="0" w:color="auto"/>
              <w:left w:val="nil"/>
              <w:bottom w:val="single" w:sz="4" w:space="0" w:color="auto"/>
              <w:right w:val="nil"/>
            </w:tcBorders>
            <w:vAlign w:val="bottom"/>
          </w:tcPr>
          <w:p w14:paraId="76970C02" w14:textId="77777777" w:rsidR="003907BB" w:rsidRPr="001A2F85" w:rsidRDefault="003907BB" w:rsidP="003907BB">
            <w:pPr>
              <w:pStyle w:val="Tabletext"/>
              <w:jc w:val="center"/>
            </w:pPr>
            <w:r>
              <w:rPr>
                <w:sz w:val="18"/>
                <w:szCs w:val="18"/>
              </w:rPr>
              <w:t>15%</w:t>
            </w:r>
          </w:p>
        </w:tc>
      </w:tr>
      <w:tr w:rsidR="003907BB" w:rsidRPr="001A2F85" w14:paraId="239370F6" w14:textId="77777777" w:rsidTr="00AD49C8">
        <w:tblPrEx>
          <w:tblBorders>
            <w:bottom w:val="single" w:sz="4" w:space="0" w:color="646464"/>
            <w:insideH w:val="single" w:sz="4" w:space="0" w:color="646464"/>
          </w:tblBorders>
        </w:tblPrEx>
        <w:trPr>
          <w:gridBefore w:val="1"/>
          <w:wBefore w:w="220" w:type="pct"/>
          <w:cantSplit/>
        </w:trPr>
        <w:tc>
          <w:tcPr>
            <w:tcW w:w="1852" w:type="pct"/>
            <w:vAlign w:val="center"/>
          </w:tcPr>
          <w:p w14:paraId="78B3D2F7" w14:textId="77777777" w:rsidR="003907BB" w:rsidRPr="001A2F85" w:rsidRDefault="003907BB" w:rsidP="003907BB">
            <w:pPr>
              <w:pStyle w:val="Tabletext"/>
            </w:pPr>
            <w:r w:rsidRPr="001A2F85">
              <w:t>Mentoring, peer support</w:t>
            </w:r>
          </w:p>
        </w:tc>
        <w:tc>
          <w:tcPr>
            <w:tcW w:w="792" w:type="pct"/>
            <w:gridSpan w:val="2"/>
            <w:tcBorders>
              <w:top w:val="single" w:sz="4" w:space="0" w:color="auto"/>
              <w:left w:val="nil"/>
              <w:bottom w:val="single" w:sz="4" w:space="0" w:color="auto"/>
              <w:right w:val="nil"/>
            </w:tcBorders>
            <w:vAlign w:val="bottom"/>
          </w:tcPr>
          <w:p w14:paraId="25B152F4" w14:textId="77777777" w:rsidR="003907BB" w:rsidRPr="001A2F85" w:rsidRDefault="003907BB" w:rsidP="003907BB">
            <w:pPr>
              <w:pStyle w:val="Tabletext"/>
              <w:jc w:val="center"/>
            </w:pPr>
            <w:r>
              <w:rPr>
                <w:sz w:val="18"/>
                <w:szCs w:val="18"/>
              </w:rPr>
              <w:t>21%</w:t>
            </w:r>
          </w:p>
        </w:tc>
        <w:tc>
          <w:tcPr>
            <w:tcW w:w="89" w:type="pct"/>
            <w:tcBorders>
              <w:top w:val="single" w:sz="4" w:space="0" w:color="auto"/>
              <w:left w:val="nil"/>
              <w:bottom w:val="single" w:sz="4" w:space="0" w:color="auto"/>
              <w:right w:val="nil"/>
            </w:tcBorders>
          </w:tcPr>
          <w:p w14:paraId="1EC832FC"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0158A6F2" w14:textId="77777777" w:rsidR="003907BB" w:rsidRPr="001A2F85" w:rsidRDefault="003907BB" w:rsidP="003907BB">
            <w:pPr>
              <w:pStyle w:val="Tabletext"/>
              <w:jc w:val="center"/>
            </w:pPr>
            <w:r>
              <w:rPr>
                <w:sz w:val="18"/>
                <w:szCs w:val="18"/>
              </w:rPr>
              <w:t>34%</w:t>
            </w:r>
          </w:p>
        </w:tc>
        <w:tc>
          <w:tcPr>
            <w:tcW w:w="514" w:type="pct"/>
            <w:tcBorders>
              <w:top w:val="single" w:sz="4" w:space="0" w:color="auto"/>
              <w:left w:val="nil"/>
              <w:bottom w:val="single" w:sz="4" w:space="0" w:color="auto"/>
              <w:right w:val="nil"/>
            </w:tcBorders>
            <w:vAlign w:val="bottom"/>
          </w:tcPr>
          <w:p w14:paraId="41094AA3" w14:textId="77777777" w:rsidR="003907BB" w:rsidRPr="001A2F85" w:rsidRDefault="003907BB" w:rsidP="003907BB">
            <w:pPr>
              <w:pStyle w:val="Tabletext"/>
              <w:jc w:val="center"/>
            </w:pPr>
            <w:r>
              <w:rPr>
                <w:sz w:val="18"/>
                <w:szCs w:val="18"/>
              </w:rPr>
              <w:t>5%</w:t>
            </w:r>
          </w:p>
        </w:tc>
        <w:tc>
          <w:tcPr>
            <w:tcW w:w="514" w:type="pct"/>
            <w:tcBorders>
              <w:top w:val="single" w:sz="4" w:space="0" w:color="auto"/>
              <w:left w:val="nil"/>
              <w:bottom w:val="single" w:sz="4" w:space="0" w:color="auto"/>
              <w:right w:val="nil"/>
            </w:tcBorders>
            <w:vAlign w:val="bottom"/>
          </w:tcPr>
          <w:p w14:paraId="1C8115F3" w14:textId="77777777" w:rsidR="003907BB" w:rsidRPr="001A2F85" w:rsidRDefault="003907BB" w:rsidP="003907BB">
            <w:pPr>
              <w:pStyle w:val="Tabletext"/>
              <w:jc w:val="center"/>
            </w:pPr>
            <w:r>
              <w:rPr>
                <w:sz w:val="18"/>
                <w:szCs w:val="18"/>
              </w:rPr>
              <w:t>61%</w:t>
            </w:r>
          </w:p>
        </w:tc>
        <w:tc>
          <w:tcPr>
            <w:tcW w:w="505" w:type="pct"/>
            <w:tcBorders>
              <w:top w:val="single" w:sz="4" w:space="0" w:color="auto"/>
              <w:left w:val="nil"/>
              <w:bottom w:val="single" w:sz="4" w:space="0" w:color="auto"/>
              <w:right w:val="nil"/>
            </w:tcBorders>
            <w:vAlign w:val="bottom"/>
          </w:tcPr>
          <w:p w14:paraId="1F33DC34" w14:textId="77777777" w:rsidR="003907BB" w:rsidRPr="001A2F85" w:rsidRDefault="003907BB" w:rsidP="003907BB">
            <w:pPr>
              <w:pStyle w:val="Tabletext"/>
              <w:jc w:val="center"/>
            </w:pPr>
            <w:r>
              <w:rPr>
                <w:sz w:val="18"/>
                <w:szCs w:val="18"/>
              </w:rPr>
              <w:t>n/a</w:t>
            </w:r>
          </w:p>
        </w:tc>
      </w:tr>
      <w:tr w:rsidR="003907BB" w:rsidRPr="001A2F85" w14:paraId="6C1CF7BF" w14:textId="77777777" w:rsidTr="00AD49C8">
        <w:tblPrEx>
          <w:tblBorders>
            <w:bottom w:val="single" w:sz="4" w:space="0" w:color="646464"/>
            <w:insideH w:val="single" w:sz="4" w:space="0" w:color="646464"/>
          </w:tblBorders>
        </w:tblPrEx>
        <w:trPr>
          <w:gridBefore w:val="1"/>
          <w:wBefore w:w="220" w:type="pct"/>
          <w:cantSplit/>
        </w:trPr>
        <w:tc>
          <w:tcPr>
            <w:tcW w:w="1852" w:type="pct"/>
            <w:tcBorders>
              <w:bottom w:val="single" w:sz="4" w:space="0" w:color="auto"/>
            </w:tcBorders>
            <w:vAlign w:val="center"/>
          </w:tcPr>
          <w:p w14:paraId="6A615E70" w14:textId="77777777" w:rsidR="003907BB" w:rsidRPr="001A2F85" w:rsidRDefault="003907BB" w:rsidP="003907BB">
            <w:pPr>
              <w:pStyle w:val="Tabletext"/>
            </w:pPr>
            <w:r w:rsidRPr="001A2F85">
              <w:t xml:space="preserve">Academic preparation/support </w:t>
            </w:r>
          </w:p>
        </w:tc>
        <w:tc>
          <w:tcPr>
            <w:tcW w:w="792" w:type="pct"/>
            <w:gridSpan w:val="2"/>
            <w:tcBorders>
              <w:top w:val="single" w:sz="4" w:space="0" w:color="auto"/>
              <w:left w:val="nil"/>
              <w:bottom w:val="single" w:sz="4" w:space="0" w:color="auto"/>
              <w:right w:val="nil"/>
            </w:tcBorders>
            <w:vAlign w:val="bottom"/>
          </w:tcPr>
          <w:p w14:paraId="3470DD0F" w14:textId="77777777" w:rsidR="003907BB" w:rsidRPr="001A2F85" w:rsidRDefault="003907BB" w:rsidP="003907BB">
            <w:pPr>
              <w:pStyle w:val="Tabletext"/>
              <w:jc w:val="center"/>
            </w:pPr>
            <w:r>
              <w:rPr>
                <w:sz w:val="18"/>
                <w:szCs w:val="18"/>
              </w:rPr>
              <w:t>32%</w:t>
            </w:r>
          </w:p>
        </w:tc>
        <w:tc>
          <w:tcPr>
            <w:tcW w:w="89" w:type="pct"/>
            <w:tcBorders>
              <w:top w:val="single" w:sz="4" w:space="0" w:color="auto"/>
              <w:left w:val="nil"/>
              <w:bottom w:val="single" w:sz="4" w:space="0" w:color="auto"/>
              <w:right w:val="nil"/>
            </w:tcBorders>
          </w:tcPr>
          <w:p w14:paraId="68DD5147"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0D83FFEA" w14:textId="77777777" w:rsidR="003907BB" w:rsidRPr="001A2F85" w:rsidRDefault="003907BB" w:rsidP="003907BB">
            <w:pPr>
              <w:pStyle w:val="Tabletext"/>
              <w:jc w:val="center"/>
            </w:pPr>
            <w:r>
              <w:rPr>
                <w:sz w:val="18"/>
                <w:szCs w:val="18"/>
              </w:rPr>
              <w:t>40%</w:t>
            </w:r>
          </w:p>
        </w:tc>
        <w:tc>
          <w:tcPr>
            <w:tcW w:w="514" w:type="pct"/>
            <w:tcBorders>
              <w:top w:val="single" w:sz="4" w:space="0" w:color="auto"/>
              <w:left w:val="nil"/>
              <w:bottom w:val="single" w:sz="4" w:space="0" w:color="auto"/>
              <w:right w:val="nil"/>
            </w:tcBorders>
            <w:vAlign w:val="bottom"/>
          </w:tcPr>
          <w:p w14:paraId="1BFD75CC" w14:textId="77777777" w:rsidR="003907BB" w:rsidRPr="001A2F85" w:rsidRDefault="003907BB" w:rsidP="003907BB">
            <w:pPr>
              <w:pStyle w:val="Tabletext"/>
              <w:jc w:val="center"/>
            </w:pPr>
            <w:r>
              <w:rPr>
                <w:sz w:val="18"/>
                <w:szCs w:val="18"/>
              </w:rPr>
              <w:t>6%</w:t>
            </w:r>
          </w:p>
        </w:tc>
        <w:tc>
          <w:tcPr>
            <w:tcW w:w="514" w:type="pct"/>
            <w:tcBorders>
              <w:top w:val="single" w:sz="4" w:space="0" w:color="auto"/>
              <w:left w:val="nil"/>
              <w:bottom w:val="single" w:sz="4" w:space="0" w:color="auto"/>
              <w:right w:val="nil"/>
            </w:tcBorders>
            <w:vAlign w:val="bottom"/>
          </w:tcPr>
          <w:p w14:paraId="659CD904" w14:textId="77777777" w:rsidR="003907BB" w:rsidRPr="001A2F85" w:rsidRDefault="003907BB" w:rsidP="003907BB">
            <w:pPr>
              <w:pStyle w:val="Tabletext"/>
              <w:jc w:val="center"/>
            </w:pPr>
            <w:r>
              <w:rPr>
                <w:sz w:val="18"/>
                <w:szCs w:val="18"/>
              </w:rPr>
              <w:t>54%</w:t>
            </w:r>
          </w:p>
        </w:tc>
        <w:tc>
          <w:tcPr>
            <w:tcW w:w="505" w:type="pct"/>
            <w:tcBorders>
              <w:top w:val="single" w:sz="4" w:space="0" w:color="auto"/>
              <w:left w:val="nil"/>
              <w:bottom w:val="single" w:sz="4" w:space="0" w:color="auto"/>
              <w:right w:val="nil"/>
            </w:tcBorders>
            <w:vAlign w:val="bottom"/>
          </w:tcPr>
          <w:p w14:paraId="4D3E5A59" w14:textId="77777777" w:rsidR="003907BB" w:rsidRPr="001A2F85" w:rsidRDefault="003907BB" w:rsidP="003907BB">
            <w:pPr>
              <w:pStyle w:val="Tabletext"/>
              <w:jc w:val="center"/>
            </w:pPr>
            <w:r>
              <w:rPr>
                <w:sz w:val="18"/>
                <w:szCs w:val="18"/>
              </w:rPr>
              <w:t>n/a</w:t>
            </w:r>
          </w:p>
        </w:tc>
      </w:tr>
      <w:tr w:rsidR="003907BB" w:rsidRPr="001A2F85" w14:paraId="1F02282F"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2E595E69" w14:textId="77777777" w:rsidR="003907BB" w:rsidRPr="001A2F85" w:rsidRDefault="003907BB" w:rsidP="003907BB">
            <w:pPr>
              <w:pStyle w:val="Tabletext"/>
            </w:pPr>
            <w:r w:rsidRPr="001A2F85">
              <w:t xml:space="preserve">Professional development </w:t>
            </w:r>
          </w:p>
        </w:tc>
        <w:tc>
          <w:tcPr>
            <w:tcW w:w="792" w:type="pct"/>
            <w:gridSpan w:val="2"/>
            <w:tcBorders>
              <w:top w:val="single" w:sz="4" w:space="0" w:color="auto"/>
              <w:left w:val="nil"/>
              <w:bottom w:val="single" w:sz="4" w:space="0" w:color="auto"/>
              <w:right w:val="nil"/>
            </w:tcBorders>
            <w:vAlign w:val="bottom"/>
          </w:tcPr>
          <w:p w14:paraId="3587BE15" w14:textId="77777777" w:rsidR="003907BB" w:rsidRPr="001A2F85" w:rsidRDefault="003907BB" w:rsidP="003907BB">
            <w:pPr>
              <w:pStyle w:val="Tabletext"/>
              <w:jc w:val="center"/>
            </w:pPr>
            <w:r>
              <w:rPr>
                <w:sz w:val="18"/>
                <w:szCs w:val="18"/>
              </w:rPr>
              <w:t>10%</w:t>
            </w:r>
          </w:p>
        </w:tc>
        <w:tc>
          <w:tcPr>
            <w:tcW w:w="89" w:type="pct"/>
            <w:tcBorders>
              <w:top w:val="single" w:sz="4" w:space="0" w:color="auto"/>
              <w:left w:val="nil"/>
              <w:bottom w:val="single" w:sz="4" w:space="0" w:color="auto"/>
              <w:right w:val="nil"/>
            </w:tcBorders>
          </w:tcPr>
          <w:p w14:paraId="33940099"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4FE7C6AC" w14:textId="77777777" w:rsidR="003907BB" w:rsidRPr="001A2F85" w:rsidRDefault="003907BB" w:rsidP="003907BB">
            <w:pPr>
              <w:pStyle w:val="Tabletext"/>
              <w:jc w:val="center"/>
            </w:pPr>
            <w:r>
              <w:rPr>
                <w:sz w:val="18"/>
                <w:szCs w:val="18"/>
              </w:rPr>
              <w:t>45%</w:t>
            </w:r>
          </w:p>
        </w:tc>
        <w:tc>
          <w:tcPr>
            <w:tcW w:w="514" w:type="pct"/>
            <w:tcBorders>
              <w:top w:val="single" w:sz="4" w:space="0" w:color="auto"/>
              <w:left w:val="nil"/>
              <w:bottom w:val="single" w:sz="4" w:space="0" w:color="auto"/>
              <w:right w:val="nil"/>
            </w:tcBorders>
            <w:vAlign w:val="bottom"/>
          </w:tcPr>
          <w:p w14:paraId="09BD8D34"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47DEB9C4" w14:textId="77777777" w:rsidR="003907BB" w:rsidRPr="001A2F85" w:rsidRDefault="003907BB" w:rsidP="003907BB">
            <w:pPr>
              <w:pStyle w:val="Tabletext"/>
              <w:jc w:val="center"/>
            </w:pPr>
            <w:r>
              <w:rPr>
                <w:sz w:val="18"/>
                <w:szCs w:val="18"/>
              </w:rPr>
              <w:t>55%</w:t>
            </w:r>
          </w:p>
        </w:tc>
        <w:tc>
          <w:tcPr>
            <w:tcW w:w="505" w:type="pct"/>
            <w:tcBorders>
              <w:top w:val="single" w:sz="4" w:space="0" w:color="auto"/>
              <w:left w:val="nil"/>
              <w:bottom w:val="single" w:sz="4" w:space="0" w:color="auto"/>
              <w:right w:val="nil"/>
            </w:tcBorders>
            <w:vAlign w:val="bottom"/>
          </w:tcPr>
          <w:p w14:paraId="46895EAF" w14:textId="77777777" w:rsidR="003907BB" w:rsidRPr="001A2F85" w:rsidRDefault="003907BB" w:rsidP="003907BB">
            <w:pPr>
              <w:pStyle w:val="Tabletext"/>
              <w:jc w:val="center"/>
            </w:pPr>
            <w:r>
              <w:rPr>
                <w:sz w:val="18"/>
                <w:szCs w:val="18"/>
              </w:rPr>
              <w:t>n/a</w:t>
            </w:r>
          </w:p>
        </w:tc>
      </w:tr>
      <w:tr w:rsidR="003907BB" w:rsidRPr="001A2F85" w14:paraId="75B6D705"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30CC46ED" w14:textId="77777777" w:rsidR="003907BB" w:rsidRPr="001A2F85" w:rsidRDefault="003907BB" w:rsidP="003907BB">
            <w:pPr>
              <w:pStyle w:val="Tabletext"/>
            </w:pPr>
            <w:r w:rsidRPr="001A2F85">
              <w:t>Parent/community information/support</w:t>
            </w:r>
          </w:p>
        </w:tc>
        <w:tc>
          <w:tcPr>
            <w:tcW w:w="792" w:type="pct"/>
            <w:gridSpan w:val="2"/>
            <w:tcBorders>
              <w:top w:val="single" w:sz="4" w:space="0" w:color="auto"/>
              <w:left w:val="nil"/>
              <w:bottom w:val="single" w:sz="4" w:space="0" w:color="auto"/>
              <w:right w:val="nil"/>
            </w:tcBorders>
            <w:vAlign w:val="bottom"/>
          </w:tcPr>
          <w:p w14:paraId="27C9C040" w14:textId="77777777" w:rsidR="003907BB" w:rsidRPr="001A2F85" w:rsidRDefault="003907BB" w:rsidP="003907BB">
            <w:pPr>
              <w:pStyle w:val="Tabletext"/>
              <w:jc w:val="center"/>
            </w:pPr>
            <w:r>
              <w:rPr>
                <w:sz w:val="18"/>
                <w:szCs w:val="18"/>
              </w:rPr>
              <w:t>11%</w:t>
            </w:r>
          </w:p>
        </w:tc>
        <w:tc>
          <w:tcPr>
            <w:tcW w:w="89" w:type="pct"/>
            <w:tcBorders>
              <w:top w:val="single" w:sz="4" w:space="0" w:color="auto"/>
              <w:left w:val="nil"/>
              <w:bottom w:val="single" w:sz="4" w:space="0" w:color="auto"/>
              <w:right w:val="nil"/>
            </w:tcBorders>
          </w:tcPr>
          <w:p w14:paraId="01E11C0A"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33FD555E" w14:textId="77777777" w:rsidR="003907BB" w:rsidRPr="001A2F85" w:rsidRDefault="003907BB" w:rsidP="003907BB">
            <w:pPr>
              <w:pStyle w:val="Tabletext"/>
              <w:jc w:val="center"/>
            </w:pPr>
            <w:r>
              <w:rPr>
                <w:sz w:val="18"/>
                <w:szCs w:val="18"/>
              </w:rPr>
              <w:t>88%</w:t>
            </w:r>
          </w:p>
        </w:tc>
        <w:tc>
          <w:tcPr>
            <w:tcW w:w="514" w:type="pct"/>
            <w:tcBorders>
              <w:top w:val="single" w:sz="4" w:space="0" w:color="auto"/>
              <w:left w:val="nil"/>
              <w:bottom w:val="single" w:sz="4" w:space="0" w:color="auto"/>
              <w:right w:val="nil"/>
            </w:tcBorders>
            <w:vAlign w:val="bottom"/>
          </w:tcPr>
          <w:p w14:paraId="18C0D7A9"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391E3713" w14:textId="77777777" w:rsidR="003907BB" w:rsidRPr="001A2F85" w:rsidRDefault="003907BB" w:rsidP="003907BB">
            <w:pPr>
              <w:pStyle w:val="Tabletext"/>
              <w:jc w:val="center"/>
            </w:pPr>
            <w:r>
              <w:rPr>
                <w:sz w:val="18"/>
                <w:szCs w:val="18"/>
              </w:rPr>
              <w:t>12%</w:t>
            </w:r>
          </w:p>
        </w:tc>
        <w:tc>
          <w:tcPr>
            <w:tcW w:w="505" w:type="pct"/>
            <w:tcBorders>
              <w:top w:val="single" w:sz="4" w:space="0" w:color="auto"/>
              <w:left w:val="nil"/>
              <w:bottom w:val="single" w:sz="4" w:space="0" w:color="auto"/>
              <w:right w:val="nil"/>
            </w:tcBorders>
            <w:vAlign w:val="bottom"/>
          </w:tcPr>
          <w:p w14:paraId="5733B515" w14:textId="77777777" w:rsidR="003907BB" w:rsidRPr="001A2F85" w:rsidRDefault="003907BB" w:rsidP="003907BB">
            <w:pPr>
              <w:pStyle w:val="Tabletext"/>
              <w:jc w:val="center"/>
            </w:pPr>
            <w:r>
              <w:rPr>
                <w:sz w:val="18"/>
                <w:szCs w:val="18"/>
              </w:rPr>
              <w:t>n/a</w:t>
            </w:r>
          </w:p>
        </w:tc>
      </w:tr>
      <w:tr w:rsidR="003907BB" w:rsidRPr="001A2F85" w14:paraId="2D4E0738"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0263C658" w14:textId="77777777" w:rsidR="003907BB" w:rsidRPr="001A2F85" w:rsidRDefault="003907BB" w:rsidP="003907BB">
            <w:pPr>
              <w:pStyle w:val="Tabletext"/>
            </w:pPr>
            <w:r w:rsidRPr="001A2F85">
              <w:t>Other outreach</w:t>
            </w:r>
          </w:p>
        </w:tc>
        <w:tc>
          <w:tcPr>
            <w:tcW w:w="792" w:type="pct"/>
            <w:gridSpan w:val="2"/>
            <w:tcBorders>
              <w:top w:val="single" w:sz="4" w:space="0" w:color="auto"/>
              <w:left w:val="nil"/>
              <w:bottom w:val="single" w:sz="4" w:space="0" w:color="auto"/>
              <w:right w:val="nil"/>
            </w:tcBorders>
            <w:vAlign w:val="bottom"/>
          </w:tcPr>
          <w:p w14:paraId="48BCC442" w14:textId="77777777" w:rsidR="003907BB" w:rsidRPr="001A2F85" w:rsidRDefault="003907BB" w:rsidP="003907BB">
            <w:pPr>
              <w:pStyle w:val="Tabletext"/>
              <w:jc w:val="center"/>
            </w:pPr>
            <w:r>
              <w:rPr>
                <w:sz w:val="18"/>
                <w:szCs w:val="18"/>
              </w:rPr>
              <w:t>9%</w:t>
            </w:r>
          </w:p>
        </w:tc>
        <w:tc>
          <w:tcPr>
            <w:tcW w:w="89" w:type="pct"/>
            <w:tcBorders>
              <w:top w:val="single" w:sz="4" w:space="0" w:color="auto"/>
              <w:left w:val="nil"/>
              <w:bottom w:val="single" w:sz="4" w:space="0" w:color="auto"/>
              <w:right w:val="nil"/>
            </w:tcBorders>
          </w:tcPr>
          <w:p w14:paraId="0CC1EADA"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065B73A2" w14:textId="77777777" w:rsidR="003907BB" w:rsidRPr="001A2F85" w:rsidRDefault="003907BB" w:rsidP="003907BB">
            <w:pPr>
              <w:pStyle w:val="Tabletext"/>
              <w:jc w:val="center"/>
            </w:pPr>
            <w:r>
              <w:rPr>
                <w:sz w:val="18"/>
                <w:szCs w:val="18"/>
              </w:rPr>
              <w:t>91%</w:t>
            </w:r>
          </w:p>
        </w:tc>
        <w:tc>
          <w:tcPr>
            <w:tcW w:w="514" w:type="pct"/>
            <w:tcBorders>
              <w:top w:val="single" w:sz="4" w:space="0" w:color="auto"/>
              <w:left w:val="nil"/>
              <w:bottom w:val="single" w:sz="4" w:space="0" w:color="auto"/>
              <w:right w:val="nil"/>
            </w:tcBorders>
            <w:vAlign w:val="bottom"/>
          </w:tcPr>
          <w:p w14:paraId="7D6FB76F" w14:textId="77777777" w:rsidR="003907BB" w:rsidRPr="001A2F85" w:rsidRDefault="003907BB" w:rsidP="003907BB">
            <w:pPr>
              <w:pStyle w:val="Tabletext"/>
              <w:jc w:val="center"/>
            </w:pPr>
            <w:r>
              <w:rPr>
                <w:sz w:val="18"/>
                <w:szCs w:val="18"/>
              </w:rPr>
              <w:t>9%</w:t>
            </w:r>
          </w:p>
        </w:tc>
        <w:tc>
          <w:tcPr>
            <w:tcW w:w="514" w:type="pct"/>
            <w:tcBorders>
              <w:top w:val="single" w:sz="4" w:space="0" w:color="auto"/>
              <w:left w:val="nil"/>
              <w:bottom w:val="single" w:sz="4" w:space="0" w:color="auto"/>
              <w:right w:val="nil"/>
            </w:tcBorders>
            <w:vAlign w:val="bottom"/>
          </w:tcPr>
          <w:p w14:paraId="41DD1642" w14:textId="77777777" w:rsidR="003907BB" w:rsidRPr="001A2F85" w:rsidRDefault="003907BB" w:rsidP="003907BB">
            <w:pPr>
              <w:pStyle w:val="Tabletext"/>
              <w:jc w:val="center"/>
            </w:pPr>
            <w:r>
              <w:rPr>
                <w:sz w:val="18"/>
                <w:szCs w:val="18"/>
              </w:rPr>
              <w:t>n/a</w:t>
            </w:r>
          </w:p>
        </w:tc>
        <w:tc>
          <w:tcPr>
            <w:tcW w:w="505" w:type="pct"/>
            <w:tcBorders>
              <w:top w:val="single" w:sz="4" w:space="0" w:color="auto"/>
              <w:left w:val="nil"/>
              <w:bottom w:val="single" w:sz="4" w:space="0" w:color="auto"/>
              <w:right w:val="nil"/>
            </w:tcBorders>
            <w:vAlign w:val="bottom"/>
          </w:tcPr>
          <w:p w14:paraId="59ABC268" w14:textId="77777777" w:rsidR="003907BB" w:rsidRPr="001A2F85" w:rsidRDefault="003907BB" w:rsidP="003907BB">
            <w:pPr>
              <w:pStyle w:val="Tabletext"/>
              <w:jc w:val="center"/>
            </w:pPr>
            <w:r>
              <w:rPr>
                <w:sz w:val="18"/>
                <w:szCs w:val="18"/>
              </w:rPr>
              <w:t>n/a</w:t>
            </w:r>
          </w:p>
        </w:tc>
      </w:tr>
      <w:tr w:rsidR="003907BB" w:rsidRPr="001A2F85" w14:paraId="406742EF"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2577B75A" w14:textId="77777777" w:rsidR="003907BB" w:rsidRPr="001A2F85" w:rsidRDefault="003907BB" w:rsidP="003907BB">
            <w:pPr>
              <w:pStyle w:val="Tabletext"/>
            </w:pPr>
            <w:r w:rsidRPr="001A2F85">
              <w:t xml:space="preserve">Pre university qualification pathway </w:t>
            </w:r>
          </w:p>
        </w:tc>
        <w:tc>
          <w:tcPr>
            <w:tcW w:w="792" w:type="pct"/>
            <w:gridSpan w:val="2"/>
            <w:tcBorders>
              <w:top w:val="single" w:sz="4" w:space="0" w:color="auto"/>
              <w:left w:val="nil"/>
              <w:bottom w:val="single" w:sz="4" w:space="0" w:color="auto"/>
              <w:right w:val="nil"/>
            </w:tcBorders>
            <w:vAlign w:val="bottom"/>
          </w:tcPr>
          <w:p w14:paraId="7CC1C086" w14:textId="77777777" w:rsidR="003907BB" w:rsidRPr="001A2F85" w:rsidRDefault="003907BB" w:rsidP="003907BB">
            <w:pPr>
              <w:pStyle w:val="Tabletext"/>
              <w:jc w:val="center"/>
            </w:pPr>
            <w:r>
              <w:rPr>
                <w:sz w:val="18"/>
                <w:szCs w:val="18"/>
              </w:rPr>
              <w:t>4%</w:t>
            </w:r>
          </w:p>
        </w:tc>
        <w:tc>
          <w:tcPr>
            <w:tcW w:w="89" w:type="pct"/>
            <w:tcBorders>
              <w:top w:val="single" w:sz="4" w:space="0" w:color="auto"/>
              <w:left w:val="nil"/>
              <w:bottom w:val="single" w:sz="4" w:space="0" w:color="auto"/>
              <w:right w:val="nil"/>
            </w:tcBorders>
          </w:tcPr>
          <w:p w14:paraId="3003C3CD"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1B7B5156"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64EC1D1E" w14:textId="77777777" w:rsidR="003907BB" w:rsidRPr="001A2F85" w:rsidRDefault="003907BB" w:rsidP="003907BB">
            <w:pPr>
              <w:pStyle w:val="Tabletext"/>
              <w:jc w:val="center"/>
            </w:pPr>
            <w:r>
              <w:rPr>
                <w:sz w:val="18"/>
                <w:szCs w:val="18"/>
              </w:rPr>
              <w:t>100%</w:t>
            </w:r>
          </w:p>
        </w:tc>
        <w:tc>
          <w:tcPr>
            <w:tcW w:w="514" w:type="pct"/>
            <w:tcBorders>
              <w:top w:val="single" w:sz="4" w:space="0" w:color="auto"/>
              <w:left w:val="nil"/>
              <w:bottom w:val="single" w:sz="4" w:space="0" w:color="auto"/>
              <w:right w:val="nil"/>
            </w:tcBorders>
            <w:vAlign w:val="bottom"/>
          </w:tcPr>
          <w:p w14:paraId="5125EFAC" w14:textId="77777777" w:rsidR="003907BB" w:rsidRPr="001A2F85" w:rsidRDefault="003907BB" w:rsidP="003907BB">
            <w:pPr>
              <w:pStyle w:val="Tabletext"/>
              <w:jc w:val="center"/>
            </w:pPr>
            <w:r>
              <w:rPr>
                <w:sz w:val="18"/>
                <w:szCs w:val="18"/>
              </w:rPr>
              <w:t>n/a</w:t>
            </w:r>
          </w:p>
        </w:tc>
        <w:tc>
          <w:tcPr>
            <w:tcW w:w="505" w:type="pct"/>
            <w:tcBorders>
              <w:top w:val="single" w:sz="4" w:space="0" w:color="auto"/>
              <w:left w:val="nil"/>
              <w:bottom w:val="single" w:sz="4" w:space="0" w:color="auto"/>
              <w:right w:val="nil"/>
            </w:tcBorders>
            <w:vAlign w:val="bottom"/>
          </w:tcPr>
          <w:p w14:paraId="37688947" w14:textId="77777777" w:rsidR="003907BB" w:rsidRPr="001A2F85" w:rsidRDefault="003907BB" w:rsidP="003907BB">
            <w:pPr>
              <w:pStyle w:val="Tabletext"/>
              <w:jc w:val="center"/>
            </w:pPr>
            <w:r>
              <w:rPr>
                <w:sz w:val="18"/>
                <w:szCs w:val="18"/>
              </w:rPr>
              <w:t>n/a</w:t>
            </w:r>
          </w:p>
        </w:tc>
      </w:tr>
      <w:tr w:rsidR="003907BB" w:rsidRPr="001A2F85" w14:paraId="38F9F380"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547F9201" w14:textId="77777777" w:rsidR="003907BB" w:rsidRPr="001A2F85" w:rsidRDefault="003907BB" w:rsidP="003907BB">
            <w:pPr>
              <w:pStyle w:val="Tabletext"/>
            </w:pPr>
            <w:r w:rsidRPr="001A2F85">
              <w:t>Foundation programs for extra academic skills</w:t>
            </w:r>
          </w:p>
        </w:tc>
        <w:tc>
          <w:tcPr>
            <w:tcW w:w="792" w:type="pct"/>
            <w:gridSpan w:val="2"/>
            <w:tcBorders>
              <w:top w:val="single" w:sz="4" w:space="0" w:color="auto"/>
              <w:left w:val="nil"/>
              <w:bottom w:val="single" w:sz="4" w:space="0" w:color="auto"/>
              <w:right w:val="nil"/>
            </w:tcBorders>
            <w:vAlign w:val="bottom"/>
          </w:tcPr>
          <w:p w14:paraId="3D111FA2" w14:textId="77777777" w:rsidR="003907BB" w:rsidRPr="001A2F85" w:rsidRDefault="003907BB" w:rsidP="003907BB">
            <w:pPr>
              <w:pStyle w:val="Tabletext"/>
              <w:jc w:val="center"/>
            </w:pPr>
            <w:r>
              <w:rPr>
                <w:sz w:val="18"/>
                <w:szCs w:val="18"/>
              </w:rPr>
              <w:t>3%</w:t>
            </w:r>
          </w:p>
        </w:tc>
        <w:tc>
          <w:tcPr>
            <w:tcW w:w="89" w:type="pct"/>
            <w:tcBorders>
              <w:top w:val="single" w:sz="4" w:space="0" w:color="auto"/>
              <w:left w:val="nil"/>
              <w:bottom w:val="single" w:sz="4" w:space="0" w:color="auto"/>
              <w:right w:val="nil"/>
            </w:tcBorders>
          </w:tcPr>
          <w:p w14:paraId="54F75993"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3034406F"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5F98A89B" w14:textId="77777777" w:rsidR="003907BB" w:rsidRPr="001A2F85" w:rsidRDefault="003907BB" w:rsidP="003907BB">
            <w:pPr>
              <w:pStyle w:val="Tabletext"/>
              <w:jc w:val="center"/>
            </w:pPr>
            <w:r>
              <w:rPr>
                <w:sz w:val="18"/>
                <w:szCs w:val="18"/>
              </w:rPr>
              <w:t>100%</w:t>
            </w:r>
          </w:p>
        </w:tc>
        <w:tc>
          <w:tcPr>
            <w:tcW w:w="514" w:type="pct"/>
            <w:tcBorders>
              <w:top w:val="single" w:sz="4" w:space="0" w:color="auto"/>
              <w:left w:val="nil"/>
              <w:bottom w:val="single" w:sz="4" w:space="0" w:color="auto"/>
              <w:right w:val="nil"/>
            </w:tcBorders>
            <w:vAlign w:val="bottom"/>
          </w:tcPr>
          <w:p w14:paraId="7E892AAE" w14:textId="77777777" w:rsidR="003907BB" w:rsidRPr="001A2F85" w:rsidRDefault="003907BB" w:rsidP="003907BB">
            <w:pPr>
              <w:pStyle w:val="Tabletext"/>
              <w:jc w:val="center"/>
            </w:pPr>
            <w:r>
              <w:rPr>
                <w:sz w:val="18"/>
                <w:szCs w:val="18"/>
              </w:rPr>
              <w:t>n/a</w:t>
            </w:r>
          </w:p>
        </w:tc>
        <w:tc>
          <w:tcPr>
            <w:tcW w:w="505" w:type="pct"/>
            <w:tcBorders>
              <w:top w:val="single" w:sz="4" w:space="0" w:color="auto"/>
              <w:left w:val="nil"/>
              <w:bottom w:val="single" w:sz="4" w:space="0" w:color="auto"/>
              <w:right w:val="nil"/>
            </w:tcBorders>
            <w:vAlign w:val="bottom"/>
          </w:tcPr>
          <w:p w14:paraId="6F375662" w14:textId="77777777" w:rsidR="003907BB" w:rsidRPr="001A2F85" w:rsidRDefault="003907BB" w:rsidP="003907BB">
            <w:pPr>
              <w:pStyle w:val="Tabletext"/>
              <w:jc w:val="center"/>
            </w:pPr>
            <w:r>
              <w:rPr>
                <w:sz w:val="18"/>
                <w:szCs w:val="18"/>
              </w:rPr>
              <w:t>n/a</w:t>
            </w:r>
          </w:p>
        </w:tc>
      </w:tr>
      <w:tr w:rsidR="003907BB" w:rsidRPr="001A2F85" w14:paraId="49210889"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67FF3FC0" w14:textId="77777777" w:rsidR="003907BB" w:rsidRPr="001A2F85" w:rsidRDefault="003907BB" w:rsidP="003907BB">
            <w:pPr>
              <w:pStyle w:val="Tabletext"/>
            </w:pPr>
            <w:r w:rsidRPr="001A2F85">
              <w:t xml:space="preserve">Inclusive entry processes </w:t>
            </w:r>
          </w:p>
        </w:tc>
        <w:tc>
          <w:tcPr>
            <w:tcW w:w="792" w:type="pct"/>
            <w:gridSpan w:val="2"/>
            <w:tcBorders>
              <w:top w:val="single" w:sz="4" w:space="0" w:color="auto"/>
              <w:left w:val="nil"/>
              <w:bottom w:val="single" w:sz="4" w:space="0" w:color="auto"/>
              <w:right w:val="nil"/>
            </w:tcBorders>
            <w:vAlign w:val="bottom"/>
          </w:tcPr>
          <w:p w14:paraId="463DA92D" w14:textId="77777777" w:rsidR="003907BB" w:rsidRPr="001A2F85" w:rsidRDefault="003907BB" w:rsidP="003907BB">
            <w:pPr>
              <w:pStyle w:val="Tabletext"/>
              <w:jc w:val="center"/>
            </w:pPr>
            <w:r>
              <w:rPr>
                <w:sz w:val="18"/>
                <w:szCs w:val="18"/>
              </w:rPr>
              <w:t>14%</w:t>
            </w:r>
          </w:p>
        </w:tc>
        <w:tc>
          <w:tcPr>
            <w:tcW w:w="89" w:type="pct"/>
            <w:tcBorders>
              <w:top w:val="single" w:sz="4" w:space="0" w:color="auto"/>
              <w:left w:val="nil"/>
              <w:bottom w:val="single" w:sz="4" w:space="0" w:color="auto"/>
              <w:right w:val="nil"/>
            </w:tcBorders>
          </w:tcPr>
          <w:p w14:paraId="469009ED"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1ED99620"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1C6118FA" w14:textId="77777777" w:rsidR="003907BB" w:rsidRPr="001A2F85" w:rsidRDefault="003907BB" w:rsidP="003907BB">
            <w:pPr>
              <w:pStyle w:val="Tabletext"/>
              <w:jc w:val="center"/>
            </w:pPr>
            <w:r>
              <w:rPr>
                <w:sz w:val="18"/>
                <w:szCs w:val="18"/>
              </w:rPr>
              <w:t>100%</w:t>
            </w:r>
          </w:p>
        </w:tc>
        <w:tc>
          <w:tcPr>
            <w:tcW w:w="514" w:type="pct"/>
            <w:tcBorders>
              <w:top w:val="single" w:sz="4" w:space="0" w:color="auto"/>
              <w:left w:val="nil"/>
              <w:bottom w:val="single" w:sz="4" w:space="0" w:color="auto"/>
              <w:right w:val="nil"/>
            </w:tcBorders>
            <w:vAlign w:val="bottom"/>
          </w:tcPr>
          <w:p w14:paraId="5407F002" w14:textId="77777777" w:rsidR="003907BB" w:rsidRPr="001A2F85" w:rsidRDefault="003907BB" w:rsidP="003907BB">
            <w:pPr>
              <w:pStyle w:val="Tabletext"/>
              <w:jc w:val="center"/>
            </w:pPr>
            <w:r>
              <w:rPr>
                <w:sz w:val="18"/>
                <w:szCs w:val="18"/>
              </w:rPr>
              <w:t>n/a</w:t>
            </w:r>
          </w:p>
        </w:tc>
        <w:tc>
          <w:tcPr>
            <w:tcW w:w="505" w:type="pct"/>
            <w:tcBorders>
              <w:top w:val="single" w:sz="4" w:space="0" w:color="auto"/>
              <w:left w:val="nil"/>
              <w:bottom w:val="single" w:sz="4" w:space="0" w:color="auto"/>
              <w:right w:val="nil"/>
            </w:tcBorders>
            <w:vAlign w:val="bottom"/>
          </w:tcPr>
          <w:p w14:paraId="4F8F579D" w14:textId="77777777" w:rsidR="003907BB" w:rsidRPr="001A2F85" w:rsidRDefault="003907BB" w:rsidP="003907BB">
            <w:pPr>
              <w:pStyle w:val="Tabletext"/>
              <w:jc w:val="center"/>
            </w:pPr>
            <w:r>
              <w:rPr>
                <w:sz w:val="18"/>
                <w:szCs w:val="18"/>
              </w:rPr>
              <w:t>n/a</w:t>
            </w:r>
          </w:p>
        </w:tc>
      </w:tr>
      <w:tr w:rsidR="003907BB" w:rsidRPr="001A2F85" w14:paraId="0681E023"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13515C32" w14:textId="77777777" w:rsidR="003907BB" w:rsidRPr="001A2F85" w:rsidRDefault="003907BB" w:rsidP="003907BB">
            <w:pPr>
              <w:pStyle w:val="Tabletext"/>
            </w:pPr>
            <w:r w:rsidRPr="001A2F85">
              <w:t>Orientation programs</w:t>
            </w:r>
          </w:p>
        </w:tc>
        <w:tc>
          <w:tcPr>
            <w:tcW w:w="792" w:type="pct"/>
            <w:gridSpan w:val="2"/>
            <w:tcBorders>
              <w:top w:val="single" w:sz="4" w:space="0" w:color="auto"/>
              <w:left w:val="nil"/>
              <w:bottom w:val="single" w:sz="4" w:space="0" w:color="auto"/>
              <w:right w:val="nil"/>
            </w:tcBorders>
            <w:vAlign w:val="bottom"/>
          </w:tcPr>
          <w:p w14:paraId="334A9746" w14:textId="77777777" w:rsidR="003907BB" w:rsidRPr="001A2F85" w:rsidRDefault="003907BB" w:rsidP="003907BB">
            <w:pPr>
              <w:pStyle w:val="Tabletext"/>
              <w:jc w:val="center"/>
            </w:pPr>
            <w:r>
              <w:rPr>
                <w:sz w:val="18"/>
                <w:szCs w:val="18"/>
              </w:rPr>
              <w:t>3%</w:t>
            </w:r>
          </w:p>
        </w:tc>
        <w:tc>
          <w:tcPr>
            <w:tcW w:w="89" w:type="pct"/>
            <w:tcBorders>
              <w:top w:val="single" w:sz="4" w:space="0" w:color="auto"/>
              <w:left w:val="nil"/>
              <w:bottom w:val="single" w:sz="4" w:space="0" w:color="auto"/>
              <w:right w:val="nil"/>
            </w:tcBorders>
          </w:tcPr>
          <w:p w14:paraId="4F9A193E"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65C73DEE"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279FCE92"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38C47B39" w14:textId="77777777" w:rsidR="003907BB" w:rsidRPr="001A2F85" w:rsidRDefault="003907BB" w:rsidP="003907BB">
            <w:pPr>
              <w:pStyle w:val="Tabletext"/>
              <w:jc w:val="center"/>
            </w:pPr>
            <w:r>
              <w:rPr>
                <w:sz w:val="18"/>
                <w:szCs w:val="18"/>
              </w:rPr>
              <w:t>100%</w:t>
            </w:r>
          </w:p>
        </w:tc>
        <w:tc>
          <w:tcPr>
            <w:tcW w:w="505" w:type="pct"/>
            <w:tcBorders>
              <w:top w:val="single" w:sz="4" w:space="0" w:color="auto"/>
              <w:left w:val="nil"/>
              <w:bottom w:val="single" w:sz="4" w:space="0" w:color="auto"/>
              <w:right w:val="nil"/>
            </w:tcBorders>
            <w:vAlign w:val="bottom"/>
          </w:tcPr>
          <w:p w14:paraId="64B81EC9" w14:textId="77777777" w:rsidR="003907BB" w:rsidRPr="001A2F85" w:rsidRDefault="003907BB" w:rsidP="003907BB">
            <w:pPr>
              <w:pStyle w:val="Tabletext"/>
              <w:jc w:val="center"/>
            </w:pPr>
            <w:r>
              <w:rPr>
                <w:sz w:val="18"/>
                <w:szCs w:val="18"/>
              </w:rPr>
              <w:t>n/a</w:t>
            </w:r>
          </w:p>
        </w:tc>
      </w:tr>
      <w:tr w:rsidR="003907BB" w:rsidRPr="001A2F85" w14:paraId="5668CF59"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3F804D65" w14:textId="77777777" w:rsidR="003907BB" w:rsidRPr="001A2F85" w:rsidRDefault="003907BB" w:rsidP="003907BB">
            <w:pPr>
              <w:pStyle w:val="Tabletext"/>
            </w:pPr>
            <w:r w:rsidRPr="001A2F85">
              <w:t>First year transition programs</w:t>
            </w:r>
          </w:p>
        </w:tc>
        <w:tc>
          <w:tcPr>
            <w:tcW w:w="792" w:type="pct"/>
            <w:gridSpan w:val="2"/>
            <w:tcBorders>
              <w:top w:val="single" w:sz="4" w:space="0" w:color="auto"/>
              <w:left w:val="nil"/>
              <w:bottom w:val="single" w:sz="4" w:space="0" w:color="auto"/>
              <w:right w:val="nil"/>
            </w:tcBorders>
            <w:vAlign w:val="bottom"/>
          </w:tcPr>
          <w:p w14:paraId="3825FBC0" w14:textId="77777777" w:rsidR="003907BB" w:rsidRPr="001A2F85" w:rsidRDefault="003907BB" w:rsidP="003907BB">
            <w:pPr>
              <w:pStyle w:val="Tabletext"/>
              <w:jc w:val="center"/>
            </w:pPr>
            <w:r>
              <w:rPr>
                <w:sz w:val="18"/>
                <w:szCs w:val="18"/>
              </w:rPr>
              <w:t>17%</w:t>
            </w:r>
          </w:p>
        </w:tc>
        <w:tc>
          <w:tcPr>
            <w:tcW w:w="89" w:type="pct"/>
            <w:tcBorders>
              <w:top w:val="single" w:sz="4" w:space="0" w:color="auto"/>
              <w:left w:val="nil"/>
              <w:bottom w:val="single" w:sz="4" w:space="0" w:color="auto"/>
              <w:right w:val="nil"/>
            </w:tcBorders>
          </w:tcPr>
          <w:p w14:paraId="2437C959"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0B341195"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67934815"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18414E5C" w14:textId="77777777" w:rsidR="003907BB" w:rsidRPr="001A2F85" w:rsidRDefault="003907BB" w:rsidP="003907BB">
            <w:pPr>
              <w:pStyle w:val="Tabletext"/>
              <w:jc w:val="center"/>
            </w:pPr>
            <w:r>
              <w:rPr>
                <w:sz w:val="18"/>
                <w:szCs w:val="18"/>
              </w:rPr>
              <w:t>100%</w:t>
            </w:r>
          </w:p>
        </w:tc>
        <w:tc>
          <w:tcPr>
            <w:tcW w:w="505" w:type="pct"/>
            <w:tcBorders>
              <w:top w:val="single" w:sz="4" w:space="0" w:color="auto"/>
              <w:left w:val="nil"/>
              <w:bottom w:val="single" w:sz="4" w:space="0" w:color="auto"/>
              <w:right w:val="nil"/>
            </w:tcBorders>
            <w:vAlign w:val="bottom"/>
          </w:tcPr>
          <w:p w14:paraId="1C67D526" w14:textId="77777777" w:rsidR="003907BB" w:rsidRPr="001A2F85" w:rsidRDefault="003907BB" w:rsidP="003907BB">
            <w:pPr>
              <w:pStyle w:val="Tabletext"/>
              <w:jc w:val="center"/>
            </w:pPr>
            <w:r>
              <w:rPr>
                <w:sz w:val="18"/>
                <w:szCs w:val="18"/>
              </w:rPr>
              <w:t>n/a</w:t>
            </w:r>
          </w:p>
        </w:tc>
      </w:tr>
      <w:tr w:rsidR="003907BB" w:rsidRPr="001A2F85" w14:paraId="5ECDAC9C"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0DE75A2F" w14:textId="77777777" w:rsidR="003907BB" w:rsidRPr="001A2F85" w:rsidRDefault="003907BB" w:rsidP="003907BB">
            <w:pPr>
              <w:pStyle w:val="Tabletext"/>
            </w:pPr>
            <w:r w:rsidRPr="001A2F85">
              <w:t>Scholarships</w:t>
            </w:r>
          </w:p>
        </w:tc>
        <w:tc>
          <w:tcPr>
            <w:tcW w:w="792" w:type="pct"/>
            <w:gridSpan w:val="2"/>
            <w:tcBorders>
              <w:top w:val="single" w:sz="4" w:space="0" w:color="auto"/>
              <w:left w:val="nil"/>
              <w:bottom w:val="single" w:sz="4" w:space="0" w:color="auto"/>
              <w:right w:val="nil"/>
            </w:tcBorders>
            <w:vAlign w:val="bottom"/>
          </w:tcPr>
          <w:p w14:paraId="7F7B702C" w14:textId="77777777" w:rsidR="003907BB" w:rsidRPr="001A2F85" w:rsidRDefault="003907BB" w:rsidP="003907BB">
            <w:pPr>
              <w:pStyle w:val="Tabletext"/>
              <w:jc w:val="center"/>
            </w:pPr>
            <w:r>
              <w:rPr>
                <w:sz w:val="18"/>
                <w:szCs w:val="18"/>
              </w:rPr>
              <w:t>10%</w:t>
            </w:r>
          </w:p>
        </w:tc>
        <w:tc>
          <w:tcPr>
            <w:tcW w:w="89" w:type="pct"/>
            <w:tcBorders>
              <w:top w:val="single" w:sz="4" w:space="0" w:color="auto"/>
              <w:left w:val="nil"/>
              <w:bottom w:val="single" w:sz="4" w:space="0" w:color="auto"/>
              <w:right w:val="nil"/>
            </w:tcBorders>
          </w:tcPr>
          <w:p w14:paraId="3D8B438B"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22AAF334"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1340E537" w14:textId="77777777" w:rsidR="003907BB" w:rsidRPr="001A2F85" w:rsidRDefault="003907BB" w:rsidP="003907BB">
            <w:pPr>
              <w:pStyle w:val="Tabletext"/>
              <w:jc w:val="center"/>
            </w:pPr>
            <w:r>
              <w:rPr>
                <w:sz w:val="18"/>
                <w:szCs w:val="18"/>
              </w:rPr>
              <w:t>12%</w:t>
            </w:r>
          </w:p>
        </w:tc>
        <w:tc>
          <w:tcPr>
            <w:tcW w:w="514" w:type="pct"/>
            <w:tcBorders>
              <w:top w:val="single" w:sz="4" w:space="0" w:color="auto"/>
              <w:left w:val="nil"/>
              <w:bottom w:val="single" w:sz="4" w:space="0" w:color="auto"/>
              <w:right w:val="nil"/>
            </w:tcBorders>
            <w:vAlign w:val="bottom"/>
          </w:tcPr>
          <w:p w14:paraId="3BA621DB" w14:textId="77777777" w:rsidR="003907BB" w:rsidRPr="001A2F85" w:rsidRDefault="003907BB" w:rsidP="003907BB">
            <w:pPr>
              <w:pStyle w:val="Tabletext"/>
              <w:jc w:val="center"/>
            </w:pPr>
            <w:r>
              <w:rPr>
                <w:sz w:val="18"/>
                <w:szCs w:val="18"/>
              </w:rPr>
              <w:t>88%</w:t>
            </w:r>
          </w:p>
        </w:tc>
        <w:tc>
          <w:tcPr>
            <w:tcW w:w="505" w:type="pct"/>
            <w:tcBorders>
              <w:top w:val="single" w:sz="4" w:space="0" w:color="auto"/>
              <w:left w:val="nil"/>
              <w:bottom w:val="single" w:sz="4" w:space="0" w:color="auto"/>
              <w:right w:val="nil"/>
            </w:tcBorders>
            <w:vAlign w:val="bottom"/>
          </w:tcPr>
          <w:p w14:paraId="6F6DB535" w14:textId="77777777" w:rsidR="003907BB" w:rsidRPr="001A2F85" w:rsidRDefault="003907BB" w:rsidP="003907BB">
            <w:pPr>
              <w:pStyle w:val="Tabletext"/>
              <w:jc w:val="center"/>
            </w:pPr>
            <w:r>
              <w:rPr>
                <w:sz w:val="18"/>
                <w:szCs w:val="18"/>
              </w:rPr>
              <w:t>n/a</w:t>
            </w:r>
          </w:p>
        </w:tc>
      </w:tr>
      <w:tr w:rsidR="003907BB" w:rsidRPr="001A2F85" w14:paraId="370A3812"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1363CE57" w14:textId="77777777" w:rsidR="003907BB" w:rsidRPr="001A2F85" w:rsidRDefault="003907BB" w:rsidP="003907BB">
            <w:pPr>
              <w:pStyle w:val="Tabletext"/>
            </w:pPr>
            <w:r w:rsidRPr="001A2F85">
              <w:t>Inclusive course design/pedagogies</w:t>
            </w:r>
          </w:p>
        </w:tc>
        <w:tc>
          <w:tcPr>
            <w:tcW w:w="792" w:type="pct"/>
            <w:gridSpan w:val="2"/>
            <w:tcBorders>
              <w:top w:val="single" w:sz="4" w:space="0" w:color="auto"/>
              <w:left w:val="nil"/>
              <w:bottom w:val="single" w:sz="4" w:space="0" w:color="auto"/>
              <w:right w:val="nil"/>
            </w:tcBorders>
            <w:vAlign w:val="bottom"/>
          </w:tcPr>
          <w:p w14:paraId="76EFA822" w14:textId="77777777" w:rsidR="003907BB" w:rsidRPr="001A2F85" w:rsidRDefault="003907BB" w:rsidP="003907BB">
            <w:pPr>
              <w:pStyle w:val="Tabletext"/>
              <w:jc w:val="center"/>
            </w:pPr>
            <w:r>
              <w:rPr>
                <w:sz w:val="18"/>
                <w:szCs w:val="18"/>
              </w:rPr>
              <w:t>12%</w:t>
            </w:r>
          </w:p>
        </w:tc>
        <w:tc>
          <w:tcPr>
            <w:tcW w:w="89" w:type="pct"/>
            <w:tcBorders>
              <w:top w:val="single" w:sz="4" w:space="0" w:color="auto"/>
              <w:left w:val="nil"/>
              <w:bottom w:val="single" w:sz="4" w:space="0" w:color="auto"/>
              <w:right w:val="nil"/>
            </w:tcBorders>
          </w:tcPr>
          <w:p w14:paraId="631219F5"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487AC4B7"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28D96BDC" w14:textId="77777777" w:rsidR="003907BB" w:rsidRPr="001A2F85" w:rsidRDefault="003907BB" w:rsidP="003907BB">
            <w:pPr>
              <w:pStyle w:val="Tabletext"/>
              <w:jc w:val="center"/>
            </w:pPr>
            <w:r>
              <w:rPr>
                <w:sz w:val="18"/>
                <w:szCs w:val="18"/>
              </w:rPr>
              <w:t>9%</w:t>
            </w:r>
          </w:p>
        </w:tc>
        <w:tc>
          <w:tcPr>
            <w:tcW w:w="514" w:type="pct"/>
            <w:tcBorders>
              <w:top w:val="single" w:sz="4" w:space="0" w:color="auto"/>
              <w:left w:val="nil"/>
              <w:bottom w:val="single" w:sz="4" w:space="0" w:color="auto"/>
              <w:right w:val="nil"/>
            </w:tcBorders>
            <w:vAlign w:val="bottom"/>
          </w:tcPr>
          <w:p w14:paraId="380BA66C" w14:textId="77777777" w:rsidR="003907BB" w:rsidRPr="001A2F85" w:rsidRDefault="003907BB" w:rsidP="003907BB">
            <w:pPr>
              <w:pStyle w:val="Tabletext"/>
              <w:jc w:val="center"/>
            </w:pPr>
            <w:r>
              <w:rPr>
                <w:sz w:val="18"/>
                <w:szCs w:val="18"/>
              </w:rPr>
              <w:t>91%</w:t>
            </w:r>
          </w:p>
        </w:tc>
        <w:tc>
          <w:tcPr>
            <w:tcW w:w="505" w:type="pct"/>
            <w:tcBorders>
              <w:top w:val="single" w:sz="4" w:space="0" w:color="auto"/>
              <w:left w:val="nil"/>
              <w:bottom w:val="single" w:sz="4" w:space="0" w:color="auto"/>
              <w:right w:val="nil"/>
            </w:tcBorders>
            <w:vAlign w:val="bottom"/>
          </w:tcPr>
          <w:p w14:paraId="31FC4C5C" w14:textId="77777777" w:rsidR="003907BB" w:rsidRPr="001A2F85" w:rsidRDefault="003907BB" w:rsidP="003907BB">
            <w:pPr>
              <w:pStyle w:val="Tabletext"/>
              <w:jc w:val="center"/>
            </w:pPr>
            <w:r>
              <w:rPr>
                <w:sz w:val="18"/>
                <w:szCs w:val="18"/>
              </w:rPr>
              <w:t>n/a</w:t>
            </w:r>
          </w:p>
        </w:tc>
      </w:tr>
      <w:tr w:rsidR="003907BB" w:rsidRPr="001A2F85" w14:paraId="2C9E3940"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1E15CB6E" w14:textId="77777777" w:rsidR="003907BB" w:rsidRPr="001A2F85" w:rsidRDefault="003907BB" w:rsidP="003907BB">
            <w:pPr>
              <w:pStyle w:val="Tabletext"/>
            </w:pPr>
            <w:r w:rsidRPr="001A2F85">
              <w:t>Alternative exit programs</w:t>
            </w:r>
          </w:p>
        </w:tc>
        <w:tc>
          <w:tcPr>
            <w:tcW w:w="792" w:type="pct"/>
            <w:gridSpan w:val="2"/>
            <w:tcBorders>
              <w:top w:val="single" w:sz="4" w:space="0" w:color="auto"/>
              <w:left w:val="nil"/>
              <w:bottom w:val="single" w:sz="4" w:space="0" w:color="auto"/>
              <w:right w:val="nil"/>
            </w:tcBorders>
            <w:vAlign w:val="bottom"/>
          </w:tcPr>
          <w:p w14:paraId="4529F9FA" w14:textId="77777777" w:rsidR="003907BB" w:rsidRPr="001A2F85" w:rsidRDefault="003907BB" w:rsidP="003907BB">
            <w:pPr>
              <w:pStyle w:val="Tabletext"/>
              <w:jc w:val="center"/>
            </w:pPr>
            <w:r>
              <w:rPr>
                <w:sz w:val="18"/>
                <w:szCs w:val="18"/>
              </w:rPr>
              <w:t>0%*</w:t>
            </w:r>
          </w:p>
        </w:tc>
        <w:tc>
          <w:tcPr>
            <w:tcW w:w="89" w:type="pct"/>
            <w:tcBorders>
              <w:top w:val="single" w:sz="4" w:space="0" w:color="auto"/>
              <w:left w:val="nil"/>
              <w:bottom w:val="single" w:sz="4" w:space="0" w:color="auto"/>
              <w:right w:val="nil"/>
            </w:tcBorders>
          </w:tcPr>
          <w:p w14:paraId="7667BC71"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04B525FA"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347EA317"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794376D4" w14:textId="77777777" w:rsidR="003907BB" w:rsidRPr="001A2F85" w:rsidRDefault="003907BB" w:rsidP="003907BB">
            <w:pPr>
              <w:pStyle w:val="Tabletext"/>
              <w:jc w:val="center"/>
            </w:pPr>
            <w:r>
              <w:rPr>
                <w:sz w:val="18"/>
                <w:szCs w:val="18"/>
              </w:rPr>
              <w:t>n/a</w:t>
            </w:r>
          </w:p>
        </w:tc>
        <w:tc>
          <w:tcPr>
            <w:tcW w:w="505" w:type="pct"/>
            <w:tcBorders>
              <w:top w:val="single" w:sz="4" w:space="0" w:color="auto"/>
              <w:left w:val="nil"/>
              <w:bottom w:val="single" w:sz="4" w:space="0" w:color="auto"/>
              <w:right w:val="nil"/>
            </w:tcBorders>
            <w:vAlign w:val="bottom"/>
          </w:tcPr>
          <w:p w14:paraId="2C329C2D" w14:textId="77777777" w:rsidR="003907BB" w:rsidRPr="001A2F85" w:rsidRDefault="003907BB" w:rsidP="003907BB">
            <w:pPr>
              <w:pStyle w:val="Tabletext"/>
              <w:jc w:val="center"/>
            </w:pPr>
            <w:r>
              <w:rPr>
                <w:sz w:val="18"/>
                <w:szCs w:val="18"/>
              </w:rPr>
              <w:t>0%</w:t>
            </w:r>
          </w:p>
        </w:tc>
      </w:tr>
      <w:tr w:rsidR="003907BB" w:rsidRPr="001A2F85" w14:paraId="2A1D6855"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4D0709FE" w14:textId="77777777" w:rsidR="003907BB" w:rsidRPr="001A2F85" w:rsidRDefault="003907BB" w:rsidP="003907BB">
            <w:pPr>
              <w:pStyle w:val="Tabletext"/>
            </w:pPr>
            <w:r w:rsidRPr="001A2F85">
              <w:t>Monitoring student progress</w:t>
            </w:r>
          </w:p>
        </w:tc>
        <w:tc>
          <w:tcPr>
            <w:tcW w:w="792" w:type="pct"/>
            <w:gridSpan w:val="2"/>
            <w:tcBorders>
              <w:top w:val="single" w:sz="4" w:space="0" w:color="auto"/>
              <w:left w:val="nil"/>
              <w:bottom w:val="single" w:sz="4" w:space="0" w:color="auto"/>
              <w:right w:val="nil"/>
            </w:tcBorders>
            <w:vAlign w:val="bottom"/>
          </w:tcPr>
          <w:p w14:paraId="22172287" w14:textId="77777777" w:rsidR="003907BB" w:rsidRPr="001A2F85" w:rsidRDefault="003907BB" w:rsidP="003907BB">
            <w:pPr>
              <w:pStyle w:val="Tabletext"/>
              <w:jc w:val="center"/>
            </w:pPr>
            <w:r>
              <w:rPr>
                <w:sz w:val="18"/>
                <w:szCs w:val="18"/>
              </w:rPr>
              <w:t>13%</w:t>
            </w:r>
          </w:p>
        </w:tc>
        <w:tc>
          <w:tcPr>
            <w:tcW w:w="89" w:type="pct"/>
            <w:tcBorders>
              <w:top w:val="single" w:sz="4" w:space="0" w:color="auto"/>
              <w:left w:val="nil"/>
              <w:bottom w:val="single" w:sz="4" w:space="0" w:color="auto"/>
              <w:right w:val="nil"/>
            </w:tcBorders>
          </w:tcPr>
          <w:p w14:paraId="6C9452EE"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113E7604"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24422D2E"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19CBFA41" w14:textId="77777777" w:rsidR="003907BB" w:rsidRPr="001A2F85" w:rsidRDefault="003907BB" w:rsidP="003907BB">
            <w:pPr>
              <w:pStyle w:val="Tabletext"/>
              <w:jc w:val="center"/>
            </w:pPr>
            <w:r>
              <w:rPr>
                <w:sz w:val="18"/>
                <w:szCs w:val="18"/>
              </w:rPr>
              <w:t>100%</w:t>
            </w:r>
          </w:p>
        </w:tc>
        <w:tc>
          <w:tcPr>
            <w:tcW w:w="505" w:type="pct"/>
            <w:tcBorders>
              <w:top w:val="single" w:sz="4" w:space="0" w:color="auto"/>
              <w:left w:val="nil"/>
              <w:bottom w:val="single" w:sz="4" w:space="0" w:color="auto"/>
              <w:right w:val="nil"/>
            </w:tcBorders>
            <w:vAlign w:val="bottom"/>
          </w:tcPr>
          <w:p w14:paraId="414C6076" w14:textId="77777777" w:rsidR="003907BB" w:rsidRPr="001A2F85" w:rsidRDefault="003907BB" w:rsidP="003907BB">
            <w:pPr>
              <w:pStyle w:val="Tabletext"/>
              <w:jc w:val="center"/>
            </w:pPr>
            <w:r>
              <w:rPr>
                <w:sz w:val="18"/>
                <w:szCs w:val="18"/>
              </w:rPr>
              <w:t>n/a</w:t>
            </w:r>
          </w:p>
        </w:tc>
      </w:tr>
      <w:tr w:rsidR="003907BB" w:rsidRPr="001A2F85" w14:paraId="12FED945"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45385A13" w14:textId="77777777" w:rsidR="003907BB" w:rsidRPr="001A2F85" w:rsidRDefault="003907BB" w:rsidP="003907BB">
            <w:pPr>
              <w:pStyle w:val="Tabletext"/>
            </w:pPr>
            <w:r w:rsidRPr="001A2F85">
              <w:t>Employment support pre-completion</w:t>
            </w:r>
          </w:p>
        </w:tc>
        <w:tc>
          <w:tcPr>
            <w:tcW w:w="792" w:type="pct"/>
            <w:gridSpan w:val="2"/>
            <w:tcBorders>
              <w:top w:val="single" w:sz="4" w:space="0" w:color="auto"/>
              <w:left w:val="nil"/>
              <w:bottom w:val="single" w:sz="4" w:space="0" w:color="auto"/>
              <w:right w:val="nil"/>
            </w:tcBorders>
            <w:vAlign w:val="bottom"/>
          </w:tcPr>
          <w:p w14:paraId="1DE45289" w14:textId="77777777" w:rsidR="003907BB" w:rsidRPr="001A2F85" w:rsidRDefault="003907BB" w:rsidP="003907BB">
            <w:pPr>
              <w:pStyle w:val="Tabletext"/>
              <w:jc w:val="center"/>
            </w:pPr>
            <w:r>
              <w:rPr>
                <w:sz w:val="18"/>
                <w:szCs w:val="18"/>
              </w:rPr>
              <w:t>1%</w:t>
            </w:r>
          </w:p>
        </w:tc>
        <w:tc>
          <w:tcPr>
            <w:tcW w:w="89" w:type="pct"/>
            <w:tcBorders>
              <w:top w:val="single" w:sz="4" w:space="0" w:color="auto"/>
              <w:left w:val="nil"/>
              <w:bottom w:val="single" w:sz="4" w:space="0" w:color="auto"/>
              <w:right w:val="nil"/>
            </w:tcBorders>
          </w:tcPr>
          <w:p w14:paraId="5B3F1E1F"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1F7368A0"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2981820A"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68669126" w14:textId="77777777" w:rsidR="003907BB" w:rsidRPr="001A2F85" w:rsidRDefault="003907BB" w:rsidP="003907BB">
            <w:pPr>
              <w:pStyle w:val="Tabletext"/>
              <w:jc w:val="center"/>
            </w:pPr>
            <w:r>
              <w:rPr>
                <w:sz w:val="18"/>
                <w:szCs w:val="18"/>
              </w:rPr>
              <w:t>67%</w:t>
            </w:r>
          </w:p>
        </w:tc>
        <w:tc>
          <w:tcPr>
            <w:tcW w:w="505" w:type="pct"/>
            <w:tcBorders>
              <w:top w:val="single" w:sz="4" w:space="0" w:color="auto"/>
              <w:left w:val="nil"/>
              <w:bottom w:val="single" w:sz="4" w:space="0" w:color="auto"/>
              <w:right w:val="nil"/>
            </w:tcBorders>
            <w:vAlign w:val="bottom"/>
          </w:tcPr>
          <w:p w14:paraId="41DB3EA3" w14:textId="77777777" w:rsidR="003907BB" w:rsidRPr="001A2F85" w:rsidRDefault="003907BB" w:rsidP="003907BB">
            <w:pPr>
              <w:pStyle w:val="Tabletext"/>
              <w:jc w:val="center"/>
            </w:pPr>
            <w:r>
              <w:rPr>
                <w:sz w:val="18"/>
                <w:szCs w:val="18"/>
              </w:rPr>
              <w:t>33%</w:t>
            </w:r>
          </w:p>
        </w:tc>
      </w:tr>
      <w:tr w:rsidR="003907BB" w:rsidRPr="001A2F85" w14:paraId="5C51DB46"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55E1EEAD" w14:textId="77777777" w:rsidR="003907BB" w:rsidRPr="001A2F85" w:rsidRDefault="003907BB" w:rsidP="003907BB">
            <w:pPr>
              <w:pStyle w:val="Tabletext"/>
            </w:pPr>
            <w:r w:rsidRPr="001A2F85">
              <w:t>Employment support post-completion</w:t>
            </w:r>
          </w:p>
        </w:tc>
        <w:tc>
          <w:tcPr>
            <w:tcW w:w="792" w:type="pct"/>
            <w:gridSpan w:val="2"/>
            <w:tcBorders>
              <w:top w:val="single" w:sz="4" w:space="0" w:color="auto"/>
              <w:left w:val="nil"/>
              <w:bottom w:val="single" w:sz="4" w:space="0" w:color="auto"/>
              <w:right w:val="nil"/>
            </w:tcBorders>
            <w:vAlign w:val="bottom"/>
          </w:tcPr>
          <w:p w14:paraId="578E4F0B" w14:textId="77777777" w:rsidR="003907BB" w:rsidRPr="001A2F85" w:rsidRDefault="003907BB" w:rsidP="003907BB">
            <w:pPr>
              <w:pStyle w:val="Tabletext"/>
              <w:jc w:val="center"/>
            </w:pPr>
            <w:r>
              <w:rPr>
                <w:sz w:val="18"/>
                <w:szCs w:val="18"/>
              </w:rPr>
              <w:t>0%*</w:t>
            </w:r>
          </w:p>
        </w:tc>
        <w:tc>
          <w:tcPr>
            <w:tcW w:w="89" w:type="pct"/>
            <w:tcBorders>
              <w:top w:val="single" w:sz="4" w:space="0" w:color="auto"/>
              <w:left w:val="nil"/>
              <w:bottom w:val="single" w:sz="4" w:space="0" w:color="auto"/>
              <w:right w:val="nil"/>
            </w:tcBorders>
          </w:tcPr>
          <w:p w14:paraId="097B3DEE"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58037A46"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1876ACB8" w14:textId="77777777" w:rsidR="003907BB" w:rsidRPr="001A2F85" w:rsidRDefault="003907BB" w:rsidP="003907BB">
            <w:pPr>
              <w:pStyle w:val="Tabletext"/>
              <w:jc w:val="center"/>
            </w:pPr>
            <w:r>
              <w:rPr>
                <w:sz w:val="18"/>
                <w:szCs w:val="18"/>
              </w:rPr>
              <w:t>n/a</w:t>
            </w:r>
          </w:p>
        </w:tc>
        <w:tc>
          <w:tcPr>
            <w:tcW w:w="514" w:type="pct"/>
            <w:tcBorders>
              <w:top w:val="single" w:sz="4" w:space="0" w:color="auto"/>
              <w:left w:val="nil"/>
              <w:bottom w:val="single" w:sz="4" w:space="0" w:color="auto"/>
              <w:right w:val="nil"/>
            </w:tcBorders>
            <w:vAlign w:val="bottom"/>
          </w:tcPr>
          <w:p w14:paraId="1BCCC7CB" w14:textId="77777777" w:rsidR="003907BB" w:rsidRPr="001A2F85" w:rsidRDefault="003907BB" w:rsidP="003907BB">
            <w:pPr>
              <w:pStyle w:val="Tabletext"/>
              <w:jc w:val="center"/>
            </w:pPr>
            <w:r>
              <w:rPr>
                <w:sz w:val="18"/>
                <w:szCs w:val="18"/>
              </w:rPr>
              <w:t>n/a</w:t>
            </w:r>
          </w:p>
        </w:tc>
        <w:tc>
          <w:tcPr>
            <w:tcW w:w="505" w:type="pct"/>
            <w:tcBorders>
              <w:top w:val="single" w:sz="4" w:space="0" w:color="auto"/>
              <w:left w:val="nil"/>
              <w:bottom w:val="single" w:sz="4" w:space="0" w:color="auto"/>
              <w:right w:val="nil"/>
            </w:tcBorders>
            <w:vAlign w:val="bottom"/>
          </w:tcPr>
          <w:p w14:paraId="1A196C06" w14:textId="77777777" w:rsidR="003907BB" w:rsidRPr="001A2F85" w:rsidRDefault="003907BB" w:rsidP="003907BB">
            <w:pPr>
              <w:pStyle w:val="Tabletext"/>
              <w:jc w:val="center"/>
            </w:pPr>
            <w:r>
              <w:rPr>
                <w:sz w:val="18"/>
                <w:szCs w:val="18"/>
              </w:rPr>
              <w:t>100%</w:t>
            </w:r>
          </w:p>
        </w:tc>
      </w:tr>
      <w:tr w:rsidR="003907BB" w:rsidRPr="001A2F85" w14:paraId="4C6735EB"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4B55F601" w14:textId="77777777" w:rsidR="003907BB" w:rsidRPr="001A2F85" w:rsidRDefault="003907BB" w:rsidP="003907BB">
            <w:pPr>
              <w:pStyle w:val="Tabletext"/>
            </w:pPr>
            <w:r w:rsidRPr="001A2F85">
              <w:t>Monitoring/evaluation</w:t>
            </w:r>
          </w:p>
        </w:tc>
        <w:tc>
          <w:tcPr>
            <w:tcW w:w="792" w:type="pct"/>
            <w:gridSpan w:val="2"/>
            <w:tcBorders>
              <w:top w:val="single" w:sz="4" w:space="0" w:color="auto"/>
              <w:left w:val="nil"/>
              <w:bottom w:val="single" w:sz="4" w:space="0" w:color="auto"/>
              <w:right w:val="nil"/>
            </w:tcBorders>
            <w:vAlign w:val="bottom"/>
          </w:tcPr>
          <w:p w14:paraId="3BCB5B95" w14:textId="77777777" w:rsidR="003907BB" w:rsidRPr="001A2F85" w:rsidRDefault="003907BB" w:rsidP="003907BB">
            <w:pPr>
              <w:pStyle w:val="Tabletext"/>
              <w:jc w:val="center"/>
            </w:pPr>
            <w:r>
              <w:rPr>
                <w:sz w:val="18"/>
                <w:szCs w:val="18"/>
              </w:rPr>
              <w:t>13%</w:t>
            </w:r>
          </w:p>
        </w:tc>
        <w:tc>
          <w:tcPr>
            <w:tcW w:w="89" w:type="pct"/>
            <w:tcBorders>
              <w:top w:val="single" w:sz="4" w:space="0" w:color="auto"/>
              <w:left w:val="nil"/>
              <w:bottom w:val="single" w:sz="4" w:space="0" w:color="auto"/>
              <w:right w:val="nil"/>
            </w:tcBorders>
          </w:tcPr>
          <w:p w14:paraId="03852718"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26396D88" w14:textId="77777777" w:rsidR="003907BB" w:rsidRPr="001A2F85" w:rsidRDefault="003907BB" w:rsidP="003907BB">
            <w:pPr>
              <w:pStyle w:val="Tabletext"/>
              <w:jc w:val="center"/>
            </w:pPr>
            <w:r>
              <w:rPr>
                <w:sz w:val="18"/>
                <w:szCs w:val="18"/>
              </w:rPr>
              <w:t>23%</w:t>
            </w:r>
          </w:p>
        </w:tc>
        <w:tc>
          <w:tcPr>
            <w:tcW w:w="514" w:type="pct"/>
            <w:tcBorders>
              <w:top w:val="single" w:sz="4" w:space="0" w:color="auto"/>
              <w:left w:val="nil"/>
              <w:bottom w:val="single" w:sz="4" w:space="0" w:color="auto"/>
              <w:right w:val="nil"/>
            </w:tcBorders>
            <w:vAlign w:val="bottom"/>
          </w:tcPr>
          <w:p w14:paraId="042BBB86" w14:textId="77777777" w:rsidR="003907BB" w:rsidRPr="001A2F85" w:rsidRDefault="003907BB" w:rsidP="003907BB">
            <w:pPr>
              <w:pStyle w:val="Tabletext"/>
              <w:jc w:val="center"/>
            </w:pPr>
            <w:r>
              <w:rPr>
                <w:sz w:val="18"/>
                <w:szCs w:val="18"/>
              </w:rPr>
              <w:t>14%</w:t>
            </w:r>
          </w:p>
        </w:tc>
        <w:tc>
          <w:tcPr>
            <w:tcW w:w="514" w:type="pct"/>
            <w:tcBorders>
              <w:top w:val="single" w:sz="4" w:space="0" w:color="auto"/>
              <w:left w:val="nil"/>
              <w:bottom w:val="single" w:sz="4" w:space="0" w:color="auto"/>
              <w:right w:val="nil"/>
            </w:tcBorders>
            <w:vAlign w:val="bottom"/>
          </w:tcPr>
          <w:p w14:paraId="1CC5B13D" w14:textId="77777777" w:rsidR="003907BB" w:rsidRPr="001A2F85" w:rsidRDefault="003907BB" w:rsidP="003907BB">
            <w:pPr>
              <w:pStyle w:val="Tabletext"/>
              <w:jc w:val="center"/>
            </w:pPr>
            <w:r>
              <w:rPr>
                <w:sz w:val="18"/>
                <w:szCs w:val="18"/>
              </w:rPr>
              <w:t>61%</w:t>
            </w:r>
          </w:p>
        </w:tc>
        <w:tc>
          <w:tcPr>
            <w:tcW w:w="505" w:type="pct"/>
            <w:tcBorders>
              <w:top w:val="single" w:sz="4" w:space="0" w:color="auto"/>
              <w:left w:val="nil"/>
              <w:bottom w:val="single" w:sz="4" w:space="0" w:color="auto"/>
              <w:right w:val="nil"/>
            </w:tcBorders>
            <w:vAlign w:val="bottom"/>
          </w:tcPr>
          <w:p w14:paraId="672D356B" w14:textId="77777777" w:rsidR="003907BB" w:rsidRPr="001A2F85" w:rsidRDefault="003907BB" w:rsidP="003907BB">
            <w:pPr>
              <w:pStyle w:val="Tabletext"/>
              <w:jc w:val="center"/>
            </w:pPr>
            <w:r>
              <w:rPr>
                <w:sz w:val="18"/>
                <w:szCs w:val="18"/>
              </w:rPr>
              <w:t>1%</w:t>
            </w:r>
          </w:p>
        </w:tc>
      </w:tr>
      <w:tr w:rsidR="003907BB" w:rsidRPr="001A2F85" w14:paraId="34B66903"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2E8C4F5D" w14:textId="77777777" w:rsidR="003907BB" w:rsidRPr="001A2F85" w:rsidRDefault="003907BB" w:rsidP="003907BB">
            <w:pPr>
              <w:pStyle w:val="Tabletext"/>
            </w:pPr>
            <w:r w:rsidRPr="001A2F85">
              <w:t>Research</w:t>
            </w:r>
          </w:p>
        </w:tc>
        <w:tc>
          <w:tcPr>
            <w:tcW w:w="792" w:type="pct"/>
            <w:gridSpan w:val="2"/>
            <w:tcBorders>
              <w:top w:val="single" w:sz="4" w:space="0" w:color="auto"/>
              <w:left w:val="nil"/>
              <w:bottom w:val="single" w:sz="4" w:space="0" w:color="auto"/>
              <w:right w:val="nil"/>
            </w:tcBorders>
            <w:vAlign w:val="bottom"/>
          </w:tcPr>
          <w:p w14:paraId="57CD7834" w14:textId="77777777" w:rsidR="003907BB" w:rsidRPr="001A2F85" w:rsidRDefault="003907BB" w:rsidP="003907BB">
            <w:pPr>
              <w:pStyle w:val="Tabletext"/>
              <w:jc w:val="center"/>
            </w:pPr>
            <w:r>
              <w:rPr>
                <w:sz w:val="18"/>
                <w:szCs w:val="18"/>
              </w:rPr>
              <w:t>12%</w:t>
            </w:r>
          </w:p>
        </w:tc>
        <w:tc>
          <w:tcPr>
            <w:tcW w:w="89" w:type="pct"/>
            <w:tcBorders>
              <w:top w:val="single" w:sz="4" w:space="0" w:color="auto"/>
              <w:left w:val="nil"/>
              <w:bottom w:val="single" w:sz="4" w:space="0" w:color="auto"/>
              <w:right w:val="nil"/>
            </w:tcBorders>
          </w:tcPr>
          <w:p w14:paraId="00893F6E"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2C531EF4" w14:textId="77777777" w:rsidR="003907BB" w:rsidRPr="001A2F85" w:rsidRDefault="003907BB" w:rsidP="003907BB">
            <w:pPr>
              <w:pStyle w:val="Tabletext"/>
              <w:jc w:val="center"/>
            </w:pPr>
            <w:r>
              <w:rPr>
                <w:sz w:val="18"/>
                <w:szCs w:val="18"/>
              </w:rPr>
              <w:t>22%</w:t>
            </w:r>
          </w:p>
        </w:tc>
        <w:tc>
          <w:tcPr>
            <w:tcW w:w="514" w:type="pct"/>
            <w:tcBorders>
              <w:top w:val="single" w:sz="4" w:space="0" w:color="auto"/>
              <w:left w:val="nil"/>
              <w:bottom w:val="single" w:sz="4" w:space="0" w:color="auto"/>
              <w:right w:val="nil"/>
            </w:tcBorders>
            <w:vAlign w:val="bottom"/>
          </w:tcPr>
          <w:p w14:paraId="0BD72EC4" w14:textId="77777777" w:rsidR="003907BB" w:rsidRPr="001A2F85" w:rsidRDefault="003907BB" w:rsidP="003907BB">
            <w:pPr>
              <w:pStyle w:val="Tabletext"/>
              <w:jc w:val="center"/>
            </w:pPr>
            <w:r>
              <w:rPr>
                <w:sz w:val="18"/>
                <w:szCs w:val="18"/>
              </w:rPr>
              <w:t>15%</w:t>
            </w:r>
          </w:p>
        </w:tc>
        <w:tc>
          <w:tcPr>
            <w:tcW w:w="514" w:type="pct"/>
            <w:tcBorders>
              <w:top w:val="single" w:sz="4" w:space="0" w:color="auto"/>
              <w:left w:val="nil"/>
              <w:bottom w:val="single" w:sz="4" w:space="0" w:color="auto"/>
              <w:right w:val="nil"/>
            </w:tcBorders>
            <w:vAlign w:val="bottom"/>
          </w:tcPr>
          <w:p w14:paraId="5929D60D" w14:textId="77777777" w:rsidR="003907BB" w:rsidRPr="001A2F85" w:rsidRDefault="003907BB" w:rsidP="003907BB">
            <w:pPr>
              <w:pStyle w:val="Tabletext"/>
              <w:jc w:val="center"/>
            </w:pPr>
            <w:r>
              <w:rPr>
                <w:sz w:val="18"/>
                <w:szCs w:val="18"/>
              </w:rPr>
              <w:t>61%</w:t>
            </w:r>
          </w:p>
        </w:tc>
        <w:tc>
          <w:tcPr>
            <w:tcW w:w="505" w:type="pct"/>
            <w:tcBorders>
              <w:top w:val="single" w:sz="4" w:space="0" w:color="auto"/>
              <w:left w:val="nil"/>
              <w:bottom w:val="single" w:sz="4" w:space="0" w:color="auto"/>
              <w:right w:val="nil"/>
            </w:tcBorders>
            <w:vAlign w:val="bottom"/>
          </w:tcPr>
          <w:p w14:paraId="3505A5CD" w14:textId="77777777" w:rsidR="003907BB" w:rsidRPr="001A2F85" w:rsidRDefault="003907BB" w:rsidP="003907BB">
            <w:pPr>
              <w:pStyle w:val="Tabletext"/>
              <w:jc w:val="center"/>
            </w:pPr>
            <w:r>
              <w:rPr>
                <w:sz w:val="18"/>
                <w:szCs w:val="18"/>
              </w:rPr>
              <w:t>2%</w:t>
            </w:r>
          </w:p>
        </w:tc>
      </w:tr>
      <w:tr w:rsidR="003907BB" w:rsidRPr="001A2F85" w14:paraId="03158672" w14:textId="77777777" w:rsidTr="00AD49C8">
        <w:tblPrEx>
          <w:tblBorders>
            <w:bottom w:val="single" w:sz="4" w:space="0" w:color="646464"/>
            <w:insideH w:val="single" w:sz="4" w:space="0" w:color="646464"/>
          </w:tblBorders>
        </w:tblPrEx>
        <w:trPr>
          <w:gridBefore w:val="1"/>
          <w:wBefore w:w="220" w:type="pct"/>
          <w:cantSplit/>
        </w:trPr>
        <w:tc>
          <w:tcPr>
            <w:tcW w:w="1852" w:type="pct"/>
            <w:tcBorders>
              <w:top w:val="single" w:sz="4" w:space="0" w:color="auto"/>
              <w:bottom w:val="single" w:sz="4" w:space="0" w:color="auto"/>
            </w:tcBorders>
            <w:vAlign w:val="center"/>
          </w:tcPr>
          <w:p w14:paraId="54E77320" w14:textId="77777777" w:rsidR="003907BB" w:rsidRPr="001A2F85" w:rsidRDefault="003907BB" w:rsidP="003907BB">
            <w:pPr>
              <w:pStyle w:val="Tabletext"/>
            </w:pPr>
            <w:r w:rsidRPr="001A2F85">
              <w:t xml:space="preserve">Enhancing program implementation </w:t>
            </w:r>
          </w:p>
        </w:tc>
        <w:tc>
          <w:tcPr>
            <w:tcW w:w="792" w:type="pct"/>
            <w:gridSpan w:val="2"/>
            <w:tcBorders>
              <w:top w:val="single" w:sz="4" w:space="0" w:color="auto"/>
              <w:left w:val="nil"/>
              <w:bottom w:val="single" w:sz="4" w:space="0" w:color="auto"/>
              <w:right w:val="nil"/>
            </w:tcBorders>
            <w:vAlign w:val="bottom"/>
          </w:tcPr>
          <w:p w14:paraId="4E388710" w14:textId="77777777" w:rsidR="003907BB" w:rsidRPr="001A2F85" w:rsidRDefault="003907BB" w:rsidP="003907BB">
            <w:pPr>
              <w:pStyle w:val="Tabletext"/>
              <w:jc w:val="center"/>
            </w:pPr>
            <w:r>
              <w:rPr>
                <w:sz w:val="18"/>
                <w:szCs w:val="18"/>
              </w:rPr>
              <w:t>9%</w:t>
            </w:r>
          </w:p>
        </w:tc>
        <w:tc>
          <w:tcPr>
            <w:tcW w:w="89" w:type="pct"/>
            <w:tcBorders>
              <w:top w:val="single" w:sz="4" w:space="0" w:color="auto"/>
              <w:left w:val="nil"/>
              <w:bottom w:val="single" w:sz="4" w:space="0" w:color="auto"/>
              <w:right w:val="nil"/>
            </w:tcBorders>
          </w:tcPr>
          <w:p w14:paraId="69A254FD" w14:textId="77777777" w:rsidR="003907BB" w:rsidRDefault="003907BB" w:rsidP="003907BB">
            <w:pPr>
              <w:pStyle w:val="Tabletext"/>
              <w:jc w:val="center"/>
              <w:rPr>
                <w:sz w:val="18"/>
                <w:szCs w:val="18"/>
              </w:rPr>
            </w:pPr>
          </w:p>
        </w:tc>
        <w:tc>
          <w:tcPr>
            <w:tcW w:w="514" w:type="pct"/>
            <w:tcBorders>
              <w:top w:val="single" w:sz="4" w:space="0" w:color="auto"/>
              <w:left w:val="nil"/>
              <w:bottom w:val="single" w:sz="4" w:space="0" w:color="auto"/>
              <w:right w:val="nil"/>
            </w:tcBorders>
            <w:vAlign w:val="bottom"/>
          </w:tcPr>
          <w:p w14:paraId="13A3687F" w14:textId="77777777" w:rsidR="003907BB" w:rsidRPr="001A2F85" w:rsidRDefault="003907BB" w:rsidP="003907BB">
            <w:pPr>
              <w:pStyle w:val="Tabletext"/>
              <w:jc w:val="center"/>
            </w:pPr>
            <w:r>
              <w:rPr>
                <w:sz w:val="18"/>
                <w:szCs w:val="18"/>
              </w:rPr>
              <w:t>14%</w:t>
            </w:r>
          </w:p>
        </w:tc>
        <w:tc>
          <w:tcPr>
            <w:tcW w:w="514" w:type="pct"/>
            <w:tcBorders>
              <w:top w:val="single" w:sz="4" w:space="0" w:color="auto"/>
              <w:left w:val="nil"/>
              <w:bottom w:val="single" w:sz="4" w:space="0" w:color="auto"/>
              <w:right w:val="nil"/>
            </w:tcBorders>
            <w:vAlign w:val="bottom"/>
          </w:tcPr>
          <w:p w14:paraId="7EEC89E7" w14:textId="77777777" w:rsidR="003907BB" w:rsidRPr="001A2F85" w:rsidRDefault="003907BB" w:rsidP="003907BB">
            <w:pPr>
              <w:pStyle w:val="Tabletext"/>
              <w:jc w:val="center"/>
            </w:pPr>
            <w:r>
              <w:rPr>
                <w:sz w:val="18"/>
                <w:szCs w:val="18"/>
              </w:rPr>
              <w:t>12%</w:t>
            </w:r>
          </w:p>
        </w:tc>
        <w:tc>
          <w:tcPr>
            <w:tcW w:w="514" w:type="pct"/>
            <w:tcBorders>
              <w:top w:val="single" w:sz="4" w:space="0" w:color="auto"/>
              <w:left w:val="nil"/>
              <w:bottom w:val="single" w:sz="4" w:space="0" w:color="auto"/>
              <w:right w:val="nil"/>
            </w:tcBorders>
            <w:vAlign w:val="bottom"/>
          </w:tcPr>
          <w:p w14:paraId="537364D8" w14:textId="77777777" w:rsidR="003907BB" w:rsidRPr="001A2F85" w:rsidRDefault="003907BB" w:rsidP="003907BB">
            <w:pPr>
              <w:pStyle w:val="Tabletext"/>
              <w:jc w:val="center"/>
            </w:pPr>
            <w:r>
              <w:rPr>
                <w:sz w:val="18"/>
                <w:szCs w:val="18"/>
              </w:rPr>
              <w:t>74%</w:t>
            </w:r>
          </w:p>
        </w:tc>
        <w:tc>
          <w:tcPr>
            <w:tcW w:w="505" w:type="pct"/>
            <w:tcBorders>
              <w:top w:val="single" w:sz="4" w:space="0" w:color="auto"/>
              <w:left w:val="nil"/>
              <w:bottom w:val="single" w:sz="4" w:space="0" w:color="auto"/>
              <w:right w:val="nil"/>
            </w:tcBorders>
            <w:vAlign w:val="bottom"/>
          </w:tcPr>
          <w:p w14:paraId="0CF08B1D" w14:textId="77777777" w:rsidR="003907BB" w:rsidRPr="001A2F85" w:rsidRDefault="003907BB" w:rsidP="003907BB">
            <w:pPr>
              <w:pStyle w:val="Tabletext"/>
              <w:jc w:val="center"/>
            </w:pPr>
            <w:r>
              <w:rPr>
                <w:sz w:val="18"/>
                <w:szCs w:val="18"/>
              </w:rPr>
              <w:t>0%</w:t>
            </w:r>
          </w:p>
        </w:tc>
      </w:tr>
      <w:tr w:rsidR="003907BB" w:rsidRPr="001A2F85" w14:paraId="68DB07CE" w14:textId="77777777" w:rsidTr="00AD49C8">
        <w:tblPrEx>
          <w:tblBorders>
            <w:bottom w:val="single" w:sz="4" w:space="0" w:color="646464"/>
            <w:insideH w:val="single" w:sz="4" w:space="0" w:color="646464"/>
          </w:tblBorders>
        </w:tblPrEx>
        <w:trPr>
          <w:gridBefore w:val="1"/>
          <w:wBefore w:w="220" w:type="pct"/>
          <w:cantSplit/>
        </w:trPr>
        <w:tc>
          <w:tcPr>
            <w:tcW w:w="4780" w:type="pct"/>
            <w:gridSpan w:val="8"/>
            <w:tcBorders>
              <w:top w:val="single" w:sz="4" w:space="0" w:color="auto"/>
            </w:tcBorders>
          </w:tcPr>
          <w:p w14:paraId="6BD36BA6" w14:textId="77777777" w:rsidR="003907BB" w:rsidRDefault="003907BB" w:rsidP="003907BB">
            <w:pPr>
              <w:pStyle w:val="Note"/>
            </w:pPr>
            <w:r>
              <w:t>* figures rounded down to zero.</w:t>
            </w:r>
          </w:p>
          <w:p w14:paraId="28D5ADE7" w14:textId="77777777" w:rsidR="003907BB" w:rsidRPr="001A2F85" w:rsidRDefault="003907BB" w:rsidP="003907BB">
            <w:pPr>
              <w:pStyle w:val="Note"/>
            </w:pPr>
            <w:r w:rsidRPr="001A2F85">
              <w:t>Note: ‘</w:t>
            </w:r>
            <w:r>
              <w:t xml:space="preserve">Proportion </w:t>
            </w:r>
            <w:r w:rsidRPr="001A2F85">
              <w:t xml:space="preserve">of </w:t>
            </w:r>
            <w:r>
              <w:t xml:space="preserve">HEPPP </w:t>
            </w:r>
            <w:r w:rsidRPr="001A2F85">
              <w:t>projects’ column does not sum to 100 as projects can have multiple activities.</w:t>
            </w:r>
            <w:r>
              <w:t xml:space="preserve"> </w:t>
            </w:r>
          </w:p>
          <w:p w14:paraId="287D455F" w14:textId="77777777" w:rsidR="003907BB" w:rsidRPr="001A2F85" w:rsidRDefault="003907BB" w:rsidP="003907BB">
            <w:pPr>
              <w:pStyle w:val="Source"/>
            </w:pPr>
            <w:r w:rsidRPr="001A2F85">
              <w:t>Source: heppp annual reports</w:t>
            </w:r>
          </w:p>
        </w:tc>
      </w:tr>
      <w:tr w:rsidR="003907BB" w:rsidRPr="001A2F85" w14:paraId="53E16AFE" w14:textId="77777777" w:rsidTr="00AD49C8">
        <w:tblPrEx>
          <w:tblBorders>
            <w:bottom w:val="single" w:sz="4" w:space="0" w:color="646464"/>
            <w:insideH w:val="single" w:sz="4" w:space="0" w:color="646464"/>
          </w:tblBorders>
        </w:tblPrEx>
        <w:trPr>
          <w:gridBefore w:val="1"/>
          <w:wBefore w:w="220" w:type="pct"/>
          <w:cantSplit/>
          <w:trHeight w:hRule="exact" w:val="120"/>
        </w:trPr>
        <w:tc>
          <w:tcPr>
            <w:tcW w:w="1973" w:type="pct"/>
            <w:gridSpan w:val="2"/>
            <w:tcBorders>
              <w:bottom w:val="nil"/>
            </w:tcBorders>
          </w:tcPr>
          <w:p w14:paraId="35C74FD0" w14:textId="77777777" w:rsidR="003907BB" w:rsidRPr="001A2F85" w:rsidRDefault="003907BB" w:rsidP="003907BB">
            <w:pPr>
              <w:pStyle w:val="spacertbl"/>
            </w:pPr>
          </w:p>
        </w:tc>
        <w:tc>
          <w:tcPr>
            <w:tcW w:w="2807" w:type="pct"/>
            <w:gridSpan w:val="6"/>
            <w:tcBorders>
              <w:bottom w:val="nil"/>
            </w:tcBorders>
          </w:tcPr>
          <w:p w14:paraId="3A4DC092" w14:textId="77777777" w:rsidR="003907BB" w:rsidRPr="001A2F85" w:rsidRDefault="003907BB" w:rsidP="003907BB">
            <w:pPr>
              <w:pStyle w:val="spacertbl"/>
            </w:pPr>
          </w:p>
        </w:tc>
      </w:tr>
    </w:tbl>
    <w:p w14:paraId="09D276D5" w14:textId="77777777" w:rsidR="003907BB" w:rsidRPr="001A2F85" w:rsidRDefault="00AF5179" w:rsidP="00AD49C8">
      <w:pPr>
        <w:pStyle w:val="BodyText"/>
      </w:pPr>
      <w:bookmarkStart w:id="123" w:name="_Toc465244906"/>
      <w:r>
        <w:t xml:space="preserve">Twenty eight universities </w:t>
      </w:r>
      <w:r w:rsidR="003907BB" w:rsidRPr="00CB6487">
        <w:t>provided</w:t>
      </w:r>
      <w:r w:rsidR="003907BB" w:rsidRPr="001A2F85">
        <w:t xml:space="preserve"> the evaluation with student level HEPPP project participation data for from one to all years across 2010-2016</w:t>
      </w:r>
      <w:r w:rsidR="00F12DDD">
        <w:t xml:space="preserve"> (refer Chapter 1)</w:t>
      </w:r>
      <w:r w:rsidR="003907BB" w:rsidRPr="001A2F85">
        <w:t>. The chart below shows the share of universities providing data in each year.</w:t>
      </w:r>
    </w:p>
    <w:p w14:paraId="6A2573B6" w14:textId="77777777" w:rsidR="003907BB" w:rsidRPr="001A2F85" w:rsidRDefault="003907BB" w:rsidP="00AD49C8">
      <w:pPr>
        <w:pStyle w:val="BodyText"/>
      </w:pPr>
      <w:r w:rsidRPr="001A2F85">
        <w:t xml:space="preserve">There are considerable limitations with these data, primarily as universities were not </w:t>
      </w:r>
      <w:r w:rsidR="00BC1EC8">
        <w:t>required</w:t>
      </w:r>
      <w:r w:rsidR="00BC1EC8" w:rsidRPr="001A2F85">
        <w:t xml:space="preserve"> </w:t>
      </w:r>
      <w:r w:rsidRPr="001A2F85">
        <w:t>to collect such data at the time</w:t>
      </w:r>
      <w:r w:rsidR="00BC1EC8">
        <w:t xml:space="preserve"> and </w:t>
      </w:r>
      <w:r w:rsidRPr="001A2F85">
        <w:t>have comp</w:t>
      </w:r>
      <w:r w:rsidR="00BC1EC8">
        <w:t>il</w:t>
      </w:r>
      <w:r w:rsidRPr="001A2F85">
        <w:t>ed the data retrospectively</w:t>
      </w:r>
      <w:r w:rsidR="005929BA">
        <w:t xml:space="preserve"> where possible</w:t>
      </w:r>
      <w:r w:rsidR="00BC1EC8">
        <w:t xml:space="preserve">. As such, </w:t>
      </w:r>
      <w:r w:rsidRPr="001A2F85">
        <w:t>HEPPP participation</w:t>
      </w:r>
      <w:r w:rsidR="005929BA">
        <w:t xml:space="preserve"> is likely to be under</w:t>
      </w:r>
      <w:r w:rsidR="00685F3B">
        <w:t>-</w:t>
      </w:r>
      <w:r w:rsidR="005929BA">
        <w:t>reported</w:t>
      </w:r>
      <w:r w:rsidRPr="001A2F85">
        <w:t>, skew</w:t>
      </w:r>
      <w:r w:rsidR="00BC1EC8">
        <w:t>ed</w:t>
      </w:r>
      <w:r w:rsidRPr="001A2F85">
        <w:t xml:space="preserve"> </w:t>
      </w:r>
      <w:r>
        <w:t xml:space="preserve">towards </w:t>
      </w:r>
      <w:r w:rsidRPr="001A2F85">
        <w:t xml:space="preserve">reporting generally well recorded HEPPP activities such as scholarships </w:t>
      </w:r>
      <w:r w:rsidR="00BC1EC8">
        <w:t>rather than</w:t>
      </w:r>
      <w:r w:rsidRPr="001A2F85">
        <w:t xml:space="preserve"> activities</w:t>
      </w:r>
      <w:r>
        <w:t xml:space="preserve"> where </w:t>
      </w:r>
      <w:r w:rsidRPr="001A2F85">
        <w:t xml:space="preserve">individual student participation </w:t>
      </w:r>
      <w:r>
        <w:t xml:space="preserve">is more difficult to </w:t>
      </w:r>
      <w:r w:rsidRPr="001A2F85">
        <w:t>record</w:t>
      </w:r>
      <w:r>
        <w:t>,</w:t>
      </w:r>
      <w:r w:rsidRPr="001A2F85">
        <w:t xml:space="preserve"> such as study support services. Further</w:t>
      </w:r>
      <w:r>
        <w:t>, the university/year combinations in the university-provided data are</w:t>
      </w:r>
      <w:r w:rsidRPr="001A2F85">
        <w:t xml:space="preserve"> not representative of </w:t>
      </w:r>
      <w:r>
        <w:t>all universit</w:t>
      </w:r>
      <w:r w:rsidR="0009169D">
        <w:t>y/year combinations across 2010</w:t>
      </w:r>
      <w:r w:rsidR="0009169D">
        <w:noBreakHyphen/>
      </w:r>
      <w:r>
        <w:t>2015</w:t>
      </w:r>
      <w:r w:rsidR="005929BA">
        <w:t xml:space="preserve"> (</w:t>
      </w:r>
      <w:r w:rsidR="008C090E" w:rsidRPr="00AD49C8">
        <w:t>Figure 3.</w:t>
      </w:r>
      <w:r w:rsidR="00D463FC">
        <w:t>4</w:t>
      </w:r>
      <w:r w:rsidR="005929BA">
        <w:t>)</w:t>
      </w:r>
      <w:r>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3B47CD2A" w14:textId="77777777" w:rsidTr="003907BB">
        <w:trPr>
          <w:cantSplit/>
          <w:trHeight w:hRule="exact" w:val="160"/>
        </w:trPr>
        <w:tc>
          <w:tcPr>
            <w:tcW w:w="8168" w:type="dxa"/>
            <w:tcBorders>
              <w:bottom w:val="single" w:sz="4" w:space="0" w:color="auto"/>
            </w:tcBorders>
          </w:tcPr>
          <w:p w14:paraId="39D4FF02" w14:textId="77777777" w:rsidR="003907BB" w:rsidRPr="001A2F85" w:rsidRDefault="003907BB" w:rsidP="003907BB">
            <w:pPr>
              <w:pStyle w:val="spacer"/>
            </w:pPr>
          </w:p>
        </w:tc>
      </w:tr>
      <w:tr w:rsidR="003907BB" w:rsidRPr="001A2F85" w14:paraId="4664B779" w14:textId="77777777" w:rsidTr="003907BB">
        <w:trPr>
          <w:cantSplit/>
        </w:trPr>
        <w:tc>
          <w:tcPr>
            <w:tcW w:w="8168" w:type="dxa"/>
            <w:tcBorders>
              <w:top w:val="single" w:sz="4" w:space="0" w:color="auto"/>
            </w:tcBorders>
            <w:tcMar>
              <w:left w:w="0" w:type="dxa"/>
            </w:tcMar>
          </w:tcPr>
          <w:p w14:paraId="4C968B24" w14:textId="77777777" w:rsidR="003907BB" w:rsidRPr="001A2F85" w:rsidRDefault="003907BB" w:rsidP="003907BB">
            <w:pPr>
              <w:pStyle w:val="Caption"/>
            </w:pPr>
            <w:bookmarkStart w:id="124" w:name="_Ref466157673"/>
            <w:bookmarkStart w:id="125" w:name="_Toc466655658"/>
            <w:r w:rsidRPr="001A2F85">
              <w:rPr>
                <w:rStyle w:val="CaptionLabel"/>
              </w:rPr>
              <w:t>Figure </w:t>
            </w:r>
            <w:r w:rsidR="008C090E">
              <w:rPr>
                <w:rStyle w:val="CaptionLabel"/>
                <w:noProof/>
              </w:rPr>
              <w:t>3</w:t>
            </w:r>
            <w:r w:rsidRPr="001A2F85">
              <w:rPr>
                <w:rStyle w:val="CaptionLabel"/>
              </w:rPr>
              <w:t>.</w:t>
            </w:r>
            <w:r w:rsidR="00D463FC">
              <w:rPr>
                <w:rStyle w:val="CaptionLabel"/>
                <w:noProof/>
              </w:rPr>
              <w:t>4</w:t>
            </w:r>
            <w:bookmarkEnd w:id="124"/>
            <w:r w:rsidRPr="001A2F85">
              <w:tab/>
              <w:t>share of UNIVERSITIES providing student level HEPPP project participation data</w:t>
            </w:r>
            <w:bookmarkEnd w:id="125"/>
            <w:r w:rsidRPr="001A2F85">
              <w:t xml:space="preserve"> </w:t>
            </w:r>
          </w:p>
        </w:tc>
      </w:tr>
      <w:tr w:rsidR="003907BB" w:rsidRPr="001A2F85" w14:paraId="38D196CA" w14:textId="77777777" w:rsidTr="003907BB">
        <w:trPr>
          <w:cantSplit/>
          <w:trHeight w:hRule="exact" w:val="380"/>
        </w:trPr>
        <w:tc>
          <w:tcPr>
            <w:tcW w:w="8168" w:type="dxa"/>
            <w:tcBorders>
              <w:bottom w:val="single" w:sz="4" w:space="0" w:color="auto"/>
            </w:tcBorders>
          </w:tcPr>
          <w:p w14:paraId="20DF7D2B"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18816" behindDoc="0" locked="1" layoutInCell="1" allowOverlap="1" wp14:anchorId="78F62CD1" wp14:editId="3055146B">
                      <wp:simplePos x="0" y="0"/>
                      <wp:positionH relativeFrom="rightMargin">
                        <wp:posOffset>-772795</wp:posOffset>
                      </wp:positionH>
                      <wp:positionV relativeFrom="page">
                        <wp:posOffset>0</wp:posOffset>
                      </wp:positionV>
                      <wp:extent cx="436880" cy="213360"/>
                      <wp:effectExtent l="0" t="0" r="1270" b="0"/>
                      <wp:wrapNone/>
                      <wp:docPr id="31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17204E" id="Freeform 5" o:spid="_x0000_s1026" style="position:absolute;margin-left:-60.85pt;margin-top:0;width:34.4pt;height:16.8pt;z-index:251618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FS5/N5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21D48ED2"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5B9297C0" w14:textId="77777777" w:rsidR="003907BB" w:rsidRPr="001A2F85" w:rsidRDefault="007F5EE9" w:rsidP="003907BB">
            <w:pPr>
              <w:pStyle w:val="Figure"/>
            </w:pPr>
            <w:r>
              <w:rPr>
                <w:noProof/>
                <w:lang w:eastAsia="en-AU"/>
              </w:rPr>
              <w:drawing>
                <wp:inline distT="0" distB="0" distL="0" distR="0" wp14:anchorId="17B7D55C" wp14:editId="4AFD2224">
                  <wp:extent cx="5172075" cy="2200275"/>
                  <wp:effectExtent l="0" t="0" r="0" b="0"/>
                  <wp:docPr id="13"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72075" cy="2200275"/>
                          </a:xfrm>
                          <a:prstGeom prst="rect">
                            <a:avLst/>
                          </a:prstGeom>
                          <a:noFill/>
                          <a:ln>
                            <a:noFill/>
                          </a:ln>
                        </pic:spPr>
                      </pic:pic>
                    </a:graphicData>
                  </a:graphic>
                </wp:inline>
              </w:drawing>
            </w:r>
          </w:p>
        </w:tc>
      </w:tr>
      <w:tr w:rsidR="003907BB" w:rsidRPr="00AA4DEE" w14:paraId="180B2F60"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7277E19B" w14:textId="77777777" w:rsidR="003907BB" w:rsidRPr="00AA4DEE" w:rsidRDefault="003907BB" w:rsidP="003907BB">
            <w:pPr>
              <w:pStyle w:val="Note"/>
            </w:pPr>
            <w:r w:rsidRPr="00AA4DEE">
              <w:t xml:space="preserve">Note: </w:t>
            </w:r>
            <w:r>
              <w:t xml:space="preserve">Share of university providing data </w:t>
            </w:r>
            <w:r w:rsidR="00655909">
              <w:t>are</w:t>
            </w:r>
            <w:r>
              <w:t xml:space="preserve"> calculated by dividing the number of universities that have provided data by 38, for each year; 38 being the number of universities funded under the HEPPP. </w:t>
            </w:r>
          </w:p>
          <w:p w14:paraId="7C16F6E8" w14:textId="77777777" w:rsidR="003907BB" w:rsidRPr="00AA4DEE" w:rsidRDefault="003907BB" w:rsidP="003907BB">
            <w:pPr>
              <w:pStyle w:val="Source"/>
            </w:pPr>
            <w:r w:rsidRPr="00AA4DEE">
              <w:t xml:space="preserve">Source: </w:t>
            </w:r>
            <w:r w:rsidRPr="001A2F85">
              <w:t>student level HEPPP data</w:t>
            </w:r>
            <w:r>
              <w:t xml:space="preserve"> provided by universities</w:t>
            </w:r>
          </w:p>
        </w:tc>
      </w:tr>
      <w:tr w:rsidR="003907BB" w:rsidRPr="001A2F85" w14:paraId="2CDE314D" w14:textId="77777777" w:rsidTr="003907BB">
        <w:trPr>
          <w:trHeight w:hRule="exact" w:val="160"/>
        </w:trPr>
        <w:tc>
          <w:tcPr>
            <w:tcW w:w="8168" w:type="dxa"/>
            <w:tcBorders>
              <w:top w:val="single" w:sz="4" w:space="0" w:color="auto"/>
            </w:tcBorders>
          </w:tcPr>
          <w:p w14:paraId="00252A8E" w14:textId="77777777" w:rsidR="003907BB" w:rsidRPr="001A2F85" w:rsidRDefault="003907BB" w:rsidP="003907BB">
            <w:pPr>
              <w:pStyle w:val="spacertbl"/>
            </w:pPr>
          </w:p>
        </w:tc>
      </w:tr>
    </w:tbl>
    <w:p w14:paraId="631614CA" w14:textId="77777777" w:rsidR="00A0360A" w:rsidRDefault="003907BB" w:rsidP="00F03E58">
      <w:pPr>
        <w:pStyle w:val="BodyText"/>
      </w:pPr>
      <w:r w:rsidRPr="001A2F85">
        <w:t xml:space="preserve">Based on data provided by 28 universities, </w:t>
      </w:r>
      <w:r w:rsidRPr="00CE40A0">
        <w:t xml:space="preserve">around </w:t>
      </w:r>
      <w:r w:rsidRPr="00AD49C8">
        <w:t>310,000</w:t>
      </w:r>
      <w:r w:rsidRPr="00CE40A0">
        <w:t xml:space="preserve"> </w:t>
      </w:r>
      <w:r w:rsidR="00F641AC">
        <w:t xml:space="preserve">university </w:t>
      </w:r>
      <w:r w:rsidRPr="00CE40A0">
        <w:t>students</w:t>
      </w:r>
      <w:r w:rsidRPr="001A2F85">
        <w:t xml:space="preserve"> have participated in HEPPP projects. This figure should be seen as a </w:t>
      </w:r>
      <w:r>
        <w:t xml:space="preserve">lower bound </w:t>
      </w:r>
      <w:r w:rsidRPr="001A2F85">
        <w:t>of total HEPPP reach</w:t>
      </w:r>
      <w:r>
        <w:t xml:space="preserve">—as noted above, </w:t>
      </w:r>
      <w:r w:rsidRPr="001A2F85">
        <w:t>data provided does not cover all universities or all years of the HEPPP</w:t>
      </w:r>
      <w:r w:rsidR="00AF5179">
        <w:t xml:space="preserve">, nor </w:t>
      </w:r>
      <w:r w:rsidR="00A0360A">
        <w:t xml:space="preserve">does </w:t>
      </w:r>
      <w:r w:rsidR="00EE2311">
        <w:t xml:space="preserve">it </w:t>
      </w:r>
      <w:r w:rsidR="00A0360A">
        <w:t xml:space="preserve">include the school students engaged through Partnership activities. </w:t>
      </w:r>
    </w:p>
    <w:p w14:paraId="61286BFD" w14:textId="77777777" w:rsidR="003907BB" w:rsidRDefault="00CF630C" w:rsidP="00F03E58">
      <w:pPr>
        <w:pStyle w:val="BodyText"/>
      </w:pPr>
      <w:r>
        <w:t>T</w:t>
      </w:r>
      <w:r w:rsidR="003907BB" w:rsidRPr="001A2F85">
        <w:t xml:space="preserve">he most common form of </w:t>
      </w:r>
      <w:r w:rsidR="003907BB">
        <w:t xml:space="preserve">student </w:t>
      </w:r>
      <w:r w:rsidR="003907BB" w:rsidRPr="001A2F85">
        <w:t>participation in the HEPPP is in a mentoring project</w:t>
      </w:r>
      <w:r w:rsidR="003907BB">
        <w:t xml:space="preserve"> (37 per cent of students in the university-provided data have been a mentee). Participation in first year transition projects (32 per cent) and projects that monitor student p</w:t>
      </w:r>
      <w:r w:rsidR="00F641AC">
        <w:t>rogre</w:t>
      </w:r>
      <w:r w:rsidR="003907BB">
        <w:t>ss (27 per cent) are also common (</w:t>
      </w:r>
      <w:r w:rsidR="008C090E" w:rsidRPr="00AD49C8">
        <w:t>Figure 3.</w:t>
      </w:r>
      <w:r w:rsidR="00D463FC">
        <w:t>5</w:t>
      </w:r>
      <w:r w:rsidR="003907BB">
        <w:t>). These figures broadly accord with the data based on the university HEPPP annual reports presented above that show that mentoring, transition and monitoring projects are the most common types of HEPPP projects delivered on campus.</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4"/>
      </w:tblGrid>
      <w:tr w:rsidR="003907BB" w:rsidRPr="00AA4DEE" w14:paraId="7A80EED5" w14:textId="77777777" w:rsidTr="003907BB">
        <w:trPr>
          <w:cantSplit/>
          <w:trHeight w:hRule="exact" w:val="160"/>
        </w:trPr>
        <w:tc>
          <w:tcPr>
            <w:tcW w:w="10994" w:type="dxa"/>
            <w:tcBorders>
              <w:bottom w:val="single" w:sz="4" w:space="0" w:color="auto"/>
            </w:tcBorders>
          </w:tcPr>
          <w:p w14:paraId="66C3A43F" w14:textId="77777777" w:rsidR="003907BB" w:rsidRPr="00AA4DEE" w:rsidRDefault="003907BB" w:rsidP="003907BB">
            <w:pPr>
              <w:pStyle w:val="spacer"/>
            </w:pPr>
          </w:p>
        </w:tc>
      </w:tr>
      <w:tr w:rsidR="003907BB" w:rsidRPr="00897E60" w14:paraId="155BAD7C" w14:textId="77777777" w:rsidTr="003907BB">
        <w:trPr>
          <w:cantSplit/>
        </w:trPr>
        <w:tc>
          <w:tcPr>
            <w:tcW w:w="10994" w:type="dxa"/>
            <w:tcBorders>
              <w:top w:val="single" w:sz="4" w:space="0" w:color="auto"/>
            </w:tcBorders>
            <w:tcMar>
              <w:left w:w="0" w:type="dxa"/>
            </w:tcMar>
          </w:tcPr>
          <w:p w14:paraId="3F575B70" w14:textId="77777777" w:rsidR="003907BB" w:rsidRPr="00897E60" w:rsidRDefault="003907BB" w:rsidP="003907BB">
            <w:pPr>
              <w:pStyle w:val="Caption"/>
            </w:pPr>
            <w:bookmarkStart w:id="126" w:name="_Ref465936227"/>
            <w:bookmarkStart w:id="127" w:name="_Toc466655659"/>
            <w:r w:rsidRPr="00897E60">
              <w:rPr>
                <w:rStyle w:val="CaptionLabel"/>
              </w:rPr>
              <w:t>Figure</w:t>
            </w:r>
            <w:r>
              <w:rPr>
                <w:rStyle w:val="CaptionLabel"/>
              </w:rPr>
              <w:t> </w:t>
            </w:r>
            <w:r w:rsidR="008C090E">
              <w:rPr>
                <w:rStyle w:val="CaptionLabel"/>
                <w:noProof/>
              </w:rPr>
              <w:t>3</w:t>
            </w:r>
            <w:r w:rsidRPr="00897E60">
              <w:rPr>
                <w:rStyle w:val="CaptionLabel"/>
              </w:rPr>
              <w:t>.</w:t>
            </w:r>
            <w:r w:rsidR="00D463FC">
              <w:rPr>
                <w:rStyle w:val="CaptionLabel"/>
                <w:noProof/>
              </w:rPr>
              <w:t>5</w:t>
            </w:r>
            <w:bookmarkEnd w:id="126"/>
            <w:r>
              <w:tab/>
              <w:t>student HEPPP participation by project type, 2010-2015</w:t>
            </w:r>
            <w:bookmarkEnd w:id="127"/>
          </w:p>
        </w:tc>
      </w:tr>
      <w:tr w:rsidR="003907BB" w:rsidRPr="00AA4DEE" w14:paraId="20C244C7" w14:textId="77777777" w:rsidTr="003907BB">
        <w:trPr>
          <w:cantSplit/>
          <w:trHeight w:hRule="exact" w:val="380"/>
        </w:trPr>
        <w:tc>
          <w:tcPr>
            <w:tcW w:w="10994" w:type="dxa"/>
            <w:tcBorders>
              <w:bottom w:val="single" w:sz="4" w:space="0" w:color="auto"/>
            </w:tcBorders>
          </w:tcPr>
          <w:p w14:paraId="791B20B2" w14:textId="77777777" w:rsidR="003907BB" w:rsidRPr="00AA4DEE" w:rsidRDefault="00A45AB3" w:rsidP="003907BB">
            <w:pPr>
              <w:pStyle w:val="spacer"/>
            </w:pPr>
            <w:r>
              <w:rPr>
                <w:noProof/>
                <w:lang w:eastAsia="en-AU"/>
              </w:rPr>
              <mc:AlternateContent>
                <mc:Choice Requires="wps">
                  <w:drawing>
                    <wp:anchor distT="0" distB="0" distL="114300" distR="114300" simplePos="0" relativeHeight="251620864" behindDoc="0" locked="1" layoutInCell="1" allowOverlap="1" wp14:anchorId="2623A2D7" wp14:editId="6C138DAD">
                      <wp:simplePos x="0" y="0"/>
                      <wp:positionH relativeFrom="rightMargin">
                        <wp:posOffset>-772795</wp:posOffset>
                      </wp:positionH>
                      <wp:positionV relativeFrom="page">
                        <wp:posOffset>0</wp:posOffset>
                      </wp:positionV>
                      <wp:extent cx="436880" cy="213360"/>
                      <wp:effectExtent l="0" t="0" r="1270" b="0"/>
                      <wp:wrapNone/>
                      <wp:docPr id="14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F90190" id="Freeform 5" o:spid="_x0000_s1026" style="position:absolute;margin-left:-60.85pt;margin-top:0;width:34.4pt;height:16.8pt;z-index:251620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r/++kH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AA4DEE" w14:paraId="2B1300DC" w14:textId="77777777" w:rsidTr="003907BB">
        <w:trPr>
          <w:cantSplit/>
        </w:trPr>
        <w:tc>
          <w:tcPr>
            <w:tcW w:w="10994" w:type="dxa"/>
            <w:tcBorders>
              <w:top w:val="single" w:sz="4" w:space="0" w:color="auto"/>
              <w:bottom w:val="single" w:sz="4" w:space="0" w:color="auto"/>
            </w:tcBorders>
            <w:tcMar>
              <w:top w:w="10" w:type="dxa"/>
              <w:bottom w:w="10" w:type="dxa"/>
              <w:right w:w="0" w:type="dxa"/>
            </w:tcMar>
          </w:tcPr>
          <w:p w14:paraId="57D5405C" w14:textId="77777777" w:rsidR="003907BB" w:rsidRPr="00AA4DEE" w:rsidRDefault="007F5EE9" w:rsidP="003907BB">
            <w:pPr>
              <w:pStyle w:val="Figure"/>
            </w:pPr>
            <w:r>
              <w:rPr>
                <w:noProof/>
                <w:lang w:eastAsia="en-AU"/>
              </w:rPr>
              <w:drawing>
                <wp:inline distT="0" distB="0" distL="0" distR="0" wp14:anchorId="4518A039" wp14:editId="452F1471">
                  <wp:extent cx="6705600" cy="2886075"/>
                  <wp:effectExtent l="0" t="0" r="0" b="0"/>
                  <wp:docPr id="14"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05600" cy="2886075"/>
                          </a:xfrm>
                          <a:prstGeom prst="rect">
                            <a:avLst/>
                          </a:prstGeom>
                          <a:noFill/>
                          <a:ln>
                            <a:noFill/>
                          </a:ln>
                        </pic:spPr>
                      </pic:pic>
                    </a:graphicData>
                  </a:graphic>
                </wp:inline>
              </w:drawing>
            </w:r>
          </w:p>
        </w:tc>
      </w:tr>
      <w:tr w:rsidR="003907BB" w:rsidRPr="00AA4DEE" w14:paraId="7A10C400" w14:textId="77777777" w:rsidTr="003907BB">
        <w:trPr>
          <w:cantSplit/>
        </w:trPr>
        <w:tc>
          <w:tcPr>
            <w:tcW w:w="10994" w:type="dxa"/>
            <w:tcBorders>
              <w:top w:val="single" w:sz="4" w:space="0" w:color="auto"/>
              <w:bottom w:val="single" w:sz="4" w:space="0" w:color="auto"/>
            </w:tcBorders>
            <w:tcMar>
              <w:top w:w="12" w:type="dxa"/>
              <w:left w:w="0" w:type="dxa"/>
              <w:bottom w:w="113" w:type="dxa"/>
            </w:tcMar>
          </w:tcPr>
          <w:p w14:paraId="1314BFEE" w14:textId="77777777" w:rsidR="003907BB" w:rsidRPr="00AA4DEE" w:rsidRDefault="003907BB" w:rsidP="003907BB">
            <w:pPr>
              <w:pStyle w:val="Note"/>
            </w:pPr>
            <w:r w:rsidRPr="00AA4DEE">
              <w:t xml:space="preserve">Note: </w:t>
            </w:r>
            <w:r>
              <w:t xml:space="preserve">n=447,543. Percentages sum to more than 100 as a student can participate in more than one type of project. </w:t>
            </w:r>
          </w:p>
          <w:p w14:paraId="1E13D64B" w14:textId="77777777" w:rsidR="003907BB" w:rsidRPr="00AA4DEE" w:rsidRDefault="003907BB" w:rsidP="003907BB">
            <w:pPr>
              <w:pStyle w:val="Source"/>
            </w:pPr>
            <w:r w:rsidRPr="00AA4DEE">
              <w:t xml:space="preserve">Source: </w:t>
            </w:r>
            <w:r w:rsidRPr="001A2F85">
              <w:t>student level HEPPP data</w:t>
            </w:r>
            <w:r>
              <w:t xml:space="preserve"> provided by universities (n=28)</w:t>
            </w:r>
          </w:p>
        </w:tc>
      </w:tr>
      <w:tr w:rsidR="003907BB" w14:paraId="4D10CA3A" w14:textId="77777777" w:rsidTr="003907BB">
        <w:trPr>
          <w:trHeight w:hRule="exact" w:val="160"/>
        </w:trPr>
        <w:tc>
          <w:tcPr>
            <w:tcW w:w="10994" w:type="dxa"/>
            <w:tcBorders>
              <w:top w:val="single" w:sz="4" w:space="0" w:color="auto"/>
            </w:tcBorders>
          </w:tcPr>
          <w:p w14:paraId="703C1C26" w14:textId="77777777" w:rsidR="003907BB" w:rsidRDefault="003907BB" w:rsidP="003907BB">
            <w:pPr>
              <w:pStyle w:val="spacertbl"/>
            </w:pPr>
          </w:p>
        </w:tc>
      </w:tr>
    </w:tbl>
    <w:p w14:paraId="182AE69E" w14:textId="77777777" w:rsidR="003907BB" w:rsidRDefault="003907BB" w:rsidP="003907BB">
      <w:pPr>
        <w:pStyle w:val="BodyText"/>
      </w:pPr>
      <w:r>
        <w:t xml:space="preserve">The university-provided data offers an indication of the </w:t>
      </w:r>
      <w:r w:rsidR="00CF630C">
        <w:t>range</w:t>
      </w:r>
      <w:r>
        <w:t xml:space="preserve"> of students’ involvement with HEPPP projects. </w:t>
      </w:r>
      <w:r w:rsidR="00CF630C">
        <w:t>For example, m</w:t>
      </w:r>
      <w:r>
        <w:t xml:space="preserve">ore than 30 per cent of </w:t>
      </w:r>
      <w:r w:rsidR="001A0430">
        <w:t xml:space="preserve">students </w:t>
      </w:r>
      <w:r>
        <w:t>have participated in more than one HEPPP project, with 3 per cent involved in four or more (</w:t>
      </w:r>
      <w:r w:rsidR="008C090E" w:rsidRPr="00AD49C8">
        <w:t>Figure 3.</w:t>
      </w:r>
      <w:r w:rsidR="00D463FC">
        <w:t>6</w:t>
      </w:r>
      <w:r>
        <w:t xml:space="preserve">). </w:t>
      </w:r>
      <w:r w:rsidR="00CF630C">
        <w:t xml:space="preserve">It does not however reflect the intensity of involvement, for example in the number or length of the HEPPP activities. </w:t>
      </w:r>
      <w:r>
        <w:t xml:space="preserve">Considering that some HEPPP projects are </w:t>
      </w:r>
      <w:r w:rsidR="00CF630C">
        <w:t xml:space="preserve">of </w:t>
      </w:r>
      <w:r>
        <w:t xml:space="preserve">relatively </w:t>
      </w:r>
      <w:r w:rsidR="00CF630C">
        <w:t>low intensity or contact</w:t>
      </w:r>
      <w:r>
        <w:t xml:space="preserve">, for example first year transition and orientation programs, students’ involvement with multiple HEPPP projects is to be expected.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AA4DEE" w14:paraId="202CD600" w14:textId="77777777" w:rsidTr="003907BB">
        <w:trPr>
          <w:cantSplit/>
          <w:trHeight w:hRule="exact" w:val="160"/>
        </w:trPr>
        <w:tc>
          <w:tcPr>
            <w:tcW w:w="8168" w:type="dxa"/>
            <w:tcBorders>
              <w:bottom w:val="single" w:sz="4" w:space="0" w:color="auto"/>
            </w:tcBorders>
          </w:tcPr>
          <w:p w14:paraId="40DE032E" w14:textId="77777777" w:rsidR="003907BB" w:rsidRPr="00AA4DEE" w:rsidRDefault="003907BB" w:rsidP="003907BB">
            <w:pPr>
              <w:pStyle w:val="spacer"/>
            </w:pPr>
          </w:p>
        </w:tc>
      </w:tr>
      <w:tr w:rsidR="003907BB" w:rsidRPr="00897E60" w14:paraId="5D8ACCEC" w14:textId="77777777" w:rsidTr="003907BB">
        <w:trPr>
          <w:cantSplit/>
        </w:trPr>
        <w:tc>
          <w:tcPr>
            <w:tcW w:w="8168" w:type="dxa"/>
            <w:tcBorders>
              <w:top w:val="single" w:sz="4" w:space="0" w:color="auto"/>
            </w:tcBorders>
            <w:tcMar>
              <w:left w:w="0" w:type="dxa"/>
            </w:tcMar>
          </w:tcPr>
          <w:p w14:paraId="731A931E" w14:textId="77777777" w:rsidR="003907BB" w:rsidRPr="00897E60" w:rsidRDefault="003907BB" w:rsidP="003907BB">
            <w:pPr>
              <w:pStyle w:val="Caption"/>
            </w:pPr>
            <w:bookmarkStart w:id="128" w:name="_Toc466655660"/>
            <w:r w:rsidRPr="00897E60">
              <w:rPr>
                <w:rStyle w:val="CaptionLabel"/>
              </w:rPr>
              <w:t>Figure</w:t>
            </w:r>
            <w:r>
              <w:rPr>
                <w:rStyle w:val="CaptionLabel"/>
              </w:rPr>
              <w:t> </w:t>
            </w:r>
            <w:r w:rsidR="008C090E">
              <w:rPr>
                <w:rStyle w:val="CaptionLabel"/>
                <w:noProof/>
              </w:rPr>
              <w:t>3</w:t>
            </w:r>
            <w:r w:rsidRPr="00897E60">
              <w:rPr>
                <w:rStyle w:val="CaptionLabel"/>
              </w:rPr>
              <w:t>.</w:t>
            </w:r>
            <w:r w:rsidR="00D463FC">
              <w:rPr>
                <w:rStyle w:val="CaptionLabel"/>
                <w:noProof/>
              </w:rPr>
              <w:t>6</w:t>
            </w:r>
            <w:r>
              <w:tab/>
              <w:t>number of HEPPP projects in which STUDENTS are involved, 2010-2015</w:t>
            </w:r>
            <w:bookmarkEnd w:id="128"/>
          </w:p>
        </w:tc>
      </w:tr>
      <w:tr w:rsidR="003907BB" w:rsidRPr="00AA4DEE" w14:paraId="46C24DE5" w14:textId="77777777" w:rsidTr="003907BB">
        <w:trPr>
          <w:cantSplit/>
          <w:trHeight w:hRule="exact" w:val="380"/>
        </w:trPr>
        <w:tc>
          <w:tcPr>
            <w:tcW w:w="8168" w:type="dxa"/>
            <w:tcBorders>
              <w:bottom w:val="single" w:sz="4" w:space="0" w:color="auto"/>
            </w:tcBorders>
          </w:tcPr>
          <w:p w14:paraId="30E470A6" w14:textId="77777777" w:rsidR="003907BB" w:rsidRPr="00AA4DEE" w:rsidRDefault="00A45AB3" w:rsidP="003907BB">
            <w:pPr>
              <w:pStyle w:val="spacer"/>
            </w:pPr>
            <w:r>
              <w:rPr>
                <w:noProof/>
                <w:lang w:eastAsia="en-AU"/>
              </w:rPr>
              <mc:AlternateContent>
                <mc:Choice Requires="wps">
                  <w:drawing>
                    <wp:anchor distT="0" distB="0" distL="114300" distR="114300" simplePos="0" relativeHeight="251622912" behindDoc="0" locked="1" layoutInCell="1" allowOverlap="1" wp14:anchorId="6FEC613B" wp14:editId="3A3010C9">
                      <wp:simplePos x="0" y="0"/>
                      <wp:positionH relativeFrom="rightMargin">
                        <wp:posOffset>-772795</wp:posOffset>
                      </wp:positionH>
                      <wp:positionV relativeFrom="page">
                        <wp:posOffset>0</wp:posOffset>
                      </wp:positionV>
                      <wp:extent cx="436880" cy="213360"/>
                      <wp:effectExtent l="0" t="0" r="1270" b="0"/>
                      <wp:wrapNone/>
                      <wp:docPr id="39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2A97DA" id="Freeform 5" o:spid="_x0000_s1026" style="position:absolute;margin-left:-60.85pt;margin-top:0;width:34.4pt;height:16.8pt;z-index:251622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mZ6B3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AA4DEE" w14:paraId="71C04424"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27332FDF" w14:textId="77777777" w:rsidR="003907BB" w:rsidRPr="00AA4DEE" w:rsidRDefault="007F5EE9" w:rsidP="003907BB">
            <w:pPr>
              <w:pStyle w:val="Figure"/>
            </w:pPr>
            <w:r>
              <w:rPr>
                <w:noProof/>
                <w:lang w:eastAsia="en-AU"/>
              </w:rPr>
              <w:drawing>
                <wp:inline distT="0" distB="0" distL="0" distR="0" wp14:anchorId="7328037A" wp14:editId="6100D1C6">
                  <wp:extent cx="5191125" cy="2190750"/>
                  <wp:effectExtent l="0" t="0" r="0" b="0"/>
                  <wp:docPr id="15"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91125" cy="2190750"/>
                          </a:xfrm>
                          <a:prstGeom prst="rect">
                            <a:avLst/>
                          </a:prstGeom>
                          <a:noFill/>
                          <a:ln>
                            <a:noFill/>
                          </a:ln>
                        </pic:spPr>
                      </pic:pic>
                    </a:graphicData>
                  </a:graphic>
                </wp:inline>
              </w:drawing>
            </w:r>
          </w:p>
        </w:tc>
      </w:tr>
      <w:tr w:rsidR="003907BB" w:rsidRPr="00AA4DEE" w14:paraId="10DBBD7B"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780319E0" w14:textId="77777777" w:rsidR="003907BB" w:rsidRPr="00AA4DEE" w:rsidRDefault="003907BB" w:rsidP="003907BB">
            <w:pPr>
              <w:pStyle w:val="Note"/>
            </w:pPr>
            <w:r w:rsidRPr="00AA4DEE">
              <w:t xml:space="preserve">Note: </w:t>
            </w:r>
            <w:r>
              <w:t>n=309,851</w:t>
            </w:r>
          </w:p>
          <w:p w14:paraId="2A04AFDF" w14:textId="77777777" w:rsidR="003907BB" w:rsidRPr="00AA4DEE" w:rsidRDefault="003907BB" w:rsidP="003907BB">
            <w:pPr>
              <w:pStyle w:val="Source"/>
            </w:pPr>
            <w:r w:rsidRPr="00AA4DEE">
              <w:t xml:space="preserve">Source: </w:t>
            </w:r>
            <w:r w:rsidRPr="001A2F85">
              <w:t>student level HEPPP data</w:t>
            </w:r>
            <w:r>
              <w:t xml:space="preserve"> provided by universities (n=28)</w:t>
            </w:r>
          </w:p>
        </w:tc>
      </w:tr>
      <w:tr w:rsidR="003907BB" w14:paraId="0DA15F87" w14:textId="77777777" w:rsidTr="003907BB">
        <w:trPr>
          <w:trHeight w:hRule="exact" w:val="160"/>
        </w:trPr>
        <w:tc>
          <w:tcPr>
            <w:tcW w:w="8168" w:type="dxa"/>
            <w:tcBorders>
              <w:top w:val="single" w:sz="4" w:space="0" w:color="auto"/>
            </w:tcBorders>
          </w:tcPr>
          <w:p w14:paraId="5900C563" w14:textId="77777777" w:rsidR="003907BB" w:rsidRDefault="003907BB" w:rsidP="00AD49C8">
            <w:pPr>
              <w:pStyle w:val="spacertbl"/>
              <w:ind w:firstLine="720"/>
            </w:pPr>
          </w:p>
        </w:tc>
      </w:tr>
    </w:tbl>
    <w:p w14:paraId="02DA7B7D" w14:textId="77777777" w:rsidR="003907BB" w:rsidRDefault="003907BB" w:rsidP="003907BB">
      <w:pPr>
        <w:pStyle w:val="BodyText"/>
      </w:pPr>
      <w:r>
        <w:t xml:space="preserve">The </w:t>
      </w:r>
      <w:r w:rsidR="00CF630C">
        <w:t xml:space="preserve">university-provided data shows that the </w:t>
      </w:r>
      <w:r>
        <w:t xml:space="preserve">types of HEPPP projects students are participating in </w:t>
      </w:r>
      <w:r w:rsidR="001A0430">
        <w:t xml:space="preserve">have </w:t>
      </w:r>
      <w:r>
        <w:t xml:space="preserve">changed over time. In 2010, half of the students in the dataset were involved </w:t>
      </w:r>
      <w:r w:rsidR="00CF630C">
        <w:t>in a mentoring program</w:t>
      </w:r>
      <w:r>
        <w:t xml:space="preserve">, with this </w:t>
      </w:r>
      <w:r w:rsidRPr="000F0465">
        <w:t>falling to 31 per cent</w:t>
      </w:r>
      <w:r w:rsidRPr="00E17259">
        <w:t xml:space="preserve"> in</w:t>
      </w:r>
      <w:r>
        <w:t xml:space="preserve"> 2015</w:t>
      </w:r>
      <w:r w:rsidR="00F12DDD">
        <w:t xml:space="preserve"> (</w:t>
      </w:r>
      <w:r w:rsidR="008C090E" w:rsidRPr="00AD49C8">
        <w:t>Figure 3</w:t>
      </w:r>
      <w:r w:rsidR="00D463FC">
        <w:t>.7</w:t>
      </w:r>
      <w:r w:rsidR="00F12DDD">
        <w:t>)</w:t>
      </w:r>
      <w:r>
        <w:t xml:space="preserve">. Conversely, other HEPPP programs, including careers advice and orientation programs, have increased in prominence over this time period. These changes may reflect universities changing priorities as the HEPPP </w:t>
      </w:r>
      <w:r w:rsidR="00ED39A3">
        <w:t>h</w:t>
      </w:r>
      <w:r>
        <w:t xml:space="preserve">as matured, although the incompleteness of the dataset may also be </w:t>
      </w:r>
      <w:r w:rsidR="00CF630C">
        <w:t>a factor in</w:t>
      </w:r>
      <w:r>
        <w:t xml:space="preserve"> these results.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AA4DEE" w14:paraId="6EF6E2C2" w14:textId="77777777" w:rsidTr="003907BB">
        <w:trPr>
          <w:cantSplit/>
          <w:trHeight w:hRule="exact" w:val="160"/>
        </w:trPr>
        <w:tc>
          <w:tcPr>
            <w:tcW w:w="8168" w:type="dxa"/>
            <w:tcBorders>
              <w:bottom w:val="single" w:sz="4" w:space="0" w:color="auto"/>
            </w:tcBorders>
          </w:tcPr>
          <w:p w14:paraId="12C01BCA" w14:textId="77777777" w:rsidR="003907BB" w:rsidRPr="00AA4DEE" w:rsidRDefault="003907BB" w:rsidP="003907BB">
            <w:pPr>
              <w:pStyle w:val="spacer"/>
            </w:pPr>
          </w:p>
        </w:tc>
      </w:tr>
      <w:tr w:rsidR="003907BB" w:rsidRPr="00897E60" w14:paraId="3879DBA7" w14:textId="77777777" w:rsidTr="003907BB">
        <w:trPr>
          <w:cantSplit/>
        </w:trPr>
        <w:tc>
          <w:tcPr>
            <w:tcW w:w="8168" w:type="dxa"/>
            <w:tcBorders>
              <w:top w:val="single" w:sz="4" w:space="0" w:color="auto"/>
            </w:tcBorders>
            <w:tcMar>
              <w:left w:w="0" w:type="dxa"/>
            </w:tcMar>
          </w:tcPr>
          <w:p w14:paraId="10661D2C" w14:textId="77777777" w:rsidR="003907BB" w:rsidRPr="00897E60" w:rsidRDefault="003907BB" w:rsidP="00B43B89">
            <w:pPr>
              <w:pStyle w:val="Caption"/>
            </w:pPr>
            <w:bookmarkStart w:id="129" w:name="_Ref466641153"/>
            <w:bookmarkStart w:id="130" w:name="_Toc466655661"/>
            <w:r w:rsidRPr="00897E60">
              <w:rPr>
                <w:rStyle w:val="CaptionLabel"/>
              </w:rPr>
              <w:t>Figure</w:t>
            </w:r>
            <w:r>
              <w:rPr>
                <w:rStyle w:val="CaptionLabel"/>
              </w:rPr>
              <w:t> </w:t>
            </w:r>
            <w:r w:rsidR="008C090E">
              <w:rPr>
                <w:rStyle w:val="CaptionLabel"/>
                <w:noProof/>
              </w:rPr>
              <w:t>3</w:t>
            </w:r>
            <w:r w:rsidRPr="00897E60">
              <w:rPr>
                <w:rStyle w:val="CaptionLabel"/>
              </w:rPr>
              <w:t>.</w:t>
            </w:r>
            <w:bookmarkEnd w:id="129"/>
            <w:r w:rsidR="00D463FC">
              <w:rPr>
                <w:rStyle w:val="CaptionLabel"/>
                <w:noProof/>
              </w:rPr>
              <w:t>7</w:t>
            </w:r>
            <w:r>
              <w:tab/>
              <w:t>HEPPP project type PARTICIPATION over time, 2010-2015</w:t>
            </w:r>
            <w:bookmarkEnd w:id="130"/>
          </w:p>
        </w:tc>
      </w:tr>
      <w:tr w:rsidR="003907BB" w:rsidRPr="00AA4DEE" w14:paraId="4BC93107" w14:textId="77777777" w:rsidTr="003907BB">
        <w:trPr>
          <w:cantSplit/>
          <w:trHeight w:hRule="exact" w:val="380"/>
        </w:trPr>
        <w:tc>
          <w:tcPr>
            <w:tcW w:w="8168" w:type="dxa"/>
            <w:tcBorders>
              <w:bottom w:val="single" w:sz="4" w:space="0" w:color="auto"/>
            </w:tcBorders>
          </w:tcPr>
          <w:p w14:paraId="35EC7820" w14:textId="77777777" w:rsidR="003907BB" w:rsidRPr="00AA4DEE" w:rsidRDefault="00A45AB3" w:rsidP="003907BB">
            <w:pPr>
              <w:pStyle w:val="spacer"/>
            </w:pPr>
            <w:r>
              <w:rPr>
                <w:noProof/>
                <w:lang w:eastAsia="en-AU"/>
              </w:rPr>
              <mc:AlternateContent>
                <mc:Choice Requires="wps">
                  <w:drawing>
                    <wp:anchor distT="0" distB="0" distL="114300" distR="114300" simplePos="0" relativeHeight="251624960" behindDoc="0" locked="1" layoutInCell="1" allowOverlap="1" wp14:anchorId="49822403" wp14:editId="777C8233">
                      <wp:simplePos x="0" y="0"/>
                      <wp:positionH relativeFrom="rightMargin">
                        <wp:posOffset>-772795</wp:posOffset>
                      </wp:positionH>
                      <wp:positionV relativeFrom="page">
                        <wp:posOffset>0</wp:posOffset>
                      </wp:positionV>
                      <wp:extent cx="436880" cy="213360"/>
                      <wp:effectExtent l="0" t="0" r="1270" b="0"/>
                      <wp:wrapNone/>
                      <wp:docPr id="40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8D783E" id="Freeform 5" o:spid="_x0000_s1026" style="position:absolute;margin-left:-60.85pt;margin-top:0;width:34.4pt;height:16.8pt;z-index:251624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KK6k7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AA4DEE" w14:paraId="16570076"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006AA560" w14:textId="77777777" w:rsidR="003907BB" w:rsidRPr="00AA4DEE" w:rsidRDefault="007F5EE9" w:rsidP="003907BB">
            <w:pPr>
              <w:pStyle w:val="Figure"/>
            </w:pPr>
            <w:r>
              <w:rPr>
                <w:noProof/>
                <w:lang w:eastAsia="en-AU"/>
              </w:rPr>
              <w:drawing>
                <wp:inline distT="0" distB="0" distL="0" distR="0" wp14:anchorId="1234636F" wp14:editId="7E9BE698">
                  <wp:extent cx="5172075" cy="22002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72075" cy="2200275"/>
                          </a:xfrm>
                          <a:prstGeom prst="rect">
                            <a:avLst/>
                          </a:prstGeom>
                          <a:noFill/>
                          <a:ln>
                            <a:noFill/>
                          </a:ln>
                        </pic:spPr>
                      </pic:pic>
                    </a:graphicData>
                  </a:graphic>
                </wp:inline>
              </w:drawing>
            </w:r>
          </w:p>
        </w:tc>
      </w:tr>
      <w:tr w:rsidR="003907BB" w:rsidRPr="00AA4DEE" w14:paraId="5D1919DA"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22B96545" w14:textId="77777777" w:rsidR="003907BB" w:rsidRPr="00AA4DEE" w:rsidRDefault="003907BB" w:rsidP="003907BB">
            <w:pPr>
              <w:pStyle w:val="Note"/>
            </w:pPr>
            <w:r w:rsidRPr="00AA4DEE">
              <w:t xml:space="preserve">Note: </w:t>
            </w:r>
            <w:r>
              <w:t>n=447,543</w:t>
            </w:r>
          </w:p>
          <w:p w14:paraId="3D6EC219" w14:textId="77777777" w:rsidR="003907BB" w:rsidRPr="00AA4DEE" w:rsidRDefault="003907BB" w:rsidP="003907BB">
            <w:pPr>
              <w:pStyle w:val="Source"/>
            </w:pPr>
            <w:r w:rsidRPr="00AA4DEE">
              <w:t xml:space="preserve">Source: </w:t>
            </w:r>
            <w:r w:rsidRPr="001A2F85">
              <w:t>student level HEPPP data</w:t>
            </w:r>
            <w:r>
              <w:t xml:space="preserve"> provided by universities (n=28)</w:t>
            </w:r>
          </w:p>
        </w:tc>
      </w:tr>
      <w:tr w:rsidR="003907BB" w14:paraId="04007720" w14:textId="77777777" w:rsidTr="003907BB">
        <w:trPr>
          <w:trHeight w:hRule="exact" w:val="160"/>
        </w:trPr>
        <w:tc>
          <w:tcPr>
            <w:tcW w:w="8168" w:type="dxa"/>
            <w:tcBorders>
              <w:top w:val="single" w:sz="4" w:space="0" w:color="auto"/>
            </w:tcBorders>
          </w:tcPr>
          <w:p w14:paraId="27019D68" w14:textId="77777777" w:rsidR="003907BB" w:rsidRDefault="003907BB" w:rsidP="003907BB">
            <w:pPr>
              <w:pStyle w:val="spacertbl"/>
            </w:pPr>
          </w:p>
        </w:tc>
      </w:tr>
    </w:tbl>
    <w:p w14:paraId="20E6C006" w14:textId="77777777" w:rsidR="003907BB" w:rsidRPr="001A2F85" w:rsidRDefault="003907BB" w:rsidP="00F03E58">
      <w:pPr>
        <w:pStyle w:val="Heading2"/>
      </w:pPr>
      <w:bookmarkStart w:id="131" w:name="_Toc466024950"/>
      <w:bookmarkStart w:id="132" w:name="_Toc466281067"/>
      <w:bookmarkStart w:id="133" w:name="_Toc466293716"/>
      <w:bookmarkStart w:id="134" w:name="_Toc466295671"/>
      <w:bookmarkStart w:id="135" w:name="_Toc466297111"/>
      <w:bookmarkStart w:id="136" w:name="_Toc466304867"/>
      <w:bookmarkStart w:id="137" w:name="_Toc466657119"/>
      <w:bookmarkEnd w:id="131"/>
      <w:bookmarkEnd w:id="132"/>
      <w:bookmarkEnd w:id="133"/>
      <w:bookmarkEnd w:id="134"/>
      <w:bookmarkEnd w:id="135"/>
      <w:bookmarkEnd w:id="136"/>
      <w:r w:rsidRPr="001A2F85">
        <w:t xml:space="preserve">HEPPP activity by </w:t>
      </w:r>
      <w:bookmarkEnd w:id="118"/>
      <w:bookmarkEnd w:id="123"/>
      <w:r>
        <w:t>participant characteristics</w:t>
      </w:r>
      <w:bookmarkEnd w:id="137"/>
    </w:p>
    <w:p w14:paraId="4F615EE6" w14:textId="77777777" w:rsidR="003907BB" w:rsidRDefault="003907BB" w:rsidP="00AD49C8">
      <w:pPr>
        <w:pStyle w:val="BodyText"/>
        <w:keepNext/>
        <w:keepLines/>
      </w:pPr>
      <w:r w:rsidRPr="001A2F85">
        <w:t xml:space="preserve">This section examines the ways in which the 2010-2015 HEPPP projects were targeted </w:t>
      </w:r>
      <w:r>
        <w:t>at</w:t>
      </w:r>
      <w:r w:rsidRPr="001A2F85">
        <w:t xml:space="preserve"> </w:t>
      </w:r>
      <w:r>
        <w:t xml:space="preserve">different recipient groups within the low SES </w:t>
      </w:r>
      <w:r w:rsidR="001277F0">
        <w:t>equity</w:t>
      </w:r>
      <w:r>
        <w:t xml:space="preserve"> group, using two different and separate groupings: equity groups and </w:t>
      </w:r>
      <w:r w:rsidR="001277F0">
        <w:t>EIF target</w:t>
      </w:r>
      <w:r w:rsidRPr="008265E3">
        <w:t xml:space="preserve"> groups</w:t>
      </w:r>
      <w:r>
        <w:t>.</w:t>
      </w:r>
    </w:p>
    <w:p w14:paraId="65828AA6" w14:textId="77777777" w:rsidR="003907BB" w:rsidRDefault="003907BB" w:rsidP="00AD49C8">
      <w:pPr>
        <w:pStyle w:val="Heading3"/>
      </w:pPr>
      <w:r>
        <w:t xml:space="preserve">Equity groups </w:t>
      </w:r>
    </w:p>
    <w:p w14:paraId="5C0DEE20" w14:textId="102DFF31" w:rsidR="003907BB" w:rsidRDefault="00A5450F" w:rsidP="00AD49C8">
      <w:pPr>
        <w:pStyle w:val="BodyText"/>
      </w:pPr>
      <w:r>
        <w:t>T</w:t>
      </w:r>
      <w:r w:rsidR="003907BB">
        <w:t>he higher education sector since the mid-</w:t>
      </w:r>
      <w:r w:rsidR="003C579E">
        <w:t>1990s</w:t>
      </w:r>
      <w:r w:rsidR="003907BB">
        <w:t xml:space="preserve"> has referred to the following six ‘equity groups’:</w:t>
      </w:r>
    </w:p>
    <w:p w14:paraId="1D752A14" w14:textId="77777777" w:rsidR="003907BB" w:rsidRDefault="001277F0" w:rsidP="00AD49C8">
      <w:pPr>
        <w:pStyle w:val="ListBullet"/>
      </w:pPr>
      <w:r>
        <w:t>Indigenous</w:t>
      </w:r>
      <w:r w:rsidR="003907BB">
        <w:t xml:space="preserve"> Australians</w:t>
      </w:r>
    </w:p>
    <w:p w14:paraId="32DBFCAF" w14:textId="77777777" w:rsidR="003907BB" w:rsidRDefault="003907BB" w:rsidP="00AD49C8">
      <w:pPr>
        <w:pStyle w:val="ListBullet"/>
      </w:pPr>
      <w:r>
        <w:t>people from low SES backgrounds</w:t>
      </w:r>
    </w:p>
    <w:p w14:paraId="3C79A0FD" w14:textId="77777777" w:rsidR="003907BB" w:rsidRDefault="003907BB" w:rsidP="00AD49C8">
      <w:pPr>
        <w:pStyle w:val="ListBullet"/>
      </w:pPr>
      <w:r>
        <w:t>people from non-English speaking backgrounds (NESB)</w:t>
      </w:r>
    </w:p>
    <w:p w14:paraId="2121D477" w14:textId="77777777" w:rsidR="003907BB" w:rsidRDefault="003907BB" w:rsidP="00AD49C8">
      <w:pPr>
        <w:pStyle w:val="ListBullet"/>
      </w:pPr>
      <w:r>
        <w:t>people from regional and remote areas</w:t>
      </w:r>
    </w:p>
    <w:p w14:paraId="29E0A8CE" w14:textId="77777777" w:rsidR="003907BB" w:rsidRDefault="003907BB" w:rsidP="00AD49C8">
      <w:pPr>
        <w:pStyle w:val="ListBullet"/>
      </w:pPr>
      <w:r>
        <w:t>people with disability</w:t>
      </w:r>
    </w:p>
    <w:p w14:paraId="2AB8BCEE" w14:textId="77777777" w:rsidR="003907BB" w:rsidRDefault="003907BB" w:rsidP="00AD49C8">
      <w:pPr>
        <w:pStyle w:val="ListBullet"/>
      </w:pPr>
      <w:r>
        <w:t>women in non-traditional subject areas (WINTA).</w:t>
      </w:r>
    </w:p>
    <w:p w14:paraId="0C34C4FD" w14:textId="77777777" w:rsidR="003907BB" w:rsidRDefault="003907BB" w:rsidP="00AD49C8">
      <w:pPr>
        <w:pStyle w:val="BodyText"/>
      </w:pPr>
      <w:r>
        <w:t xml:space="preserve">While the HEPPP funds universities to implement projects targeted at people from low SES backgrounds, some projects focus on low SES individuals that are also part of one of the five non-low SES groups listed above. </w:t>
      </w:r>
    </w:p>
    <w:p w14:paraId="5F75DF2C" w14:textId="77777777" w:rsidR="00967CD3" w:rsidRDefault="003907BB" w:rsidP="003907BB">
      <w:pPr>
        <w:pStyle w:val="BodyText"/>
      </w:pPr>
      <w:r w:rsidRPr="001A2F85">
        <w:t xml:space="preserve">The majority of </w:t>
      </w:r>
      <w:r w:rsidR="00F12DDD">
        <w:t xml:space="preserve">HEPPP </w:t>
      </w:r>
      <w:r w:rsidRPr="001A2F85">
        <w:t>pro</w:t>
      </w:r>
      <w:r w:rsidR="00F12DDD">
        <w:t>jects</w:t>
      </w:r>
      <w:r w:rsidRPr="001A2F85">
        <w:t xml:space="preserve"> (</w:t>
      </w:r>
      <w:r>
        <w:t>67</w:t>
      </w:r>
      <w:r w:rsidRPr="001A2F85">
        <w:t xml:space="preserve"> per cent) targeted only low SES </w:t>
      </w:r>
      <w:r>
        <w:t xml:space="preserve">individuals, with the remaining </w:t>
      </w:r>
      <w:r w:rsidR="00F12DDD">
        <w:t>33 </w:t>
      </w:r>
      <w:r>
        <w:t>per cent</w:t>
      </w:r>
      <w:r w:rsidR="00967CD3">
        <w:t xml:space="preserve"> directly</w:t>
      </w:r>
      <w:r>
        <w:t xml:space="preserve"> targeting low SES individuals who are also a member of one of the other equity groups</w:t>
      </w:r>
      <w:r w:rsidR="00F12DDD">
        <w:t xml:space="preserve"> (</w:t>
      </w:r>
      <w:r w:rsidR="008C090E" w:rsidRPr="00AD49C8">
        <w:t>Figure 3.</w:t>
      </w:r>
      <w:r w:rsidR="00D463FC">
        <w:t>8</w:t>
      </w:r>
      <w:r w:rsidR="00F12DDD">
        <w:t>)</w:t>
      </w:r>
      <w:r w:rsidRPr="001A2F85">
        <w:t>.</w:t>
      </w:r>
      <w:r w:rsidR="00967CD3">
        <w:t xml:space="preserve"> </w:t>
      </w:r>
      <w:r w:rsidR="009A21B8">
        <w:t>It should be noted that</w:t>
      </w:r>
      <w:r w:rsidR="00967CD3">
        <w:t xml:space="preserve"> students </w:t>
      </w:r>
      <w:r w:rsidR="00955839">
        <w:t>who belong to</w:t>
      </w:r>
      <w:r w:rsidR="00967CD3">
        <w:t xml:space="preserve"> </w:t>
      </w:r>
      <w:r w:rsidR="00955839">
        <w:t>multiple</w:t>
      </w:r>
      <w:r w:rsidR="00967CD3">
        <w:t xml:space="preserve"> equity groups, such as </w:t>
      </w:r>
      <w:r w:rsidR="00955839">
        <w:t>those</w:t>
      </w:r>
      <w:r w:rsidR="00967CD3">
        <w:t xml:space="preserve"> from regional or remote areas, </w:t>
      </w:r>
      <w:r w:rsidR="00955839">
        <w:t>may</w:t>
      </w:r>
      <w:r w:rsidR="00967CD3">
        <w:t xml:space="preserve"> also</w:t>
      </w:r>
      <w:r w:rsidR="00955839">
        <w:t xml:space="preserve"> be</w:t>
      </w:r>
      <w:r w:rsidR="00967CD3">
        <w:t xml:space="preserve"> included in the low SES</w:t>
      </w:r>
      <w:r w:rsidR="00955839">
        <w:t xml:space="preserve"> target group.</w:t>
      </w:r>
    </w:p>
    <w:p w14:paraId="18966353" w14:textId="438CD060" w:rsidR="0090622A" w:rsidRDefault="003907BB" w:rsidP="003907BB">
      <w:pPr>
        <w:pStyle w:val="BodyText"/>
      </w:pPr>
      <w:r w:rsidRPr="001A2F85">
        <w:t xml:space="preserve">Low SES Indigenous people and low SES people from regional and remote areas </w:t>
      </w:r>
      <w:r>
        <w:t>were targeted in 19 per cent and 13 per cent of projects respectively. That these two groups were the explicit targets of numerous HEPPP projects is in part due to universities deciding that these cohorts are in need of additional support, relative to other low SES individuals. The targeting of l</w:t>
      </w:r>
      <w:r w:rsidRPr="001A2F85">
        <w:t>ow SES Indigenous people</w:t>
      </w:r>
      <w:r>
        <w:t xml:space="preserve"> is also driven by the 2013 Partnership round which had a focus on projects targeted at low SES Indigenous individuals.</w:t>
      </w:r>
      <w:r w:rsidR="00F12DDD">
        <w:t xml:space="preserve"> (</w:t>
      </w:r>
      <w:r>
        <w:t>Chapters 4-7 analyse these data on a</w:t>
      </w:r>
      <w:r w:rsidR="00955839">
        <w:t>n</w:t>
      </w:r>
      <w:r>
        <w:t xml:space="preserve"> EIF student life cycle basis.</w:t>
      </w:r>
      <w:r w:rsidR="00F12DDD">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90622A" w:rsidRPr="00AA4DEE" w14:paraId="5340939B" w14:textId="77777777" w:rsidTr="0090622A">
        <w:trPr>
          <w:cantSplit/>
          <w:trHeight w:hRule="exact" w:val="160"/>
        </w:trPr>
        <w:tc>
          <w:tcPr>
            <w:tcW w:w="8168" w:type="dxa"/>
            <w:tcBorders>
              <w:bottom w:val="single" w:sz="4" w:space="0" w:color="auto"/>
            </w:tcBorders>
            <w:shd w:val="clear" w:color="auto" w:fill="auto"/>
          </w:tcPr>
          <w:p w14:paraId="64D82642" w14:textId="77777777" w:rsidR="0090622A" w:rsidRPr="00AA4DEE" w:rsidRDefault="0090622A" w:rsidP="0090622A">
            <w:pPr>
              <w:pStyle w:val="spacer"/>
            </w:pPr>
          </w:p>
        </w:tc>
      </w:tr>
      <w:tr w:rsidR="0090622A" w:rsidRPr="00897E60" w14:paraId="0D45A59B" w14:textId="77777777" w:rsidTr="0090622A">
        <w:trPr>
          <w:cantSplit/>
        </w:trPr>
        <w:tc>
          <w:tcPr>
            <w:tcW w:w="8168" w:type="dxa"/>
            <w:tcBorders>
              <w:top w:val="single" w:sz="4" w:space="0" w:color="auto"/>
            </w:tcBorders>
            <w:shd w:val="clear" w:color="auto" w:fill="auto"/>
            <w:tcMar>
              <w:left w:w="0" w:type="dxa"/>
            </w:tcMar>
          </w:tcPr>
          <w:p w14:paraId="6F6B9525" w14:textId="4037F1C5" w:rsidR="0090622A" w:rsidRPr="00897E60" w:rsidRDefault="0090622A" w:rsidP="00266E5D">
            <w:pPr>
              <w:pStyle w:val="Caption"/>
            </w:pPr>
            <w:r w:rsidRPr="00897E60">
              <w:rPr>
                <w:rStyle w:val="CaptionLabel"/>
              </w:rPr>
              <w:t>Figure</w:t>
            </w:r>
            <w:r>
              <w:rPr>
                <w:rStyle w:val="CaptionLabel"/>
              </w:rPr>
              <w:t> 3</w:t>
            </w:r>
            <w:r w:rsidRPr="00897E60">
              <w:rPr>
                <w:rStyle w:val="CaptionLabel"/>
              </w:rPr>
              <w:t>.</w:t>
            </w:r>
            <w:r>
              <w:rPr>
                <w:rStyle w:val="CaptionLabel"/>
              </w:rPr>
              <w:t>8</w:t>
            </w:r>
            <w:r>
              <w:tab/>
            </w:r>
            <w:r w:rsidRPr="00C91FA0">
              <w:t>Distribution of programs</w:t>
            </w:r>
            <w:r>
              <w:t xml:space="preserve"> and program funding</w:t>
            </w:r>
            <w:r w:rsidRPr="00C91FA0">
              <w:t xml:space="preserve"> by Equity groups, 2010-2015</w:t>
            </w:r>
          </w:p>
        </w:tc>
      </w:tr>
      <w:tr w:rsidR="0090622A" w:rsidRPr="00AA4DEE" w14:paraId="3C41E993" w14:textId="77777777" w:rsidTr="0090622A">
        <w:trPr>
          <w:cantSplit/>
          <w:trHeight w:hRule="exact" w:val="380"/>
        </w:trPr>
        <w:tc>
          <w:tcPr>
            <w:tcW w:w="8168" w:type="dxa"/>
            <w:tcBorders>
              <w:bottom w:val="single" w:sz="4" w:space="0" w:color="auto"/>
            </w:tcBorders>
            <w:shd w:val="clear" w:color="auto" w:fill="auto"/>
          </w:tcPr>
          <w:p w14:paraId="43EED3D8" w14:textId="77777777" w:rsidR="0090622A" w:rsidRPr="00AA4DEE" w:rsidRDefault="0090622A" w:rsidP="0090622A">
            <w:pPr>
              <w:pStyle w:val="spacer"/>
            </w:pPr>
            <w:r w:rsidRPr="00AA4DEE">
              <w:rPr>
                <w:noProof/>
                <w:lang w:eastAsia="en-AU"/>
              </w:rPr>
              <mc:AlternateContent>
                <mc:Choice Requires="wps">
                  <w:drawing>
                    <wp:anchor distT="0" distB="0" distL="114300" distR="114300" simplePos="0" relativeHeight="251704320" behindDoc="0" locked="1" layoutInCell="1" allowOverlap="1" wp14:anchorId="687D8424" wp14:editId="3DEA5007">
                      <wp:simplePos x="0" y="0"/>
                      <wp:positionH relativeFrom="rightMargin">
                        <wp:posOffset>-772795</wp:posOffset>
                      </wp:positionH>
                      <wp:positionV relativeFrom="page">
                        <wp:posOffset>0</wp:posOffset>
                      </wp:positionV>
                      <wp:extent cx="436880" cy="213360"/>
                      <wp:effectExtent l="0" t="0" r="1270" b="0"/>
                      <wp:wrapNone/>
                      <wp:docPr id="28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C893A7" id="Freeform 5" o:spid="_x0000_s1026" style="position:absolute;margin-left:-60.85pt;margin-top:0;width:34.4pt;height:16.8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BKLIN9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90622A" w:rsidRPr="00AA4DEE" w14:paraId="7209DFEB" w14:textId="77777777" w:rsidTr="0090622A">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47AA79A7" w14:textId="473533C9" w:rsidR="0090622A" w:rsidRPr="00AA4DEE" w:rsidRDefault="0090622A" w:rsidP="0090622A">
            <w:pPr>
              <w:pStyle w:val="Figure"/>
            </w:pPr>
            <w:r w:rsidRPr="00C8377D">
              <w:rPr>
                <w:noProof/>
                <w:lang w:eastAsia="en-AU"/>
              </w:rPr>
              <w:drawing>
                <wp:inline distT="0" distB="0" distL="0" distR="0" wp14:anchorId="5F107644" wp14:editId="610CEB4A">
                  <wp:extent cx="5184140" cy="2456815"/>
                  <wp:effectExtent l="0" t="0" r="0"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84140" cy="2456815"/>
                          </a:xfrm>
                          <a:prstGeom prst="rect">
                            <a:avLst/>
                          </a:prstGeom>
                          <a:noFill/>
                          <a:ln>
                            <a:noFill/>
                          </a:ln>
                        </pic:spPr>
                      </pic:pic>
                    </a:graphicData>
                  </a:graphic>
                </wp:inline>
              </w:drawing>
            </w:r>
          </w:p>
        </w:tc>
      </w:tr>
      <w:tr w:rsidR="0090622A" w:rsidRPr="00AA4DEE" w14:paraId="582125E2" w14:textId="77777777" w:rsidTr="0090622A">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301F52FD" w14:textId="77777777" w:rsidR="00266E5D" w:rsidRPr="001A2F85" w:rsidRDefault="00266E5D" w:rsidP="00266E5D">
            <w:pPr>
              <w:pStyle w:val="Note"/>
            </w:pPr>
            <w:r w:rsidRPr="001A2F85">
              <w:t xml:space="preserve">Note: Percentages do not sum to 100 as projects can </w:t>
            </w:r>
            <w:r>
              <w:t xml:space="preserve">target </w:t>
            </w:r>
            <w:r w:rsidRPr="001A2F85">
              <w:t xml:space="preserve">multiple </w:t>
            </w:r>
            <w:r>
              <w:t>equity groups</w:t>
            </w:r>
            <w:r w:rsidRPr="001A2F85">
              <w:t>.</w:t>
            </w:r>
            <w:r>
              <w:rPr>
                <w:lang w:val="en-US"/>
              </w:rPr>
              <w:t xml:space="preserve"> See Appendix D for further disaggregation.</w:t>
            </w:r>
          </w:p>
          <w:p w14:paraId="1BC46346" w14:textId="3CBF8E93" w:rsidR="0090622A" w:rsidRPr="00AA4DEE" w:rsidRDefault="00266E5D" w:rsidP="00266E5D">
            <w:pPr>
              <w:pStyle w:val="Source"/>
            </w:pPr>
            <w:r w:rsidRPr="001A2F85">
              <w:t xml:space="preserve">Source: </w:t>
            </w:r>
            <w:r w:rsidRPr="00252BF1">
              <w:t>UNIVERSITY HEPPP ANNUAL REPORTS 2010-2015</w:t>
            </w:r>
          </w:p>
        </w:tc>
      </w:tr>
      <w:tr w:rsidR="0090622A" w14:paraId="2EFDFEFC" w14:textId="77777777" w:rsidTr="0090622A">
        <w:trPr>
          <w:trHeight w:hRule="exact" w:val="160"/>
        </w:trPr>
        <w:tc>
          <w:tcPr>
            <w:tcW w:w="8168" w:type="dxa"/>
            <w:tcBorders>
              <w:top w:val="single" w:sz="4" w:space="0" w:color="auto"/>
            </w:tcBorders>
            <w:shd w:val="clear" w:color="auto" w:fill="auto"/>
          </w:tcPr>
          <w:p w14:paraId="0AB72473" w14:textId="77777777" w:rsidR="0090622A" w:rsidRDefault="0090622A" w:rsidP="0090622A">
            <w:pPr>
              <w:pStyle w:val="spacertbl"/>
            </w:pPr>
          </w:p>
        </w:tc>
      </w:tr>
    </w:tbl>
    <w:p w14:paraId="4941EB82" w14:textId="77777777" w:rsidR="003907BB" w:rsidRDefault="003907BB" w:rsidP="00AD49C8">
      <w:pPr>
        <w:pStyle w:val="Heading3"/>
      </w:pPr>
      <w:r>
        <w:t xml:space="preserve">Equity Initiatives Framework target groups </w:t>
      </w:r>
    </w:p>
    <w:p w14:paraId="00F4B305" w14:textId="77777777" w:rsidR="003907BB" w:rsidRDefault="00077B0C" w:rsidP="00AD49C8">
      <w:pPr>
        <w:pStyle w:val="BodyText"/>
      </w:pPr>
      <w:r>
        <w:t>T</w:t>
      </w:r>
      <w:r w:rsidR="003907BB">
        <w:t>his report is using the EIF to analyse HEPPP activity</w:t>
      </w:r>
      <w:r>
        <w:t xml:space="preserve"> (refer Chapter 1)</w:t>
      </w:r>
      <w:r w:rsidR="003907BB">
        <w:t xml:space="preserve">. The EIF establishes list of groups that are distinct from the aforementioned equity groups, and focus more on the stage of education or role in the education system of an individual. </w:t>
      </w:r>
    </w:p>
    <w:p w14:paraId="468483A8" w14:textId="77777777" w:rsidR="003907BB" w:rsidRPr="001A2F85" w:rsidRDefault="003907BB" w:rsidP="00AD49C8">
      <w:r w:rsidRPr="006F1280">
        <w:t xml:space="preserve">The most common </w:t>
      </w:r>
      <w:r w:rsidR="00F12DDD" w:rsidRPr="006F1280">
        <w:t xml:space="preserve">EIF </w:t>
      </w:r>
      <w:r w:rsidRPr="006F1280">
        <w:t>target groups were university students—46 per cent of HEPPP projects targeted commencing/first year students, and 34 per cent targeted continuing/later year students—and secondary school students, who were targeted in almost a third of projects</w:t>
      </w:r>
      <w:r w:rsidR="00F12DDD" w:rsidRPr="006F1280">
        <w:t xml:space="preserve"> (</w:t>
      </w:r>
      <w:r w:rsidR="008C090E" w:rsidRPr="00AD49C8">
        <w:t>Figure 3.</w:t>
      </w:r>
      <w:r w:rsidR="00D463FC">
        <w:t>9</w:t>
      </w:r>
      <w:r w:rsidR="00F12DDD" w:rsidRPr="006F1280">
        <w:t>)</w:t>
      </w:r>
      <w:r w:rsidRPr="006F1280">
        <w:t xml:space="preserve">. </w:t>
      </w:r>
      <w:r w:rsidRPr="001A2F85">
        <w:t>The least commonly targeted groups were infants, including kindergarten students, (in only 0.1 per cent of projects), followed by primary school parents and teachers.</w:t>
      </w:r>
      <w:r>
        <w:t xml:space="preserve"> This indicates that Partnership projects are normally targeted at secondary school students and parents, rather than primary school students and parents. </w:t>
      </w:r>
      <w:r w:rsidR="00F12DDD">
        <w:t>(</w:t>
      </w:r>
      <w:r>
        <w:t>Chapters 4-7 analyse these data on a</w:t>
      </w:r>
      <w:r w:rsidR="005E06AF">
        <w:t>n</w:t>
      </w:r>
      <w:r>
        <w:t xml:space="preserve"> EIF student life cycle basis.</w:t>
      </w:r>
      <w:r w:rsidR="00F12DDD">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0F78B090" w14:textId="77777777" w:rsidTr="003907BB">
        <w:trPr>
          <w:cantSplit/>
          <w:trHeight w:hRule="exact" w:val="160"/>
        </w:trPr>
        <w:tc>
          <w:tcPr>
            <w:tcW w:w="8168" w:type="dxa"/>
            <w:tcBorders>
              <w:bottom w:val="single" w:sz="4" w:space="0" w:color="auto"/>
            </w:tcBorders>
          </w:tcPr>
          <w:p w14:paraId="64BBB0C0" w14:textId="77777777" w:rsidR="003907BB" w:rsidRPr="001A2F85" w:rsidRDefault="003907BB" w:rsidP="003907BB">
            <w:pPr>
              <w:pStyle w:val="spacer"/>
            </w:pPr>
          </w:p>
        </w:tc>
      </w:tr>
      <w:tr w:rsidR="003907BB" w:rsidRPr="001A2F85" w14:paraId="1B2EC554" w14:textId="77777777" w:rsidTr="003907BB">
        <w:trPr>
          <w:cantSplit/>
        </w:trPr>
        <w:tc>
          <w:tcPr>
            <w:tcW w:w="8168" w:type="dxa"/>
            <w:tcBorders>
              <w:top w:val="single" w:sz="4" w:space="0" w:color="auto"/>
            </w:tcBorders>
            <w:tcMar>
              <w:left w:w="0" w:type="dxa"/>
            </w:tcMar>
          </w:tcPr>
          <w:p w14:paraId="241A2CA0" w14:textId="77777777" w:rsidR="003907BB" w:rsidRPr="001A2F85" w:rsidRDefault="003907BB" w:rsidP="00B43B89">
            <w:pPr>
              <w:pStyle w:val="Caption"/>
            </w:pPr>
            <w:bookmarkStart w:id="138" w:name="_Ref462918429"/>
            <w:bookmarkStart w:id="139" w:name="_Toc466655663"/>
            <w:r w:rsidRPr="001A2F85">
              <w:rPr>
                <w:rStyle w:val="CaptionLabel"/>
              </w:rPr>
              <w:t>Figure </w:t>
            </w:r>
            <w:r w:rsidR="008C090E">
              <w:rPr>
                <w:rStyle w:val="CaptionLabel"/>
                <w:noProof/>
              </w:rPr>
              <w:t>3</w:t>
            </w:r>
            <w:r w:rsidRPr="001A2F85">
              <w:rPr>
                <w:rStyle w:val="CaptionLabel"/>
              </w:rPr>
              <w:t>.</w:t>
            </w:r>
            <w:bookmarkEnd w:id="138"/>
            <w:r w:rsidR="00D463FC">
              <w:rPr>
                <w:rStyle w:val="CaptionLabel"/>
                <w:noProof/>
              </w:rPr>
              <w:t>9</w:t>
            </w:r>
            <w:r w:rsidRPr="001A2F85">
              <w:tab/>
              <w:t>Share of Projects including EIF target groups, 2010-2015</w:t>
            </w:r>
            <w:bookmarkEnd w:id="139"/>
            <w:r w:rsidRPr="001A2F85">
              <w:t xml:space="preserve"> </w:t>
            </w:r>
          </w:p>
        </w:tc>
      </w:tr>
      <w:tr w:rsidR="003907BB" w:rsidRPr="001A2F85" w14:paraId="0E597456" w14:textId="77777777" w:rsidTr="003907BB">
        <w:trPr>
          <w:cantSplit/>
          <w:trHeight w:hRule="exact" w:val="380"/>
        </w:trPr>
        <w:tc>
          <w:tcPr>
            <w:tcW w:w="8168" w:type="dxa"/>
            <w:tcBorders>
              <w:bottom w:val="single" w:sz="4" w:space="0" w:color="auto"/>
            </w:tcBorders>
          </w:tcPr>
          <w:p w14:paraId="6C54DAC4"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22400" behindDoc="0" locked="1" layoutInCell="1" allowOverlap="1" wp14:anchorId="50E50482" wp14:editId="6B4E6018">
                      <wp:simplePos x="0" y="0"/>
                      <wp:positionH relativeFrom="rightMargin">
                        <wp:posOffset>-772795</wp:posOffset>
                      </wp:positionH>
                      <wp:positionV relativeFrom="page">
                        <wp:posOffset>0</wp:posOffset>
                      </wp:positionV>
                      <wp:extent cx="436880" cy="213360"/>
                      <wp:effectExtent l="0" t="0" r="1270" b="0"/>
                      <wp:wrapNone/>
                      <wp:docPr id="27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CD03C4" id="Freeform 5" o:spid="_x0000_s1026" style="position:absolute;margin-left:-60.85pt;margin-top:0;width:34.4pt;height:16.8pt;z-index:251622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r5fw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M2smvl/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1C63E1D3"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18D0C6B6" w14:textId="77777777" w:rsidR="003907BB" w:rsidRPr="001A2F85" w:rsidRDefault="007F5EE9" w:rsidP="003907BB">
            <w:pPr>
              <w:pStyle w:val="Figure"/>
            </w:pPr>
            <w:r>
              <w:rPr>
                <w:noProof/>
                <w:lang w:eastAsia="en-AU"/>
              </w:rPr>
              <w:drawing>
                <wp:inline distT="0" distB="0" distL="0" distR="0" wp14:anchorId="5697E9A8" wp14:editId="38C95794">
                  <wp:extent cx="5210175" cy="3238500"/>
                  <wp:effectExtent l="0" t="0" r="0" b="0"/>
                  <wp:docPr id="18"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10175" cy="3238500"/>
                          </a:xfrm>
                          <a:prstGeom prst="rect">
                            <a:avLst/>
                          </a:prstGeom>
                          <a:noFill/>
                          <a:ln>
                            <a:noFill/>
                          </a:ln>
                        </pic:spPr>
                      </pic:pic>
                    </a:graphicData>
                  </a:graphic>
                </wp:inline>
              </w:drawing>
            </w:r>
          </w:p>
        </w:tc>
      </w:tr>
      <w:tr w:rsidR="003907BB" w:rsidRPr="001A2F85" w14:paraId="756361F4"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3EDB2DD9" w14:textId="77777777" w:rsidR="003907BB" w:rsidRPr="001A2F85" w:rsidRDefault="003907BB" w:rsidP="003907BB">
            <w:pPr>
              <w:pStyle w:val="Note"/>
            </w:pPr>
            <w:r w:rsidRPr="001A2F85">
              <w:t xml:space="preserve">Note: Percentages do not sum to 100 as projects can have multiple </w:t>
            </w:r>
            <w:r>
              <w:t xml:space="preserve">EIF </w:t>
            </w:r>
            <w:r w:rsidRPr="001A2F85">
              <w:t>target groups.</w:t>
            </w:r>
          </w:p>
          <w:p w14:paraId="797AC1A2" w14:textId="77777777" w:rsidR="003907BB" w:rsidRPr="001A2F85" w:rsidRDefault="003907BB" w:rsidP="003907BB">
            <w:pPr>
              <w:pStyle w:val="Source"/>
            </w:pPr>
            <w:r w:rsidRPr="001A2F85">
              <w:t>Source: heppp annual reports</w:t>
            </w:r>
          </w:p>
        </w:tc>
      </w:tr>
      <w:tr w:rsidR="003907BB" w:rsidRPr="001A2F85" w14:paraId="3E7DBCE0" w14:textId="77777777" w:rsidTr="003907BB">
        <w:trPr>
          <w:trHeight w:hRule="exact" w:val="160"/>
        </w:trPr>
        <w:tc>
          <w:tcPr>
            <w:tcW w:w="8168" w:type="dxa"/>
            <w:tcBorders>
              <w:top w:val="single" w:sz="4" w:space="0" w:color="auto"/>
            </w:tcBorders>
          </w:tcPr>
          <w:p w14:paraId="00B1C275" w14:textId="77777777" w:rsidR="003907BB" w:rsidRPr="001A2F85" w:rsidRDefault="003907BB" w:rsidP="003907BB">
            <w:pPr>
              <w:pStyle w:val="spacertbl"/>
            </w:pPr>
          </w:p>
        </w:tc>
      </w:tr>
    </w:tbl>
    <w:p w14:paraId="78C3A3F5" w14:textId="77777777" w:rsidR="003907BB" w:rsidRPr="001A2F85" w:rsidRDefault="003907BB" w:rsidP="003907BB">
      <w:pPr>
        <w:pStyle w:val="Heading2"/>
      </w:pPr>
      <w:bookmarkStart w:id="140" w:name="_Toc465244907"/>
      <w:bookmarkStart w:id="141" w:name="_Toc466657120"/>
      <w:r w:rsidRPr="001A2F85">
        <w:t>Summary of HEPPP implementation</w:t>
      </w:r>
      <w:bookmarkEnd w:id="140"/>
      <w:bookmarkEnd w:id="141"/>
    </w:p>
    <w:p w14:paraId="0475D75B" w14:textId="77777777" w:rsidR="003907BB" w:rsidRPr="001A2F85" w:rsidRDefault="003907BB" w:rsidP="003907BB">
      <w:pPr>
        <w:pStyle w:val="BodyText"/>
      </w:pPr>
      <w:r w:rsidRPr="00C91FA0">
        <w:t xml:space="preserve">This chapter has analysed HEPPP implementation at the program level, showing the types of projects implemented, differences between groups of universities, and student participation and target groups. The following four chapters build on this analysis and examine the implementation and impact of HEPPP </w:t>
      </w:r>
      <w:r w:rsidR="0072310D" w:rsidRPr="00C91FA0">
        <w:t xml:space="preserve">over </w:t>
      </w:r>
      <w:r w:rsidRPr="00C91FA0">
        <w:t>the four student life cycle stages.</w:t>
      </w:r>
      <w:r>
        <w:t xml:space="preserve">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rsidRPr="001A2F85" w14:paraId="47F64C93" w14:textId="77777777" w:rsidTr="003907BB">
        <w:trPr>
          <w:cantSplit/>
        </w:trPr>
        <w:tc>
          <w:tcPr>
            <w:tcW w:w="8614" w:type="dxa"/>
            <w:tcMar>
              <w:top w:w="160" w:type="dxa"/>
              <w:left w:w="446" w:type="dxa"/>
            </w:tcMar>
          </w:tcPr>
          <w:p w14:paraId="37D38085" w14:textId="77777777" w:rsidR="003907BB" w:rsidRPr="001A2F85" w:rsidRDefault="003907BB" w:rsidP="003907BB">
            <w:pPr>
              <w:pStyle w:val="Caption"/>
            </w:pPr>
            <w:r w:rsidRPr="001A2F85">
              <w:rPr>
                <w:rStyle w:val="CaptionLabel"/>
              </w:rPr>
              <w:t>Key Finding </w:t>
            </w:r>
            <w:r w:rsidR="008C090E">
              <w:rPr>
                <w:rStyle w:val="CaptionLabel"/>
                <w:noProof/>
              </w:rPr>
              <w:t>1</w:t>
            </w:r>
            <w:r w:rsidRPr="001A2F85">
              <w:tab/>
              <w:t>HEPPP implementation</w:t>
            </w:r>
          </w:p>
        </w:tc>
      </w:tr>
      <w:tr w:rsidR="003907BB" w:rsidRPr="001A2F85" w14:paraId="3C1B8D84" w14:textId="77777777" w:rsidTr="003907BB">
        <w:trPr>
          <w:cantSplit/>
        </w:trPr>
        <w:tc>
          <w:tcPr>
            <w:tcW w:w="8614" w:type="dxa"/>
            <w:shd w:val="clear" w:color="auto" w:fill="E4E0DD"/>
            <w:tcMar>
              <w:top w:w="276" w:type="dxa"/>
              <w:bottom w:w="0" w:type="dxa"/>
              <w:right w:w="120" w:type="dxa"/>
            </w:tcMar>
          </w:tcPr>
          <w:p w14:paraId="4EE49093" w14:textId="77777777" w:rsidR="003907BB" w:rsidRPr="001A2F85" w:rsidRDefault="003907BB" w:rsidP="003907BB">
            <w:pPr>
              <w:pStyle w:val="BoxText"/>
            </w:pPr>
            <w:r w:rsidRPr="001A2F85">
              <w:t xml:space="preserve">There have been </w:t>
            </w:r>
            <w:r>
              <w:t>2,679</w:t>
            </w:r>
            <w:r w:rsidRPr="001A2F85">
              <w:t xml:space="preserve"> projects across the 37 universities between 2010 and 2015. This is an average of </w:t>
            </w:r>
            <w:r>
              <w:t>70</w:t>
            </w:r>
            <w:r w:rsidRPr="001A2F85">
              <w:t xml:space="preserve"> projects per university. More than 40 per cent of projects and expenditure have been targeted at the Transition, Engagement and Progression stage. Around </w:t>
            </w:r>
            <w:r>
              <w:t>40 per cent</w:t>
            </w:r>
            <w:r w:rsidRPr="001A2F85">
              <w:t xml:space="preserve"> of projects are at the Outreach stage, while Pathways and Admissions account for </w:t>
            </w:r>
            <w:r>
              <w:t>8</w:t>
            </w:r>
            <w:r w:rsidRPr="001A2F85">
              <w:t xml:space="preserve"> per cent</w:t>
            </w:r>
          </w:p>
          <w:p w14:paraId="318B23D5" w14:textId="77777777" w:rsidR="003907BB" w:rsidRPr="001A2F85" w:rsidRDefault="003907BB" w:rsidP="003907BB">
            <w:pPr>
              <w:pStyle w:val="BoxText"/>
            </w:pPr>
            <w:r w:rsidRPr="001A2F85">
              <w:t xml:space="preserve">Across the HEPPP throughout 2010-2015, academic preparation/support was the most utilised activity appearing in around one third of all projects. Mentoring and peer support, and first year transition support were the two next most utilised activities. </w:t>
            </w:r>
            <w:r w:rsidR="00C728A4" w:rsidRPr="00C728A4">
              <w:t xml:space="preserve">Some activities are spread across EIF stages (such as mentoring and peer support, academic preparation/support and professional development), while </w:t>
            </w:r>
            <w:r w:rsidR="00C728A4">
              <w:t>others</w:t>
            </w:r>
            <w:r w:rsidR="00C728A4" w:rsidRPr="00C728A4">
              <w:t xml:space="preserve"> are concentrated in one particular stage such as monitoring student progress in the Participation stage.</w:t>
            </w:r>
          </w:p>
          <w:p w14:paraId="41EA6058" w14:textId="77777777" w:rsidR="003907BB" w:rsidRDefault="003907BB" w:rsidP="003907BB">
            <w:pPr>
              <w:pStyle w:val="BoxText"/>
            </w:pPr>
            <w:r w:rsidRPr="001A2F85">
              <w:t>Based on data provi</w:t>
            </w:r>
            <w:r>
              <w:t>ded by 28 universities</w:t>
            </w:r>
            <w:r w:rsidR="00835EC6">
              <w:t>,</w:t>
            </w:r>
            <w:r>
              <w:t xml:space="preserve"> around 31</w:t>
            </w:r>
            <w:r w:rsidRPr="001A2F85">
              <w:t>0,000 students have participated in HEPPP projects</w:t>
            </w:r>
            <w:r>
              <w:t>—</w:t>
            </w:r>
            <w:r w:rsidRPr="001A2F85">
              <w:t xml:space="preserve"> </w:t>
            </w:r>
            <w:r>
              <w:t>t</w:t>
            </w:r>
            <w:r w:rsidRPr="001A2F85">
              <w:t xml:space="preserve">his figure should be </w:t>
            </w:r>
            <w:r>
              <w:t>considered</w:t>
            </w:r>
            <w:r w:rsidRPr="001A2F85">
              <w:t xml:space="preserve"> a </w:t>
            </w:r>
            <w:r>
              <w:t xml:space="preserve">lower bound </w:t>
            </w:r>
            <w:r w:rsidRPr="001A2F85">
              <w:t>of total HEPPP reach.</w:t>
            </w:r>
            <w:r>
              <w:t xml:space="preserve"> More than 30 per cent of </w:t>
            </w:r>
            <w:r w:rsidR="00C728A4">
              <w:t xml:space="preserve">students </w:t>
            </w:r>
            <w:r>
              <w:t>have participated in more than one HEPPP project, with 3 per cent involved in four or more.</w:t>
            </w:r>
          </w:p>
          <w:p w14:paraId="577EF220" w14:textId="77777777" w:rsidR="003907BB" w:rsidRPr="001A2F85" w:rsidRDefault="003907BB" w:rsidP="003907BB">
            <w:pPr>
              <w:pStyle w:val="BoxText"/>
            </w:pPr>
            <w:r w:rsidRPr="001A2F85">
              <w:t>The majority of HEPPP projects (</w:t>
            </w:r>
            <w:r>
              <w:t>67</w:t>
            </w:r>
            <w:r w:rsidRPr="001A2F85">
              <w:t> per cent) targeted only low SES people. Low SES Indigenous people and low SES people from regional and remote areas were explicitly targeted in 19 per cent and 1</w:t>
            </w:r>
            <w:r>
              <w:t>3</w:t>
            </w:r>
            <w:r w:rsidRPr="001A2F85">
              <w:t> per cent of projects respectively.</w:t>
            </w:r>
          </w:p>
        </w:tc>
      </w:tr>
      <w:tr w:rsidR="003907BB" w:rsidRPr="001A2F85" w14:paraId="0A054B27" w14:textId="77777777" w:rsidTr="003907BB">
        <w:trPr>
          <w:cantSplit/>
          <w:trHeight w:hRule="exact" w:val="376"/>
        </w:trPr>
        <w:tc>
          <w:tcPr>
            <w:tcW w:w="8614" w:type="dxa"/>
            <w:shd w:val="clear" w:color="auto" w:fill="E4E0DD"/>
            <w:tcMar>
              <w:top w:w="0" w:type="dxa"/>
              <w:bottom w:w="0" w:type="dxa"/>
              <w:right w:w="0" w:type="dxa"/>
            </w:tcMar>
          </w:tcPr>
          <w:p w14:paraId="0810DD45" w14:textId="77777777" w:rsidR="003907BB" w:rsidRPr="001A2F85" w:rsidRDefault="003907BB" w:rsidP="003907BB">
            <w:pPr>
              <w:pStyle w:val="spacer"/>
            </w:pPr>
          </w:p>
        </w:tc>
      </w:tr>
      <w:tr w:rsidR="003907BB" w:rsidRPr="001A2F85" w14:paraId="6F977041" w14:textId="77777777" w:rsidTr="003907BB">
        <w:trPr>
          <w:cantSplit/>
          <w:trHeight w:hRule="exact" w:val="180"/>
        </w:trPr>
        <w:tc>
          <w:tcPr>
            <w:tcW w:w="8614" w:type="dxa"/>
            <w:tcMar>
              <w:top w:w="0" w:type="dxa"/>
              <w:left w:w="446" w:type="dxa"/>
              <w:bottom w:w="0" w:type="dxa"/>
            </w:tcMar>
          </w:tcPr>
          <w:p w14:paraId="0820DBA8" w14:textId="77777777" w:rsidR="003907BB" w:rsidRPr="001A2F85" w:rsidRDefault="00A45AB3" w:rsidP="003907BB">
            <w:pPr>
              <w:pStyle w:val="spacertbl"/>
            </w:pPr>
            <w:r>
              <w:rPr>
                <w:noProof/>
                <w:lang w:eastAsia="en-AU"/>
              </w:rPr>
              <mc:AlternateContent>
                <mc:Choice Requires="wps">
                  <w:drawing>
                    <wp:anchor distT="0" distB="0" distL="114300" distR="114300" simplePos="0" relativeHeight="251623424" behindDoc="0" locked="1" layoutInCell="1" allowOverlap="1" wp14:anchorId="17AEE160" wp14:editId="1F31A11C">
                      <wp:simplePos x="0" y="0"/>
                      <wp:positionH relativeFrom="rightMargin">
                        <wp:posOffset>-772795</wp:posOffset>
                      </wp:positionH>
                      <wp:positionV relativeFrom="page">
                        <wp:posOffset>-237490</wp:posOffset>
                      </wp:positionV>
                      <wp:extent cx="436880" cy="213360"/>
                      <wp:effectExtent l="0" t="0" r="1270" b="0"/>
                      <wp:wrapNone/>
                      <wp:docPr id="22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795890" id="Freeform 5" o:spid="_x0000_s1026" style="position:absolute;margin-left:-60.85pt;margin-top:-18.7pt;width:34.4pt;height:16.8pt;z-index:251623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1HZEJnsDAADC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1FBA5E9C" w14:textId="77777777" w:rsidR="003907BB" w:rsidRPr="001A2F85" w:rsidRDefault="003907BB" w:rsidP="003907BB">
      <w:pPr>
        <w:pStyle w:val="BodyText"/>
      </w:pPr>
    </w:p>
    <w:p w14:paraId="4BCC36DA" w14:textId="77777777" w:rsidR="00EA6577" w:rsidRPr="001A2F85" w:rsidRDefault="00EA6577" w:rsidP="000B6604">
      <w:pPr>
        <w:pStyle w:val="BodyText"/>
      </w:pPr>
    </w:p>
    <w:p w14:paraId="74611B2A" w14:textId="77777777" w:rsidR="00EA6577" w:rsidRPr="001A2F85" w:rsidRDefault="00EA6577" w:rsidP="000B6604">
      <w:pPr>
        <w:pStyle w:val="BodyText"/>
      </w:pPr>
    </w:p>
    <w:p w14:paraId="4C5C0F85" w14:textId="77777777" w:rsidR="00EA6577" w:rsidRPr="001A2F85" w:rsidRDefault="00EA6577" w:rsidP="000B6604">
      <w:pPr>
        <w:pStyle w:val="BodyText"/>
        <w:sectPr w:rsidR="00EA6577" w:rsidRPr="001A2F85" w:rsidSect="00EA6577">
          <w:headerReference w:type="even" r:id="rId92"/>
          <w:headerReference w:type="default" r:id="rId93"/>
          <w:footerReference w:type="even" r:id="rId94"/>
          <w:footerReference w:type="default" r:id="rId95"/>
          <w:headerReference w:type="first" r:id="rId96"/>
          <w:footerReference w:type="first" r:id="rId97"/>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8"/>
        <w:gridCol w:w="3430"/>
      </w:tblGrid>
      <w:tr w:rsidR="00EA6577" w:rsidRPr="001A2F85" w14:paraId="2CA89C32" w14:textId="77777777" w:rsidTr="000B6604">
        <w:trPr>
          <w:trHeight w:hRule="exact" w:val="382"/>
        </w:trPr>
        <w:tc>
          <w:tcPr>
            <w:tcW w:w="4728" w:type="dxa"/>
            <w:shd w:val="clear" w:color="auto" w:fill="9D57A6"/>
          </w:tcPr>
          <w:p w14:paraId="02CC4580" w14:textId="77777777" w:rsidR="00EA6577" w:rsidRPr="001A2F85" w:rsidRDefault="00A45AB3" w:rsidP="000B6604">
            <w:pPr>
              <w:pStyle w:val="tagpartBanner"/>
              <w:keepNext/>
            </w:pPr>
            <w:r>
              <w:rPr>
                <w:noProof/>
                <w:lang w:eastAsia="en-AU"/>
              </w:rPr>
              <mc:AlternateContent>
                <mc:Choice Requires="wps">
                  <w:drawing>
                    <wp:anchor distT="0" distB="0" distL="114300" distR="114300" simplePos="0" relativeHeight="251618304" behindDoc="0" locked="1" layoutInCell="1" allowOverlap="1" wp14:anchorId="10BD0609" wp14:editId="4DFE6891">
                      <wp:simplePos x="0" y="0"/>
                      <wp:positionH relativeFrom="page">
                        <wp:posOffset>158750</wp:posOffset>
                      </wp:positionH>
                      <wp:positionV relativeFrom="page">
                        <wp:posOffset>6350</wp:posOffset>
                      </wp:positionV>
                      <wp:extent cx="439420" cy="215265"/>
                      <wp:effectExtent l="0" t="0" r="0" b="0"/>
                      <wp:wrapNone/>
                      <wp:docPr id="14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E0E22C" id="Freeform 5" o:spid="_x0000_s1026" style="position:absolute;margin-left:12.5pt;margin-top:.5pt;width:34.6pt;height:16.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C8n5UmfQMAAMI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7192ED5A" w14:textId="77777777" w:rsidR="00EA6577" w:rsidRPr="001A2F85" w:rsidRDefault="00EA6577" w:rsidP="000B6604">
            <w:pPr>
              <w:pStyle w:val="spacer"/>
            </w:pPr>
          </w:p>
        </w:tc>
      </w:tr>
      <w:tr w:rsidR="00EA6577" w:rsidRPr="001A2F85" w14:paraId="12A12690" w14:textId="77777777" w:rsidTr="000B6604">
        <w:trPr>
          <w:trHeight w:hRule="exact" w:val="3665"/>
        </w:trPr>
        <w:tc>
          <w:tcPr>
            <w:tcW w:w="4728" w:type="dxa"/>
            <w:shd w:val="clear" w:color="auto" w:fill="9D57A6"/>
            <w:tcMar>
              <w:left w:w="0" w:type="dxa"/>
            </w:tcMar>
            <w:vAlign w:val="bottom"/>
          </w:tcPr>
          <w:p w14:paraId="5B7CF65D" w14:textId="77777777" w:rsidR="00EA6577" w:rsidRPr="001A2F85" w:rsidRDefault="00EA6577" w:rsidP="00D349AB">
            <w:pPr>
              <w:pStyle w:val="Part-HeadingBanner"/>
              <w:keepNext/>
            </w:pPr>
            <w:r w:rsidRPr="001A2F85">
              <w:t>Part</w:t>
            </w:r>
            <w:r w:rsidR="00D349AB" w:rsidRPr="001A2F85">
              <w:t xml:space="preserve"> 2: Effectiveness and efficiency of the HEPPP</w:t>
            </w:r>
          </w:p>
        </w:tc>
        <w:tc>
          <w:tcPr>
            <w:tcW w:w="3430" w:type="dxa"/>
            <w:shd w:val="clear" w:color="auto" w:fill="9D57A6"/>
            <w:tcMar>
              <w:right w:w="316" w:type="dxa"/>
            </w:tcMar>
          </w:tcPr>
          <w:p w14:paraId="64044392" w14:textId="77777777" w:rsidR="00EA6577" w:rsidRPr="001A2F85" w:rsidRDefault="008C090E" w:rsidP="000B6604">
            <w:pPr>
              <w:pStyle w:val="Part-Number"/>
            </w:pPr>
            <w:r>
              <w:rPr>
                <w:noProof/>
              </w:rPr>
              <w:t>II</w:t>
            </w:r>
          </w:p>
        </w:tc>
      </w:tr>
      <w:tr w:rsidR="00EA6577" w:rsidRPr="001A2F85" w14:paraId="6003D4F5" w14:textId="77777777" w:rsidTr="000B6604">
        <w:trPr>
          <w:trHeight w:hRule="exact" w:val="232"/>
        </w:trPr>
        <w:tc>
          <w:tcPr>
            <w:tcW w:w="4728" w:type="dxa"/>
            <w:shd w:val="clear" w:color="auto" w:fill="9D57A6"/>
            <w:tcMar>
              <w:left w:w="0" w:type="dxa"/>
            </w:tcMar>
          </w:tcPr>
          <w:p w14:paraId="4B5112B7" w14:textId="77777777" w:rsidR="00EA6577" w:rsidRPr="001A2F85" w:rsidRDefault="00EA6577" w:rsidP="000B6604">
            <w:pPr>
              <w:pStyle w:val="spacer"/>
            </w:pPr>
          </w:p>
        </w:tc>
        <w:tc>
          <w:tcPr>
            <w:tcW w:w="3430" w:type="dxa"/>
            <w:shd w:val="clear" w:color="auto" w:fill="9D57A6"/>
            <w:tcMar>
              <w:right w:w="344" w:type="dxa"/>
            </w:tcMar>
          </w:tcPr>
          <w:p w14:paraId="0047DD5C" w14:textId="77777777" w:rsidR="00EA6577" w:rsidRPr="001A2F85" w:rsidRDefault="00EA6577" w:rsidP="000B6604">
            <w:pPr>
              <w:pStyle w:val="Partxx"/>
              <w:keepNext/>
            </w:pPr>
            <w:bookmarkStart w:id="142" w:name="_Toc466657121"/>
            <w:r w:rsidRPr="001A2F85">
              <w:t xml:space="preserve">PART </w:t>
            </w:r>
            <w:r w:rsidR="008C090E">
              <w:rPr>
                <w:noProof/>
              </w:rPr>
              <w:t>II</w:t>
            </w:r>
            <w:bookmarkEnd w:id="142"/>
          </w:p>
        </w:tc>
      </w:tr>
      <w:tr w:rsidR="00EA6577" w:rsidRPr="001A2F85" w14:paraId="2680A905" w14:textId="77777777" w:rsidTr="000B6604">
        <w:trPr>
          <w:trHeight w:hRule="exact" w:val="228"/>
        </w:trPr>
        <w:tc>
          <w:tcPr>
            <w:tcW w:w="4728" w:type="dxa"/>
            <w:tcBorders>
              <w:top w:val="single" w:sz="4" w:space="0" w:color="9D57A6"/>
            </w:tcBorders>
          </w:tcPr>
          <w:p w14:paraId="0E0DA03D" w14:textId="77777777" w:rsidR="00EA6577" w:rsidRPr="001A2F85" w:rsidRDefault="00EA6577" w:rsidP="000B6604">
            <w:pPr>
              <w:pStyle w:val="spacer"/>
            </w:pPr>
          </w:p>
        </w:tc>
        <w:tc>
          <w:tcPr>
            <w:tcW w:w="3430" w:type="dxa"/>
            <w:tcBorders>
              <w:top w:val="single" w:sz="4" w:space="0" w:color="9D57A6"/>
            </w:tcBorders>
          </w:tcPr>
          <w:p w14:paraId="3BC8EEDF" w14:textId="77777777" w:rsidR="00EA6577" w:rsidRPr="001A2F85" w:rsidRDefault="00EA6577" w:rsidP="000B6604">
            <w:pPr>
              <w:pStyle w:val="spacer"/>
            </w:pPr>
          </w:p>
        </w:tc>
      </w:tr>
    </w:tbl>
    <w:p w14:paraId="30E0EDA6" w14:textId="77777777" w:rsidR="00EA6577" w:rsidRPr="001A2F85" w:rsidRDefault="00EA6577" w:rsidP="000B6604">
      <w:pPr>
        <w:pStyle w:val="BodyText"/>
      </w:pPr>
    </w:p>
    <w:p w14:paraId="4009C20F" w14:textId="77777777" w:rsidR="00EA6577" w:rsidRPr="001A2F85" w:rsidRDefault="00EA6577" w:rsidP="000B6604">
      <w:pPr>
        <w:pStyle w:val="BodyText"/>
      </w:pPr>
    </w:p>
    <w:p w14:paraId="5166A199" w14:textId="77777777" w:rsidR="00EA6577" w:rsidRPr="001A2F85" w:rsidRDefault="00EA6577" w:rsidP="000B6604">
      <w:pPr>
        <w:pStyle w:val="BodyText"/>
      </w:pPr>
    </w:p>
    <w:p w14:paraId="695256DA" w14:textId="77777777" w:rsidR="00EA6577" w:rsidRPr="001A2F85" w:rsidRDefault="00EA6577" w:rsidP="000B6604">
      <w:pPr>
        <w:pStyle w:val="BodyText"/>
      </w:pPr>
    </w:p>
    <w:p w14:paraId="16DAD518" w14:textId="77777777" w:rsidR="00EA6577" w:rsidRPr="001A2F85" w:rsidRDefault="00EA6577" w:rsidP="000B6604">
      <w:pPr>
        <w:pStyle w:val="BodyText"/>
      </w:pPr>
    </w:p>
    <w:p w14:paraId="642DC2C6" w14:textId="77777777" w:rsidR="00EA6577" w:rsidRPr="001A2F85" w:rsidRDefault="00EA6577" w:rsidP="000B6604">
      <w:pPr>
        <w:pStyle w:val="BodyText"/>
      </w:pPr>
    </w:p>
    <w:p w14:paraId="4A960397" w14:textId="77777777" w:rsidR="00EA6577" w:rsidRPr="001A2F85" w:rsidRDefault="00EA6577" w:rsidP="000B6604">
      <w:pPr>
        <w:pStyle w:val="BodyText"/>
      </w:pPr>
    </w:p>
    <w:p w14:paraId="781493A4" w14:textId="77777777" w:rsidR="00EA6577" w:rsidRPr="001A2F85" w:rsidRDefault="00EA6577" w:rsidP="000B6604">
      <w:pPr>
        <w:pStyle w:val="BodyText"/>
      </w:pPr>
    </w:p>
    <w:p w14:paraId="4870E7F9" w14:textId="77777777" w:rsidR="00EA6577" w:rsidRPr="001A2F85" w:rsidRDefault="00EA6577" w:rsidP="000B6604">
      <w:pPr>
        <w:pStyle w:val="BodyText"/>
      </w:pPr>
    </w:p>
    <w:p w14:paraId="2E801CCA" w14:textId="77777777" w:rsidR="00EA6577" w:rsidRPr="001A2F85" w:rsidRDefault="00EA6577" w:rsidP="000B6604">
      <w:pPr>
        <w:pStyle w:val="BodyText"/>
      </w:pPr>
    </w:p>
    <w:p w14:paraId="03DD495A" w14:textId="77777777" w:rsidR="00EA6577" w:rsidRPr="001A2F85" w:rsidRDefault="00EA6577" w:rsidP="000B6604">
      <w:pPr>
        <w:pStyle w:val="BodyText"/>
      </w:pPr>
    </w:p>
    <w:p w14:paraId="5B53BE9C" w14:textId="77777777" w:rsidR="00EA6577" w:rsidRPr="001A2F85" w:rsidRDefault="00EA6577" w:rsidP="000B6604">
      <w:pPr>
        <w:pStyle w:val="BodyText"/>
      </w:pPr>
    </w:p>
    <w:p w14:paraId="36C45A5D" w14:textId="77777777" w:rsidR="00EA6577" w:rsidRPr="001A2F85" w:rsidRDefault="00EA6577" w:rsidP="000B6604">
      <w:pPr>
        <w:pStyle w:val="BodyText"/>
      </w:pPr>
    </w:p>
    <w:p w14:paraId="25CB66A5" w14:textId="77777777" w:rsidR="00EA6577" w:rsidRPr="001A2F85" w:rsidRDefault="00EA6577" w:rsidP="000B6604">
      <w:pPr>
        <w:pStyle w:val="BodyText"/>
      </w:pPr>
    </w:p>
    <w:p w14:paraId="072D9F03" w14:textId="77777777" w:rsidR="00EA6577" w:rsidRPr="001A2F85" w:rsidRDefault="00EA6577" w:rsidP="000B6604">
      <w:pPr>
        <w:pStyle w:val="BodyText"/>
      </w:pPr>
    </w:p>
    <w:p w14:paraId="7C39EC1C" w14:textId="77777777" w:rsidR="00EA6577" w:rsidRPr="001A2F85" w:rsidRDefault="00EA6577" w:rsidP="000B6604">
      <w:pPr>
        <w:pStyle w:val="BodyText"/>
      </w:pPr>
    </w:p>
    <w:p w14:paraId="5523ECF3" w14:textId="77777777" w:rsidR="00EA6577" w:rsidRPr="001A2F85" w:rsidRDefault="00EA6577" w:rsidP="000B6604">
      <w:pPr>
        <w:pStyle w:val="BodyText"/>
      </w:pPr>
    </w:p>
    <w:p w14:paraId="5E460D01" w14:textId="77777777" w:rsidR="00EA6577" w:rsidRPr="001A2F85" w:rsidRDefault="00EA6577" w:rsidP="000B6604">
      <w:pPr>
        <w:pStyle w:val="BodyText"/>
      </w:pPr>
    </w:p>
    <w:p w14:paraId="406DBA54" w14:textId="77777777" w:rsidR="00EA6577" w:rsidRPr="001A2F85" w:rsidRDefault="00EA6577" w:rsidP="000B6604">
      <w:pPr>
        <w:pStyle w:val="BodyText"/>
        <w:sectPr w:rsidR="00EA6577" w:rsidRPr="001A2F85" w:rsidSect="000B6604">
          <w:headerReference w:type="even" r:id="rId98"/>
          <w:headerReference w:type="default" r:id="rId99"/>
          <w:footerReference w:type="even" r:id="rId100"/>
          <w:footerReference w:type="default" r:id="rId101"/>
          <w:headerReference w:type="first" r:id="rId102"/>
          <w:footerReference w:type="first" r:id="rId103"/>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EA6577" w:rsidRPr="001A2F85" w14:paraId="18572CA9" w14:textId="77777777" w:rsidTr="000B6604">
        <w:trPr>
          <w:trHeight w:hRule="exact" w:val="382"/>
        </w:trPr>
        <w:tc>
          <w:tcPr>
            <w:tcW w:w="4738" w:type="dxa"/>
            <w:shd w:val="clear" w:color="auto" w:fill="9D57A6"/>
          </w:tcPr>
          <w:p w14:paraId="4C91EF9F" w14:textId="77777777" w:rsidR="00EA6577" w:rsidRPr="001A2F85" w:rsidRDefault="00A45AB3" w:rsidP="00EA6577">
            <w:pPr>
              <w:pStyle w:val="tagchapterBanner"/>
            </w:pPr>
            <w:r>
              <w:rPr>
                <w:noProof/>
                <w:lang w:eastAsia="en-AU"/>
              </w:rPr>
              <mc:AlternateContent>
                <mc:Choice Requires="wps">
                  <w:drawing>
                    <wp:anchor distT="0" distB="0" distL="114300" distR="114300" simplePos="0" relativeHeight="251619328" behindDoc="0" locked="1" layoutInCell="1" allowOverlap="1" wp14:anchorId="34C05692" wp14:editId="33FE61C3">
                      <wp:simplePos x="0" y="0"/>
                      <wp:positionH relativeFrom="page">
                        <wp:posOffset>158750</wp:posOffset>
                      </wp:positionH>
                      <wp:positionV relativeFrom="page">
                        <wp:posOffset>6350</wp:posOffset>
                      </wp:positionV>
                      <wp:extent cx="439420" cy="215265"/>
                      <wp:effectExtent l="0" t="0" r="0" b="0"/>
                      <wp:wrapNone/>
                      <wp:docPr id="23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013342" id="Freeform 5" o:spid="_x0000_s1026" style="position:absolute;margin-left:12.5pt;margin-top:.5pt;width:34.6pt;height:16.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f/m4jn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15A28F11" w14:textId="77777777" w:rsidR="00EA6577" w:rsidRPr="001A2F85" w:rsidRDefault="00EA6577" w:rsidP="000B6604">
            <w:pPr>
              <w:pStyle w:val="spacer"/>
            </w:pPr>
          </w:p>
        </w:tc>
      </w:tr>
      <w:tr w:rsidR="00EA6577" w:rsidRPr="001A2F85" w14:paraId="7B3FA0A3" w14:textId="77777777" w:rsidTr="000B6604">
        <w:trPr>
          <w:trHeight w:hRule="exact" w:val="3665"/>
        </w:trPr>
        <w:tc>
          <w:tcPr>
            <w:tcW w:w="4738" w:type="dxa"/>
            <w:shd w:val="clear" w:color="auto" w:fill="9D57A6"/>
            <w:tcMar>
              <w:left w:w="0" w:type="dxa"/>
              <w:bottom w:w="0" w:type="dxa"/>
            </w:tcMar>
            <w:vAlign w:val="bottom"/>
          </w:tcPr>
          <w:p w14:paraId="63590CAF" w14:textId="77777777" w:rsidR="00EA6577" w:rsidRPr="001A2F85" w:rsidRDefault="005367E8" w:rsidP="000729C9">
            <w:pPr>
              <w:pStyle w:val="Heading1"/>
              <w:outlineLvl w:val="0"/>
            </w:pPr>
            <w:r w:rsidRPr="001A2F85">
              <w:t xml:space="preserve">Pre-Access: Outreach to </w:t>
            </w:r>
            <w:r w:rsidR="00383EA6">
              <w:t>S</w:t>
            </w:r>
            <w:r w:rsidR="00383EA6" w:rsidRPr="001A2F85">
              <w:t xml:space="preserve">chools </w:t>
            </w:r>
            <w:r w:rsidRPr="001A2F85">
              <w:t xml:space="preserve">and </w:t>
            </w:r>
            <w:r w:rsidR="00383EA6">
              <w:t>C</w:t>
            </w:r>
            <w:r w:rsidR="00383EA6" w:rsidRPr="001A2F85">
              <w:t>ommunities</w:t>
            </w:r>
          </w:p>
        </w:tc>
        <w:tc>
          <w:tcPr>
            <w:tcW w:w="3430" w:type="dxa"/>
            <w:shd w:val="clear" w:color="auto" w:fill="9D57A6"/>
            <w:tcMar>
              <w:right w:w="344" w:type="dxa"/>
            </w:tcMar>
          </w:tcPr>
          <w:p w14:paraId="6A4885BD" w14:textId="77777777" w:rsidR="00EA6577" w:rsidRPr="001A2F85" w:rsidRDefault="008C090E" w:rsidP="000B6604">
            <w:pPr>
              <w:pStyle w:val="HeadingChapter"/>
              <w:keepNext/>
            </w:pPr>
            <w:bookmarkStart w:id="143" w:name="_Toc466657122"/>
            <w:r>
              <w:t>4</w:t>
            </w:r>
            <w:bookmarkEnd w:id="143"/>
          </w:p>
        </w:tc>
      </w:tr>
      <w:tr w:rsidR="00EA6577" w:rsidRPr="001A2F85" w14:paraId="53C87E11" w14:textId="77777777" w:rsidTr="000B6604">
        <w:trPr>
          <w:trHeight w:hRule="exact" w:val="232"/>
        </w:trPr>
        <w:tc>
          <w:tcPr>
            <w:tcW w:w="4738" w:type="dxa"/>
            <w:shd w:val="clear" w:color="auto" w:fill="9D57A6"/>
          </w:tcPr>
          <w:p w14:paraId="53028C84" w14:textId="77777777" w:rsidR="00EA6577" w:rsidRPr="001A2F85" w:rsidRDefault="00EA6577" w:rsidP="000B6604">
            <w:pPr>
              <w:pStyle w:val="Chpt-Context"/>
            </w:pPr>
          </w:p>
        </w:tc>
        <w:tc>
          <w:tcPr>
            <w:tcW w:w="3430" w:type="dxa"/>
            <w:shd w:val="clear" w:color="auto" w:fill="9D57A6"/>
          </w:tcPr>
          <w:p w14:paraId="23D5952C" w14:textId="77777777" w:rsidR="00EA6577" w:rsidRPr="001A2F85" w:rsidRDefault="008C090E" w:rsidP="000B6604">
            <w:pPr>
              <w:pStyle w:val="Chpt-Context"/>
            </w:pPr>
            <w:bookmarkStart w:id="144" w:name="_Toc466657123"/>
            <w:r>
              <w:rPr>
                <w:noProof/>
              </w:rPr>
              <w:t>Pre-Access: Outreach to Schools and Communities</w:t>
            </w:r>
            <w:bookmarkEnd w:id="144"/>
          </w:p>
        </w:tc>
      </w:tr>
      <w:tr w:rsidR="00EA6577" w:rsidRPr="001A2F85" w14:paraId="0223298F" w14:textId="77777777" w:rsidTr="000B6604">
        <w:trPr>
          <w:trHeight w:hRule="exact" w:val="228"/>
        </w:trPr>
        <w:tc>
          <w:tcPr>
            <w:tcW w:w="4738" w:type="dxa"/>
            <w:tcBorders>
              <w:top w:val="single" w:sz="4" w:space="0" w:color="9D57A6"/>
            </w:tcBorders>
          </w:tcPr>
          <w:p w14:paraId="4D993E26" w14:textId="77777777" w:rsidR="00EA6577" w:rsidRPr="001A2F85" w:rsidRDefault="00EA6577" w:rsidP="000B6604">
            <w:pPr>
              <w:pStyle w:val="spacer"/>
            </w:pPr>
          </w:p>
        </w:tc>
        <w:tc>
          <w:tcPr>
            <w:tcW w:w="3430" w:type="dxa"/>
            <w:tcBorders>
              <w:top w:val="single" w:sz="4" w:space="0" w:color="9D57A6"/>
            </w:tcBorders>
          </w:tcPr>
          <w:p w14:paraId="0AF207D5" w14:textId="77777777" w:rsidR="00EA6577" w:rsidRPr="001A2F85" w:rsidRDefault="00EA6577" w:rsidP="000B6604">
            <w:pPr>
              <w:pStyle w:val="spacer"/>
            </w:pPr>
          </w:p>
        </w:tc>
      </w:tr>
    </w:tbl>
    <w:p w14:paraId="19FE08C0" w14:textId="77777777" w:rsidR="00285967" w:rsidRDefault="00285967" w:rsidP="00AD49C8">
      <w:pPr>
        <w:pStyle w:val="Introduction"/>
      </w:pPr>
      <w:r>
        <w:t xml:space="preserve">This chapter </w:t>
      </w:r>
      <w:r w:rsidR="003A3BA4">
        <w:t>provides</w:t>
      </w:r>
      <w:r w:rsidR="00107EBA">
        <w:t xml:space="preserve"> an</w:t>
      </w:r>
      <w:r w:rsidR="003A3BA4">
        <w:t xml:space="preserve"> </w:t>
      </w:r>
      <w:r w:rsidR="006B6BAD">
        <w:t>analysis</w:t>
      </w:r>
      <w:r w:rsidR="003A3BA4">
        <w:t xml:space="preserve"> of the range and impact of</w:t>
      </w:r>
      <w:r w:rsidR="005F689A">
        <w:t xml:space="preserve"> HEPPP activities </w:t>
      </w:r>
      <w:r w:rsidR="006B6BAD">
        <w:t>carried out by universities</w:t>
      </w:r>
      <w:r w:rsidR="003A3BA4">
        <w:t xml:space="preserve"> </w:t>
      </w:r>
      <w:r w:rsidR="005F689A">
        <w:t>at the Pre</w:t>
      </w:r>
      <w:r w:rsidR="006B6BAD">
        <w:noBreakHyphen/>
      </w:r>
      <w:r w:rsidR="005F689A">
        <w:t>Access stage</w:t>
      </w:r>
      <w:r w:rsidR="006B6BAD">
        <w:t xml:space="preserve"> of the</w:t>
      </w:r>
      <w:r w:rsidR="006B6BAD" w:rsidRPr="006B6BAD">
        <w:t xml:space="preserve"> </w:t>
      </w:r>
      <w:r w:rsidR="006B6BAD">
        <w:t>EIF student life cycle.</w:t>
      </w:r>
    </w:p>
    <w:p w14:paraId="41A27143" w14:textId="77777777" w:rsidR="004D175A" w:rsidRDefault="004D175A" w:rsidP="004D175A">
      <w:pPr>
        <w:pStyle w:val="BodyText"/>
      </w:pPr>
      <w:r>
        <w:t>Outreach to schools and communities is the first stage of the student life cycle in the EIF, covering the student’s life up to the point of access to higher education (</w:t>
      </w:r>
      <w:r w:rsidR="009F5C29">
        <w:t>Bennett et </w:t>
      </w:r>
      <w:r>
        <w:t>al. 2015). The following stage, Pathways and Admissions, covers the entry process to higher education, and targets school leavers as well as mature age and VET students.</w:t>
      </w:r>
    </w:p>
    <w:p w14:paraId="0FDFFB13" w14:textId="77777777" w:rsidR="004D175A" w:rsidRDefault="004D175A" w:rsidP="004D175A">
      <w:pPr>
        <w:pStyle w:val="BodyText"/>
      </w:pPr>
      <w:r>
        <w:t>The primary aim for outreach activities, as identified in the EIF, is to ‘increase awareness of higher education pathways, opportunities and associated careers by supporting and developing aspirations and expectations’. Activities are targeted at school students and their communities—including infants, primary and secondary school students, and their teachers and parents, as well as members of their broader communities (Bennett et al. 2015). Additionally, a number of HEPPP partnership projects have been targeted towards prison communities.</w:t>
      </w:r>
    </w:p>
    <w:p w14:paraId="1EAFB250" w14:textId="77777777" w:rsidR="004D175A" w:rsidRDefault="004D175A" w:rsidP="004D175A">
      <w:pPr>
        <w:pStyle w:val="BodyText"/>
      </w:pPr>
      <w:r>
        <w:t xml:space="preserve">Outreach activities are considered to be Partnership activities under the HEPPP, although they may be funded through either the Partnership or the Participation component. Chapter </w:t>
      </w:r>
      <w:r w:rsidRPr="00AD49C8">
        <w:t>2</w:t>
      </w:r>
      <w:r>
        <w:t xml:space="preserve"> in this report has further information about each component, including the objectives, intentions and principles for Partnership activities </w:t>
      </w:r>
      <w:bookmarkStart w:id="145" w:name="_Ref462329225"/>
      <w:bookmarkStart w:id="146" w:name="_Toc463029761"/>
      <w:bookmarkStart w:id="147" w:name="_Ref462826041"/>
      <w:r>
        <w:t>that are prescribed by the Guidelines.</w:t>
      </w:r>
    </w:p>
    <w:p w14:paraId="5558798F" w14:textId="77777777" w:rsidR="004D175A" w:rsidRDefault="004D175A" w:rsidP="00A45AB3">
      <w:pPr>
        <w:pStyle w:val="Heading2"/>
        <w:numPr>
          <w:ilvl w:val="1"/>
          <w:numId w:val="45"/>
        </w:numPr>
      </w:pPr>
      <w:bookmarkStart w:id="148" w:name="_Ref464489980"/>
      <w:bookmarkStart w:id="149" w:name="_Toc466657124"/>
      <w:r>
        <w:t>Overview of HEPPP Pre-Access</w:t>
      </w:r>
      <w:bookmarkEnd w:id="145"/>
      <w:r>
        <w:t xml:space="preserve"> stage activities</w:t>
      </w:r>
      <w:bookmarkEnd w:id="146"/>
      <w:bookmarkEnd w:id="147"/>
      <w:bookmarkEnd w:id="148"/>
      <w:bookmarkEnd w:id="149"/>
      <w:r>
        <w:t xml:space="preserve"> </w:t>
      </w:r>
    </w:p>
    <w:p w14:paraId="3E3C3C44" w14:textId="77777777" w:rsidR="004D175A" w:rsidRDefault="004D175A" w:rsidP="004D175A">
      <w:pPr>
        <w:pStyle w:val="ListNumber2"/>
        <w:numPr>
          <w:ilvl w:val="0"/>
          <w:numId w:val="0"/>
        </w:numPr>
      </w:pPr>
      <w:r>
        <w:t>The types of outreach activities undertaken by universities under the HEPPP ‘vary in structure, length and approach’ (Bennett et al. 2015), although they generally fit into one or more of the following categories:</w:t>
      </w:r>
    </w:p>
    <w:p w14:paraId="27E0C3F6" w14:textId="77777777" w:rsidR="004D175A" w:rsidRDefault="004D175A" w:rsidP="00A45AB3">
      <w:pPr>
        <w:pStyle w:val="ListBullet"/>
        <w:numPr>
          <w:ilvl w:val="0"/>
          <w:numId w:val="46"/>
        </w:numPr>
      </w:pPr>
      <w:r>
        <w:t>aspiration-raising – pre-entry university experience</w:t>
      </w:r>
    </w:p>
    <w:p w14:paraId="74CA843D" w14:textId="77777777" w:rsidR="004D175A" w:rsidRDefault="004D175A" w:rsidP="00A45AB3">
      <w:pPr>
        <w:pStyle w:val="ListBullet"/>
        <w:numPr>
          <w:ilvl w:val="0"/>
          <w:numId w:val="46"/>
        </w:numPr>
      </w:pPr>
      <w:r>
        <w:t>aspiration-raising – non university experience</w:t>
      </w:r>
    </w:p>
    <w:p w14:paraId="18400A21" w14:textId="77777777" w:rsidR="004D175A" w:rsidRDefault="004D175A" w:rsidP="00A45AB3">
      <w:pPr>
        <w:pStyle w:val="ListBullet"/>
        <w:numPr>
          <w:ilvl w:val="0"/>
          <w:numId w:val="46"/>
        </w:numPr>
      </w:pPr>
      <w:r>
        <w:t>careers advice</w:t>
      </w:r>
    </w:p>
    <w:p w14:paraId="6BD1521A" w14:textId="77777777" w:rsidR="004D175A" w:rsidRDefault="004D175A" w:rsidP="00A45AB3">
      <w:pPr>
        <w:pStyle w:val="ListBullet"/>
        <w:numPr>
          <w:ilvl w:val="0"/>
          <w:numId w:val="46"/>
        </w:numPr>
      </w:pPr>
      <w:r>
        <w:t>mentoring, peer support</w:t>
      </w:r>
    </w:p>
    <w:p w14:paraId="58479F89" w14:textId="77777777" w:rsidR="004D175A" w:rsidRDefault="004D175A" w:rsidP="00A45AB3">
      <w:pPr>
        <w:pStyle w:val="ListBullet"/>
        <w:numPr>
          <w:ilvl w:val="0"/>
          <w:numId w:val="46"/>
        </w:numPr>
      </w:pPr>
      <w:r>
        <w:t>academic preparation/support</w:t>
      </w:r>
    </w:p>
    <w:p w14:paraId="4EC040C8" w14:textId="77777777" w:rsidR="004D175A" w:rsidRDefault="004D175A" w:rsidP="00A45AB3">
      <w:pPr>
        <w:pStyle w:val="ListBullet"/>
        <w:numPr>
          <w:ilvl w:val="0"/>
          <w:numId w:val="46"/>
        </w:numPr>
      </w:pPr>
      <w:r>
        <w:t>professional development</w:t>
      </w:r>
    </w:p>
    <w:p w14:paraId="408215B8" w14:textId="77777777" w:rsidR="004D175A" w:rsidRDefault="004D175A" w:rsidP="00A45AB3">
      <w:pPr>
        <w:pStyle w:val="ListBullet"/>
        <w:numPr>
          <w:ilvl w:val="0"/>
          <w:numId w:val="46"/>
        </w:numPr>
      </w:pPr>
      <w:r>
        <w:t>parent/community information/support</w:t>
      </w:r>
    </w:p>
    <w:p w14:paraId="5987FE3F" w14:textId="77777777" w:rsidR="004D175A" w:rsidRDefault="004D175A" w:rsidP="00A45AB3">
      <w:pPr>
        <w:pStyle w:val="ListBullet"/>
        <w:numPr>
          <w:ilvl w:val="0"/>
          <w:numId w:val="46"/>
        </w:numPr>
      </w:pPr>
      <w:r>
        <w:t>other outreach.</w:t>
      </w:r>
    </w:p>
    <w:p w14:paraId="51319EE3" w14:textId="77777777" w:rsidR="004D175A" w:rsidRDefault="004D175A" w:rsidP="004D175A">
      <w:pPr>
        <w:pStyle w:val="BodyText"/>
      </w:pPr>
      <w:r>
        <w:t xml:space="preserve">Each of these is discussed in depth below in </w:t>
      </w:r>
      <w:r w:rsidR="00C71CE9">
        <w:t xml:space="preserve">Section </w:t>
      </w:r>
      <w:r w:rsidR="008C090E">
        <w:t>4.2</w:t>
      </w:r>
      <w:r>
        <w:t>, including the purpose of the activity and the types and impact of relevant projects that have been undertaken through the HEPPP.</w:t>
      </w:r>
    </w:p>
    <w:p w14:paraId="77A948CC" w14:textId="77777777" w:rsidR="004D175A" w:rsidRDefault="004D175A" w:rsidP="00A45AB3">
      <w:pPr>
        <w:pStyle w:val="Heading3"/>
        <w:numPr>
          <w:ilvl w:val="2"/>
          <w:numId w:val="45"/>
        </w:numPr>
        <w:ind w:left="720" w:hanging="720"/>
      </w:pPr>
      <w:r>
        <w:t>Nature and extent of activities</w:t>
      </w:r>
    </w:p>
    <w:p w14:paraId="345AAE40" w14:textId="77777777" w:rsidR="004B5E79" w:rsidRDefault="004D175A" w:rsidP="004D175A">
      <w:pPr>
        <w:pStyle w:val="BodyText"/>
      </w:pPr>
      <w:r>
        <w:t xml:space="preserve">Projects undertaken by universities using HEPPP funding </w:t>
      </w:r>
      <w:r w:rsidR="004B5E79">
        <w:t xml:space="preserve">between 2010 and 2015 </w:t>
      </w:r>
      <w:r>
        <w:t xml:space="preserve">(Participation, Partnership grant, baseline and formula) were categorised according to their type and location within the EIF Student Life Cycle, using the annual reports universities provided to the Department. </w:t>
      </w:r>
    </w:p>
    <w:p w14:paraId="15DB95B5" w14:textId="77777777" w:rsidR="004D175A" w:rsidRDefault="004B5E79" w:rsidP="004D175A">
      <w:pPr>
        <w:pStyle w:val="BodyText"/>
      </w:pPr>
      <w:r>
        <w:t xml:space="preserve">Activities intended to raise participants’ aspirations for higher education were the most common type of activity undertaken at the </w:t>
      </w:r>
      <w:r w:rsidR="00107614">
        <w:t>Pre-</w:t>
      </w:r>
      <w:r>
        <w:t>Access stage of the life cycle (</w:t>
      </w:r>
      <w:r w:rsidR="008C090E" w:rsidRPr="00AD49C8">
        <w:t>Figure 4.1</w:t>
      </w:r>
      <w:r>
        <w:t xml:space="preserve">). In total, these activities were included in 68 per cent of </w:t>
      </w:r>
      <w:r w:rsidR="00107614">
        <w:t>Pre-</w:t>
      </w:r>
      <w:r>
        <w:t>Access projects—36 per</w:t>
      </w:r>
      <w:r w:rsidR="00FD3276">
        <w:t> </w:t>
      </w:r>
      <w:r>
        <w:t xml:space="preserve">cent of projects involved </w:t>
      </w:r>
      <w:r w:rsidR="00FD3276">
        <w:t xml:space="preserve">aspiration raising through </w:t>
      </w:r>
      <w:r>
        <w:t>non-university experience</w:t>
      </w:r>
      <w:r w:rsidR="00FD3276">
        <w:t>, and 32 per cent involved providing participants with pre-entry university experience. The next most common type of activity was a</w:t>
      </w:r>
      <w:r w:rsidR="004D175A">
        <w:t>cademic preparation/support</w:t>
      </w:r>
      <w:r w:rsidR="00FD3276">
        <w:t>, which</w:t>
      </w:r>
      <w:r w:rsidR="004D175A">
        <w:t xml:space="preserve"> was included in 31 per cent of projects. </w:t>
      </w:r>
      <w:r w:rsidR="00FD3276">
        <w:t xml:space="preserve">The provision of information </w:t>
      </w:r>
      <w:r w:rsidR="004D175A">
        <w:t>and support for parents and community members was also relatively common (23 per cent), as was mentoring (18 per cent).</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56FFC24C" w14:textId="77777777" w:rsidTr="004D175A">
        <w:trPr>
          <w:cantSplit/>
          <w:trHeight w:val="160"/>
        </w:trPr>
        <w:tc>
          <w:tcPr>
            <w:tcW w:w="8168" w:type="dxa"/>
            <w:tcBorders>
              <w:top w:val="nil"/>
              <w:left w:val="nil"/>
              <w:bottom w:val="single" w:sz="4" w:space="0" w:color="auto"/>
              <w:right w:val="nil"/>
            </w:tcBorders>
          </w:tcPr>
          <w:p w14:paraId="240B0D08" w14:textId="77777777" w:rsidR="004D175A" w:rsidRDefault="004D175A">
            <w:pPr>
              <w:pStyle w:val="spacer"/>
              <w:rPr>
                <w:lang w:val="en-US"/>
              </w:rPr>
            </w:pPr>
          </w:p>
        </w:tc>
      </w:tr>
      <w:tr w:rsidR="004D175A" w14:paraId="6D7ECBDE" w14:textId="77777777" w:rsidTr="004D175A">
        <w:trPr>
          <w:cantSplit/>
        </w:trPr>
        <w:tc>
          <w:tcPr>
            <w:tcW w:w="8168" w:type="dxa"/>
            <w:tcBorders>
              <w:top w:val="single" w:sz="4" w:space="0" w:color="auto"/>
              <w:left w:val="nil"/>
              <w:bottom w:val="nil"/>
              <w:right w:val="nil"/>
            </w:tcBorders>
            <w:hideMark/>
          </w:tcPr>
          <w:p w14:paraId="2CCDC802" w14:textId="77777777" w:rsidR="004D175A" w:rsidRDefault="004D175A">
            <w:pPr>
              <w:pStyle w:val="Caption"/>
              <w:rPr>
                <w:lang w:val="en-US"/>
              </w:rPr>
            </w:pPr>
            <w:bookmarkStart w:id="150" w:name="_Ref462908907"/>
            <w:bookmarkStart w:id="151" w:name="_Toc463029839"/>
            <w:bookmarkStart w:id="152" w:name="_Toc466655664"/>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1</w:t>
            </w:r>
            <w:bookmarkEnd w:id="150"/>
            <w:r>
              <w:rPr>
                <w:lang w:val="en-US"/>
              </w:rPr>
              <w:tab/>
              <w:t>proportion of HEPPP outreach projects containing each activity, 2010</w:t>
            </w:r>
            <w:r>
              <w:rPr>
                <w:lang w:val="en-US"/>
              </w:rPr>
              <w:noBreakHyphen/>
              <w:t>2015</w:t>
            </w:r>
            <w:bookmarkEnd w:id="151"/>
            <w:bookmarkEnd w:id="152"/>
          </w:p>
        </w:tc>
      </w:tr>
      <w:tr w:rsidR="004D175A" w14:paraId="5E2DE5CE" w14:textId="77777777" w:rsidTr="004D175A">
        <w:trPr>
          <w:cantSplit/>
          <w:trHeight w:val="380"/>
        </w:trPr>
        <w:tc>
          <w:tcPr>
            <w:tcW w:w="8168" w:type="dxa"/>
            <w:tcBorders>
              <w:top w:val="nil"/>
              <w:left w:val="nil"/>
              <w:bottom w:val="single" w:sz="4" w:space="0" w:color="auto"/>
              <w:right w:val="nil"/>
            </w:tcBorders>
            <w:hideMark/>
          </w:tcPr>
          <w:p w14:paraId="345FE701" w14:textId="77777777" w:rsidR="004D175A" w:rsidRDefault="00A45AB3">
            <w:pPr>
              <w:pStyle w:val="spacer"/>
              <w:rPr>
                <w:lang w:val="en-US"/>
              </w:rPr>
            </w:pPr>
            <w:r>
              <w:rPr>
                <w:noProof/>
                <w:lang w:eastAsia="en-AU"/>
              </w:rPr>
              <mc:AlternateContent>
                <mc:Choice Requires="wps">
                  <w:drawing>
                    <wp:anchor distT="0" distB="0" distL="114300" distR="114300" simplePos="0" relativeHeight="251634688" behindDoc="0" locked="1" layoutInCell="1" allowOverlap="1" wp14:anchorId="331D5F15" wp14:editId="40F93C93">
                      <wp:simplePos x="0" y="0"/>
                      <wp:positionH relativeFrom="rightMargin">
                        <wp:posOffset>-772795</wp:posOffset>
                      </wp:positionH>
                      <wp:positionV relativeFrom="page">
                        <wp:posOffset>0</wp:posOffset>
                      </wp:positionV>
                      <wp:extent cx="436880" cy="213360"/>
                      <wp:effectExtent l="0" t="0" r="1270" b="0"/>
                      <wp:wrapNone/>
                      <wp:docPr id="634" name="Freeform 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58CD3C" id="Freeform 634" o:spid="_x0000_s1026" style="position:absolute;margin-left:-60.85pt;margin-top:0;width:34.4pt;height:16.8pt;z-index:251634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KxEewMAAMQJAAAOAAAAZHJzL2Uyb0RvYy54bWysVsFu2zgQvS/QfyB0LNDIsh3HMaIURbIp&#10;FkjbAHHRMy1RllCJ1JK05fTr+4YSbdmNm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TOysRH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2A85D493"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21D604E0" w14:textId="77777777" w:rsidR="004D175A" w:rsidRDefault="007F5EE9">
            <w:pPr>
              <w:pStyle w:val="Figure"/>
              <w:rPr>
                <w:lang w:val="en-US"/>
              </w:rPr>
            </w:pPr>
            <w:r>
              <w:rPr>
                <w:noProof/>
                <w:lang w:eastAsia="en-AU"/>
              </w:rPr>
              <w:drawing>
                <wp:inline distT="0" distB="0" distL="0" distR="0" wp14:anchorId="024B83A6" wp14:editId="349598DD">
                  <wp:extent cx="5191125" cy="2209800"/>
                  <wp:effectExtent l="0" t="0" r="0" b="0"/>
                  <wp:docPr id="19"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4D175A" w14:paraId="7B2E12F4"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6B38E504" w14:textId="77777777" w:rsidR="004D175A" w:rsidRDefault="004D175A">
            <w:pPr>
              <w:pStyle w:val="Note"/>
              <w:rPr>
                <w:lang w:val="en-US"/>
              </w:rPr>
            </w:pPr>
            <w:r>
              <w:rPr>
                <w:lang w:val="en-US"/>
              </w:rPr>
              <w:t>Note: Percentages do not sum to 100 as projects can have multiple activities.</w:t>
            </w:r>
          </w:p>
          <w:p w14:paraId="00B6AD96" w14:textId="77777777" w:rsidR="004D175A" w:rsidRDefault="004D175A">
            <w:pPr>
              <w:pStyle w:val="Source"/>
              <w:rPr>
                <w:lang w:val="en-US"/>
              </w:rPr>
            </w:pPr>
            <w:r>
              <w:rPr>
                <w:lang w:val="en-US"/>
              </w:rPr>
              <w:t>Source: UNIVERSITY heppp annual reports 2010-2015</w:t>
            </w:r>
          </w:p>
        </w:tc>
      </w:tr>
      <w:tr w:rsidR="004D175A" w14:paraId="7F2757A2" w14:textId="77777777" w:rsidTr="004D175A">
        <w:trPr>
          <w:trHeight w:val="160"/>
        </w:trPr>
        <w:tc>
          <w:tcPr>
            <w:tcW w:w="8168" w:type="dxa"/>
            <w:tcBorders>
              <w:top w:val="single" w:sz="4" w:space="0" w:color="auto"/>
              <w:left w:val="nil"/>
              <w:bottom w:val="nil"/>
              <w:right w:val="nil"/>
            </w:tcBorders>
          </w:tcPr>
          <w:p w14:paraId="319A1513" w14:textId="77777777" w:rsidR="004D175A" w:rsidRDefault="004D175A">
            <w:pPr>
              <w:pStyle w:val="spacertbl"/>
              <w:rPr>
                <w:lang w:val="en-US"/>
              </w:rPr>
            </w:pPr>
          </w:p>
        </w:tc>
      </w:tr>
    </w:tbl>
    <w:p w14:paraId="2359EAF9" w14:textId="77777777" w:rsidR="004D175A" w:rsidRDefault="004D175A" w:rsidP="004D175A">
      <w:pPr>
        <w:pStyle w:val="BodyText"/>
      </w:pPr>
      <w:r>
        <w:t>The intention of the HEPPP is to fund projects focused on low SES individuals, although some projects may target low SES people from additional equity groups</w:t>
      </w:r>
      <w:r w:rsidR="00107614">
        <w:t xml:space="preserve"> (</w:t>
      </w:r>
      <w:r w:rsidR="008C090E" w:rsidRPr="00AD49C8">
        <w:t>Figure 4.2</w:t>
      </w:r>
      <w:r w:rsidR="00107614">
        <w:t xml:space="preserve">). </w:t>
      </w:r>
      <w:r>
        <w:t xml:space="preserve">The majority of projects </w:t>
      </w:r>
      <w:r w:rsidR="00107614">
        <w:t xml:space="preserve">at the Pre-Access stage </w:t>
      </w:r>
      <w:r>
        <w:t xml:space="preserve">targeted only low SES students (62 per cent). Although they are not directly targeting intersecting subgroups, in many cases, these projects may capture the subgroups as well, meaning that more granular interventions may be unnecessary. However, a significant proportion of HEPPP </w:t>
      </w:r>
      <w:r w:rsidR="00E67892">
        <w:t>O</w:t>
      </w:r>
      <w:r>
        <w:t>utreach projects were also targeted towards these subgroups. Almost</w:t>
      </w:r>
      <w:r w:rsidR="00107614">
        <w:t xml:space="preserve"> a quarter of projects</w:t>
      </w:r>
      <w:r>
        <w:t xml:space="preserve"> targeted low SES Indigenous students, and 15 per cent targeted low SES students from regional and remote areas. The proportions of programs targeting low SES students from non-English speaking backgrounds, low SES students with disability and low SES female school students studying in non-traditional areas were much lower (3 per cent or less).</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247E5899" w14:textId="77777777" w:rsidTr="004D175A">
        <w:trPr>
          <w:cantSplit/>
          <w:trHeight w:val="160"/>
        </w:trPr>
        <w:tc>
          <w:tcPr>
            <w:tcW w:w="8168" w:type="dxa"/>
            <w:tcBorders>
              <w:top w:val="nil"/>
              <w:left w:val="nil"/>
              <w:bottom w:val="single" w:sz="4" w:space="0" w:color="auto"/>
              <w:right w:val="nil"/>
            </w:tcBorders>
          </w:tcPr>
          <w:p w14:paraId="4B981584" w14:textId="77777777" w:rsidR="004D175A" w:rsidRDefault="004D175A">
            <w:pPr>
              <w:pStyle w:val="spacer"/>
              <w:rPr>
                <w:lang w:val="en-US"/>
              </w:rPr>
            </w:pPr>
          </w:p>
        </w:tc>
      </w:tr>
      <w:tr w:rsidR="004D175A" w14:paraId="5AC63B71" w14:textId="77777777" w:rsidTr="004D175A">
        <w:trPr>
          <w:cantSplit/>
        </w:trPr>
        <w:tc>
          <w:tcPr>
            <w:tcW w:w="8168" w:type="dxa"/>
            <w:tcBorders>
              <w:top w:val="single" w:sz="4" w:space="0" w:color="auto"/>
              <w:left w:val="nil"/>
              <w:bottom w:val="nil"/>
              <w:right w:val="nil"/>
            </w:tcBorders>
            <w:hideMark/>
          </w:tcPr>
          <w:p w14:paraId="1E19B1C9" w14:textId="77777777" w:rsidR="004D175A" w:rsidRDefault="004D175A" w:rsidP="0016594A">
            <w:pPr>
              <w:pStyle w:val="Caption"/>
              <w:rPr>
                <w:lang w:val="en-US"/>
              </w:rPr>
            </w:pPr>
            <w:bookmarkStart w:id="153" w:name="_Ref462944344"/>
            <w:bookmarkStart w:id="154" w:name="_Toc463029840"/>
            <w:bookmarkStart w:id="155" w:name="_Toc466655665"/>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2</w:t>
            </w:r>
            <w:bookmarkEnd w:id="153"/>
            <w:r>
              <w:rPr>
                <w:lang w:val="en-US"/>
              </w:rPr>
              <w:tab/>
              <w:t xml:space="preserve">proportion of HEPPP outreach projects TARGETING each </w:t>
            </w:r>
            <w:r w:rsidR="001277F0">
              <w:rPr>
                <w:lang w:val="en-US"/>
              </w:rPr>
              <w:t>Equity</w:t>
            </w:r>
            <w:r>
              <w:rPr>
                <w:lang w:val="en-US"/>
              </w:rPr>
              <w:t xml:space="preserve"> group</w:t>
            </w:r>
            <w:bookmarkEnd w:id="154"/>
            <w:bookmarkEnd w:id="155"/>
          </w:p>
        </w:tc>
      </w:tr>
      <w:tr w:rsidR="004D175A" w14:paraId="07FD53CF" w14:textId="77777777" w:rsidTr="004D175A">
        <w:trPr>
          <w:cantSplit/>
          <w:trHeight w:val="380"/>
        </w:trPr>
        <w:tc>
          <w:tcPr>
            <w:tcW w:w="8168" w:type="dxa"/>
            <w:tcBorders>
              <w:top w:val="nil"/>
              <w:left w:val="nil"/>
              <w:bottom w:val="single" w:sz="4" w:space="0" w:color="auto"/>
              <w:right w:val="nil"/>
            </w:tcBorders>
            <w:hideMark/>
          </w:tcPr>
          <w:p w14:paraId="01E34C93" w14:textId="77777777" w:rsidR="004D175A" w:rsidRDefault="00A45AB3">
            <w:pPr>
              <w:pStyle w:val="spacer"/>
              <w:rPr>
                <w:lang w:val="en-US"/>
              </w:rPr>
            </w:pPr>
            <w:r>
              <w:rPr>
                <w:noProof/>
                <w:lang w:eastAsia="en-AU"/>
              </w:rPr>
              <mc:AlternateContent>
                <mc:Choice Requires="wps">
                  <w:drawing>
                    <wp:anchor distT="0" distB="0" distL="114300" distR="114300" simplePos="0" relativeHeight="251635712" behindDoc="0" locked="1" layoutInCell="1" allowOverlap="1" wp14:anchorId="55874D9F" wp14:editId="6A16185F">
                      <wp:simplePos x="0" y="0"/>
                      <wp:positionH relativeFrom="rightMargin">
                        <wp:posOffset>-772795</wp:posOffset>
                      </wp:positionH>
                      <wp:positionV relativeFrom="page">
                        <wp:posOffset>0</wp:posOffset>
                      </wp:positionV>
                      <wp:extent cx="436880" cy="213360"/>
                      <wp:effectExtent l="0" t="0" r="1270" b="0"/>
                      <wp:wrapNone/>
                      <wp:docPr id="633" name="Freeform 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F67699" id="Freeform 633" o:spid="_x0000_s1026" style="position:absolute;margin-left:-60.85pt;margin-top:0;width:34.4pt;height:16.8pt;z-index:251635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I9aYyN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327A0203"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1C84ECB8" w14:textId="77777777" w:rsidR="004D175A" w:rsidRDefault="007F5EE9">
            <w:pPr>
              <w:pStyle w:val="Figure"/>
              <w:rPr>
                <w:lang w:val="en-US"/>
              </w:rPr>
            </w:pPr>
            <w:r>
              <w:rPr>
                <w:noProof/>
                <w:lang w:eastAsia="en-AU"/>
              </w:rPr>
              <w:drawing>
                <wp:inline distT="0" distB="0" distL="0" distR="0" wp14:anchorId="6B07A7C6" wp14:editId="6CB1D64A">
                  <wp:extent cx="5172075" cy="2190750"/>
                  <wp:effectExtent l="0" t="0" r="0" b="0"/>
                  <wp:docPr id="20"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72075" cy="2190750"/>
                          </a:xfrm>
                          <a:prstGeom prst="rect">
                            <a:avLst/>
                          </a:prstGeom>
                          <a:noFill/>
                          <a:ln>
                            <a:noFill/>
                          </a:ln>
                        </pic:spPr>
                      </pic:pic>
                    </a:graphicData>
                  </a:graphic>
                </wp:inline>
              </w:drawing>
            </w:r>
          </w:p>
        </w:tc>
      </w:tr>
      <w:tr w:rsidR="004D175A" w14:paraId="1623599B"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0DABFA02" w14:textId="278EF76E" w:rsidR="004D175A" w:rsidRDefault="004D175A">
            <w:pPr>
              <w:pStyle w:val="Note"/>
              <w:rPr>
                <w:lang w:val="en-US"/>
              </w:rPr>
            </w:pPr>
            <w:r>
              <w:rPr>
                <w:lang w:val="en-US"/>
              </w:rPr>
              <w:t xml:space="preserve">Note: Percentages do not sum to 100 as projects can </w:t>
            </w:r>
            <w:r w:rsidR="001277F0">
              <w:rPr>
                <w:lang w:val="en-US"/>
              </w:rPr>
              <w:t>target</w:t>
            </w:r>
            <w:r>
              <w:rPr>
                <w:lang w:val="en-US"/>
              </w:rPr>
              <w:t xml:space="preserve"> multiple </w:t>
            </w:r>
            <w:r w:rsidR="001277F0">
              <w:rPr>
                <w:lang w:val="en-US"/>
              </w:rPr>
              <w:t>equity</w:t>
            </w:r>
            <w:r>
              <w:rPr>
                <w:lang w:val="en-US"/>
              </w:rPr>
              <w:t xml:space="preserve"> groups.</w:t>
            </w:r>
            <w:r w:rsidR="003325E6">
              <w:rPr>
                <w:lang w:val="en-US"/>
              </w:rPr>
              <w:t xml:space="preserve"> See Appendix D for further disaggregation.</w:t>
            </w:r>
          </w:p>
          <w:p w14:paraId="19A2D072" w14:textId="77777777" w:rsidR="004D175A" w:rsidRDefault="004D175A">
            <w:pPr>
              <w:pStyle w:val="Source"/>
              <w:rPr>
                <w:lang w:val="en-US"/>
              </w:rPr>
            </w:pPr>
            <w:r>
              <w:rPr>
                <w:lang w:val="en-US"/>
              </w:rPr>
              <w:t>Source: heppp annual reports</w:t>
            </w:r>
          </w:p>
        </w:tc>
      </w:tr>
      <w:tr w:rsidR="004D175A" w14:paraId="2DEE99DA" w14:textId="77777777" w:rsidTr="004D175A">
        <w:trPr>
          <w:trHeight w:val="160"/>
        </w:trPr>
        <w:tc>
          <w:tcPr>
            <w:tcW w:w="8168" w:type="dxa"/>
            <w:tcBorders>
              <w:top w:val="single" w:sz="4" w:space="0" w:color="auto"/>
              <w:left w:val="nil"/>
              <w:bottom w:val="nil"/>
              <w:right w:val="nil"/>
            </w:tcBorders>
          </w:tcPr>
          <w:p w14:paraId="65314345" w14:textId="77777777" w:rsidR="004D175A" w:rsidRDefault="004D175A">
            <w:pPr>
              <w:pStyle w:val="spacertbl"/>
              <w:rPr>
                <w:lang w:val="en-US"/>
              </w:rPr>
            </w:pPr>
          </w:p>
        </w:tc>
      </w:tr>
    </w:tbl>
    <w:p w14:paraId="35911205" w14:textId="77777777" w:rsidR="004D175A" w:rsidRPr="00AD49C8" w:rsidRDefault="00107614" w:rsidP="004D175A">
      <w:pPr>
        <w:pStyle w:val="BodyText"/>
      </w:pPr>
      <w:r>
        <w:t>Secondary school students were the most common EIF group targeted through Pre-Access activities (</w:t>
      </w:r>
      <w:r w:rsidR="008C090E" w:rsidRPr="00AD49C8">
        <w:t>Figure 4.3</w:t>
      </w:r>
      <w:r>
        <w:t xml:space="preserve">). </w:t>
      </w:r>
      <w:r w:rsidR="004D175A">
        <w:t xml:space="preserve">Almost two thirds of </w:t>
      </w:r>
      <w:r w:rsidR="00E67892">
        <w:t xml:space="preserve">Outreach </w:t>
      </w:r>
      <w:r w:rsidR="004D175A">
        <w:t>projects focused on secondary school students, with the next most commonly targeted group, community members, in only 18 per cent of projects. This was followed closely by primary school stude</w:t>
      </w:r>
      <w:r>
        <w:t>nts (15 per cent of projects) and secondary school teachers (13 per cent of projects).</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074360A5" w14:textId="77777777" w:rsidTr="004D175A">
        <w:trPr>
          <w:cantSplit/>
          <w:trHeight w:val="160"/>
        </w:trPr>
        <w:tc>
          <w:tcPr>
            <w:tcW w:w="8168" w:type="dxa"/>
            <w:tcBorders>
              <w:top w:val="nil"/>
              <w:left w:val="nil"/>
              <w:bottom w:val="single" w:sz="4" w:space="0" w:color="auto"/>
              <w:right w:val="nil"/>
            </w:tcBorders>
          </w:tcPr>
          <w:p w14:paraId="196D0AC8" w14:textId="77777777" w:rsidR="004D175A" w:rsidRDefault="004D175A">
            <w:pPr>
              <w:pStyle w:val="spacer"/>
              <w:rPr>
                <w:lang w:val="en-US"/>
              </w:rPr>
            </w:pPr>
          </w:p>
        </w:tc>
      </w:tr>
      <w:tr w:rsidR="004D175A" w14:paraId="15AA2A91" w14:textId="77777777" w:rsidTr="004D175A">
        <w:trPr>
          <w:cantSplit/>
        </w:trPr>
        <w:tc>
          <w:tcPr>
            <w:tcW w:w="8168" w:type="dxa"/>
            <w:tcBorders>
              <w:top w:val="single" w:sz="4" w:space="0" w:color="auto"/>
              <w:left w:val="nil"/>
              <w:bottom w:val="nil"/>
              <w:right w:val="nil"/>
            </w:tcBorders>
            <w:hideMark/>
          </w:tcPr>
          <w:p w14:paraId="3EDF4015" w14:textId="77777777" w:rsidR="004D175A" w:rsidRDefault="004D175A">
            <w:pPr>
              <w:pStyle w:val="Caption"/>
              <w:rPr>
                <w:lang w:val="en-US"/>
              </w:rPr>
            </w:pPr>
            <w:bookmarkStart w:id="156" w:name="_Ref462838163"/>
            <w:bookmarkStart w:id="157" w:name="_Toc463029841"/>
            <w:bookmarkStart w:id="158" w:name="_Toc466655666"/>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3</w:t>
            </w:r>
            <w:bookmarkEnd w:id="156"/>
            <w:r>
              <w:rPr>
                <w:lang w:val="en-US"/>
              </w:rPr>
              <w:tab/>
              <w:t>proportion of HEPPP outreach projects targeting each EIF target group</w:t>
            </w:r>
            <w:bookmarkEnd w:id="157"/>
            <w:bookmarkEnd w:id="158"/>
          </w:p>
        </w:tc>
      </w:tr>
      <w:tr w:rsidR="004D175A" w14:paraId="0D26929A" w14:textId="77777777" w:rsidTr="004D175A">
        <w:trPr>
          <w:cantSplit/>
          <w:trHeight w:val="380"/>
        </w:trPr>
        <w:tc>
          <w:tcPr>
            <w:tcW w:w="8168" w:type="dxa"/>
            <w:tcBorders>
              <w:top w:val="nil"/>
              <w:left w:val="nil"/>
              <w:bottom w:val="single" w:sz="4" w:space="0" w:color="auto"/>
              <w:right w:val="nil"/>
            </w:tcBorders>
            <w:hideMark/>
          </w:tcPr>
          <w:p w14:paraId="3C2FB459" w14:textId="77777777" w:rsidR="004D175A" w:rsidRDefault="00A45AB3">
            <w:pPr>
              <w:pStyle w:val="spacer"/>
              <w:rPr>
                <w:lang w:val="en-US"/>
              </w:rPr>
            </w:pPr>
            <w:r>
              <w:rPr>
                <w:noProof/>
                <w:lang w:eastAsia="en-AU"/>
              </w:rPr>
              <mc:AlternateContent>
                <mc:Choice Requires="wps">
                  <w:drawing>
                    <wp:anchor distT="0" distB="0" distL="114300" distR="114300" simplePos="0" relativeHeight="251636736" behindDoc="0" locked="1" layoutInCell="1" allowOverlap="1" wp14:anchorId="14F20159" wp14:editId="7D76D6A8">
                      <wp:simplePos x="0" y="0"/>
                      <wp:positionH relativeFrom="rightMargin">
                        <wp:posOffset>-772795</wp:posOffset>
                      </wp:positionH>
                      <wp:positionV relativeFrom="page">
                        <wp:posOffset>0</wp:posOffset>
                      </wp:positionV>
                      <wp:extent cx="436880" cy="213360"/>
                      <wp:effectExtent l="0" t="0" r="1270" b="0"/>
                      <wp:wrapNone/>
                      <wp:docPr id="630" name="Freeform 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44C49" id="Freeform 630" o:spid="_x0000_s1026" style="position:absolute;margin-left:-60.85pt;margin-top:0;width:34.4pt;height:16.8pt;z-index:251636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4begMAAMQJAAAOAAAAZHJzL2Uyb0RvYy54bWysVsFu2zgQvS/QfyB0LNDIsh3HMaIURbIp&#10;FkjbAHHRMy1RllCJ1JK05fTr+4YSbdmNm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0190AFB9"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1BD2D060" w14:textId="77777777" w:rsidR="004D175A" w:rsidRDefault="007F5EE9">
            <w:pPr>
              <w:pStyle w:val="Figure"/>
              <w:rPr>
                <w:lang w:val="en-US"/>
              </w:rPr>
            </w:pPr>
            <w:r>
              <w:rPr>
                <w:noProof/>
                <w:lang w:eastAsia="en-AU"/>
              </w:rPr>
              <w:drawing>
                <wp:inline distT="0" distB="0" distL="0" distR="0" wp14:anchorId="2FAAE2DC" wp14:editId="5315DBF3">
                  <wp:extent cx="5191125" cy="2209800"/>
                  <wp:effectExtent l="0" t="0" r="0" b="0"/>
                  <wp:docPr id="21"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4D175A" w14:paraId="50680034"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26B1EC34" w14:textId="77777777" w:rsidR="004D175A" w:rsidRDefault="004D175A">
            <w:pPr>
              <w:pStyle w:val="Note"/>
              <w:rPr>
                <w:lang w:val="en-US"/>
              </w:rPr>
            </w:pPr>
            <w:r>
              <w:rPr>
                <w:lang w:val="en-US"/>
              </w:rPr>
              <w:t xml:space="preserve">Note: Percentages do not sum to 100 as projects can have </w:t>
            </w:r>
            <w:r w:rsidR="001277F0">
              <w:rPr>
                <w:lang w:val="en-US"/>
              </w:rPr>
              <w:t xml:space="preserve">target </w:t>
            </w:r>
            <w:r>
              <w:rPr>
                <w:lang w:val="en-US"/>
              </w:rPr>
              <w:t xml:space="preserve">multiple </w:t>
            </w:r>
            <w:r w:rsidR="001277F0">
              <w:rPr>
                <w:lang w:val="en-US"/>
              </w:rPr>
              <w:t xml:space="preserve">EIF </w:t>
            </w:r>
            <w:r>
              <w:rPr>
                <w:lang w:val="en-US"/>
              </w:rPr>
              <w:t>groups.</w:t>
            </w:r>
          </w:p>
          <w:p w14:paraId="12BF4FE0" w14:textId="77777777" w:rsidR="004D175A" w:rsidRDefault="004D175A">
            <w:pPr>
              <w:pStyle w:val="Source"/>
              <w:rPr>
                <w:lang w:val="en-US"/>
              </w:rPr>
            </w:pPr>
            <w:r>
              <w:rPr>
                <w:lang w:val="en-US"/>
              </w:rPr>
              <w:t>Source: heppp annual reports</w:t>
            </w:r>
          </w:p>
        </w:tc>
      </w:tr>
      <w:tr w:rsidR="004D175A" w14:paraId="6EC337CF" w14:textId="77777777" w:rsidTr="004D175A">
        <w:trPr>
          <w:trHeight w:val="160"/>
        </w:trPr>
        <w:tc>
          <w:tcPr>
            <w:tcW w:w="8168" w:type="dxa"/>
            <w:tcBorders>
              <w:top w:val="single" w:sz="4" w:space="0" w:color="auto"/>
              <w:left w:val="nil"/>
              <w:bottom w:val="nil"/>
              <w:right w:val="nil"/>
            </w:tcBorders>
          </w:tcPr>
          <w:p w14:paraId="40DCB973" w14:textId="77777777" w:rsidR="004D175A" w:rsidRDefault="004D175A">
            <w:pPr>
              <w:pStyle w:val="spacertbl"/>
              <w:rPr>
                <w:lang w:val="en-US"/>
              </w:rPr>
            </w:pPr>
          </w:p>
        </w:tc>
      </w:tr>
    </w:tbl>
    <w:p w14:paraId="5240E188" w14:textId="77777777" w:rsidR="004D175A" w:rsidRDefault="004D175A" w:rsidP="00A45AB3">
      <w:pPr>
        <w:pStyle w:val="Heading3"/>
        <w:numPr>
          <w:ilvl w:val="2"/>
          <w:numId w:val="45"/>
        </w:numPr>
      </w:pPr>
      <w:r>
        <w:t>HEPPP Outreach activities partner organisations</w:t>
      </w:r>
    </w:p>
    <w:p w14:paraId="1E18F673" w14:textId="77777777" w:rsidR="00D24617" w:rsidRPr="00AD49C8" w:rsidRDefault="00D24617" w:rsidP="004D175A">
      <w:pPr>
        <w:pStyle w:val="BodyText"/>
      </w:pPr>
      <w:r w:rsidRPr="00AD49C8">
        <w:t xml:space="preserve">Twenty nine </w:t>
      </w:r>
      <w:r>
        <w:t>universities provided data on partner organisations involved in their outreach activities (Section 1.2.2). As with the student-level HEPPP project data analysed in Chapter 3, the years covered and proportion of projects covered by the outreach data varied across data-providing universities.</w:t>
      </w:r>
    </w:p>
    <w:p w14:paraId="3EB35DAA" w14:textId="77777777" w:rsidR="004D175A" w:rsidRDefault="004D175A" w:rsidP="00AD49C8">
      <w:pPr>
        <w:pStyle w:val="BodyText"/>
      </w:pPr>
      <w:r>
        <w:t>Based on the data provided, 2,913 partner organisations participated in HEPPP outreach activities over 2010 to 2016—this should be considered a lower bound for the number of Outreach partners under HEPPP over this period. The majority of these organisations were schools (95 per cent)—65 per cent were high schools and combined (primary and secondary) schools, and 30 per cent were primary schools (</w:t>
      </w:r>
      <w:r w:rsidR="008C090E" w:rsidRPr="00AD49C8">
        <w:t>Figure 4.4</w:t>
      </w:r>
      <w:r>
        <w:t>).</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8E1768" w:rsidRPr="00AA4DEE" w14:paraId="2F60C7F7" w14:textId="77777777" w:rsidTr="00DA0683">
        <w:trPr>
          <w:cantSplit/>
          <w:trHeight w:hRule="exact" w:val="160"/>
        </w:trPr>
        <w:tc>
          <w:tcPr>
            <w:tcW w:w="8168" w:type="dxa"/>
            <w:tcBorders>
              <w:bottom w:val="single" w:sz="4" w:space="0" w:color="auto"/>
            </w:tcBorders>
          </w:tcPr>
          <w:p w14:paraId="021D0BF8" w14:textId="77777777" w:rsidR="008E1768" w:rsidRPr="00AA4DEE" w:rsidRDefault="008E1768" w:rsidP="00AD49C8"/>
        </w:tc>
      </w:tr>
      <w:tr w:rsidR="008E1768" w:rsidRPr="00897E60" w14:paraId="0103DC95" w14:textId="77777777" w:rsidTr="00DA0683">
        <w:trPr>
          <w:cantSplit/>
        </w:trPr>
        <w:tc>
          <w:tcPr>
            <w:tcW w:w="8168" w:type="dxa"/>
            <w:tcBorders>
              <w:top w:val="single" w:sz="4" w:space="0" w:color="auto"/>
            </w:tcBorders>
            <w:tcMar>
              <w:left w:w="0" w:type="dxa"/>
            </w:tcMar>
          </w:tcPr>
          <w:p w14:paraId="2EE42247" w14:textId="77777777" w:rsidR="008E1768" w:rsidRPr="00897E60" w:rsidRDefault="008E1768" w:rsidP="00DA0683">
            <w:pPr>
              <w:pStyle w:val="Caption"/>
            </w:pPr>
            <w:bookmarkStart w:id="159" w:name="_Ref466290203"/>
            <w:bookmarkStart w:id="160" w:name="_Toc466655667"/>
            <w:r w:rsidRPr="00897E60">
              <w:rPr>
                <w:rStyle w:val="CaptionLabel"/>
              </w:rPr>
              <w:t>Figure</w:t>
            </w:r>
            <w:r>
              <w:rPr>
                <w:rStyle w:val="CaptionLabel"/>
              </w:rPr>
              <w:t> </w:t>
            </w:r>
            <w:r w:rsidR="008C090E">
              <w:rPr>
                <w:rStyle w:val="CaptionLabel"/>
                <w:noProof/>
              </w:rPr>
              <w:t>4</w:t>
            </w:r>
            <w:r w:rsidRPr="00897E60">
              <w:rPr>
                <w:rStyle w:val="CaptionLabel"/>
              </w:rPr>
              <w:t>.</w:t>
            </w:r>
            <w:r w:rsidR="008C090E">
              <w:rPr>
                <w:rStyle w:val="CaptionLabel"/>
                <w:noProof/>
              </w:rPr>
              <w:t>4</w:t>
            </w:r>
            <w:bookmarkEnd w:id="159"/>
            <w:r>
              <w:tab/>
            </w:r>
            <w:r>
              <w:rPr>
                <w:lang w:val="en-US"/>
              </w:rPr>
              <w:t>Number and share of different organisations involved in HEPPP outreach activities, 2010-2016</w:t>
            </w:r>
            <w:bookmarkEnd w:id="160"/>
          </w:p>
        </w:tc>
      </w:tr>
      <w:tr w:rsidR="008E1768" w:rsidRPr="00AA4DEE" w14:paraId="7210C1DA" w14:textId="77777777" w:rsidTr="00DA0683">
        <w:trPr>
          <w:cantSplit/>
          <w:trHeight w:hRule="exact" w:val="380"/>
        </w:trPr>
        <w:tc>
          <w:tcPr>
            <w:tcW w:w="8168" w:type="dxa"/>
            <w:tcBorders>
              <w:bottom w:val="single" w:sz="4" w:space="0" w:color="auto"/>
            </w:tcBorders>
          </w:tcPr>
          <w:p w14:paraId="0C31EAFE" w14:textId="77777777" w:rsidR="008E1768" w:rsidRPr="00AA4DEE" w:rsidRDefault="00A45AB3" w:rsidP="00DA0683">
            <w:pPr>
              <w:pStyle w:val="spacer"/>
            </w:pPr>
            <w:r>
              <w:rPr>
                <w:noProof/>
                <w:lang w:eastAsia="en-AU"/>
              </w:rPr>
              <mc:AlternateContent>
                <mc:Choice Requires="wps">
                  <w:drawing>
                    <wp:anchor distT="0" distB="0" distL="114300" distR="114300" simplePos="0" relativeHeight="251659264" behindDoc="0" locked="1" layoutInCell="1" allowOverlap="1" wp14:anchorId="7A565AF8" wp14:editId="08A3C8EE">
                      <wp:simplePos x="0" y="0"/>
                      <wp:positionH relativeFrom="rightMargin">
                        <wp:posOffset>-772795</wp:posOffset>
                      </wp:positionH>
                      <wp:positionV relativeFrom="page">
                        <wp:posOffset>0</wp:posOffset>
                      </wp:positionV>
                      <wp:extent cx="436880" cy="213360"/>
                      <wp:effectExtent l="0" t="0" r="1270" b="0"/>
                      <wp:wrapNone/>
                      <wp:docPr id="30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C8212E" id="Freeform 5" o:spid="_x0000_s1026" style="position:absolute;margin-left:-60.85pt;margin-top:0;width:34.4pt;height:16.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GHfg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nrkRh3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E1768" w:rsidRPr="00AA4DEE" w14:paraId="2CAA4A7F" w14:textId="77777777" w:rsidTr="00DA0683">
        <w:trPr>
          <w:cantSplit/>
        </w:trPr>
        <w:tc>
          <w:tcPr>
            <w:tcW w:w="8168" w:type="dxa"/>
            <w:tcBorders>
              <w:top w:val="single" w:sz="4" w:space="0" w:color="auto"/>
              <w:bottom w:val="single" w:sz="4" w:space="0" w:color="auto"/>
            </w:tcBorders>
            <w:tcMar>
              <w:top w:w="10" w:type="dxa"/>
              <w:bottom w:w="10" w:type="dxa"/>
              <w:right w:w="0" w:type="dxa"/>
            </w:tcMar>
          </w:tcPr>
          <w:p w14:paraId="07E9BAA7" w14:textId="77777777" w:rsidR="008E1768" w:rsidRPr="00AA4DEE" w:rsidRDefault="007F5EE9" w:rsidP="00DA0683">
            <w:pPr>
              <w:pStyle w:val="Figure"/>
            </w:pPr>
            <w:r>
              <w:rPr>
                <w:noProof/>
                <w:lang w:eastAsia="en-AU"/>
              </w:rPr>
              <w:drawing>
                <wp:inline distT="0" distB="0" distL="0" distR="0" wp14:anchorId="5FDDE32F" wp14:editId="0E600929">
                  <wp:extent cx="5191125" cy="2190750"/>
                  <wp:effectExtent l="0" t="0" r="0" b="0"/>
                  <wp:docPr id="22"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91125" cy="2190750"/>
                          </a:xfrm>
                          <a:prstGeom prst="rect">
                            <a:avLst/>
                          </a:prstGeom>
                          <a:noFill/>
                          <a:ln>
                            <a:noFill/>
                          </a:ln>
                        </pic:spPr>
                      </pic:pic>
                    </a:graphicData>
                  </a:graphic>
                </wp:inline>
              </w:drawing>
            </w:r>
          </w:p>
        </w:tc>
      </w:tr>
      <w:tr w:rsidR="008E1768" w:rsidRPr="00AA4DEE" w14:paraId="76EDBBDC" w14:textId="77777777" w:rsidTr="00DA0683">
        <w:trPr>
          <w:cantSplit/>
        </w:trPr>
        <w:tc>
          <w:tcPr>
            <w:tcW w:w="8168" w:type="dxa"/>
            <w:tcBorders>
              <w:top w:val="single" w:sz="4" w:space="0" w:color="auto"/>
              <w:bottom w:val="single" w:sz="4" w:space="0" w:color="auto"/>
            </w:tcBorders>
            <w:tcMar>
              <w:top w:w="12" w:type="dxa"/>
              <w:left w:w="0" w:type="dxa"/>
              <w:bottom w:w="113" w:type="dxa"/>
            </w:tcMar>
          </w:tcPr>
          <w:p w14:paraId="1BF8BBF6" w14:textId="77777777" w:rsidR="008E1768" w:rsidRDefault="008E1768" w:rsidP="008E1768">
            <w:pPr>
              <w:pStyle w:val="Note"/>
              <w:rPr>
                <w:lang w:val="en-US"/>
              </w:rPr>
            </w:pPr>
            <w:r>
              <w:rPr>
                <w:lang w:val="en-US"/>
              </w:rPr>
              <w:t>Note: n=2,913</w:t>
            </w:r>
          </w:p>
          <w:p w14:paraId="304F8D55" w14:textId="77777777" w:rsidR="008E1768" w:rsidRPr="00AA4DEE" w:rsidRDefault="008E1768" w:rsidP="008E1768">
            <w:pPr>
              <w:pStyle w:val="Source"/>
            </w:pPr>
            <w:r>
              <w:rPr>
                <w:lang w:val="en-US"/>
              </w:rPr>
              <w:t>Source: university-provided data</w:t>
            </w:r>
          </w:p>
        </w:tc>
      </w:tr>
      <w:tr w:rsidR="008E1768" w14:paraId="344BDF65" w14:textId="77777777" w:rsidTr="00DA0683">
        <w:trPr>
          <w:trHeight w:hRule="exact" w:val="160"/>
        </w:trPr>
        <w:tc>
          <w:tcPr>
            <w:tcW w:w="8168" w:type="dxa"/>
            <w:tcBorders>
              <w:top w:val="single" w:sz="4" w:space="0" w:color="auto"/>
            </w:tcBorders>
          </w:tcPr>
          <w:p w14:paraId="194CD9CA" w14:textId="77777777" w:rsidR="008E1768" w:rsidRDefault="008E1768" w:rsidP="00DA0683">
            <w:pPr>
              <w:pStyle w:val="spacertbl"/>
            </w:pPr>
          </w:p>
        </w:tc>
      </w:tr>
    </w:tbl>
    <w:p w14:paraId="5DC5E454" w14:textId="77777777" w:rsidR="004D175A" w:rsidRDefault="004D175A" w:rsidP="00AD49C8">
      <w:r>
        <w:t>Analysis of the different types of Outreach activities that were undertaken in partnership with each organisation, and their relative frequency shows a fairly even spread (</w:t>
      </w:r>
      <w:r w:rsidR="008C090E" w:rsidRPr="00AD49C8">
        <w:t>Figure 4.5</w:t>
      </w:r>
      <w:r>
        <w:t>). Aspiration raising – pre-entry university experience was the most common activity, being undertaken with 45 per cent of organisations. The rest of the activity types were conducted in between 26 and 36 per cent of organisations.</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14917059" w14:textId="77777777" w:rsidTr="004D175A">
        <w:trPr>
          <w:cantSplit/>
          <w:trHeight w:val="160"/>
        </w:trPr>
        <w:tc>
          <w:tcPr>
            <w:tcW w:w="8168" w:type="dxa"/>
            <w:tcBorders>
              <w:top w:val="nil"/>
              <w:left w:val="nil"/>
              <w:bottom w:val="single" w:sz="4" w:space="0" w:color="auto"/>
              <w:right w:val="nil"/>
            </w:tcBorders>
          </w:tcPr>
          <w:p w14:paraId="0BD56507" w14:textId="77777777" w:rsidR="004D175A" w:rsidRDefault="004D175A">
            <w:pPr>
              <w:pStyle w:val="spacer"/>
              <w:rPr>
                <w:lang w:val="en-US"/>
              </w:rPr>
            </w:pPr>
          </w:p>
        </w:tc>
      </w:tr>
      <w:tr w:rsidR="004D175A" w14:paraId="67B841C8" w14:textId="77777777" w:rsidTr="004D175A">
        <w:trPr>
          <w:cantSplit/>
        </w:trPr>
        <w:tc>
          <w:tcPr>
            <w:tcW w:w="8168" w:type="dxa"/>
            <w:tcBorders>
              <w:top w:val="single" w:sz="4" w:space="0" w:color="auto"/>
              <w:left w:val="nil"/>
              <w:bottom w:val="nil"/>
              <w:right w:val="nil"/>
            </w:tcBorders>
            <w:hideMark/>
          </w:tcPr>
          <w:p w14:paraId="2A8FBFA7" w14:textId="77777777" w:rsidR="004D175A" w:rsidRDefault="004D175A">
            <w:pPr>
              <w:pStyle w:val="Caption"/>
              <w:rPr>
                <w:lang w:val="en-US"/>
              </w:rPr>
            </w:pPr>
            <w:bookmarkStart w:id="161" w:name="_Ref466037380"/>
            <w:bookmarkStart w:id="162" w:name="_Toc466655668"/>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5</w:t>
            </w:r>
            <w:bookmarkEnd w:id="161"/>
            <w:r>
              <w:rPr>
                <w:lang w:val="en-US"/>
              </w:rPr>
              <w:tab/>
              <w:t>Proportion of organisations in which each outreach activity was undertaken, 2010-2016</w:t>
            </w:r>
            <w:bookmarkEnd w:id="162"/>
          </w:p>
        </w:tc>
      </w:tr>
      <w:tr w:rsidR="004D175A" w14:paraId="4F030475" w14:textId="77777777" w:rsidTr="004D175A">
        <w:trPr>
          <w:cantSplit/>
          <w:trHeight w:val="380"/>
        </w:trPr>
        <w:tc>
          <w:tcPr>
            <w:tcW w:w="8168" w:type="dxa"/>
            <w:tcBorders>
              <w:top w:val="nil"/>
              <w:left w:val="nil"/>
              <w:bottom w:val="single" w:sz="4" w:space="0" w:color="auto"/>
              <w:right w:val="nil"/>
            </w:tcBorders>
            <w:hideMark/>
          </w:tcPr>
          <w:p w14:paraId="22C086E0" w14:textId="77777777" w:rsidR="004D175A" w:rsidRDefault="00A45AB3">
            <w:pPr>
              <w:pStyle w:val="spacer"/>
              <w:rPr>
                <w:lang w:val="en-US"/>
              </w:rPr>
            </w:pPr>
            <w:r>
              <w:rPr>
                <w:noProof/>
                <w:lang w:eastAsia="en-AU"/>
              </w:rPr>
              <mc:AlternateContent>
                <mc:Choice Requires="wps">
                  <w:drawing>
                    <wp:anchor distT="0" distB="0" distL="114300" distR="114300" simplePos="0" relativeHeight="251642880" behindDoc="0" locked="1" layoutInCell="1" allowOverlap="1" wp14:anchorId="5A4BF7F1" wp14:editId="154C344D">
                      <wp:simplePos x="0" y="0"/>
                      <wp:positionH relativeFrom="rightMargin">
                        <wp:posOffset>-772795</wp:posOffset>
                      </wp:positionH>
                      <wp:positionV relativeFrom="page">
                        <wp:posOffset>0</wp:posOffset>
                      </wp:positionV>
                      <wp:extent cx="436880" cy="213360"/>
                      <wp:effectExtent l="0" t="0" r="1270" b="0"/>
                      <wp:wrapNone/>
                      <wp:docPr id="623" name="Freeform 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49277C" id="Freeform 623" o:spid="_x0000_s1026" style="position:absolute;margin-left:-60.85pt;margin-top:0;width:34.4pt;height:16.8pt;z-index:251642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HDyq2Z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39B96058"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41CEE87A" w14:textId="77777777" w:rsidR="004D175A" w:rsidRDefault="007F5EE9">
            <w:pPr>
              <w:pStyle w:val="Figure"/>
              <w:rPr>
                <w:lang w:val="en-US"/>
              </w:rPr>
            </w:pPr>
            <w:r>
              <w:rPr>
                <w:noProof/>
                <w:lang w:eastAsia="en-AU"/>
              </w:rPr>
              <w:drawing>
                <wp:inline distT="0" distB="0" distL="0" distR="0" wp14:anchorId="08132F86" wp14:editId="277F2F9D">
                  <wp:extent cx="5124450" cy="2200275"/>
                  <wp:effectExtent l="0" t="0" r="0" b="0"/>
                  <wp:docPr id="23"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24450" cy="2200275"/>
                          </a:xfrm>
                          <a:prstGeom prst="rect">
                            <a:avLst/>
                          </a:prstGeom>
                          <a:noFill/>
                          <a:ln>
                            <a:noFill/>
                          </a:ln>
                        </pic:spPr>
                      </pic:pic>
                    </a:graphicData>
                  </a:graphic>
                </wp:inline>
              </w:drawing>
            </w:r>
          </w:p>
        </w:tc>
      </w:tr>
      <w:tr w:rsidR="004D175A" w14:paraId="0D7A4BD8"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17B1E983" w14:textId="77777777" w:rsidR="004D175A" w:rsidRDefault="004D175A">
            <w:pPr>
              <w:pStyle w:val="Note"/>
              <w:rPr>
                <w:lang w:val="en-US"/>
              </w:rPr>
            </w:pPr>
            <w:r>
              <w:rPr>
                <w:lang w:val="en-US"/>
              </w:rPr>
              <w:t>Note: Based on data on 2,913 partners organisations. Percentages do not sum to 100 as an organisation can participate in more than one type of activity.</w:t>
            </w:r>
          </w:p>
          <w:p w14:paraId="1F57FC64" w14:textId="77777777" w:rsidR="004D175A" w:rsidRDefault="004D175A">
            <w:pPr>
              <w:pStyle w:val="Source"/>
              <w:rPr>
                <w:lang w:val="en-US"/>
              </w:rPr>
            </w:pPr>
            <w:r>
              <w:rPr>
                <w:lang w:val="en-US"/>
              </w:rPr>
              <w:t>Source: university-provided data</w:t>
            </w:r>
          </w:p>
        </w:tc>
      </w:tr>
      <w:tr w:rsidR="004D175A" w14:paraId="7C831C37" w14:textId="77777777" w:rsidTr="004D175A">
        <w:trPr>
          <w:trHeight w:val="160"/>
        </w:trPr>
        <w:tc>
          <w:tcPr>
            <w:tcW w:w="8168" w:type="dxa"/>
            <w:tcBorders>
              <w:top w:val="single" w:sz="4" w:space="0" w:color="auto"/>
              <w:left w:val="nil"/>
              <w:bottom w:val="nil"/>
              <w:right w:val="nil"/>
            </w:tcBorders>
          </w:tcPr>
          <w:p w14:paraId="27BC43D5" w14:textId="77777777" w:rsidR="004D175A" w:rsidRDefault="004D175A">
            <w:pPr>
              <w:pStyle w:val="spacertbl"/>
              <w:rPr>
                <w:lang w:val="en-US"/>
              </w:rPr>
            </w:pPr>
          </w:p>
        </w:tc>
      </w:tr>
    </w:tbl>
    <w:p w14:paraId="4CDE6204" w14:textId="77777777" w:rsidR="004D175A" w:rsidRDefault="004D175A" w:rsidP="004D175A">
      <w:pPr>
        <w:pStyle w:val="BodyText"/>
      </w:pPr>
      <w:r>
        <w:t>In many cases partner organisations delivered HEPPP activities with more than one university over 2010-2016, based on the data provided by universities (</w:t>
      </w:r>
      <w:r w:rsidR="008C090E" w:rsidRPr="00AD49C8">
        <w:t>Figure 4.6</w:t>
      </w:r>
      <w:r>
        <w:t>). The majority of organisations were involved with one university, but 38 per cent partnered with two or more universities. As data w</w:t>
      </w:r>
      <w:r w:rsidR="00835EC6">
        <w:t>ere</w:t>
      </w:r>
      <w:r>
        <w:t xml:space="preserve"> only received from 29 universities, this is likely an </w:t>
      </w:r>
      <w:r w:rsidR="0096308E">
        <w:t xml:space="preserve">underestimation </w:t>
      </w:r>
      <w:r>
        <w:t xml:space="preserve">of how many organisations are or have been working with more than one university, possibly concurrently. This may indicate that some partner organisations are being over-serviced by multiple universities, although data </w:t>
      </w:r>
      <w:r w:rsidR="00655909">
        <w:t>are</w:t>
      </w:r>
      <w:r>
        <w:t xml:space="preserve"> not available to confirm this.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14F64870" w14:textId="77777777" w:rsidTr="004D175A">
        <w:trPr>
          <w:cantSplit/>
          <w:trHeight w:val="160"/>
        </w:trPr>
        <w:tc>
          <w:tcPr>
            <w:tcW w:w="8168" w:type="dxa"/>
            <w:tcBorders>
              <w:top w:val="nil"/>
              <w:left w:val="nil"/>
              <w:bottom w:val="single" w:sz="4" w:space="0" w:color="auto"/>
              <w:right w:val="nil"/>
            </w:tcBorders>
            <w:hideMark/>
          </w:tcPr>
          <w:p w14:paraId="0A630CFF" w14:textId="77777777" w:rsidR="004D175A" w:rsidRDefault="004D175A">
            <w:pPr>
              <w:pStyle w:val="spacer"/>
              <w:rPr>
                <w:lang w:val="en-US"/>
              </w:rPr>
            </w:pPr>
            <w:r>
              <w:rPr>
                <w:lang w:val="en-US"/>
              </w:rPr>
              <w:t xml:space="preserve"> </w:t>
            </w:r>
          </w:p>
        </w:tc>
      </w:tr>
      <w:tr w:rsidR="004D175A" w14:paraId="581ED541" w14:textId="77777777" w:rsidTr="004D175A">
        <w:trPr>
          <w:cantSplit/>
        </w:trPr>
        <w:tc>
          <w:tcPr>
            <w:tcW w:w="8168" w:type="dxa"/>
            <w:tcBorders>
              <w:top w:val="single" w:sz="4" w:space="0" w:color="auto"/>
              <w:left w:val="nil"/>
              <w:bottom w:val="nil"/>
              <w:right w:val="nil"/>
            </w:tcBorders>
            <w:hideMark/>
          </w:tcPr>
          <w:p w14:paraId="4745B433" w14:textId="77777777" w:rsidR="004D175A" w:rsidRDefault="004D175A">
            <w:pPr>
              <w:pStyle w:val="Caption"/>
              <w:rPr>
                <w:lang w:val="en-US"/>
              </w:rPr>
            </w:pPr>
            <w:bookmarkStart w:id="163" w:name="_Ref466037896"/>
            <w:bookmarkStart w:id="164" w:name="_Toc466655669"/>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6</w:t>
            </w:r>
            <w:bookmarkEnd w:id="163"/>
            <w:r>
              <w:rPr>
                <w:lang w:val="en-US"/>
              </w:rPr>
              <w:tab/>
              <w:t>Number of universities involved with each partner organisation, 2010</w:t>
            </w:r>
            <w:r>
              <w:rPr>
                <w:lang w:val="en-US"/>
              </w:rPr>
              <w:noBreakHyphen/>
              <w:t>2016</w:t>
            </w:r>
            <w:bookmarkEnd w:id="164"/>
          </w:p>
        </w:tc>
      </w:tr>
      <w:tr w:rsidR="004D175A" w14:paraId="2B334BD0" w14:textId="77777777" w:rsidTr="004D175A">
        <w:trPr>
          <w:cantSplit/>
          <w:trHeight w:val="380"/>
        </w:trPr>
        <w:tc>
          <w:tcPr>
            <w:tcW w:w="8168" w:type="dxa"/>
            <w:tcBorders>
              <w:top w:val="nil"/>
              <w:left w:val="nil"/>
              <w:bottom w:val="single" w:sz="4" w:space="0" w:color="auto"/>
              <w:right w:val="nil"/>
            </w:tcBorders>
            <w:hideMark/>
          </w:tcPr>
          <w:p w14:paraId="31E7F874" w14:textId="77777777" w:rsidR="004D175A" w:rsidRDefault="00A45AB3">
            <w:pPr>
              <w:pStyle w:val="spacer"/>
              <w:rPr>
                <w:lang w:val="en-US"/>
              </w:rPr>
            </w:pPr>
            <w:r>
              <w:rPr>
                <w:noProof/>
                <w:lang w:eastAsia="en-AU"/>
              </w:rPr>
              <mc:AlternateContent>
                <mc:Choice Requires="wps">
                  <w:drawing>
                    <wp:anchor distT="0" distB="0" distL="114300" distR="114300" simplePos="0" relativeHeight="251641856" behindDoc="0" locked="1" layoutInCell="1" allowOverlap="1" wp14:anchorId="6787E704" wp14:editId="55525201">
                      <wp:simplePos x="0" y="0"/>
                      <wp:positionH relativeFrom="rightMargin">
                        <wp:posOffset>-772795</wp:posOffset>
                      </wp:positionH>
                      <wp:positionV relativeFrom="page">
                        <wp:posOffset>0</wp:posOffset>
                      </wp:positionV>
                      <wp:extent cx="436880" cy="213360"/>
                      <wp:effectExtent l="0" t="0" r="1270" b="0"/>
                      <wp:wrapNone/>
                      <wp:docPr id="619" name="Freeform 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B9AF5A" id="Freeform 619" o:spid="_x0000_s1026" style="position:absolute;margin-left:-60.85pt;margin-top:0;width:34.4pt;height:16.8pt;z-index:251641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Q06/OH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416BB5DE"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69F043F3" w14:textId="77777777" w:rsidR="004D175A" w:rsidRDefault="007F5EE9">
            <w:pPr>
              <w:pStyle w:val="Figure"/>
              <w:rPr>
                <w:lang w:val="en-US"/>
              </w:rPr>
            </w:pPr>
            <w:r>
              <w:rPr>
                <w:noProof/>
                <w:lang w:eastAsia="en-AU"/>
              </w:rPr>
              <w:drawing>
                <wp:inline distT="0" distB="0" distL="0" distR="0" wp14:anchorId="6B79594C" wp14:editId="5220E480">
                  <wp:extent cx="5133975" cy="2190750"/>
                  <wp:effectExtent l="0" t="0" r="0" b="0"/>
                  <wp:docPr id="24"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33975" cy="2190750"/>
                          </a:xfrm>
                          <a:prstGeom prst="rect">
                            <a:avLst/>
                          </a:prstGeom>
                          <a:noFill/>
                          <a:ln>
                            <a:noFill/>
                          </a:ln>
                        </pic:spPr>
                      </pic:pic>
                    </a:graphicData>
                  </a:graphic>
                </wp:inline>
              </w:drawing>
            </w:r>
          </w:p>
        </w:tc>
      </w:tr>
      <w:tr w:rsidR="004D175A" w14:paraId="099C8B94"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5C2CD166" w14:textId="77777777" w:rsidR="004D175A" w:rsidRDefault="004D175A">
            <w:pPr>
              <w:pStyle w:val="Note"/>
              <w:rPr>
                <w:lang w:val="en-US"/>
              </w:rPr>
            </w:pPr>
            <w:r>
              <w:rPr>
                <w:lang w:val="en-US"/>
              </w:rPr>
              <w:t>Note: n=2,913</w:t>
            </w:r>
          </w:p>
          <w:p w14:paraId="3E6A2865" w14:textId="77777777" w:rsidR="004D175A" w:rsidRDefault="004D175A">
            <w:pPr>
              <w:pStyle w:val="Source"/>
              <w:rPr>
                <w:lang w:val="en-US"/>
              </w:rPr>
            </w:pPr>
            <w:r>
              <w:rPr>
                <w:lang w:val="en-US"/>
              </w:rPr>
              <w:t>Source: university-provided data</w:t>
            </w:r>
          </w:p>
        </w:tc>
      </w:tr>
      <w:tr w:rsidR="004D175A" w14:paraId="76E3E560" w14:textId="77777777" w:rsidTr="004D175A">
        <w:trPr>
          <w:trHeight w:val="160"/>
        </w:trPr>
        <w:tc>
          <w:tcPr>
            <w:tcW w:w="8168" w:type="dxa"/>
            <w:tcBorders>
              <w:top w:val="single" w:sz="4" w:space="0" w:color="auto"/>
              <w:left w:val="nil"/>
              <w:bottom w:val="nil"/>
              <w:right w:val="nil"/>
            </w:tcBorders>
          </w:tcPr>
          <w:p w14:paraId="55A35AEC" w14:textId="77777777" w:rsidR="004D175A" w:rsidRDefault="004D175A">
            <w:pPr>
              <w:pStyle w:val="spacertbl"/>
              <w:rPr>
                <w:lang w:val="en-US"/>
              </w:rPr>
            </w:pPr>
          </w:p>
        </w:tc>
      </w:tr>
    </w:tbl>
    <w:p w14:paraId="1FE38552" w14:textId="77777777" w:rsidR="004D175A" w:rsidRDefault="00E40111" w:rsidP="004D175A">
      <w:pPr>
        <w:pStyle w:val="BodyText"/>
      </w:pPr>
      <w:r>
        <w:t>Most partner organisations have been involved with the HEPPP for multiple years (</w:t>
      </w:r>
      <w:r w:rsidR="008C090E" w:rsidRPr="00AD49C8">
        <w:t>Figure 4.7</w:t>
      </w:r>
      <w:r>
        <w:t xml:space="preserve">). </w:t>
      </w:r>
      <w:r w:rsidR="00E67892">
        <w:t>Between 2010 and 2016, o</w:t>
      </w:r>
      <w:r w:rsidR="004D175A">
        <w:t>nly a quarter of organisations participated in HEPPP activities for one year, with 58 per cent involved for three or more years. Again, th</w:t>
      </w:r>
      <w:r w:rsidR="00655909">
        <w:t>ese</w:t>
      </w:r>
      <w:r w:rsidR="004D175A">
        <w:t xml:space="preserve"> data likely underestimate the number of years the organisations in the dataset have been involved in the HEPPP. This analysis concords with </w:t>
      </w:r>
      <w:r w:rsidR="00C2289A">
        <w:t xml:space="preserve">a </w:t>
      </w:r>
      <w:r w:rsidR="004D175A">
        <w:t xml:space="preserve">consistent message from universities in the interviews and written submissions for this evaluation that long term relationships with partner organisations are actively pursued and are important for effective Outreach activities.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6698D7DB" w14:textId="77777777" w:rsidTr="004D175A">
        <w:trPr>
          <w:cantSplit/>
          <w:trHeight w:val="160"/>
        </w:trPr>
        <w:tc>
          <w:tcPr>
            <w:tcW w:w="8168" w:type="dxa"/>
            <w:tcBorders>
              <w:top w:val="nil"/>
              <w:left w:val="nil"/>
              <w:bottom w:val="single" w:sz="4" w:space="0" w:color="auto"/>
              <w:right w:val="nil"/>
            </w:tcBorders>
          </w:tcPr>
          <w:p w14:paraId="767E4E90" w14:textId="77777777" w:rsidR="004D175A" w:rsidRDefault="004D175A">
            <w:pPr>
              <w:pStyle w:val="spacer"/>
              <w:rPr>
                <w:lang w:val="en-US"/>
              </w:rPr>
            </w:pPr>
          </w:p>
        </w:tc>
      </w:tr>
      <w:tr w:rsidR="004D175A" w14:paraId="130CE37C" w14:textId="77777777" w:rsidTr="004D175A">
        <w:trPr>
          <w:cantSplit/>
        </w:trPr>
        <w:tc>
          <w:tcPr>
            <w:tcW w:w="8168" w:type="dxa"/>
            <w:tcBorders>
              <w:top w:val="single" w:sz="4" w:space="0" w:color="auto"/>
              <w:left w:val="nil"/>
              <w:bottom w:val="nil"/>
              <w:right w:val="nil"/>
            </w:tcBorders>
            <w:hideMark/>
          </w:tcPr>
          <w:p w14:paraId="109DDBFB" w14:textId="77777777" w:rsidR="004D175A" w:rsidRDefault="004D175A">
            <w:pPr>
              <w:pStyle w:val="Caption"/>
              <w:rPr>
                <w:lang w:val="en-US"/>
              </w:rPr>
            </w:pPr>
            <w:bookmarkStart w:id="165" w:name="_Ref466287475"/>
            <w:bookmarkStart w:id="166" w:name="_Toc466655670"/>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7</w:t>
            </w:r>
            <w:bookmarkEnd w:id="165"/>
            <w:r>
              <w:rPr>
                <w:lang w:val="en-US"/>
              </w:rPr>
              <w:tab/>
              <w:t>Number of years of involvement with HEPPP outreach activities, 2010</w:t>
            </w:r>
            <w:r>
              <w:rPr>
                <w:lang w:val="en-US"/>
              </w:rPr>
              <w:noBreakHyphen/>
              <w:t>2016</w:t>
            </w:r>
            <w:bookmarkEnd w:id="166"/>
          </w:p>
        </w:tc>
      </w:tr>
      <w:tr w:rsidR="004D175A" w14:paraId="702E05FD" w14:textId="77777777" w:rsidTr="004D175A">
        <w:trPr>
          <w:cantSplit/>
          <w:trHeight w:val="380"/>
        </w:trPr>
        <w:tc>
          <w:tcPr>
            <w:tcW w:w="8168" w:type="dxa"/>
            <w:tcBorders>
              <w:top w:val="nil"/>
              <w:left w:val="nil"/>
              <w:bottom w:val="single" w:sz="4" w:space="0" w:color="auto"/>
              <w:right w:val="nil"/>
            </w:tcBorders>
            <w:hideMark/>
          </w:tcPr>
          <w:p w14:paraId="707FC178" w14:textId="77777777" w:rsidR="004D175A" w:rsidRDefault="00A45AB3">
            <w:pPr>
              <w:pStyle w:val="spacer"/>
              <w:rPr>
                <w:lang w:val="en-US"/>
              </w:rPr>
            </w:pPr>
            <w:r>
              <w:rPr>
                <w:noProof/>
                <w:lang w:eastAsia="en-AU"/>
              </w:rPr>
              <mc:AlternateContent>
                <mc:Choice Requires="wps">
                  <w:drawing>
                    <wp:anchor distT="0" distB="0" distL="114300" distR="114300" simplePos="0" relativeHeight="251643904" behindDoc="0" locked="1" layoutInCell="1" allowOverlap="1" wp14:anchorId="6EA518B0" wp14:editId="52EAF12B">
                      <wp:simplePos x="0" y="0"/>
                      <wp:positionH relativeFrom="rightMargin">
                        <wp:posOffset>-772795</wp:posOffset>
                      </wp:positionH>
                      <wp:positionV relativeFrom="page">
                        <wp:posOffset>0</wp:posOffset>
                      </wp:positionV>
                      <wp:extent cx="436880" cy="213360"/>
                      <wp:effectExtent l="0" t="0" r="1270" b="0"/>
                      <wp:wrapNone/>
                      <wp:docPr id="618" name="Freeform 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51AE54" id="Freeform 618" o:spid="_x0000_s1026" style="position:absolute;margin-left:-60.85pt;margin-top:0;width:34.4pt;height:16.8pt;z-index:251643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uxEsv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4F7ECE90"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30A89C3E" w14:textId="77777777" w:rsidR="004D175A" w:rsidRDefault="007F5EE9">
            <w:pPr>
              <w:pStyle w:val="Figure"/>
              <w:rPr>
                <w:lang w:val="en-US"/>
              </w:rPr>
            </w:pPr>
            <w:r>
              <w:rPr>
                <w:noProof/>
                <w:lang w:eastAsia="en-AU"/>
              </w:rPr>
              <w:drawing>
                <wp:inline distT="0" distB="0" distL="0" distR="0" wp14:anchorId="791DA43C" wp14:editId="1A32E354">
                  <wp:extent cx="5133975" cy="2190750"/>
                  <wp:effectExtent l="0" t="0" r="0" b="0"/>
                  <wp:docPr id="25"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33975" cy="2190750"/>
                          </a:xfrm>
                          <a:prstGeom prst="rect">
                            <a:avLst/>
                          </a:prstGeom>
                          <a:noFill/>
                          <a:ln>
                            <a:noFill/>
                          </a:ln>
                        </pic:spPr>
                      </pic:pic>
                    </a:graphicData>
                  </a:graphic>
                </wp:inline>
              </w:drawing>
            </w:r>
          </w:p>
        </w:tc>
      </w:tr>
      <w:tr w:rsidR="004D175A" w14:paraId="3FEF708D"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4EC7548F" w14:textId="77777777" w:rsidR="004D175A" w:rsidRDefault="004D175A">
            <w:pPr>
              <w:pStyle w:val="Note"/>
              <w:rPr>
                <w:lang w:val="en-US"/>
              </w:rPr>
            </w:pPr>
            <w:r>
              <w:rPr>
                <w:lang w:val="en-US"/>
              </w:rPr>
              <w:t>Note: n=2,913</w:t>
            </w:r>
          </w:p>
          <w:p w14:paraId="5003E184" w14:textId="77777777" w:rsidR="004D175A" w:rsidRDefault="004D175A">
            <w:pPr>
              <w:pStyle w:val="Source"/>
              <w:rPr>
                <w:lang w:val="en-US"/>
              </w:rPr>
            </w:pPr>
            <w:r>
              <w:rPr>
                <w:lang w:val="en-US"/>
              </w:rPr>
              <w:t>Source: university-provided data</w:t>
            </w:r>
          </w:p>
        </w:tc>
      </w:tr>
      <w:tr w:rsidR="004D175A" w14:paraId="0966E15A" w14:textId="77777777" w:rsidTr="004D175A">
        <w:trPr>
          <w:trHeight w:val="160"/>
        </w:trPr>
        <w:tc>
          <w:tcPr>
            <w:tcW w:w="8168" w:type="dxa"/>
            <w:tcBorders>
              <w:top w:val="single" w:sz="4" w:space="0" w:color="auto"/>
              <w:left w:val="nil"/>
              <w:bottom w:val="nil"/>
              <w:right w:val="nil"/>
            </w:tcBorders>
          </w:tcPr>
          <w:p w14:paraId="5FBDA4C4" w14:textId="77777777" w:rsidR="004D175A" w:rsidRDefault="004D175A">
            <w:pPr>
              <w:pStyle w:val="spacertbl"/>
              <w:rPr>
                <w:lang w:val="en-US"/>
              </w:rPr>
            </w:pPr>
          </w:p>
        </w:tc>
      </w:tr>
    </w:tbl>
    <w:p w14:paraId="4ADFED9F" w14:textId="77777777" w:rsidR="004D175A" w:rsidRDefault="004D175A" w:rsidP="004D175A">
      <w:pPr>
        <w:pStyle w:val="BodyText"/>
      </w:pPr>
      <w:r>
        <w:t xml:space="preserve">One of the research questions for this evaluation is to determine the proportion of low SES schools in each state and territory that have been the subject of HEPPP activities. </w:t>
      </w:r>
    </w:p>
    <w:p w14:paraId="0BABC1E2" w14:textId="77777777" w:rsidR="004D175A" w:rsidRDefault="004D175A" w:rsidP="004D175A">
      <w:pPr>
        <w:pStyle w:val="BodyText"/>
      </w:pPr>
      <w:r>
        <w:t>In the school education sector, the Index of Community Socio-Economic Advantage (ICSEA) is the measure most similar to the SES measure used in higher education. ICSEA places schools on a scale based on their students’ family backgrounds (parents’ occupation, school education and non-school education) and school-level factors (such as geographical location and the proportion of Indigenous enrolments).</w:t>
      </w:r>
    </w:p>
    <w:p w14:paraId="5739BBC3" w14:textId="77777777" w:rsidR="004D175A" w:rsidRDefault="004D175A" w:rsidP="004D175A">
      <w:pPr>
        <w:pStyle w:val="BodyText"/>
      </w:pPr>
      <w:r>
        <w:t xml:space="preserve">The HEPPP does not provide universities </w:t>
      </w:r>
      <w:r w:rsidR="000729C9">
        <w:t xml:space="preserve">with </w:t>
      </w:r>
      <w:r>
        <w:t>a definition of low SES schools, nor an indication of what measure of SES to use</w:t>
      </w:r>
      <w:r w:rsidR="00875A48">
        <w:t>, a</w:t>
      </w:r>
      <w:r>
        <w:t>nd universities do not receive a list of schools by ICSEA or any other index</w:t>
      </w:r>
      <w:r w:rsidR="007E1062">
        <w:t>.</w:t>
      </w:r>
      <w:r>
        <w:t xml:space="preserve"> </w:t>
      </w:r>
      <w:r w:rsidR="007E1062">
        <w:t xml:space="preserve">However, ICSEA scores are publicly available at the school-level on the My School website. </w:t>
      </w:r>
      <w:r>
        <w:t xml:space="preserve">Based on consultations for this evaluation, universities target schools for Outreach activities </w:t>
      </w:r>
      <w:r w:rsidR="00BD1041">
        <w:t>using</w:t>
      </w:r>
      <w:r>
        <w:t xml:space="preserve"> what could be considered local knowledge of schools within their region, or the suburb or region in which school is located where the suburb or region is known to have a high proportion of low SES individuals. </w:t>
      </w:r>
      <w:r w:rsidR="007E1062">
        <w:t>Universities may also target schools in consultation with the Department of Education in the relevant state, for example, the Queensland Widening Participation Consortium works with the Department of Education Queensland to identify schools for the outreach program.</w:t>
      </w:r>
    </w:p>
    <w:p w14:paraId="5CE51EAD" w14:textId="77777777" w:rsidR="004D175A" w:rsidRDefault="004D175A" w:rsidP="00AD49C8">
      <w:pPr>
        <w:pStyle w:val="BodyText"/>
      </w:pPr>
      <w:r>
        <w:t>The university</w:t>
      </w:r>
      <w:r w:rsidR="0017339A">
        <w:t>-</w:t>
      </w:r>
      <w:r>
        <w:t>provide</w:t>
      </w:r>
      <w:r w:rsidR="00835EC6">
        <w:t>d</w:t>
      </w:r>
      <w:r>
        <w:t xml:space="preserve"> Outreach data did not include a field indicating whether each school is low SES, for the reasons note</w:t>
      </w:r>
      <w:r w:rsidR="00875A48">
        <w:t>d</w:t>
      </w:r>
      <w:r>
        <w:t xml:space="preserve"> in the preceding paragraph, but did include the state or territory in which the each school is located. The Department provided data which disaggregated all schools in Australia (n=8</w:t>
      </w:r>
      <w:r w:rsidR="00835EC6">
        <w:t>,</w:t>
      </w:r>
      <w:r>
        <w:t>637) by ICSEA quartile and primary/secondary/combined (ICSEA school level data w</w:t>
      </w:r>
      <w:r w:rsidR="00835EC6">
        <w:t>ere</w:t>
      </w:r>
      <w:r>
        <w:t xml:space="preserve"> not able to be provided).</w:t>
      </w:r>
    </w:p>
    <w:p w14:paraId="5CD6AFD5" w14:textId="77777777" w:rsidR="004D175A" w:rsidRPr="006640EC" w:rsidRDefault="008C090E" w:rsidP="00AD49C8">
      <w:pPr>
        <w:pStyle w:val="BodyText"/>
        <w:rPr>
          <w:highlight w:val="green"/>
        </w:rPr>
      </w:pPr>
      <w:r w:rsidRPr="00AD49C8">
        <w:t>Table 4.1</w:t>
      </w:r>
      <w:r w:rsidR="004D175A">
        <w:t xml:space="preserve"> sets out, disaggregated by primary and secondary/combined, the number of schools in each state and territory participating in the HEPPP, divided by: all schools in that state/territory, and ICSEA quartile 1 and 2 schools in that state/</w:t>
      </w:r>
      <w:r w:rsidR="004D175A" w:rsidRPr="00CB6487">
        <w:t xml:space="preserve">territory. These </w:t>
      </w:r>
      <w:r w:rsidR="004D175A" w:rsidRPr="00DC7844">
        <w:t>denominators are used</w:t>
      </w:r>
      <w:r w:rsidR="00F17AF9" w:rsidRPr="006640EC">
        <w:t xml:space="preserve"> to provide an indication of the proportion of schools involved in the HEPPP</w:t>
      </w:r>
      <w:r w:rsidR="00DC7844" w:rsidRPr="006640EC">
        <w:t xml:space="preserve"> and the reach of the Partnership component at the school-level,</w:t>
      </w:r>
      <w:r w:rsidR="004D175A" w:rsidRPr="00DC7844">
        <w:t xml:space="preserve"> as </w:t>
      </w:r>
      <w:r w:rsidR="00DC7844" w:rsidRPr="006640EC">
        <w:t>the Guidelines do not specify a particular ICSEA or other target category for schools</w:t>
      </w:r>
      <w:r w:rsidR="004D175A" w:rsidRPr="00DC7844">
        <w:t>.</w:t>
      </w:r>
      <w:r w:rsidR="00DC7844">
        <w:rPr>
          <w:rStyle w:val="FootnoteReference"/>
        </w:rPr>
        <w:footnoteReference w:id="22"/>
      </w:r>
    </w:p>
    <w:p w14:paraId="3324682E" w14:textId="77777777" w:rsidR="004D175A" w:rsidRDefault="004D175A" w:rsidP="004D175A">
      <w:pPr>
        <w:pStyle w:val="Caption"/>
        <w:spacing w:before="160"/>
      </w:pPr>
      <w:bookmarkStart w:id="167" w:name="_Ref466287488"/>
      <w:bookmarkStart w:id="168" w:name="_Toc466655756"/>
      <w:r>
        <w:rPr>
          <w:rStyle w:val="CaptionLabel"/>
        </w:rPr>
        <w:t>Table </w:t>
      </w:r>
      <w:r w:rsidR="008C090E">
        <w:rPr>
          <w:rStyle w:val="CaptionLabel"/>
          <w:noProof/>
        </w:rPr>
        <w:t>4</w:t>
      </w:r>
      <w:r>
        <w:rPr>
          <w:rStyle w:val="CaptionLabel"/>
        </w:rPr>
        <w:t>.</w:t>
      </w:r>
      <w:r w:rsidR="008C090E">
        <w:rPr>
          <w:rStyle w:val="CaptionLabel"/>
          <w:noProof/>
        </w:rPr>
        <w:t>1</w:t>
      </w:r>
      <w:bookmarkEnd w:id="167"/>
      <w:r>
        <w:tab/>
        <w:t>Proportion of schools involved in HEPPP outreach activities, 2010-2016</w:t>
      </w:r>
      <w:bookmarkEnd w:id="168"/>
    </w:p>
    <w:tbl>
      <w:tblPr>
        <w:tblW w:w="8625" w:type="dxa"/>
        <w:tblInd w:w="-454" w:type="dxa"/>
        <w:tblLayout w:type="fixed"/>
        <w:tblCellMar>
          <w:left w:w="0" w:type="dxa"/>
          <w:bottom w:w="40" w:type="dxa"/>
          <w:right w:w="0" w:type="dxa"/>
        </w:tblCellMar>
        <w:tblLook w:val="04A0" w:firstRow="1" w:lastRow="0" w:firstColumn="1" w:lastColumn="0" w:noHBand="0" w:noVBand="1"/>
      </w:tblPr>
      <w:tblGrid>
        <w:gridCol w:w="456"/>
        <w:gridCol w:w="1844"/>
        <w:gridCol w:w="2553"/>
        <w:gridCol w:w="1887"/>
        <w:gridCol w:w="1885"/>
      </w:tblGrid>
      <w:tr w:rsidR="004D175A" w14:paraId="51F34BCA" w14:textId="77777777" w:rsidTr="002D62C1">
        <w:trPr>
          <w:cantSplit/>
          <w:tblHeader/>
        </w:trPr>
        <w:tc>
          <w:tcPr>
            <w:tcW w:w="1333" w:type="pct"/>
            <w:gridSpan w:val="2"/>
            <w:shd w:val="clear" w:color="auto" w:fill="9D57A6"/>
            <w:hideMark/>
          </w:tcPr>
          <w:p w14:paraId="16BD7279" w14:textId="77777777" w:rsidR="004D175A" w:rsidRDefault="004D175A">
            <w:pPr>
              <w:pStyle w:val="Tablecolumnheadings"/>
              <w:rPr>
                <w:lang w:val="en-US"/>
              </w:rPr>
            </w:pPr>
            <w:r>
              <w:rPr>
                <w:lang w:val="en-US"/>
              </w:rPr>
              <w:t xml:space="preserve">          State/territory</w:t>
            </w:r>
          </w:p>
        </w:tc>
        <w:tc>
          <w:tcPr>
            <w:tcW w:w="1480" w:type="pct"/>
            <w:shd w:val="clear" w:color="auto" w:fill="9D57A6"/>
            <w:hideMark/>
          </w:tcPr>
          <w:p w14:paraId="7CDD438D" w14:textId="77777777" w:rsidR="004D175A" w:rsidRDefault="004D175A">
            <w:pPr>
              <w:pStyle w:val="Tablecolumnheadings"/>
              <w:rPr>
                <w:lang w:val="en-US"/>
              </w:rPr>
            </w:pPr>
            <w:r>
              <w:rPr>
                <w:lang w:val="en-US"/>
              </w:rPr>
              <w:t>Percentage of schools with HEPPP outreach activities</w:t>
            </w:r>
          </w:p>
        </w:tc>
        <w:tc>
          <w:tcPr>
            <w:tcW w:w="1094" w:type="pct"/>
            <w:shd w:val="clear" w:color="auto" w:fill="9D57A6"/>
            <w:vAlign w:val="center"/>
            <w:hideMark/>
          </w:tcPr>
          <w:p w14:paraId="4F756FE2" w14:textId="77777777" w:rsidR="004D175A" w:rsidRDefault="004D175A">
            <w:pPr>
              <w:pStyle w:val="Tablecolumnheadings"/>
              <w:jc w:val="center"/>
              <w:rPr>
                <w:lang w:val="en-US"/>
              </w:rPr>
            </w:pPr>
            <w:r>
              <w:rPr>
                <w:lang w:val="en-US"/>
              </w:rPr>
              <w:t>Primary schools</w:t>
            </w:r>
          </w:p>
        </w:tc>
        <w:tc>
          <w:tcPr>
            <w:tcW w:w="1093" w:type="pct"/>
            <w:shd w:val="clear" w:color="auto" w:fill="9D57A6"/>
            <w:vAlign w:val="center"/>
            <w:hideMark/>
          </w:tcPr>
          <w:p w14:paraId="67520E16" w14:textId="77777777" w:rsidR="004D175A" w:rsidRDefault="004D175A">
            <w:pPr>
              <w:pStyle w:val="Tablecolumnheadings"/>
              <w:jc w:val="center"/>
              <w:rPr>
                <w:lang w:val="en-US"/>
              </w:rPr>
            </w:pPr>
            <w:r>
              <w:rPr>
                <w:lang w:val="en-US"/>
              </w:rPr>
              <w:t>Secondary/combined schools</w:t>
            </w:r>
          </w:p>
        </w:tc>
      </w:tr>
      <w:tr w:rsidR="004D175A" w14:paraId="34E3440D" w14:textId="77777777" w:rsidTr="00AD49C8">
        <w:trPr>
          <w:gridBefore w:val="1"/>
          <w:wBefore w:w="264" w:type="pct"/>
          <w:cantSplit/>
        </w:trPr>
        <w:tc>
          <w:tcPr>
            <w:tcW w:w="1069" w:type="pct"/>
            <w:vMerge w:val="restart"/>
            <w:tcBorders>
              <w:top w:val="nil"/>
              <w:left w:val="nil"/>
              <w:bottom w:val="single" w:sz="4" w:space="0" w:color="646464"/>
              <w:right w:val="nil"/>
            </w:tcBorders>
            <w:vAlign w:val="center"/>
            <w:hideMark/>
          </w:tcPr>
          <w:p w14:paraId="7DAF7080" w14:textId="77777777" w:rsidR="004D175A" w:rsidRDefault="004D175A">
            <w:pPr>
              <w:pStyle w:val="Tabletext"/>
              <w:rPr>
                <w:lang w:val="en-US"/>
              </w:rPr>
            </w:pPr>
            <w:r>
              <w:rPr>
                <w:lang w:val="en-US"/>
              </w:rPr>
              <w:t>NSW</w:t>
            </w:r>
          </w:p>
        </w:tc>
        <w:tc>
          <w:tcPr>
            <w:tcW w:w="1480" w:type="pct"/>
            <w:tcBorders>
              <w:top w:val="nil"/>
              <w:left w:val="nil"/>
              <w:bottom w:val="single" w:sz="4" w:space="0" w:color="646464"/>
              <w:right w:val="nil"/>
            </w:tcBorders>
            <w:hideMark/>
          </w:tcPr>
          <w:p w14:paraId="4E7BE2D3" w14:textId="77777777" w:rsidR="004D175A" w:rsidRDefault="004D175A">
            <w:pPr>
              <w:pStyle w:val="Tabletext"/>
              <w:rPr>
                <w:lang w:val="en-US"/>
              </w:rPr>
            </w:pPr>
            <w:r>
              <w:rPr>
                <w:lang w:val="en-US"/>
              </w:rPr>
              <w:t>All schools</w:t>
            </w:r>
          </w:p>
        </w:tc>
        <w:tc>
          <w:tcPr>
            <w:tcW w:w="1094" w:type="pct"/>
            <w:tcBorders>
              <w:top w:val="nil"/>
              <w:left w:val="nil"/>
              <w:bottom w:val="single" w:sz="4" w:space="0" w:color="646464"/>
              <w:right w:val="nil"/>
            </w:tcBorders>
            <w:vAlign w:val="bottom"/>
            <w:hideMark/>
          </w:tcPr>
          <w:p w14:paraId="01B98A1B" w14:textId="77777777" w:rsidR="004D175A" w:rsidRDefault="004D175A">
            <w:pPr>
              <w:pStyle w:val="Tabletext"/>
              <w:jc w:val="center"/>
              <w:rPr>
                <w:lang w:val="en-US"/>
              </w:rPr>
            </w:pPr>
            <w:r>
              <w:rPr>
                <w:color w:val="000000"/>
                <w:lang w:val="en-US"/>
              </w:rPr>
              <w:t>23%</w:t>
            </w:r>
          </w:p>
        </w:tc>
        <w:tc>
          <w:tcPr>
            <w:tcW w:w="1093" w:type="pct"/>
            <w:tcBorders>
              <w:top w:val="nil"/>
              <w:left w:val="nil"/>
              <w:bottom w:val="single" w:sz="4" w:space="0" w:color="646464"/>
              <w:right w:val="nil"/>
            </w:tcBorders>
            <w:vAlign w:val="bottom"/>
            <w:hideMark/>
          </w:tcPr>
          <w:p w14:paraId="45F3CBEE" w14:textId="77777777" w:rsidR="004D175A" w:rsidRDefault="004D175A">
            <w:pPr>
              <w:pStyle w:val="Tabletext"/>
              <w:jc w:val="center"/>
              <w:rPr>
                <w:lang w:val="en-US"/>
              </w:rPr>
            </w:pPr>
            <w:r>
              <w:rPr>
                <w:color w:val="000000"/>
                <w:lang w:val="en-US"/>
              </w:rPr>
              <w:t>85%</w:t>
            </w:r>
          </w:p>
        </w:tc>
      </w:tr>
      <w:tr w:rsidR="004D175A" w14:paraId="4B64B2A3" w14:textId="77777777" w:rsidTr="00AD49C8">
        <w:trPr>
          <w:gridBefore w:val="1"/>
          <w:wBefore w:w="264" w:type="pct"/>
          <w:cantSplit/>
        </w:trPr>
        <w:tc>
          <w:tcPr>
            <w:tcW w:w="1069" w:type="pct"/>
            <w:vMerge/>
            <w:tcBorders>
              <w:top w:val="nil"/>
              <w:left w:val="nil"/>
              <w:bottom w:val="single" w:sz="4" w:space="0" w:color="646464"/>
              <w:right w:val="nil"/>
            </w:tcBorders>
            <w:vAlign w:val="center"/>
            <w:hideMark/>
          </w:tcPr>
          <w:p w14:paraId="0DB6885C" w14:textId="77777777" w:rsidR="004D175A" w:rsidRDefault="004D175A">
            <w:pPr>
              <w:spacing w:after="0" w:line="256" w:lineRule="auto"/>
              <w:rPr>
                <w:color w:val="000100"/>
                <w:sz w:val="20"/>
                <w:lang w:val="en-US"/>
              </w:rPr>
            </w:pPr>
          </w:p>
        </w:tc>
        <w:tc>
          <w:tcPr>
            <w:tcW w:w="1480" w:type="pct"/>
            <w:tcBorders>
              <w:top w:val="single" w:sz="4" w:space="0" w:color="646464"/>
              <w:left w:val="nil"/>
              <w:bottom w:val="single" w:sz="4" w:space="0" w:color="646464"/>
              <w:right w:val="nil"/>
            </w:tcBorders>
            <w:shd w:val="clear" w:color="auto" w:fill="E6E6E6"/>
            <w:hideMark/>
          </w:tcPr>
          <w:p w14:paraId="2E99D889" w14:textId="77777777" w:rsidR="004D175A" w:rsidRDefault="004D175A">
            <w:pPr>
              <w:pStyle w:val="Tabletext"/>
              <w:rPr>
                <w:lang w:val="en-US"/>
              </w:rPr>
            </w:pPr>
            <w:r>
              <w:rPr>
                <w:lang w:val="en-US"/>
              </w:rPr>
              <w:t>ICSEA quartile 1 and 2 schools</w:t>
            </w:r>
          </w:p>
        </w:tc>
        <w:tc>
          <w:tcPr>
            <w:tcW w:w="1094" w:type="pct"/>
            <w:tcBorders>
              <w:top w:val="single" w:sz="4" w:space="0" w:color="646464"/>
              <w:left w:val="nil"/>
              <w:bottom w:val="single" w:sz="4" w:space="0" w:color="646464"/>
              <w:right w:val="nil"/>
            </w:tcBorders>
            <w:shd w:val="clear" w:color="auto" w:fill="E6E6E6"/>
            <w:vAlign w:val="bottom"/>
            <w:hideMark/>
          </w:tcPr>
          <w:p w14:paraId="5F14D290" w14:textId="77777777" w:rsidR="004D175A" w:rsidRDefault="004D175A">
            <w:pPr>
              <w:pStyle w:val="Tabletext"/>
              <w:jc w:val="center"/>
              <w:rPr>
                <w:lang w:val="en-US"/>
              </w:rPr>
            </w:pPr>
            <w:r>
              <w:rPr>
                <w:color w:val="000000"/>
                <w:lang w:val="en-US"/>
              </w:rPr>
              <w:t>44%</w:t>
            </w:r>
          </w:p>
        </w:tc>
        <w:tc>
          <w:tcPr>
            <w:tcW w:w="1093" w:type="pct"/>
            <w:tcBorders>
              <w:top w:val="single" w:sz="4" w:space="0" w:color="646464"/>
              <w:left w:val="nil"/>
              <w:bottom w:val="single" w:sz="4" w:space="0" w:color="646464"/>
              <w:right w:val="nil"/>
            </w:tcBorders>
            <w:shd w:val="clear" w:color="auto" w:fill="E6E6E6"/>
            <w:vAlign w:val="bottom"/>
            <w:hideMark/>
          </w:tcPr>
          <w:p w14:paraId="3CDED380" w14:textId="77777777" w:rsidR="004D175A" w:rsidRDefault="004D175A">
            <w:pPr>
              <w:pStyle w:val="Tabletext"/>
              <w:jc w:val="center"/>
              <w:rPr>
                <w:lang w:val="en-US"/>
              </w:rPr>
            </w:pPr>
            <w:r>
              <w:rPr>
                <w:color w:val="000000"/>
                <w:lang w:val="en-US"/>
              </w:rPr>
              <w:t>178%</w:t>
            </w:r>
          </w:p>
        </w:tc>
      </w:tr>
      <w:tr w:rsidR="004D175A" w14:paraId="3E521652" w14:textId="77777777" w:rsidTr="00AD49C8">
        <w:trPr>
          <w:gridBefore w:val="1"/>
          <w:wBefore w:w="264" w:type="pct"/>
          <w:cantSplit/>
        </w:trPr>
        <w:tc>
          <w:tcPr>
            <w:tcW w:w="1069" w:type="pct"/>
            <w:vMerge w:val="restart"/>
            <w:tcBorders>
              <w:top w:val="single" w:sz="4" w:space="0" w:color="646464"/>
              <w:left w:val="nil"/>
              <w:bottom w:val="single" w:sz="4" w:space="0" w:color="646464"/>
              <w:right w:val="nil"/>
            </w:tcBorders>
            <w:vAlign w:val="center"/>
            <w:hideMark/>
          </w:tcPr>
          <w:p w14:paraId="7125E896" w14:textId="77777777" w:rsidR="004D175A" w:rsidRDefault="004D175A">
            <w:pPr>
              <w:pStyle w:val="Tabletext"/>
              <w:rPr>
                <w:lang w:val="en-US"/>
              </w:rPr>
            </w:pPr>
            <w:r>
              <w:rPr>
                <w:lang w:val="en-US"/>
              </w:rPr>
              <w:t>Victoria</w:t>
            </w:r>
          </w:p>
        </w:tc>
        <w:tc>
          <w:tcPr>
            <w:tcW w:w="1480" w:type="pct"/>
            <w:tcBorders>
              <w:top w:val="single" w:sz="4" w:space="0" w:color="646464"/>
              <w:left w:val="nil"/>
              <w:bottom w:val="single" w:sz="4" w:space="0" w:color="646464"/>
              <w:right w:val="nil"/>
            </w:tcBorders>
            <w:hideMark/>
          </w:tcPr>
          <w:p w14:paraId="5658A65F" w14:textId="77777777" w:rsidR="004D175A" w:rsidRDefault="004D175A">
            <w:pPr>
              <w:pStyle w:val="Tabletext"/>
              <w:rPr>
                <w:lang w:val="en-US"/>
              </w:rPr>
            </w:pPr>
            <w:r>
              <w:rPr>
                <w:lang w:val="en-US"/>
              </w:rPr>
              <w:t>All schools</w:t>
            </w:r>
          </w:p>
        </w:tc>
        <w:tc>
          <w:tcPr>
            <w:tcW w:w="1094" w:type="pct"/>
            <w:tcBorders>
              <w:top w:val="single" w:sz="4" w:space="0" w:color="646464"/>
              <w:left w:val="nil"/>
              <w:bottom w:val="single" w:sz="4" w:space="0" w:color="646464"/>
              <w:right w:val="nil"/>
            </w:tcBorders>
            <w:vAlign w:val="bottom"/>
            <w:hideMark/>
          </w:tcPr>
          <w:p w14:paraId="21F3694C" w14:textId="77777777" w:rsidR="004D175A" w:rsidRDefault="004D175A">
            <w:pPr>
              <w:pStyle w:val="Tabletext"/>
              <w:jc w:val="center"/>
              <w:rPr>
                <w:lang w:val="en-US"/>
              </w:rPr>
            </w:pPr>
            <w:r>
              <w:rPr>
                <w:color w:val="000000"/>
                <w:lang w:val="en-US"/>
              </w:rPr>
              <w:t>3%</w:t>
            </w:r>
          </w:p>
        </w:tc>
        <w:tc>
          <w:tcPr>
            <w:tcW w:w="1093" w:type="pct"/>
            <w:tcBorders>
              <w:top w:val="single" w:sz="4" w:space="0" w:color="646464"/>
              <w:left w:val="nil"/>
              <w:bottom w:val="single" w:sz="4" w:space="0" w:color="646464"/>
              <w:right w:val="nil"/>
            </w:tcBorders>
            <w:vAlign w:val="bottom"/>
            <w:hideMark/>
          </w:tcPr>
          <w:p w14:paraId="121B59D6" w14:textId="77777777" w:rsidR="004D175A" w:rsidRDefault="004D175A">
            <w:pPr>
              <w:pStyle w:val="Tabletext"/>
              <w:jc w:val="center"/>
              <w:rPr>
                <w:lang w:val="en-US"/>
              </w:rPr>
            </w:pPr>
            <w:r>
              <w:rPr>
                <w:color w:val="000000"/>
                <w:lang w:val="en-US"/>
              </w:rPr>
              <w:t>69%</w:t>
            </w:r>
          </w:p>
        </w:tc>
      </w:tr>
      <w:tr w:rsidR="004D175A" w14:paraId="1E302D9B" w14:textId="77777777" w:rsidTr="00AD49C8">
        <w:trPr>
          <w:gridBefore w:val="1"/>
          <w:wBefore w:w="264" w:type="pct"/>
          <w:cantSplit/>
        </w:trPr>
        <w:tc>
          <w:tcPr>
            <w:tcW w:w="1069" w:type="pct"/>
            <w:vMerge/>
            <w:tcBorders>
              <w:top w:val="single" w:sz="4" w:space="0" w:color="646464"/>
              <w:left w:val="nil"/>
              <w:bottom w:val="single" w:sz="4" w:space="0" w:color="646464"/>
              <w:right w:val="nil"/>
            </w:tcBorders>
            <w:vAlign w:val="center"/>
            <w:hideMark/>
          </w:tcPr>
          <w:p w14:paraId="6E2F2EBD" w14:textId="77777777" w:rsidR="004D175A" w:rsidRDefault="004D175A">
            <w:pPr>
              <w:spacing w:after="0" w:line="256" w:lineRule="auto"/>
              <w:rPr>
                <w:color w:val="000100"/>
                <w:sz w:val="20"/>
                <w:lang w:val="en-US"/>
              </w:rPr>
            </w:pPr>
          </w:p>
        </w:tc>
        <w:tc>
          <w:tcPr>
            <w:tcW w:w="1480" w:type="pct"/>
            <w:tcBorders>
              <w:top w:val="single" w:sz="4" w:space="0" w:color="646464"/>
              <w:left w:val="nil"/>
              <w:bottom w:val="single" w:sz="4" w:space="0" w:color="646464"/>
              <w:right w:val="nil"/>
            </w:tcBorders>
            <w:shd w:val="clear" w:color="auto" w:fill="E6E6E6"/>
            <w:hideMark/>
          </w:tcPr>
          <w:p w14:paraId="2320F888" w14:textId="77777777" w:rsidR="004D175A" w:rsidRDefault="004D175A">
            <w:pPr>
              <w:pStyle w:val="Tabletext"/>
              <w:rPr>
                <w:lang w:val="en-US"/>
              </w:rPr>
            </w:pPr>
            <w:r>
              <w:rPr>
                <w:lang w:val="en-US"/>
              </w:rPr>
              <w:t>ICSEA quartile 1 and 2 schools</w:t>
            </w:r>
          </w:p>
        </w:tc>
        <w:tc>
          <w:tcPr>
            <w:tcW w:w="1094" w:type="pct"/>
            <w:tcBorders>
              <w:top w:val="single" w:sz="4" w:space="0" w:color="646464"/>
              <w:left w:val="nil"/>
              <w:bottom w:val="single" w:sz="4" w:space="0" w:color="646464"/>
              <w:right w:val="nil"/>
            </w:tcBorders>
            <w:shd w:val="clear" w:color="auto" w:fill="E6E6E6"/>
            <w:vAlign w:val="bottom"/>
            <w:hideMark/>
          </w:tcPr>
          <w:p w14:paraId="42EB343A" w14:textId="77777777" w:rsidR="004D175A" w:rsidRDefault="004D175A">
            <w:pPr>
              <w:pStyle w:val="Tabletext"/>
              <w:jc w:val="center"/>
              <w:rPr>
                <w:lang w:val="en-US"/>
              </w:rPr>
            </w:pPr>
            <w:r>
              <w:rPr>
                <w:color w:val="000000"/>
                <w:lang w:val="en-US"/>
              </w:rPr>
              <w:t>7%</w:t>
            </w:r>
          </w:p>
        </w:tc>
        <w:tc>
          <w:tcPr>
            <w:tcW w:w="1093" w:type="pct"/>
            <w:tcBorders>
              <w:top w:val="single" w:sz="4" w:space="0" w:color="646464"/>
              <w:left w:val="nil"/>
              <w:bottom w:val="single" w:sz="4" w:space="0" w:color="646464"/>
              <w:right w:val="nil"/>
            </w:tcBorders>
            <w:shd w:val="clear" w:color="auto" w:fill="E6E6E6"/>
            <w:vAlign w:val="bottom"/>
            <w:hideMark/>
          </w:tcPr>
          <w:p w14:paraId="543F5F19" w14:textId="77777777" w:rsidR="004D175A" w:rsidRDefault="004D175A">
            <w:pPr>
              <w:pStyle w:val="Tabletext"/>
              <w:jc w:val="center"/>
              <w:rPr>
                <w:lang w:val="en-US"/>
              </w:rPr>
            </w:pPr>
            <w:r>
              <w:rPr>
                <w:color w:val="000000"/>
                <w:lang w:val="en-US"/>
              </w:rPr>
              <w:t>153%</w:t>
            </w:r>
          </w:p>
        </w:tc>
      </w:tr>
      <w:tr w:rsidR="004D175A" w14:paraId="4914CC69" w14:textId="77777777" w:rsidTr="00AD49C8">
        <w:trPr>
          <w:gridBefore w:val="1"/>
          <w:wBefore w:w="264" w:type="pct"/>
          <w:cantSplit/>
        </w:trPr>
        <w:tc>
          <w:tcPr>
            <w:tcW w:w="1069" w:type="pct"/>
            <w:vMerge w:val="restart"/>
            <w:tcBorders>
              <w:top w:val="single" w:sz="4" w:space="0" w:color="646464"/>
              <w:left w:val="nil"/>
              <w:bottom w:val="single" w:sz="4" w:space="0" w:color="646464"/>
              <w:right w:val="nil"/>
            </w:tcBorders>
            <w:vAlign w:val="center"/>
            <w:hideMark/>
          </w:tcPr>
          <w:p w14:paraId="39525FE3" w14:textId="77777777" w:rsidR="004D175A" w:rsidRDefault="004D175A">
            <w:pPr>
              <w:pStyle w:val="Tabletext"/>
              <w:rPr>
                <w:lang w:val="en-US"/>
              </w:rPr>
            </w:pPr>
            <w:r>
              <w:rPr>
                <w:lang w:val="en-US"/>
              </w:rPr>
              <w:t>Queensland</w:t>
            </w:r>
          </w:p>
        </w:tc>
        <w:tc>
          <w:tcPr>
            <w:tcW w:w="1480" w:type="pct"/>
            <w:tcBorders>
              <w:top w:val="single" w:sz="4" w:space="0" w:color="646464"/>
              <w:left w:val="nil"/>
              <w:bottom w:val="single" w:sz="4" w:space="0" w:color="646464"/>
              <w:right w:val="nil"/>
            </w:tcBorders>
            <w:hideMark/>
          </w:tcPr>
          <w:p w14:paraId="2835535E" w14:textId="77777777" w:rsidR="004D175A" w:rsidRDefault="004D175A">
            <w:pPr>
              <w:pStyle w:val="Tabletext"/>
              <w:rPr>
                <w:lang w:val="en-US"/>
              </w:rPr>
            </w:pPr>
            <w:r>
              <w:rPr>
                <w:lang w:val="en-US"/>
              </w:rPr>
              <w:t>All schools</w:t>
            </w:r>
          </w:p>
        </w:tc>
        <w:tc>
          <w:tcPr>
            <w:tcW w:w="1094" w:type="pct"/>
            <w:tcBorders>
              <w:top w:val="single" w:sz="4" w:space="0" w:color="646464"/>
              <w:left w:val="nil"/>
              <w:bottom w:val="single" w:sz="4" w:space="0" w:color="646464"/>
              <w:right w:val="nil"/>
            </w:tcBorders>
            <w:vAlign w:val="bottom"/>
            <w:hideMark/>
          </w:tcPr>
          <w:p w14:paraId="20CC1711" w14:textId="77777777" w:rsidR="004D175A" w:rsidRDefault="004D175A">
            <w:pPr>
              <w:pStyle w:val="Tabletext"/>
              <w:jc w:val="center"/>
              <w:rPr>
                <w:lang w:val="en-US"/>
              </w:rPr>
            </w:pPr>
            <w:r>
              <w:rPr>
                <w:color w:val="000000"/>
                <w:lang w:val="en-US"/>
              </w:rPr>
              <w:t>23%</w:t>
            </w:r>
          </w:p>
        </w:tc>
        <w:tc>
          <w:tcPr>
            <w:tcW w:w="1093" w:type="pct"/>
            <w:tcBorders>
              <w:top w:val="single" w:sz="4" w:space="0" w:color="646464"/>
              <w:left w:val="nil"/>
              <w:bottom w:val="single" w:sz="4" w:space="0" w:color="646464"/>
              <w:right w:val="nil"/>
            </w:tcBorders>
            <w:vAlign w:val="bottom"/>
            <w:hideMark/>
          </w:tcPr>
          <w:p w14:paraId="509D9974" w14:textId="77777777" w:rsidR="004D175A" w:rsidRDefault="004D175A">
            <w:pPr>
              <w:pStyle w:val="Tabletext"/>
              <w:jc w:val="center"/>
              <w:rPr>
                <w:lang w:val="en-US"/>
              </w:rPr>
            </w:pPr>
            <w:r>
              <w:rPr>
                <w:color w:val="000000"/>
                <w:lang w:val="en-US"/>
              </w:rPr>
              <w:t>77%</w:t>
            </w:r>
          </w:p>
        </w:tc>
      </w:tr>
      <w:tr w:rsidR="004D175A" w14:paraId="5455D015" w14:textId="77777777" w:rsidTr="00AD49C8">
        <w:trPr>
          <w:gridBefore w:val="1"/>
          <w:wBefore w:w="264" w:type="pct"/>
          <w:cantSplit/>
        </w:trPr>
        <w:tc>
          <w:tcPr>
            <w:tcW w:w="1069" w:type="pct"/>
            <w:vMerge/>
            <w:tcBorders>
              <w:top w:val="single" w:sz="4" w:space="0" w:color="646464"/>
              <w:left w:val="nil"/>
              <w:bottom w:val="single" w:sz="4" w:space="0" w:color="646464"/>
              <w:right w:val="nil"/>
            </w:tcBorders>
            <w:vAlign w:val="center"/>
            <w:hideMark/>
          </w:tcPr>
          <w:p w14:paraId="3DF2A6BF" w14:textId="77777777" w:rsidR="004D175A" w:rsidRDefault="004D175A">
            <w:pPr>
              <w:spacing w:after="0" w:line="256" w:lineRule="auto"/>
              <w:rPr>
                <w:color w:val="000100"/>
                <w:sz w:val="20"/>
                <w:lang w:val="en-US"/>
              </w:rPr>
            </w:pPr>
          </w:p>
        </w:tc>
        <w:tc>
          <w:tcPr>
            <w:tcW w:w="1480" w:type="pct"/>
            <w:tcBorders>
              <w:top w:val="single" w:sz="4" w:space="0" w:color="646464"/>
              <w:left w:val="nil"/>
              <w:bottom w:val="single" w:sz="4" w:space="0" w:color="646464"/>
              <w:right w:val="nil"/>
            </w:tcBorders>
            <w:shd w:val="clear" w:color="auto" w:fill="E6E6E6"/>
            <w:hideMark/>
          </w:tcPr>
          <w:p w14:paraId="20F3B59F" w14:textId="77777777" w:rsidR="004D175A" w:rsidRDefault="004D175A">
            <w:pPr>
              <w:pStyle w:val="Tabletext"/>
              <w:rPr>
                <w:lang w:val="en-US"/>
              </w:rPr>
            </w:pPr>
            <w:r>
              <w:rPr>
                <w:lang w:val="en-US"/>
              </w:rPr>
              <w:t xml:space="preserve">ICSEA quartile 1 and 2 schools </w:t>
            </w:r>
          </w:p>
        </w:tc>
        <w:tc>
          <w:tcPr>
            <w:tcW w:w="1094" w:type="pct"/>
            <w:tcBorders>
              <w:top w:val="single" w:sz="4" w:space="0" w:color="646464"/>
              <w:left w:val="nil"/>
              <w:bottom w:val="single" w:sz="4" w:space="0" w:color="646464"/>
              <w:right w:val="nil"/>
            </w:tcBorders>
            <w:shd w:val="clear" w:color="auto" w:fill="E6E6E6"/>
            <w:vAlign w:val="bottom"/>
            <w:hideMark/>
          </w:tcPr>
          <w:p w14:paraId="408B4C22" w14:textId="77777777" w:rsidR="004D175A" w:rsidRDefault="004D175A">
            <w:pPr>
              <w:pStyle w:val="Tabletext"/>
              <w:jc w:val="center"/>
              <w:rPr>
                <w:lang w:val="en-US"/>
              </w:rPr>
            </w:pPr>
            <w:r>
              <w:rPr>
                <w:color w:val="000000"/>
                <w:lang w:val="en-US"/>
              </w:rPr>
              <w:t>39%</w:t>
            </w:r>
          </w:p>
        </w:tc>
        <w:tc>
          <w:tcPr>
            <w:tcW w:w="1093" w:type="pct"/>
            <w:tcBorders>
              <w:top w:val="single" w:sz="4" w:space="0" w:color="646464"/>
              <w:left w:val="nil"/>
              <w:bottom w:val="single" w:sz="4" w:space="0" w:color="646464"/>
              <w:right w:val="nil"/>
            </w:tcBorders>
            <w:shd w:val="clear" w:color="auto" w:fill="E6E6E6"/>
            <w:vAlign w:val="bottom"/>
            <w:hideMark/>
          </w:tcPr>
          <w:p w14:paraId="3AF4971C" w14:textId="77777777" w:rsidR="004D175A" w:rsidRDefault="004D175A">
            <w:pPr>
              <w:pStyle w:val="Tabletext"/>
              <w:jc w:val="center"/>
              <w:rPr>
                <w:lang w:val="en-US"/>
              </w:rPr>
            </w:pPr>
            <w:r>
              <w:rPr>
                <w:color w:val="000000"/>
                <w:lang w:val="en-US"/>
              </w:rPr>
              <w:t>144%</w:t>
            </w:r>
          </w:p>
        </w:tc>
      </w:tr>
      <w:tr w:rsidR="004D175A" w14:paraId="319D774E" w14:textId="77777777" w:rsidTr="00AD49C8">
        <w:trPr>
          <w:gridBefore w:val="1"/>
          <w:wBefore w:w="264" w:type="pct"/>
          <w:cantSplit/>
        </w:trPr>
        <w:tc>
          <w:tcPr>
            <w:tcW w:w="1069" w:type="pct"/>
            <w:vMerge w:val="restart"/>
            <w:tcBorders>
              <w:top w:val="single" w:sz="4" w:space="0" w:color="646464"/>
              <w:left w:val="nil"/>
              <w:bottom w:val="single" w:sz="4" w:space="0" w:color="646464"/>
              <w:right w:val="nil"/>
            </w:tcBorders>
            <w:vAlign w:val="center"/>
            <w:hideMark/>
          </w:tcPr>
          <w:p w14:paraId="7B1C9755" w14:textId="77777777" w:rsidR="004D175A" w:rsidRDefault="004D175A">
            <w:pPr>
              <w:pStyle w:val="Tabletext"/>
              <w:rPr>
                <w:lang w:val="en-US"/>
              </w:rPr>
            </w:pPr>
            <w:r>
              <w:rPr>
                <w:lang w:val="en-US"/>
              </w:rPr>
              <w:t>South Australia</w:t>
            </w:r>
          </w:p>
        </w:tc>
        <w:tc>
          <w:tcPr>
            <w:tcW w:w="1480" w:type="pct"/>
            <w:tcBorders>
              <w:top w:val="single" w:sz="4" w:space="0" w:color="646464"/>
              <w:left w:val="nil"/>
              <w:bottom w:val="single" w:sz="4" w:space="0" w:color="646464"/>
              <w:right w:val="nil"/>
            </w:tcBorders>
            <w:hideMark/>
          </w:tcPr>
          <w:p w14:paraId="12E692B1" w14:textId="77777777" w:rsidR="004D175A" w:rsidRDefault="004D175A">
            <w:pPr>
              <w:pStyle w:val="Tabletext"/>
              <w:rPr>
                <w:lang w:val="en-US"/>
              </w:rPr>
            </w:pPr>
            <w:r>
              <w:rPr>
                <w:lang w:val="en-US"/>
              </w:rPr>
              <w:t>All schools</w:t>
            </w:r>
          </w:p>
        </w:tc>
        <w:tc>
          <w:tcPr>
            <w:tcW w:w="1094" w:type="pct"/>
            <w:tcBorders>
              <w:top w:val="single" w:sz="4" w:space="0" w:color="646464"/>
              <w:left w:val="nil"/>
              <w:bottom w:val="single" w:sz="4" w:space="0" w:color="646464"/>
              <w:right w:val="nil"/>
            </w:tcBorders>
            <w:vAlign w:val="bottom"/>
            <w:hideMark/>
          </w:tcPr>
          <w:p w14:paraId="329638B0" w14:textId="77777777" w:rsidR="004D175A" w:rsidRDefault="004D175A">
            <w:pPr>
              <w:pStyle w:val="Tabletext"/>
              <w:jc w:val="center"/>
              <w:rPr>
                <w:lang w:val="en-US"/>
              </w:rPr>
            </w:pPr>
            <w:r>
              <w:rPr>
                <w:color w:val="000000"/>
                <w:lang w:val="en-US"/>
              </w:rPr>
              <w:t>6%</w:t>
            </w:r>
          </w:p>
        </w:tc>
        <w:tc>
          <w:tcPr>
            <w:tcW w:w="1093" w:type="pct"/>
            <w:tcBorders>
              <w:top w:val="single" w:sz="4" w:space="0" w:color="646464"/>
              <w:left w:val="nil"/>
              <w:bottom w:val="single" w:sz="4" w:space="0" w:color="646464"/>
              <w:right w:val="nil"/>
            </w:tcBorders>
            <w:vAlign w:val="bottom"/>
            <w:hideMark/>
          </w:tcPr>
          <w:p w14:paraId="48098E1B" w14:textId="77777777" w:rsidR="004D175A" w:rsidRDefault="004D175A">
            <w:pPr>
              <w:pStyle w:val="Tabletext"/>
              <w:jc w:val="center"/>
              <w:rPr>
                <w:lang w:val="en-US"/>
              </w:rPr>
            </w:pPr>
            <w:r>
              <w:rPr>
                <w:color w:val="000000"/>
                <w:lang w:val="en-US"/>
              </w:rPr>
              <w:t>90%</w:t>
            </w:r>
          </w:p>
        </w:tc>
      </w:tr>
      <w:tr w:rsidR="004D175A" w14:paraId="3E57694C" w14:textId="77777777" w:rsidTr="00AD49C8">
        <w:trPr>
          <w:gridBefore w:val="1"/>
          <w:wBefore w:w="264" w:type="pct"/>
          <w:cantSplit/>
        </w:trPr>
        <w:tc>
          <w:tcPr>
            <w:tcW w:w="1069" w:type="pct"/>
            <w:vMerge/>
            <w:tcBorders>
              <w:top w:val="single" w:sz="4" w:space="0" w:color="646464"/>
              <w:left w:val="nil"/>
              <w:bottom w:val="single" w:sz="4" w:space="0" w:color="646464"/>
              <w:right w:val="nil"/>
            </w:tcBorders>
            <w:vAlign w:val="center"/>
            <w:hideMark/>
          </w:tcPr>
          <w:p w14:paraId="00F6A87B" w14:textId="77777777" w:rsidR="004D175A" w:rsidRDefault="004D175A">
            <w:pPr>
              <w:spacing w:after="0" w:line="256" w:lineRule="auto"/>
              <w:rPr>
                <w:color w:val="000100"/>
                <w:sz w:val="20"/>
                <w:lang w:val="en-US"/>
              </w:rPr>
            </w:pPr>
          </w:p>
        </w:tc>
        <w:tc>
          <w:tcPr>
            <w:tcW w:w="1480" w:type="pct"/>
            <w:tcBorders>
              <w:top w:val="single" w:sz="4" w:space="0" w:color="646464"/>
              <w:left w:val="nil"/>
              <w:bottom w:val="single" w:sz="4" w:space="0" w:color="646464"/>
              <w:right w:val="nil"/>
            </w:tcBorders>
            <w:shd w:val="clear" w:color="auto" w:fill="E6E6E6"/>
            <w:hideMark/>
          </w:tcPr>
          <w:p w14:paraId="11AA328E" w14:textId="77777777" w:rsidR="004D175A" w:rsidRDefault="004D175A">
            <w:pPr>
              <w:pStyle w:val="Tabletext"/>
              <w:rPr>
                <w:lang w:val="en-US"/>
              </w:rPr>
            </w:pPr>
            <w:r>
              <w:rPr>
                <w:lang w:val="en-US"/>
              </w:rPr>
              <w:t>ICSEA quartile 1 and 2 schools</w:t>
            </w:r>
          </w:p>
        </w:tc>
        <w:tc>
          <w:tcPr>
            <w:tcW w:w="1094" w:type="pct"/>
            <w:tcBorders>
              <w:top w:val="single" w:sz="4" w:space="0" w:color="646464"/>
              <w:left w:val="nil"/>
              <w:bottom w:val="single" w:sz="4" w:space="0" w:color="646464"/>
              <w:right w:val="nil"/>
            </w:tcBorders>
            <w:shd w:val="clear" w:color="auto" w:fill="E6E6E6"/>
            <w:vAlign w:val="bottom"/>
            <w:hideMark/>
          </w:tcPr>
          <w:p w14:paraId="49622A15" w14:textId="77777777" w:rsidR="004D175A" w:rsidRDefault="004D175A">
            <w:pPr>
              <w:pStyle w:val="Tabletext"/>
              <w:jc w:val="center"/>
              <w:rPr>
                <w:lang w:val="en-US"/>
              </w:rPr>
            </w:pPr>
            <w:r>
              <w:rPr>
                <w:color w:val="000000"/>
                <w:lang w:val="en-US"/>
              </w:rPr>
              <w:t>14%</w:t>
            </w:r>
          </w:p>
        </w:tc>
        <w:tc>
          <w:tcPr>
            <w:tcW w:w="1093" w:type="pct"/>
            <w:tcBorders>
              <w:top w:val="single" w:sz="4" w:space="0" w:color="646464"/>
              <w:left w:val="nil"/>
              <w:bottom w:val="single" w:sz="4" w:space="0" w:color="646464"/>
              <w:right w:val="nil"/>
            </w:tcBorders>
            <w:shd w:val="clear" w:color="auto" w:fill="E6E6E6"/>
            <w:vAlign w:val="bottom"/>
            <w:hideMark/>
          </w:tcPr>
          <w:p w14:paraId="55F54B52" w14:textId="77777777" w:rsidR="004D175A" w:rsidRDefault="004D175A">
            <w:pPr>
              <w:pStyle w:val="Tabletext"/>
              <w:jc w:val="center"/>
              <w:rPr>
                <w:lang w:val="en-US"/>
              </w:rPr>
            </w:pPr>
            <w:r>
              <w:rPr>
                <w:color w:val="000000"/>
                <w:lang w:val="en-US"/>
              </w:rPr>
              <w:t>128%</w:t>
            </w:r>
          </w:p>
        </w:tc>
      </w:tr>
      <w:tr w:rsidR="004D175A" w14:paraId="56ABC2BA" w14:textId="77777777" w:rsidTr="00AD49C8">
        <w:trPr>
          <w:gridBefore w:val="1"/>
          <w:wBefore w:w="264" w:type="pct"/>
          <w:cantSplit/>
        </w:trPr>
        <w:tc>
          <w:tcPr>
            <w:tcW w:w="1069" w:type="pct"/>
            <w:vMerge w:val="restart"/>
            <w:tcBorders>
              <w:top w:val="single" w:sz="4" w:space="0" w:color="646464"/>
              <w:left w:val="nil"/>
              <w:bottom w:val="single" w:sz="4" w:space="0" w:color="646464"/>
              <w:right w:val="nil"/>
            </w:tcBorders>
            <w:vAlign w:val="center"/>
            <w:hideMark/>
          </w:tcPr>
          <w:p w14:paraId="3A6F60A7" w14:textId="77777777" w:rsidR="004D175A" w:rsidRDefault="004D175A">
            <w:pPr>
              <w:pStyle w:val="Tabletext"/>
              <w:rPr>
                <w:lang w:val="en-US"/>
              </w:rPr>
            </w:pPr>
            <w:r>
              <w:rPr>
                <w:lang w:val="en-US"/>
              </w:rPr>
              <w:t>Western Australia</w:t>
            </w:r>
          </w:p>
        </w:tc>
        <w:tc>
          <w:tcPr>
            <w:tcW w:w="1480" w:type="pct"/>
            <w:tcBorders>
              <w:top w:val="single" w:sz="4" w:space="0" w:color="646464"/>
              <w:left w:val="nil"/>
              <w:bottom w:val="single" w:sz="4" w:space="0" w:color="646464"/>
              <w:right w:val="nil"/>
            </w:tcBorders>
            <w:hideMark/>
          </w:tcPr>
          <w:p w14:paraId="5DDBAA8D" w14:textId="77777777" w:rsidR="004D175A" w:rsidRDefault="004D175A">
            <w:pPr>
              <w:pStyle w:val="Tabletext"/>
              <w:rPr>
                <w:lang w:val="en-US"/>
              </w:rPr>
            </w:pPr>
            <w:r>
              <w:rPr>
                <w:lang w:val="en-US"/>
              </w:rPr>
              <w:t>All schools</w:t>
            </w:r>
          </w:p>
        </w:tc>
        <w:tc>
          <w:tcPr>
            <w:tcW w:w="1094" w:type="pct"/>
            <w:tcBorders>
              <w:top w:val="single" w:sz="4" w:space="0" w:color="646464"/>
              <w:left w:val="nil"/>
              <w:bottom w:val="single" w:sz="4" w:space="0" w:color="646464"/>
              <w:right w:val="nil"/>
            </w:tcBorders>
            <w:vAlign w:val="bottom"/>
            <w:hideMark/>
          </w:tcPr>
          <w:p w14:paraId="4F2AD2CA" w14:textId="77777777" w:rsidR="004D175A" w:rsidRDefault="004D175A">
            <w:pPr>
              <w:pStyle w:val="Tabletext"/>
              <w:jc w:val="center"/>
              <w:rPr>
                <w:lang w:val="en-US"/>
              </w:rPr>
            </w:pPr>
            <w:r>
              <w:rPr>
                <w:color w:val="000000"/>
                <w:lang w:val="en-US"/>
              </w:rPr>
              <w:t>11%</w:t>
            </w:r>
          </w:p>
        </w:tc>
        <w:tc>
          <w:tcPr>
            <w:tcW w:w="1093" w:type="pct"/>
            <w:tcBorders>
              <w:top w:val="single" w:sz="4" w:space="0" w:color="646464"/>
              <w:left w:val="nil"/>
              <w:bottom w:val="single" w:sz="4" w:space="0" w:color="646464"/>
              <w:right w:val="nil"/>
            </w:tcBorders>
            <w:vAlign w:val="bottom"/>
            <w:hideMark/>
          </w:tcPr>
          <w:p w14:paraId="38E57AFB" w14:textId="77777777" w:rsidR="004D175A" w:rsidRDefault="004D175A">
            <w:pPr>
              <w:pStyle w:val="Tabletext"/>
              <w:jc w:val="center"/>
              <w:rPr>
                <w:lang w:val="en-US"/>
              </w:rPr>
            </w:pPr>
            <w:r>
              <w:rPr>
                <w:color w:val="000000"/>
                <w:lang w:val="en-US"/>
              </w:rPr>
              <w:t>72%</w:t>
            </w:r>
          </w:p>
        </w:tc>
      </w:tr>
      <w:tr w:rsidR="004D175A" w14:paraId="288B836C" w14:textId="77777777" w:rsidTr="00AD49C8">
        <w:trPr>
          <w:gridBefore w:val="1"/>
          <w:wBefore w:w="264" w:type="pct"/>
          <w:cantSplit/>
        </w:trPr>
        <w:tc>
          <w:tcPr>
            <w:tcW w:w="1069" w:type="pct"/>
            <w:vMerge/>
            <w:tcBorders>
              <w:top w:val="single" w:sz="4" w:space="0" w:color="646464"/>
              <w:left w:val="nil"/>
              <w:bottom w:val="single" w:sz="4" w:space="0" w:color="646464"/>
              <w:right w:val="nil"/>
            </w:tcBorders>
            <w:vAlign w:val="center"/>
            <w:hideMark/>
          </w:tcPr>
          <w:p w14:paraId="165A47B8" w14:textId="77777777" w:rsidR="004D175A" w:rsidRDefault="004D175A">
            <w:pPr>
              <w:spacing w:after="0" w:line="256" w:lineRule="auto"/>
              <w:rPr>
                <w:color w:val="000100"/>
                <w:sz w:val="20"/>
                <w:lang w:val="en-US"/>
              </w:rPr>
            </w:pPr>
          </w:p>
        </w:tc>
        <w:tc>
          <w:tcPr>
            <w:tcW w:w="1480" w:type="pct"/>
            <w:tcBorders>
              <w:top w:val="single" w:sz="4" w:space="0" w:color="646464"/>
              <w:left w:val="nil"/>
              <w:bottom w:val="single" w:sz="4" w:space="0" w:color="646464"/>
              <w:right w:val="nil"/>
            </w:tcBorders>
            <w:shd w:val="clear" w:color="auto" w:fill="E6E6E6"/>
            <w:hideMark/>
          </w:tcPr>
          <w:p w14:paraId="207E11C5" w14:textId="77777777" w:rsidR="004D175A" w:rsidRDefault="004D175A">
            <w:pPr>
              <w:pStyle w:val="Tabletext"/>
              <w:rPr>
                <w:lang w:val="en-US"/>
              </w:rPr>
            </w:pPr>
            <w:r>
              <w:rPr>
                <w:lang w:val="en-US"/>
              </w:rPr>
              <w:t>ICSEA quartile 1 and 2 schools</w:t>
            </w:r>
          </w:p>
        </w:tc>
        <w:tc>
          <w:tcPr>
            <w:tcW w:w="1094" w:type="pct"/>
            <w:tcBorders>
              <w:top w:val="single" w:sz="4" w:space="0" w:color="646464"/>
              <w:left w:val="nil"/>
              <w:bottom w:val="single" w:sz="4" w:space="0" w:color="646464"/>
              <w:right w:val="nil"/>
            </w:tcBorders>
            <w:shd w:val="clear" w:color="auto" w:fill="E6E6E6"/>
            <w:vAlign w:val="bottom"/>
            <w:hideMark/>
          </w:tcPr>
          <w:p w14:paraId="1F7C87B0" w14:textId="77777777" w:rsidR="004D175A" w:rsidRDefault="004D175A">
            <w:pPr>
              <w:pStyle w:val="Tabletext"/>
              <w:jc w:val="center"/>
              <w:rPr>
                <w:lang w:val="en-US"/>
              </w:rPr>
            </w:pPr>
            <w:r>
              <w:rPr>
                <w:color w:val="000000"/>
                <w:lang w:val="en-US"/>
              </w:rPr>
              <w:t>21%</w:t>
            </w:r>
          </w:p>
        </w:tc>
        <w:tc>
          <w:tcPr>
            <w:tcW w:w="1093" w:type="pct"/>
            <w:tcBorders>
              <w:top w:val="single" w:sz="4" w:space="0" w:color="646464"/>
              <w:left w:val="nil"/>
              <w:bottom w:val="single" w:sz="4" w:space="0" w:color="646464"/>
              <w:right w:val="nil"/>
            </w:tcBorders>
            <w:shd w:val="clear" w:color="auto" w:fill="E6E6E6"/>
            <w:vAlign w:val="bottom"/>
            <w:hideMark/>
          </w:tcPr>
          <w:p w14:paraId="076E2B9B" w14:textId="77777777" w:rsidR="004D175A" w:rsidRDefault="004D175A">
            <w:pPr>
              <w:pStyle w:val="Tabletext"/>
              <w:jc w:val="center"/>
              <w:rPr>
                <w:lang w:val="en-US"/>
              </w:rPr>
            </w:pPr>
            <w:r>
              <w:rPr>
                <w:color w:val="000000"/>
                <w:lang w:val="en-US"/>
              </w:rPr>
              <w:t>189%</w:t>
            </w:r>
          </w:p>
        </w:tc>
      </w:tr>
      <w:tr w:rsidR="004D175A" w14:paraId="41A03BC9" w14:textId="77777777" w:rsidTr="00AD49C8">
        <w:trPr>
          <w:gridBefore w:val="1"/>
          <w:wBefore w:w="264" w:type="pct"/>
          <w:cantSplit/>
        </w:trPr>
        <w:tc>
          <w:tcPr>
            <w:tcW w:w="1069" w:type="pct"/>
            <w:vMerge w:val="restart"/>
            <w:tcBorders>
              <w:top w:val="single" w:sz="4" w:space="0" w:color="646464"/>
              <w:left w:val="nil"/>
              <w:bottom w:val="single" w:sz="4" w:space="0" w:color="646464"/>
              <w:right w:val="nil"/>
            </w:tcBorders>
            <w:vAlign w:val="center"/>
            <w:hideMark/>
          </w:tcPr>
          <w:p w14:paraId="0B3D7CDC" w14:textId="77777777" w:rsidR="004D175A" w:rsidRDefault="004D175A">
            <w:pPr>
              <w:pStyle w:val="Tabletext"/>
              <w:rPr>
                <w:lang w:val="en-US"/>
              </w:rPr>
            </w:pPr>
            <w:r>
              <w:rPr>
                <w:lang w:val="en-US"/>
              </w:rPr>
              <w:t>Tasmania</w:t>
            </w:r>
          </w:p>
        </w:tc>
        <w:tc>
          <w:tcPr>
            <w:tcW w:w="1480" w:type="pct"/>
            <w:tcBorders>
              <w:top w:val="single" w:sz="4" w:space="0" w:color="646464"/>
              <w:left w:val="nil"/>
              <w:bottom w:val="single" w:sz="4" w:space="0" w:color="646464"/>
              <w:right w:val="nil"/>
            </w:tcBorders>
            <w:hideMark/>
          </w:tcPr>
          <w:p w14:paraId="50EBC75B" w14:textId="77777777" w:rsidR="004D175A" w:rsidRDefault="004D175A">
            <w:pPr>
              <w:pStyle w:val="Tabletext"/>
              <w:rPr>
                <w:lang w:val="en-US"/>
              </w:rPr>
            </w:pPr>
            <w:r>
              <w:rPr>
                <w:lang w:val="en-US"/>
              </w:rPr>
              <w:t>All schools</w:t>
            </w:r>
          </w:p>
        </w:tc>
        <w:tc>
          <w:tcPr>
            <w:tcW w:w="1094" w:type="pct"/>
            <w:tcBorders>
              <w:top w:val="single" w:sz="4" w:space="0" w:color="646464"/>
              <w:left w:val="nil"/>
              <w:bottom w:val="single" w:sz="4" w:space="0" w:color="646464"/>
              <w:right w:val="nil"/>
            </w:tcBorders>
            <w:vAlign w:val="bottom"/>
            <w:hideMark/>
          </w:tcPr>
          <w:p w14:paraId="004BDA2F" w14:textId="77777777" w:rsidR="004D175A" w:rsidRDefault="004D175A">
            <w:pPr>
              <w:pStyle w:val="Tabletext"/>
              <w:jc w:val="center"/>
              <w:rPr>
                <w:lang w:val="en-US"/>
              </w:rPr>
            </w:pPr>
            <w:r>
              <w:rPr>
                <w:color w:val="000000"/>
                <w:lang w:val="en-US"/>
              </w:rPr>
              <w:t>5%</w:t>
            </w:r>
          </w:p>
        </w:tc>
        <w:tc>
          <w:tcPr>
            <w:tcW w:w="1093" w:type="pct"/>
            <w:tcBorders>
              <w:top w:val="single" w:sz="4" w:space="0" w:color="646464"/>
              <w:left w:val="nil"/>
              <w:bottom w:val="single" w:sz="4" w:space="0" w:color="646464"/>
              <w:right w:val="nil"/>
            </w:tcBorders>
            <w:vAlign w:val="bottom"/>
            <w:hideMark/>
          </w:tcPr>
          <w:p w14:paraId="78FDF4AB" w14:textId="77777777" w:rsidR="004D175A" w:rsidRDefault="004D175A">
            <w:pPr>
              <w:pStyle w:val="Tabletext"/>
              <w:jc w:val="center"/>
              <w:rPr>
                <w:lang w:val="en-US"/>
              </w:rPr>
            </w:pPr>
            <w:r>
              <w:rPr>
                <w:color w:val="000000"/>
                <w:lang w:val="en-US"/>
              </w:rPr>
              <w:t>18%</w:t>
            </w:r>
          </w:p>
        </w:tc>
      </w:tr>
      <w:tr w:rsidR="004D175A" w14:paraId="160ABCBB" w14:textId="77777777" w:rsidTr="00AD49C8">
        <w:trPr>
          <w:gridBefore w:val="1"/>
          <w:wBefore w:w="264" w:type="pct"/>
          <w:cantSplit/>
        </w:trPr>
        <w:tc>
          <w:tcPr>
            <w:tcW w:w="1069" w:type="pct"/>
            <w:vMerge/>
            <w:tcBorders>
              <w:top w:val="single" w:sz="4" w:space="0" w:color="646464"/>
              <w:left w:val="nil"/>
              <w:bottom w:val="single" w:sz="4" w:space="0" w:color="646464"/>
              <w:right w:val="nil"/>
            </w:tcBorders>
            <w:vAlign w:val="center"/>
            <w:hideMark/>
          </w:tcPr>
          <w:p w14:paraId="3B225307" w14:textId="77777777" w:rsidR="004D175A" w:rsidRDefault="004D175A">
            <w:pPr>
              <w:spacing w:after="0" w:line="256" w:lineRule="auto"/>
              <w:rPr>
                <w:color w:val="000100"/>
                <w:sz w:val="20"/>
                <w:lang w:val="en-US"/>
              </w:rPr>
            </w:pPr>
          </w:p>
        </w:tc>
        <w:tc>
          <w:tcPr>
            <w:tcW w:w="1480" w:type="pct"/>
            <w:tcBorders>
              <w:top w:val="single" w:sz="4" w:space="0" w:color="646464"/>
              <w:left w:val="nil"/>
              <w:bottom w:val="single" w:sz="4" w:space="0" w:color="646464"/>
              <w:right w:val="nil"/>
            </w:tcBorders>
            <w:shd w:val="clear" w:color="auto" w:fill="E6E6E6"/>
            <w:hideMark/>
          </w:tcPr>
          <w:p w14:paraId="2ED8188C" w14:textId="77777777" w:rsidR="004D175A" w:rsidRDefault="004D175A">
            <w:pPr>
              <w:pStyle w:val="Tabletext"/>
              <w:rPr>
                <w:lang w:val="en-US"/>
              </w:rPr>
            </w:pPr>
            <w:r>
              <w:rPr>
                <w:lang w:val="en-US"/>
              </w:rPr>
              <w:t>ICSEA quartile 1 and 2 schools</w:t>
            </w:r>
          </w:p>
        </w:tc>
        <w:tc>
          <w:tcPr>
            <w:tcW w:w="1094" w:type="pct"/>
            <w:tcBorders>
              <w:top w:val="single" w:sz="4" w:space="0" w:color="646464"/>
              <w:left w:val="nil"/>
              <w:bottom w:val="single" w:sz="4" w:space="0" w:color="646464"/>
              <w:right w:val="nil"/>
            </w:tcBorders>
            <w:shd w:val="clear" w:color="auto" w:fill="E6E6E6"/>
            <w:vAlign w:val="bottom"/>
            <w:hideMark/>
          </w:tcPr>
          <w:p w14:paraId="33328701" w14:textId="77777777" w:rsidR="004D175A" w:rsidRDefault="004D175A">
            <w:pPr>
              <w:pStyle w:val="Tabletext"/>
              <w:jc w:val="center"/>
              <w:rPr>
                <w:lang w:val="en-US"/>
              </w:rPr>
            </w:pPr>
            <w:r>
              <w:rPr>
                <w:color w:val="000000"/>
                <w:lang w:val="en-US"/>
              </w:rPr>
              <w:t>6%</w:t>
            </w:r>
          </w:p>
        </w:tc>
        <w:tc>
          <w:tcPr>
            <w:tcW w:w="1093" w:type="pct"/>
            <w:tcBorders>
              <w:top w:val="single" w:sz="4" w:space="0" w:color="646464"/>
              <w:left w:val="nil"/>
              <w:bottom w:val="single" w:sz="4" w:space="0" w:color="646464"/>
              <w:right w:val="nil"/>
            </w:tcBorders>
            <w:shd w:val="clear" w:color="auto" w:fill="E6E6E6"/>
            <w:vAlign w:val="bottom"/>
            <w:hideMark/>
          </w:tcPr>
          <w:p w14:paraId="34720A87" w14:textId="77777777" w:rsidR="004D175A" w:rsidRDefault="004D175A">
            <w:pPr>
              <w:pStyle w:val="Tabletext"/>
              <w:jc w:val="center"/>
              <w:rPr>
                <w:lang w:val="en-US"/>
              </w:rPr>
            </w:pPr>
            <w:r>
              <w:rPr>
                <w:color w:val="000000"/>
                <w:lang w:val="en-US"/>
              </w:rPr>
              <w:t>25%</w:t>
            </w:r>
          </w:p>
        </w:tc>
      </w:tr>
      <w:tr w:rsidR="004D175A" w14:paraId="6259B5EF" w14:textId="77777777" w:rsidTr="00AD49C8">
        <w:trPr>
          <w:gridBefore w:val="1"/>
          <w:wBefore w:w="264" w:type="pct"/>
          <w:cantSplit/>
        </w:trPr>
        <w:tc>
          <w:tcPr>
            <w:tcW w:w="1069" w:type="pct"/>
            <w:vMerge w:val="restart"/>
            <w:tcBorders>
              <w:top w:val="single" w:sz="4" w:space="0" w:color="646464"/>
              <w:left w:val="nil"/>
              <w:bottom w:val="single" w:sz="4" w:space="0" w:color="646464"/>
              <w:right w:val="nil"/>
            </w:tcBorders>
            <w:vAlign w:val="center"/>
            <w:hideMark/>
          </w:tcPr>
          <w:p w14:paraId="34F703B0" w14:textId="77777777" w:rsidR="004D175A" w:rsidRDefault="004D175A">
            <w:pPr>
              <w:pStyle w:val="Tabletext"/>
              <w:rPr>
                <w:lang w:val="en-US"/>
              </w:rPr>
            </w:pPr>
            <w:r>
              <w:rPr>
                <w:lang w:val="en-US"/>
              </w:rPr>
              <w:t>Northern Territory</w:t>
            </w:r>
          </w:p>
        </w:tc>
        <w:tc>
          <w:tcPr>
            <w:tcW w:w="1480" w:type="pct"/>
            <w:tcBorders>
              <w:top w:val="single" w:sz="4" w:space="0" w:color="646464"/>
              <w:left w:val="nil"/>
              <w:bottom w:val="single" w:sz="4" w:space="0" w:color="646464"/>
              <w:right w:val="nil"/>
            </w:tcBorders>
            <w:hideMark/>
          </w:tcPr>
          <w:p w14:paraId="035541CB" w14:textId="77777777" w:rsidR="004D175A" w:rsidRDefault="004D175A">
            <w:pPr>
              <w:pStyle w:val="Tabletext"/>
              <w:rPr>
                <w:lang w:val="en-US"/>
              </w:rPr>
            </w:pPr>
            <w:r>
              <w:rPr>
                <w:lang w:val="en-US"/>
              </w:rPr>
              <w:t>All schools</w:t>
            </w:r>
          </w:p>
        </w:tc>
        <w:tc>
          <w:tcPr>
            <w:tcW w:w="1094" w:type="pct"/>
            <w:tcBorders>
              <w:top w:val="single" w:sz="4" w:space="0" w:color="646464"/>
              <w:left w:val="nil"/>
              <w:bottom w:val="single" w:sz="4" w:space="0" w:color="646464"/>
              <w:right w:val="nil"/>
            </w:tcBorders>
            <w:vAlign w:val="bottom"/>
            <w:hideMark/>
          </w:tcPr>
          <w:p w14:paraId="78C9CDD4" w14:textId="77777777" w:rsidR="004D175A" w:rsidRDefault="004D175A">
            <w:pPr>
              <w:pStyle w:val="Tabletext"/>
              <w:jc w:val="center"/>
              <w:rPr>
                <w:lang w:val="en-US"/>
              </w:rPr>
            </w:pPr>
            <w:r>
              <w:rPr>
                <w:color w:val="000000"/>
                <w:lang w:val="en-US"/>
              </w:rPr>
              <w:t>0%</w:t>
            </w:r>
          </w:p>
        </w:tc>
        <w:tc>
          <w:tcPr>
            <w:tcW w:w="1093" w:type="pct"/>
            <w:tcBorders>
              <w:top w:val="single" w:sz="4" w:space="0" w:color="646464"/>
              <w:left w:val="nil"/>
              <w:bottom w:val="single" w:sz="4" w:space="0" w:color="646464"/>
              <w:right w:val="nil"/>
            </w:tcBorders>
            <w:vAlign w:val="bottom"/>
            <w:hideMark/>
          </w:tcPr>
          <w:p w14:paraId="70EA29FD" w14:textId="77777777" w:rsidR="004D175A" w:rsidRDefault="004D175A">
            <w:pPr>
              <w:pStyle w:val="Tabletext"/>
              <w:jc w:val="center"/>
              <w:rPr>
                <w:lang w:val="en-US"/>
              </w:rPr>
            </w:pPr>
            <w:r>
              <w:rPr>
                <w:color w:val="000000"/>
                <w:lang w:val="en-US"/>
              </w:rPr>
              <w:t>24%</w:t>
            </w:r>
          </w:p>
        </w:tc>
      </w:tr>
      <w:tr w:rsidR="004D175A" w14:paraId="01B905A9" w14:textId="77777777" w:rsidTr="00AD49C8">
        <w:trPr>
          <w:gridBefore w:val="1"/>
          <w:wBefore w:w="264" w:type="pct"/>
          <w:cantSplit/>
        </w:trPr>
        <w:tc>
          <w:tcPr>
            <w:tcW w:w="1069" w:type="pct"/>
            <w:vMerge/>
            <w:tcBorders>
              <w:top w:val="single" w:sz="4" w:space="0" w:color="646464"/>
              <w:left w:val="nil"/>
              <w:bottom w:val="single" w:sz="4" w:space="0" w:color="646464"/>
              <w:right w:val="nil"/>
            </w:tcBorders>
            <w:vAlign w:val="center"/>
            <w:hideMark/>
          </w:tcPr>
          <w:p w14:paraId="26A588BD" w14:textId="77777777" w:rsidR="004D175A" w:rsidRDefault="004D175A">
            <w:pPr>
              <w:spacing w:after="0" w:line="256" w:lineRule="auto"/>
              <w:rPr>
                <w:color w:val="000100"/>
                <w:sz w:val="20"/>
                <w:lang w:val="en-US"/>
              </w:rPr>
            </w:pPr>
          </w:p>
        </w:tc>
        <w:tc>
          <w:tcPr>
            <w:tcW w:w="1480" w:type="pct"/>
            <w:tcBorders>
              <w:top w:val="single" w:sz="4" w:space="0" w:color="646464"/>
              <w:left w:val="nil"/>
              <w:bottom w:val="single" w:sz="4" w:space="0" w:color="646464"/>
              <w:right w:val="nil"/>
            </w:tcBorders>
            <w:shd w:val="clear" w:color="auto" w:fill="E6E6E6"/>
            <w:hideMark/>
          </w:tcPr>
          <w:p w14:paraId="377B7841" w14:textId="77777777" w:rsidR="004D175A" w:rsidRDefault="004D175A">
            <w:pPr>
              <w:pStyle w:val="Tabletext"/>
              <w:rPr>
                <w:lang w:val="en-US"/>
              </w:rPr>
            </w:pPr>
            <w:r>
              <w:rPr>
                <w:lang w:val="en-US"/>
              </w:rPr>
              <w:t>ICSEA quartile 1 and 2 schools</w:t>
            </w:r>
          </w:p>
        </w:tc>
        <w:tc>
          <w:tcPr>
            <w:tcW w:w="1094" w:type="pct"/>
            <w:tcBorders>
              <w:top w:val="single" w:sz="4" w:space="0" w:color="646464"/>
              <w:left w:val="nil"/>
              <w:bottom w:val="single" w:sz="4" w:space="0" w:color="646464"/>
              <w:right w:val="nil"/>
            </w:tcBorders>
            <w:shd w:val="clear" w:color="auto" w:fill="E6E6E6"/>
            <w:vAlign w:val="bottom"/>
            <w:hideMark/>
          </w:tcPr>
          <w:p w14:paraId="16C114EE" w14:textId="77777777" w:rsidR="004D175A" w:rsidRDefault="004D175A">
            <w:pPr>
              <w:pStyle w:val="Tabletext"/>
              <w:jc w:val="center"/>
              <w:rPr>
                <w:lang w:val="en-US"/>
              </w:rPr>
            </w:pPr>
            <w:r>
              <w:rPr>
                <w:color w:val="000000"/>
                <w:lang w:val="en-US"/>
              </w:rPr>
              <w:t>0%</w:t>
            </w:r>
          </w:p>
        </w:tc>
        <w:tc>
          <w:tcPr>
            <w:tcW w:w="1093" w:type="pct"/>
            <w:tcBorders>
              <w:top w:val="single" w:sz="4" w:space="0" w:color="646464"/>
              <w:left w:val="nil"/>
              <w:bottom w:val="single" w:sz="4" w:space="0" w:color="646464"/>
              <w:right w:val="nil"/>
            </w:tcBorders>
            <w:shd w:val="clear" w:color="auto" w:fill="E6E6E6"/>
            <w:vAlign w:val="bottom"/>
            <w:hideMark/>
          </w:tcPr>
          <w:p w14:paraId="084CB499" w14:textId="77777777" w:rsidR="004D175A" w:rsidRDefault="004D175A">
            <w:pPr>
              <w:pStyle w:val="Tabletext"/>
              <w:jc w:val="center"/>
              <w:rPr>
                <w:lang w:val="en-US"/>
              </w:rPr>
            </w:pPr>
            <w:r>
              <w:rPr>
                <w:color w:val="000000"/>
                <w:lang w:val="en-US"/>
              </w:rPr>
              <w:t>26%</w:t>
            </w:r>
          </w:p>
        </w:tc>
      </w:tr>
      <w:tr w:rsidR="004D175A" w14:paraId="1631BB94" w14:textId="77777777" w:rsidTr="00AD49C8">
        <w:trPr>
          <w:gridBefore w:val="1"/>
          <w:wBefore w:w="264" w:type="pct"/>
          <w:cantSplit/>
        </w:trPr>
        <w:tc>
          <w:tcPr>
            <w:tcW w:w="1069" w:type="pct"/>
            <w:vMerge w:val="restart"/>
            <w:tcBorders>
              <w:top w:val="single" w:sz="4" w:space="0" w:color="646464"/>
              <w:left w:val="nil"/>
              <w:bottom w:val="single" w:sz="4" w:space="0" w:color="646464"/>
              <w:right w:val="nil"/>
            </w:tcBorders>
            <w:vAlign w:val="center"/>
            <w:hideMark/>
          </w:tcPr>
          <w:p w14:paraId="321AE116" w14:textId="77777777" w:rsidR="004D175A" w:rsidRDefault="004D175A">
            <w:pPr>
              <w:pStyle w:val="Tabletext"/>
              <w:rPr>
                <w:lang w:val="en-US"/>
              </w:rPr>
            </w:pPr>
            <w:r>
              <w:rPr>
                <w:lang w:val="en-US"/>
              </w:rPr>
              <w:t>Australian Capital Territory</w:t>
            </w:r>
          </w:p>
        </w:tc>
        <w:tc>
          <w:tcPr>
            <w:tcW w:w="1480" w:type="pct"/>
            <w:tcBorders>
              <w:top w:val="single" w:sz="4" w:space="0" w:color="646464"/>
              <w:left w:val="nil"/>
              <w:bottom w:val="single" w:sz="4" w:space="0" w:color="646464"/>
              <w:right w:val="nil"/>
            </w:tcBorders>
            <w:hideMark/>
          </w:tcPr>
          <w:p w14:paraId="4C39E7C7" w14:textId="77777777" w:rsidR="004D175A" w:rsidRDefault="004D175A">
            <w:pPr>
              <w:pStyle w:val="Tabletext"/>
              <w:rPr>
                <w:lang w:val="en-US"/>
              </w:rPr>
            </w:pPr>
            <w:r>
              <w:rPr>
                <w:lang w:val="en-US"/>
              </w:rPr>
              <w:t>All schools</w:t>
            </w:r>
          </w:p>
        </w:tc>
        <w:tc>
          <w:tcPr>
            <w:tcW w:w="1094" w:type="pct"/>
            <w:tcBorders>
              <w:top w:val="single" w:sz="4" w:space="0" w:color="646464"/>
              <w:left w:val="nil"/>
              <w:bottom w:val="single" w:sz="4" w:space="0" w:color="646464"/>
              <w:right w:val="nil"/>
            </w:tcBorders>
            <w:vAlign w:val="bottom"/>
            <w:hideMark/>
          </w:tcPr>
          <w:p w14:paraId="647DA584" w14:textId="77777777" w:rsidR="004D175A" w:rsidRDefault="004D175A">
            <w:pPr>
              <w:pStyle w:val="Tabletext"/>
              <w:jc w:val="center"/>
              <w:rPr>
                <w:lang w:val="en-US"/>
              </w:rPr>
            </w:pPr>
            <w:r>
              <w:rPr>
                <w:color w:val="000000"/>
                <w:lang w:val="en-US"/>
              </w:rPr>
              <w:t>15%</w:t>
            </w:r>
          </w:p>
        </w:tc>
        <w:tc>
          <w:tcPr>
            <w:tcW w:w="1093" w:type="pct"/>
            <w:tcBorders>
              <w:top w:val="single" w:sz="4" w:space="0" w:color="646464"/>
              <w:left w:val="nil"/>
              <w:bottom w:val="single" w:sz="4" w:space="0" w:color="646464"/>
              <w:right w:val="nil"/>
            </w:tcBorders>
            <w:vAlign w:val="bottom"/>
            <w:hideMark/>
          </w:tcPr>
          <w:p w14:paraId="4343AC31" w14:textId="77777777" w:rsidR="004D175A" w:rsidRDefault="004D175A">
            <w:pPr>
              <w:pStyle w:val="Tabletext"/>
              <w:jc w:val="center"/>
              <w:rPr>
                <w:lang w:val="en-US"/>
              </w:rPr>
            </w:pPr>
            <w:r>
              <w:rPr>
                <w:color w:val="000000"/>
                <w:lang w:val="en-US"/>
              </w:rPr>
              <w:t>100%</w:t>
            </w:r>
          </w:p>
        </w:tc>
      </w:tr>
      <w:tr w:rsidR="004D175A" w14:paraId="28A2C26F" w14:textId="77777777" w:rsidTr="00AD49C8">
        <w:trPr>
          <w:gridBefore w:val="1"/>
          <w:wBefore w:w="264" w:type="pct"/>
          <w:cantSplit/>
        </w:trPr>
        <w:tc>
          <w:tcPr>
            <w:tcW w:w="1069" w:type="pct"/>
            <w:vMerge/>
            <w:tcBorders>
              <w:top w:val="single" w:sz="4" w:space="0" w:color="646464"/>
              <w:left w:val="nil"/>
              <w:bottom w:val="single" w:sz="4" w:space="0" w:color="646464"/>
              <w:right w:val="nil"/>
            </w:tcBorders>
            <w:vAlign w:val="center"/>
            <w:hideMark/>
          </w:tcPr>
          <w:p w14:paraId="0CF5E633" w14:textId="77777777" w:rsidR="004D175A" w:rsidRDefault="004D175A">
            <w:pPr>
              <w:spacing w:after="0" w:line="256" w:lineRule="auto"/>
              <w:rPr>
                <w:color w:val="000100"/>
                <w:sz w:val="20"/>
                <w:lang w:val="en-US"/>
              </w:rPr>
            </w:pPr>
          </w:p>
        </w:tc>
        <w:tc>
          <w:tcPr>
            <w:tcW w:w="1480" w:type="pct"/>
            <w:tcBorders>
              <w:top w:val="single" w:sz="4" w:space="0" w:color="646464"/>
              <w:left w:val="nil"/>
              <w:bottom w:val="single" w:sz="4" w:space="0" w:color="646464"/>
              <w:right w:val="nil"/>
            </w:tcBorders>
            <w:shd w:val="clear" w:color="auto" w:fill="E6E6E6"/>
            <w:hideMark/>
          </w:tcPr>
          <w:p w14:paraId="508CE64D" w14:textId="77777777" w:rsidR="004D175A" w:rsidRDefault="004D175A">
            <w:pPr>
              <w:pStyle w:val="Tabletext"/>
              <w:rPr>
                <w:lang w:val="en-US"/>
              </w:rPr>
            </w:pPr>
            <w:r>
              <w:rPr>
                <w:lang w:val="en-US"/>
              </w:rPr>
              <w:t>ICSEA quartile 1 and 2 schools</w:t>
            </w:r>
          </w:p>
        </w:tc>
        <w:tc>
          <w:tcPr>
            <w:tcW w:w="1094" w:type="pct"/>
            <w:tcBorders>
              <w:top w:val="single" w:sz="4" w:space="0" w:color="646464"/>
              <w:left w:val="nil"/>
              <w:bottom w:val="single" w:sz="4" w:space="0" w:color="646464"/>
              <w:right w:val="nil"/>
            </w:tcBorders>
            <w:shd w:val="clear" w:color="auto" w:fill="E6E6E6"/>
            <w:vAlign w:val="bottom"/>
            <w:hideMark/>
          </w:tcPr>
          <w:p w14:paraId="486C0585" w14:textId="77777777" w:rsidR="004D175A" w:rsidRDefault="004D175A">
            <w:pPr>
              <w:pStyle w:val="Tabletext"/>
              <w:jc w:val="center"/>
              <w:rPr>
                <w:lang w:val="en-US"/>
              </w:rPr>
            </w:pPr>
            <w:r>
              <w:rPr>
                <w:color w:val="000000"/>
                <w:lang w:val="en-US"/>
              </w:rPr>
              <w:t>183%</w:t>
            </w:r>
          </w:p>
        </w:tc>
        <w:tc>
          <w:tcPr>
            <w:tcW w:w="1093" w:type="pct"/>
            <w:tcBorders>
              <w:top w:val="single" w:sz="4" w:space="0" w:color="646464"/>
              <w:left w:val="nil"/>
              <w:bottom w:val="single" w:sz="4" w:space="0" w:color="646464"/>
              <w:right w:val="nil"/>
            </w:tcBorders>
            <w:shd w:val="clear" w:color="auto" w:fill="E6E6E6"/>
            <w:vAlign w:val="bottom"/>
            <w:hideMark/>
          </w:tcPr>
          <w:p w14:paraId="731C8838" w14:textId="77777777" w:rsidR="004D175A" w:rsidRDefault="004D175A">
            <w:pPr>
              <w:pStyle w:val="Tabletext"/>
              <w:jc w:val="center"/>
              <w:rPr>
                <w:lang w:val="en-US"/>
              </w:rPr>
            </w:pPr>
            <w:r>
              <w:rPr>
                <w:color w:val="000000"/>
                <w:lang w:val="en-US"/>
              </w:rPr>
              <w:t>189%</w:t>
            </w:r>
          </w:p>
        </w:tc>
      </w:tr>
      <w:tr w:rsidR="004D175A" w14:paraId="3B4E4EF6" w14:textId="77777777" w:rsidTr="004D175A">
        <w:trPr>
          <w:gridBefore w:val="1"/>
          <w:wBefore w:w="264" w:type="pct"/>
          <w:cantSplit/>
        </w:trPr>
        <w:tc>
          <w:tcPr>
            <w:tcW w:w="4736" w:type="pct"/>
            <w:gridSpan w:val="4"/>
            <w:tcBorders>
              <w:top w:val="single" w:sz="4" w:space="0" w:color="646464"/>
              <w:left w:val="nil"/>
              <w:bottom w:val="single" w:sz="4" w:space="0" w:color="646464"/>
              <w:right w:val="nil"/>
            </w:tcBorders>
            <w:hideMark/>
          </w:tcPr>
          <w:p w14:paraId="0709D9FE" w14:textId="77777777" w:rsidR="004D175A" w:rsidRDefault="004D175A">
            <w:pPr>
              <w:pStyle w:val="Note"/>
              <w:rPr>
                <w:lang w:val="en-US"/>
              </w:rPr>
            </w:pPr>
            <w:r>
              <w:rPr>
                <w:lang w:val="en-US"/>
              </w:rPr>
              <w:t>Note: n=2,913</w:t>
            </w:r>
          </w:p>
          <w:p w14:paraId="1FFCAB8F" w14:textId="77777777" w:rsidR="004D175A" w:rsidRDefault="004D175A">
            <w:pPr>
              <w:pStyle w:val="Source"/>
              <w:rPr>
                <w:lang w:val="en-US"/>
              </w:rPr>
            </w:pPr>
            <w:r>
              <w:rPr>
                <w:lang w:val="en-US"/>
              </w:rPr>
              <w:t>Source: university-provided data</w:t>
            </w:r>
          </w:p>
        </w:tc>
      </w:tr>
      <w:tr w:rsidR="004D175A" w14:paraId="6F84DA3E" w14:textId="77777777" w:rsidTr="004D175A">
        <w:trPr>
          <w:gridBefore w:val="1"/>
          <w:wBefore w:w="264" w:type="pct"/>
          <w:cantSplit/>
          <w:trHeight w:val="120"/>
        </w:trPr>
        <w:tc>
          <w:tcPr>
            <w:tcW w:w="4736" w:type="pct"/>
            <w:gridSpan w:val="4"/>
            <w:tcBorders>
              <w:top w:val="single" w:sz="4" w:space="0" w:color="646464"/>
              <w:left w:val="nil"/>
              <w:bottom w:val="nil"/>
              <w:right w:val="nil"/>
            </w:tcBorders>
          </w:tcPr>
          <w:p w14:paraId="46380E2E" w14:textId="77777777" w:rsidR="004D175A" w:rsidRDefault="004D175A">
            <w:pPr>
              <w:pStyle w:val="spacertbl"/>
              <w:rPr>
                <w:lang w:val="en-US"/>
              </w:rPr>
            </w:pPr>
          </w:p>
        </w:tc>
      </w:tr>
    </w:tbl>
    <w:p w14:paraId="56B56D11" w14:textId="77777777" w:rsidR="002D62C1" w:rsidRDefault="002D62C1" w:rsidP="002D62C1">
      <w:pPr>
        <w:pStyle w:val="BodyText"/>
      </w:pPr>
      <w:r>
        <w:t xml:space="preserve">This analysis shows that in six jurisdictions, universities have partnered with more secondary/combined schools than there are ICSEA quartile 1 and 2 secondary/combined schools. It </w:t>
      </w:r>
      <w:r w:rsidR="00875A48">
        <w:t xml:space="preserve">is </w:t>
      </w:r>
      <w:r>
        <w:t>not clear from the data available whether universities have achieved complete coverage of ICSEA quartile 1 and 2 secondary/combined schools and are also partnering with some ICSEA quartile 3 and</w:t>
      </w:r>
      <w:r w:rsidR="00835EC6">
        <w:t> </w:t>
      </w:r>
      <w:r>
        <w:t>4</w:t>
      </w:r>
      <w:r w:rsidR="00E4295D">
        <w:t xml:space="preserve"> schools</w:t>
      </w:r>
      <w:r>
        <w:t xml:space="preserve">; or whether outreach partner schools are spread more </w:t>
      </w:r>
      <w:r w:rsidR="00E4295D">
        <w:t xml:space="preserve">evenly </w:t>
      </w:r>
      <w:r>
        <w:t>across the ICSEA quartiles.</w:t>
      </w:r>
    </w:p>
    <w:p w14:paraId="10B81982" w14:textId="77777777" w:rsidR="004D175A" w:rsidRDefault="002D62C1" w:rsidP="002D62C1">
      <w:pPr>
        <w:pStyle w:val="BodyText"/>
      </w:pPr>
      <w:r>
        <w:t xml:space="preserve">The share of primary schools involved in HEPPP is considerably lower than secondary/combined schools. This is consistent with data presented in </w:t>
      </w:r>
      <w:r w:rsidR="008C090E" w:rsidRPr="00AD49C8">
        <w:t>Figure 4.3</w:t>
      </w:r>
      <w:r>
        <w:t>.</w:t>
      </w:r>
    </w:p>
    <w:p w14:paraId="01B754A4" w14:textId="77777777" w:rsidR="004D175A" w:rsidRDefault="004D175A" w:rsidP="00AD49C8">
      <w:pPr>
        <w:pStyle w:val="Heading3"/>
      </w:pPr>
      <w:bookmarkStart w:id="169" w:name="_Ref466384701"/>
      <w:r>
        <w:t>Survey results</w:t>
      </w:r>
      <w:bookmarkEnd w:id="169"/>
    </w:p>
    <w:p w14:paraId="7136C4D5" w14:textId="77777777" w:rsidR="00C2289A" w:rsidRDefault="00C2289A" w:rsidP="004D175A">
      <w:pPr>
        <w:pStyle w:val="BodyText"/>
      </w:pPr>
      <w:r>
        <w:t xml:space="preserve">University staff who have been involved in implementation of the HEPPP were surveyed for this evaluation (refer </w:t>
      </w:r>
      <w:r w:rsidR="004D175A">
        <w:t>Section 1.2.3</w:t>
      </w:r>
      <w:r>
        <w:t>). The results of this survey relevant to Outreach activities are provided in the figures below, with Participation stage survey results reported in Chapter 6.</w:t>
      </w:r>
    </w:p>
    <w:p w14:paraId="5D2A147E" w14:textId="77777777" w:rsidR="004D175A" w:rsidRDefault="004D175A" w:rsidP="004D175A">
      <w:pPr>
        <w:pStyle w:val="BodyText"/>
      </w:pPr>
      <w:r>
        <w:t xml:space="preserve">The survey results shows staff views aggregated across the 15 universities involved in the surveys and aggregated from the multiple HEPPP projects within each university. As such the results provide an insight into HEPPP Outreach activities at a high level, but cannot be analysed for project-specific insights—the subsequent section of this chapter examines HEPPP Outreach projects. </w:t>
      </w:r>
    </w:p>
    <w:p w14:paraId="326112F2" w14:textId="77777777" w:rsidR="004D175A" w:rsidRDefault="00C2289A" w:rsidP="004D175A">
      <w:pPr>
        <w:pStyle w:val="BodyText"/>
      </w:pPr>
      <w:r>
        <w:t>The majority of respondents—over 90 per cent—strongly agreed that the Outreach projects with which they were involved were improving students’ attitudes and aspirations towards higher education (</w:t>
      </w:r>
      <w:r w:rsidR="008C090E" w:rsidRPr="00AD49C8">
        <w:t>Figure 4.8</w:t>
      </w:r>
      <w:r>
        <w:t>). Fewer respondents, although still a majority, considered the HEPPP projects to be producing a positive impact on students’ academic achievement (70 per cent) and engagement with mathematics and/or science at school (66 per cent).</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6ACDDFEF" w14:textId="77777777" w:rsidTr="004D175A">
        <w:trPr>
          <w:cantSplit/>
          <w:trHeight w:val="160"/>
        </w:trPr>
        <w:tc>
          <w:tcPr>
            <w:tcW w:w="8168" w:type="dxa"/>
            <w:tcBorders>
              <w:top w:val="nil"/>
              <w:left w:val="nil"/>
              <w:bottom w:val="single" w:sz="4" w:space="0" w:color="auto"/>
              <w:right w:val="nil"/>
            </w:tcBorders>
          </w:tcPr>
          <w:p w14:paraId="51209A57" w14:textId="77777777" w:rsidR="004D175A" w:rsidRDefault="004D175A">
            <w:pPr>
              <w:pStyle w:val="spacer"/>
              <w:rPr>
                <w:lang w:val="en-US"/>
              </w:rPr>
            </w:pPr>
          </w:p>
        </w:tc>
      </w:tr>
      <w:tr w:rsidR="004D175A" w14:paraId="70963639" w14:textId="77777777" w:rsidTr="004D175A">
        <w:trPr>
          <w:cantSplit/>
        </w:trPr>
        <w:tc>
          <w:tcPr>
            <w:tcW w:w="8168" w:type="dxa"/>
            <w:tcBorders>
              <w:top w:val="single" w:sz="4" w:space="0" w:color="auto"/>
              <w:left w:val="nil"/>
              <w:bottom w:val="nil"/>
              <w:right w:val="nil"/>
            </w:tcBorders>
            <w:hideMark/>
          </w:tcPr>
          <w:p w14:paraId="7714B5FA" w14:textId="77777777" w:rsidR="004D175A" w:rsidRDefault="004D175A">
            <w:pPr>
              <w:pStyle w:val="Caption"/>
              <w:rPr>
                <w:lang w:val="en-US"/>
              </w:rPr>
            </w:pPr>
            <w:bookmarkStart w:id="170" w:name="_Ref462822488"/>
            <w:bookmarkStart w:id="171" w:name="_Toc463029843"/>
            <w:bookmarkStart w:id="172" w:name="_Toc466655671"/>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8</w:t>
            </w:r>
            <w:bookmarkEnd w:id="170"/>
            <w:r>
              <w:rPr>
                <w:lang w:val="en-US"/>
              </w:rPr>
              <w:tab/>
              <w:t>University Staff survey, raising aspirations</w:t>
            </w:r>
            <w:bookmarkEnd w:id="171"/>
            <w:bookmarkEnd w:id="172"/>
          </w:p>
        </w:tc>
      </w:tr>
      <w:tr w:rsidR="004D175A" w14:paraId="3705EA28" w14:textId="77777777" w:rsidTr="004D175A">
        <w:trPr>
          <w:cantSplit/>
          <w:trHeight w:val="380"/>
        </w:trPr>
        <w:tc>
          <w:tcPr>
            <w:tcW w:w="8168" w:type="dxa"/>
            <w:tcBorders>
              <w:top w:val="nil"/>
              <w:left w:val="nil"/>
              <w:bottom w:val="single" w:sz="4" w:space="0" w:color="auto"/>
              <w:right w:val="nil"/>
            </w:tcBorders>
            <w:hideMark/>
          </w:tcPr>
          <w:p w14:paraId="4DAB1308" w14:textId="77777777" w:rsidR="004D175A" w:rsidRDefault="00A45AB3">
            <w:pPr>
              <w:pStyle w:val="spacer"/>
              <w:rPr>
                <w:lang w:val="en-US"/>
              </w:rPr>
            </w:pPr>
            <w:r>
              <w:rPr>
                <w:noProof/>
                <w:lang w:eastAsia="en-AU"/>
              </w:rPr>
              <mc:AlternateContent>
                <mc:Choice Requires="wps">
                  <w:drawing>
                    <wp:anchor distT="0" distB="0" distL="114300" distR="114300" simplePos="0" relativeHeight="251638784" behindDoc="0" locked="1" layoutInCell="1" allowOverlap="1" wp14:anchorId="0C87F6C8" wp14:editId="2D47C5CA">
                      <wp:simplePos x="0" y="0"/>
                      <wp:positionH relativeFrom="rightMargin">
                        <wp:posOffset>-772795</wp:posOffset>
                      </wp:positionH>
                      <wp:positionV relativeFrom="page">
                        <wp:posOffset>0</wp:posOffset>
                      </wp:positionV>
                      <wp:extent cx="436880" cy="213360"/>
                      <wp:effectExtent l="0" t="0" r="1270" b="0"/>
                      <wp:wrapNone/>
                      <wp:docPr id="615" name="Freeform 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72289F" id="Freeform 615" o:spid="_x0000_s1026" style="position:absolute;margin-left:-60.85pt;margin-top:0;width:34.4pt;height:16.8pt;z-index:251638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nYgwMAAMQ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61C0FED5"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78F4C89C" w14:textId="77777777" w:rsidR="004D175A" w:rsidRDefault="007F5EE9">
            <w:pPr>
              <w:pStyle w:val="Figure"/>
              <w:rPr>
                <w:lang w:val="en-US"/>
              </w:rPr>
            </w:pPr>
            <w:r>
              <w:rPr>
                <w:noProof/>
                <w:lang w:eastAsia="en-AU"/>
              </w:rPr>
              <w:drawing>
                <wp:inline distT="0" distB="0" distL="0" distR="0" wp14:anchorId="11672CCB" wp14:editId="357B99AB">
                  <wp:extent cx="5124450" cy="2200275"/>
                  <wp:effectExtent l="0" t="0" r="0" b="0"/>
                  <wp:docPr id="26"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24450" cy="2200275"/>
                          </a:xfrm>
                          <a:prstGeom prst="rect">
                            <a:avLst/>
                          </a:prstGeom>
                          <a:noFill/>
                          <a:ln>
                            <a:noFill/>
                          </a:ln>
                        </pic:spPr>
                      </pic:pic>
                    </a:graphicData>
                  </a:graphic>
                </wp:inline>
              </w:drawing>
            </w:r>
          </w:p>
        </w:tc>
      </w:tr>
      <w:tr w:rsidR="004D175A" w14:paraId="12D5D6B3"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43FD1C74" w14:textId="77777777" w:rsidR="004D175A" w:rsidRDefault="004D175A">
            <w:pPr>
              <w:pStyle w:val="Note"/>
              <w:rPr>
                <w:lang w:val="en-US"/>
              </w:rPr>
            </w:pPr>
            <w:r>
              <w:rPr>
                <w:lang w:val="en-US"/>
              </w:rPr>
              <w:t xml:space="preserve">Note: </w:t>
            </w:r>
            <w:r w:rsidR="00744F81">
              <w:rPr>
                <w:lang w:val="en-US"/>
              </w:rPr>
              <w:t>from top to bottom, n=248, 244, 206, 198</w:t>
            </w:r>
          </w:p>
          <w:p w14:paraId="60395745" w14:textId="77777777" w:rsidR="004D175A" w:rsidRDefault="004D175A">
            <w:pPr>
              <w:pStyle w:val="Source"/>
              <w:rPr>
                <w:lang w:val="en-US"/>
              </w:rPr>
            </w:pPr>
            <w:r>
              <w:rPr>
                <w:lang w:val="en-US"/>
              </w:rPr>
              <w:t>Source: ACIL Allen Consulting and Wallis Consulting Group</w:t>
            </w:r>
          </w:p>
        </w:tc>
      </w:tr>
      <w:tr w:rsidR="004D175A" w14:paraId="28EF7E4A" w14:textId="77777777" w:rsidTr="004D175A">
        <w:trPr>
          <w:trHeight w:val="160"/>
        </w:trPr>
        <w:tc>
          <w:tcPr>
            <w:tcW w:w="8168" w:type="dxa"/>
            <w:tcBorders>
              <w:top w:val="single" w:sz="4" w:space="0" w:color="auto"/>
              <w:left w:val="nil"/>
              <w:bottom w:val="nil"/>
              <w:right w:val="nil"/>
            </w:tcBorders>
          </w:tcPr>
          <w:p w14:paraId="309A4255" w14:textId="77777777" w:rsidR="004D175A" w:rsidRDefault="004D175A">
            <w:pPr>
              <w:pStyle w:val="spacertbl"/>
              <w:rPr>
                <w:lang w:val="en-US"/>
              </w:rPr>
            </w:pPr>
          </w:p>
        </w:tc>
      </w:tr>
    </w:tbl>
    <w:p w14:paraId="06CC9455" w14:textId="77777777" w:rsidR="004D175A" w:rsidRPr="00AD49C8" w:rsidRDefault="00C2289A" w:rsidP="004D175A">
      <w:pPr>
        <w:pStyle w:val="BodyText"/>
      </w:pPr>
      <w:r>
        <w:t>Staff also consider the HEPPP projects to have had a positive impact on student and institutional practice, as well as parents’ attitudes (</w:t>
      </w:r>
      <w:r w:rsidR="008C090E" w:rsidRPr="00AD49C8">
        <w:t>Figure 4.9</w:t>
      </w:r>
      <w:r>
        <w:t xml:space="preserve">). </w:t>
      </w:r>
      <w:r w:rsidR="004D175A">
        <w:t xml:space="preserve">Seventy per cent of </w:t>
      </w:r>
      <w:r>
        <w:t>respondents</w:t>
      </w:r>
      <w:r w:rsidR="004D175A">
        <w:t xml:space="preserve"> consider</w:t>
      </w:r>
      <w:r>
        <w:t>ed</w:t>
      </w:r>
      <w:r w:rsidR="004D175A">
        <w:t xml:space="preserve"> the HEPPP project they are involved in </w:t>
      </w:r>
      <w:r>
        <w:t xml:space="preserve">to be </w:t>
      </w:r>
      <w:r w:rsidR="004D175A">
        <w:t>increasing the rate of retention to Year 12, and 80 per cent believed that the projects are changing parents’ attitudes towards their children’s participation in higher education. Additionally, most staff considered that the project was causing schools and/or TAFE institutions to change or embed practices that lead to greater consideration of higher education among students (76 per cent). However, less than half of the respondents agreed that the project was increasing TAFE enrolments (44 per cent), with most neither agreeing nor disagreeing (51 per cent).</w:t>
      </w:r>
    </w:p>
    <w:p w14:paraId="7163443D" w14:textId="77777777" w:rsidR="004D175A" w:rsidRDefault="004D175A" w:rsidP="004D175A">
      <w:pPr>
        <w:pStyle w:val="BodyText"/>
      </w:pPr>
      <w:r>
        <w:t>These factors align with the objectives of the HEPPP, particularly those for the Partnership component, in ‘improving the understanding and awareness of higher education as a viable post-school option’.</w:t>
      </w:r>
      <w:r>
        <w:rPr>
          <w:rStyle w:val="FootnoteReference"/>
        </w:rPr>
        <w:footnoteReference w:id="23"/>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4394884B" w14:textId="77777777" w:rsidTr="004D175A">
        <w:trPr>
          <w:cantSplit/>
          <w:trHeight w:val="160"/>
        </w:trPr>
        <w:tc>
          <w:tcPr>
            <w:tcW w:w="8168" w:type="dxa"/>
            <w:tcBorders>
              <w:top w:val="nil"/>
              <w:left w:val="nil"/>
              <w:bottom w:val="single" w:sz="4" w:space="0" w:color="auto"/>
              <w:right w:val="nil"/>
            </w:tcBorders>
          </w:tcPr>
          <w:p w14:paraId="083DBD51" w14:textId="77777777" w:rsidR="004D175A" w:rsidRDefault="004D175A">
            <w:pPr>
              <w:pStyle w:val="spacer"/>
              <w:rPr>
                <w:lang w:val="en-US"/>
              </w:rPr>
            </w:pPr>
          </w:p>
        </w:tc>
      </w:tr>
      <w:tr w:rsidR="004D175A" w14:paraId="3701D800" w14:textId="77777777" w:rsidTr="004D175A">
        <w:trPr>
          <w:cantSplit/>
        </w:trPr>
        <w:tc>
          <w:tcPr>
            <w:tcW w:w="8168" w:type="dxa"/>
            <w:tcBorders>
              <w:top w:val="single" w:sz="4" w:space="0" w:color="auto"/>
              <w:left w:val="nil"/>
              <w:bottom w:val="nil"/>
              <w:right w:val="nil"/>
            </w:tcBorders>
            <w:hideMark/>
          </w:tcPr>
          <w:p w14:paraId="343D841B" w14:textId="77777777" w:rsidR="004D175A" w:rsidRDefault="004D175A">
            <w:pPr>
              <w:pStyle w:val="Caption"/>
              <w:rPr>
                <w:lang w:val="en-US"/>
              </w:rPr>
            </w:pPr>
            <w:bookmarkStart w:id="173" w:name="_Ref462823642"/>
            <w:bookmarkStart w:id="174" w:name="_Toc463029844"/>
            <w:bookmarkStart w:id="175" w:name="_Toc466655672"/>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9</w:t>
            </w:r>
            <w:bookmarkEnd w:id="173"/>
            <w:r>
              <w:rPr>
                <w:lang w:val="en-US"/>
              </w:rPr>
              <w:tab/>
              <w:t>University Staff survey, changing attitudes and practice</w:t>
            </w:r>
            <w:bookmarkEnd w:id="174"/>
            <w:bookmarkEnd w:id="175"/>
          </w:p>
        </w:tc>
      </w:tr>
      <w:tr w:rsidR="004D175A" w14:paraId="0AC4E49E" w14:textId="77777777" w:rsidTr="004D175A">
        <w:trPr>
          <w:cantSplit/>
          <w:trHeight w:val="380"/>
        </w:trPr>
        <w:tc>
          <w:tcPr>
            <w:tcW w:w="8168" w:type="dxa"/>
            <w:tcBorders>
              <w:top w:val="nil"/>
              <w:left w:val="nil"/>
              <w:bottom w:val="single" w:sz="4" w:space="0" w:color="auto"/>
              <w:right w:val="nil"/>
            </w:tcBorders>
            <w:hideMark/>
          </w:tcPr>
          <w:p w14:paraId="5CC849D2" w14:textId="77777777" w:rsidR="004D175A" w:rsidRDefault="00A45AB3">
            <w:pPr>
              <w:pStyle w:val="spacer"/>
              <w:rPr>
                <w:lang w:val="en-US"/>
              </w:rPr>
            </w:pPr>
            <w:r>
              <w:rPr>
                <w:noProof/>
                <w:lang w:eastAsia="en-AU"/>
              </w:rPr>
              <mc:AlternateContent>
                <mc:Choice Requires="wps">
                  <w:drawing>
                    <wp:anchor distT="0" distB="0" distL="114300" distR="114300" simplePos="0" relativeHeight="251639808" behindDoc="0" locked="1" layoutInCell="1" allowOverlap="1" wp14:anchorId="0C74ED40" wp14:editId="61C3134E">
                      <wp:simplePos x="0" y="0"/>
                      <wp:positionH relativeFrom="rightMargin">
                        <wp:posOffset>-772795</wp:posOffset>
                      </wp:positionH>
                      <wp:positionV relativeFrom="page">
                        <wp:posOffset>0</wp:posOffset>
                      </wp:positionV>
                      <wp:extent cx="436880" cy="213360"/>
                      <wp:effectExtent l="0" t="0" r="1270" b="0"/>
                      <wp:wrapNone/>
                      <wp:docPr id="612" name="Freeform 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C9F498" id="Freeform 612" o:spid="_x0000_s1026" style="position:absolute;margin-left:-60.85pt;margin-top:0;width:34.4pt;height:16.8pt;z-index:251639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cgQa/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4D56471A"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3E834762" w14:textId="77777777" w:rsidR="004D175A" w:rsidRDefault="007F5EE9">
            <w:pPr>
              <w:pStyle w:val="Figure"/>
              <w:rPr>
                <w:lang w:val="en-US"/>
              </w:rPr>
            </w:pPr>
            <w:r>
              <w:rPr>
                <w:noProof/>
                <w:lang w:eastAsia="en-AU"/>
              </w:rPr>
              <w:drawing>
                <wp:inline distT="0" distB="0" distL="0" distR="0" wp14:anchorId="2EC84AF6" wp14:editId="13C87D8B">
                  <wp:extent cx="5172075" cy="2200275"/>
                  <wp:effectExtent l="0" t="0" r="0" b="0"/>
                  <wp:docPr id="27"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72075" cy="2200275"/>
                          </a:xfrm>
                          <a:prstGeom prst="rect">
                            <a:avLst/>
                          </a:prstGeom>
                          <a:noFill/>
                          <a:ln>
                            <a:noFill/>
                          </a:ln>
                        </pic:spPr>
                      </pic:pic>
                    </a:graphicData>
                  </a:graphic>
                </wp:inline>
              </w:drawing>
            </w:r>
          </w:p>
        </w:tc>
      </w:tr>
      <w:tr w:rsidR="004D175A" w14:paraId="64E865B7"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01F29BBF" w14:textId="77777777" w:rsidR="004D175A" w:rsidRDefault="004D175A">
            <w:pPr>
              <w:pStyle w:val="Note"/>
              <w:rPr>
                <w:lang w:val="en-US"/>
              </w:rPr>
            </w:pPr>
            <w:r>
              <w:rPr>
                <w:lang w:val="en-US"/>
              </w:rPr>
              <w:t xml:space="preserve">Note: </w:t>
            </w:r>
            <w:r w:rsidR="002F306D">
              <w:rPr>
                <w:lang w:val="en-US"/>
              </w:rPr>
              <w:t xml:space="preserve">from top to bottom, </w:t>
            </w:r>
            <w:r w:rsidRPr="00AD49C8">
              <w:rPr>
                <w:lang w:val="en-US"/>
              </w:rPr>
              <w:t>n</w:t>
            </w:r>
            <w:r>
              <w:rPr>
                <w:lang w:val="en-US"/>
              </w:rPr>
              <w:t>=</w:t>
            </w:r>
            <w:r w:rsidR="002F306D">
              <w:rPr>
                <w:lang w:val="en-US"/>
              </w:rPr>
              <w:t>184, 160, 204, 211</w:t>
            </w:r>
          </w:p>
          <w:p w14:paraId="534DA60F" w14:textId="77777777" w:rsidR="004D175A" w:rsidRDefault="004D175A">
            <w:pPr>
              <w:pStyle w:val="Source"/>
              <w:rPr>
                <w:lang w:val="en-US"/>
              </w:rPr>
            </w:pPr>
            <w:r>
              <w:rPr>
                <w:lang w:val="en-US"/>
              </w:rPr>
              <w:t>Source: ACIL Allen Consulting and Wallis Consulting Group</w:t>
            </w:r>
          </w:p>
        </w:tc>
      </w:tr>
      <w:tr w:rsidR="004D175A" w14:paraId="1E711092" w14:textId="77777777" w:rsidTr="004D175A">
        <w:trPr>
          <w:trHeight w:val="160"/>
        </w:trPr>
        <w:tc>
          <w:tcPr>
            <w:tcW w:w="8168" w:type="dxa"/>
            <w:tcBorders>
              <w:top w:val="single" w:sz="4" w:space="0" w:color="auto"/>
              <w:left w:val="nil"/>
              <w:bottom w:val="nil"/>
              <w:right w:val="nil"/>
            </w:tcBorders>
          </w:tcPr>
          <w:p w14:paraId="42930D46" w14:textId="77777777" w:rsidR="004D175A" w:rsidRDefault="004D175A">
            <w:pPr>
              <w:pStyle w:val="spacertbl"/>
              <w:rPr>
                <w:lang w:val="en-US"/>
              </w:rPr>
            </w:pPr>
          </w:p>
        </w:tc>
      </w:tr>
    </w:tbl>
    <w:p w14:paraId="72957838" w14:textId="77777777" w:rsidR="004D175A" w:rsidRDefault="004D175A" w:rsidP="004D175A">
      <w:pPr>
        <w:pStyle w:val="BodyText"/>
      </w:pPr>
      <w:r>
        <w:t>Although less than half of respondents</w:t>
      </w:r>
      <w:r w:rsidR="003E18A2">
        <w:t xml:space="preserve"> </w:t>
      </w:r>
      <w:r>
        <w:t>agreed that the projects were increasing TAFE enrolments (</w:t>
      </w:r>
      <w:r w:rsidR="008C090E" w:rsidRPr="00AD49C8">
        <w:t>Figure 4.9</w:t>
      </w:r>
      <w:r>
        <w:t>), the majority considered that the projects were increasing university applications and enrolments (</w:t>
      </w:r>
      <w:r w:rsidR="008C090E" w:rsidRPr="00AD49C8">
        <w:t>Figure 4.10</w:t>
      </w:r>
      <w:r>
        <w:t xml:space="preserve">). </w:t>
      </w:r>
      <w:r w:rsidR="003E18A2">
        <w:t>Nearly all of the</w:t>
      </w:r>
      <w:r>
        <w:t xml:space="preserve"> respondents agreed that the projects were improving low SES people’s awareness that higher education was a viable option</w:t>
      </w:r>
      <w:r w:rsidR="003E18A2">
        <w:t xml:space="preserve">, and </w:t>
      </w:r>
      <w:r>
        <w:t>were encouraging a greater proportion of students from low SES backgrounds to apply for university. Staff also saw a positive impact on university enrolment rates, with over half of the respondents strongly agreeing that the projects were leading to a greater proportion of students from low SES backgrounds enrolling in university and an additional 39 per cent agreeing (91 per cent in total).</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4D175A" w14:paraId="7528B5D5" w14:textId="77777777" w:rsidTr="004D175A">
        <w:trPr>
          <w:cantSplit/>
          <w:trHeight w:val="160"/>
        </w:trPr>
        <w:tc>
          <w:tcPr>
            <w:tcW w:w="8168" w:type="dxa"/>
            <w:tcBorders>
              <w:top w:val="nil"/>
              <w:left w:val="nil"/>
              <w:bottom w:val="single" w:sz="4" w:space="0" w:color="auto"/>
              <w:right w:val="nil"/>
            </w:tcBorders>
          </w:tcPr>
          <w:p w14:paraId="6B31EB9C" w14:textId="77777777" w:rsidR="004D175A" w:rsidRDefault="004D175A">
            <w:pPr>
              <w:pStyle w:val="spacer"/>
              <w:rPr>
                <w:lang w:val="en-US"/>
              </w:rPr>
            </w:pPr>
          </w:p>
        </w:tc>
      </w:tr>
      <w:tr w:rsidR="004D175A" w14:paraId="37C30659" w14:textId="77777777" w:rsidTr="004D175A">
        <w:trPr>
          <w:cantSplit/>
        </w:trPr>
        <w:tc>
          <w:tcPr>
            <w:tcW w:w="8168" w:type="dxa"/>
            <w:tcBorders>
              <w:top w:val="single" w:sz="4" w:space="0" w:color="auto"/>
              <w:left w:val="nil"/>
              <w:bottom w:val="nil"/>
              <w:right w:val="nil"/>
            </w:tcBorders>
            <w:hideMark/>
          </w:tcPr>
          <w:p w14:paraId="35D49774" w14:textId="77777777" w:rsidR="004D175A" w:rsidRDefault="004D175A">
            <w:pPr>
              <w:pStyle w:val="Caption"/>
              <w:rPr>
                <w:lang w:val="en-US"/>
              </w:rPr>
            </w:pPr>
            <w:bookmarkStart w:id="176" w:name="_Ref462824512"/>
            <w:bookmarkStart w:id="177" w:name="_Toc463029845"/>
            <w:bookmarkStart w:id="178" w:name="_Toc466655673"/>
            <w:r>
              <w:rPr>
                <w:rStyle w:val="CaptionLabel"/>
                <w:lang w:val="en-US"/>
              </w:rPr>
              <w:t>Figure </w:t>
            </w:r>
            <w:r w:rsidR="008C090E">
              <w:rPr>
                <w:rStyle w:val="CaptionLabel"/>
                <w:noProof/>
                <w:lang w:val="en-US"/>
              </w:rPr>
              <w:t>4</w:t>
            </w:r>
            <w:r>
              <w:rPr>
                <w:rStyle w:val="CaptionLabel"/>
                <w:lang w:val="en-US"/>
              </w:rPr>
              <w:t>.</w:t>
            </w:r>
            <w:r w:rsidR="008C090E">
              <w:rPr>
                <w:rStyle w:val="CaptionLabel"/>
                <w:noProof/>
                <w:lang w:val="en-US"/>
              </w:rPr>
              <w:t>10</w:t>
            </w:r>
            <w:bookmarkEnd w:id="176"/>
            <w:r>
              <w:rPr>
                <w:lang w:val="en-US"/>
              </w:rPr>
              <w:tab/>
              <w:t>University Staff survey, applying to and enrolling in university</w:t>
            </w:r>
            <w:bookmarkEnd w:id="177"/>
            <w:bookmarkEnd w:id="178"/>
          </w:p>
        </w:tc>
      </w:tr>
      <w:tr w:rsidR="004D175A" w14:paraId="112E1339" w14:textId="77777777" w:rsidTr="004D175A">
        <w:trPr>
          <w:cantSplit/>
          <w:trHeight w:val="380"/>
        </w:trPr>
        <w:tc>
          <w:tcPr>
            <w:tcW w:w="8168" w:type="dxa"/>
            <w:tcBorders>
              <w:top w:val="nil"/>
              <w:left w:val="nil"/>
              <w:bottom w:val="single" w:sz="4" w:space="0" w:color="auto"/>
              <w:right w:val="nil"/>
            </w:tcBorders>
            <w:hideMark/>
          </w:tcPr>
          <w:p w14:paraId="4FD74991" w14:textId="77777777" w:rsidR="004D175A" w:rsidRDefault="00A45AB3">
            <w:pPr>
              <w:pStyle w:val="spacer"/>
              <w:rPr>
                <w:lang w:val="en-US"/>
              </w:rPr>
            </w:pPr>
            <w:r>
              <w:rPr>
                <w:noProof/>
                <w:lang w:eastAsia="en-AU"/>
              </w:rPr>
              <mc:AlternateContent>
                <mc:Choice Requires="wps">
                  <w:drawing>
                    <wp:anchor distT="0" distB="0" distL="114300" distR="114300" simplePos="0" relativeHeight="251637760" behindDoc="0" locked="1" layoutInCell="1" allowOverlap="1" wp14:anchorId="28DCC9D9" wp14:editId="0D84E7AF">
                      <wp:simplePos x="0" y="0"/>
                      <wp:positionH relativeFrom="rightMargin">
                        <wp:posOffset>-772795</wp:posOffset>
                      </wp:positionH>
                      <wp:positionV relativeFrom="page">
                        <wp:posOffset>0</wp:posOffset>
                      </wp:positionV>
                      <wp:extent cx="436880" cy="213360"/>
                      <wp:effectExtent l="0" t="0" r="1270" b="0"/>
                      <wp:wrapNone/>
                      <wp:docPr id="611" name="Freeform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B91C18" id="Freeform 611" o:spid="_x0000_s1026" style="position:absolute;margin-left:-60.85pt;margin-top:0;width:34.4pt;height:16.8pt;z-index:251637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CsfG4d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4A3E4AB3" w14:textId="77777777" w:rsidTr="004D175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2FA4397D" w14:textId="77777777" w:rsidR="004D175A" w:rsidRDefault="007F5EE9">
            <w:pPr>
              <w:pStyle w:val="Figure"/>
              <w:rPr>
                <w:lang w:val="en-US"/>
              </w:rPr>
            </w:pPr>
            <w:r>
              <w:rPr>
                <w:noProof/>
                <w:lang w:eastAsia="en-AU"/>
              </w:rPr>
              <w:drawing>
                <wp:inline distT="0" distB="0" distL="0" distR="0" wp14:anchorId="402FB35E" wp14:editId="3EB8E22A">
                  <wp:extent cx="5124450" cy="2200275"/>
                  <wp:effectExtent l="0" t="0" r="0" b="0"/>
                  <wp:docPr id="28"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24450" cy="2200275"/>
                          </a:xfrm>
                          <a:prstGeom prst="rect">
                            <a:avLst/>
                          </a:prstGeom>
                          <a:noFill/>
                          <a:ln>
                            <a:noFill/>
                          </a:ln>
                        </pic:spPr>
                      </pic:pic>
                    </a:graphicData>
                  </a:graphic>
                </wp:inline>
              </w:drawing>
            </w:r>
          </w:p>
        </w:tc>
      </w:tr>
      <w:tr w:rsidR="004D175A" w14:paraId="39F09011" w14:textId="77777777" w:rsidTr="004D175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52C48A25" w14:textId="77777777" w:rsidR="004D175A" w:rsidRDefault="004D175A">
            <w:pPr>
              <w:pStyle w:val="Note"/>
              <w:rPr>
                <w:lang w:val="en-US"/>
              </w:rPr>
            </w:pPr>
            <w:r>
              <w:rPr>
                <w:lang w:val="en-US"/>
              </w:rPr>
              <w:t>Note:</w:t>
            </w:r>
            <w:r w:rsidR="002F306D">
              <w:rPr>
                <w:lang w:val="en-US"/>
              </w:rPr>
              <w:t xml:space="preserve"> from top to bottom, n=245, 232, 212</w:t>
            </w:r>
          </w:p>
          <w:p w14:paraId="58F49477" w14:textId="77777777" w:rsidR="004D175A" w:rsidRDefault="004D175A">
            <w:pPr>
              <w:pStyle w:val="Source"/>
              <w:rPr>
                <w:lang w:val="en-US"/>
              </w:rPr>
            </w:pPr>
            <w:r>
              <w:rPr>
                <w:lang w:val="en-US"/>
              </w:rPr>
              <w:t>Source: ACIL Allen Consulting and Wallis Consulting Group</w:t>
            </w:r>
          </w:p>
        </w:tc>
      </w:tr>
      <w:tr w:rsidR="004D175A" w14:paraId="417343B2" w14:textId="77777777" w:rsidTr="004D175A">
        <w:trPr>
          <w:trHeight w:val="160"/>
        </w:trPr>
        <w:tc>
          <w:tcPr>
            <w:tcW w:w="8168" w:type="dxa"/>
            <w:tcBorders>
              <w:top w:val="single" w:sz="4" w:space="0" w:color="auto"/>
              <w:left w:val="nil"/>
              <w:bottom w:val="nil"/>
              <w:right w:val="nil"/>
            </w:tcBorders>
          </w:tcPr>
          <w:p w14:paraId="5CD3B929" w14:textId="77777777" w:rsidR="004D175A" w:rsidRDefault="004D175A">
            <w:pPr>
              <w:pStyle w:val="spacertbl"/>
              <w:rPr>
                <w:lang w:val="en-US"/>
              </w:rPr>
            </w:pPr>
          </w:p>
        </w:tc>
      </w:tr>
    </w:tbl>
    <w:p w14:paraId="7DF8C96B" w14:textId="77777777" w:rsidR="004D175A" w:rsidRDefault="004D175A" w:rsidP="00A45AB3">
      <w:pPr>
        <w:pStyle w:val="Heading2"/>
        <w:numPr>
          <w:ilvl w:val="1"/>
          <w:numId w:val="45"/>
        </w:numPr>
      </w:pPr>
      <w:bookmarkStart w:id="179" w:name="_Toc463029762"/>
      <w:bookmarkStart w:id="180" w:name="_Ref462301410"/>
      <w:bookmarkStart w:id="181" w:name="_Toc466657125"/>
      <w:r>
        <w:t>The impact of individual HEPPP activities at the Pre-Access stage</w:t>
      </w:r>
      <w:bookmarkEnd w:id="179"/>
      <w:bookmarkEnd w:id="180"/>
      <w:bookmarkEnd w:id="181"/>
    </w:p>
    <w:p w14:paraId="4C541232" w14:textId="77777777" w:rsidR="004D175A" w:rsidRDefault="004D175A" w:rsidP="004D175A">
      <w:pPr>
        <w:pStyle w:val="BodyText"/>
      </w:pPr>
      <w:bookmarkStart w:id="182" w:name="_Ref462391723"/>
      <w:r>
        <w:t>This section examines the impact of different types of HEPPP outreach activities, based on project evaluations conducted by universities and consultations with stakeholders. It also provides a number of case studies which detail specific projects and their key activities.</w:t>
      </w:r>
    </w:p>
    <w:p w14:paraId="504AD99C" w14:textId="77777777" w:rsidR="004D175A" w:rsidRDefault="004D175A" w:rsidP="00A45AB3">
      <w:pPr>
        <w:pStyle w:val="Heading3"/>
        <w:numPr>
          <w:ilvl w:val="2"/>
          <w:numId w:val="45"/>
        </w:numPr>
      </w:pPr>
      <w:r>
        <w:t>Aspiration-raising</w:t>
      </w:r>
      <w:bookmarkEnd w:id="182"/>
    </w:p>
    <w:p w14:paraId="628B2085" w14:textId="77777777" w:rsidR="004D175A" w:rsidRDefault="004D175A" w:rsidP="004D175A">
      <w:pPr>
        <w:pStyle w:val="BodyText"/>
      </w:pPr>
      <w:r>
        <w:t xml:space="preserve">Aspiration to participate </w:t>
      </w:r>
      <w:r w:rsidR="006C489C">
        <w:t xml:space="preserve">in higher education </w:t>
      </w:r>
      <w:r>
        <w:t xml:space="preserve">was one of three key ‘precursors to entry’ identified in the Bradley Review (2008), along with awareness of higher education and educational attainment. As defined in the </w:t>
      </w:r>
      <w:r w:rsidR="006C489C">
        <w:t>report</w:t>
      </w:r>
      <w:r>
        <w:t>, ‘addressing aspiration means increasing the desire to attend university and putting it firmly on the ‘radar screen’ of potential higher education participants while they are still at school’. Aspiration levels in low SES communities were also included in the Guidelines as one of the means of targeting partnership activities. The Guidelines outline that partnership activities undertaken through the HEPPP are intended to support collaboration between stakeholders and to ‘concentrate resources to most effectively target low SES communities where aspirations to enter higher education are low and where matriculation to universities is poor’.</w:t>
      </w:r>
      <w:r>
        <w:rPr>
          <w:rStyle w:val="FootnoteReference"/>
        </w:rPr>
        <w:footnoteReference w:id="24"/>
      </w:r>
    </w:p>
    <w:p w14:paraId="0E6B68E8" w14:textId="77777777" w:rsidR="004D175A" w:rsidRDefault="006C489C" w:rsidP="004D175A">
      <w:pPr>
        <w:pStyle w:val="BodyText"/>
      </w:pPr>
      <w:r>
        <w:t xml:space="preserve">A </w:t>
      </w:r>
      <w:r w:rsidR="004D175A">
        <w:t xml:space="preserve">range of views </w:t>
      </w:r>
      <w:r>
        <w:t xml:space="preserve">have been </w:t>
      </w:r>
      <w:r w:rsidR="004D175A">
        <w:t xml:space="preserve">expressed </w:t>
      </w:r>
      <w:r>
        <w:t xml:space="preserve">in consultations </w:t>
      </w:r>
      <w:r w:rsidR="004D175A">
        <w:t>on the assumptions that may underlie aspiration-raising and emphasising the need for caution to avoid perpetuating a deficit perspective of low SES participation</w:t>
      </w:r>
      <w:r w:rsidR="004D175A">
        <w:rPr>
          <w:rStyle w:val="FootnoteReference"/>
        </w:rPr>
        <w:footnoteReference w:id="25"/>
      </w:r>
      <w:r w:rsidR="004D175A">
        <w:t>. However, projects that intend to raise the aspirations of participating students for higher education are very common throughout the HEPPP (</w:t>
      </w:r>
      <w:r w:rsidR="008C090E" w:rsidRPr="00AD49C8">
        <w:t>Figure 4.1</w:t>
      </w:r>
      <w:r w:rsidR="004D175A">
        <w:t>). These projects often include additional types of activity, for example, the Partnership project undertaken by Deakin University and discussed by Lynch, Walker-Gibbs and Herbert (2015) involved student mentoring with the intention of raising aspiration.</w:t>
      </w:r>
    </w:p>
    <w:p w14:paraId="49A456E9" w14:textId="77777777" w:rsidR="004D175A" w:rsidRDefault="004D175A" w:rsidP="004D175A">
      <w:pPr>
        <w:pStyle w:val="BodyText"/>
      </w:pPr>
      <w:r>
        <w:t>There are two types of aspiration-raising activities through the HEPPP—pre-entry university experience and non-university experience</w:t>
      </w:r>
      <w:r w:rsidR="006C489C">
        <w:t xml:space="preserve"> (</w:t>
      </w:r>
      <w:r w:rsidR="00C71CE9">
        <w:t xml:space="preserve">Section </w:t>
      </w:r>
      <w:r w:rsidR="008C090E">
        <w:t>4.1</w:t>
      </w:r>
      <w:r w:rsidR="006C489C">
        <w:t>)</w:t>
      </w:r>
      <w:r>
        <w:t>. Pre-university experience involves visits to university campuses and other forms of physical familiarisation activities, and is identified as one of the key characteristics of effective HEPPP outreach initiatives (</w:t>
      </w:r>
      <w:r w:rsidR="009F5C29">
        <w:t>Bennett et </w:t>
      </w:r>
      <w:r>
        <w:t>al</w:t>
      </w:r>
      <w:r w:rsidR="009F5C29">
        <w:t>. </w:t>
      </w:r>
      <w:r>
        <w:t>2015). Many projects undertaken through the HEPPP Partnership component involve these activities, including:</w:t>
      </w:r>
    </w:p>
    <w:p w14:paraId="40A6FF30" w14:textId="77777777" w:rsidR="004D175A" w:rsidRDefault="004D175A" w:rsidP="00A45AB3">
      <w:pPr>
        <w:pStyle w:val="ListBullet"/>
        <w:numPr>
          <w:ilvl w:val="0"/>
          <w:numId w:val="46"/>
        </w:numPr>
      </w:pPr>
      <w:r>
        <w:t>Aspire UWA (</w:t>
      </w:r>
      <w:r w:rsidR="008C090E" w:rsidRPr="00AD49C8">
        <w:t>Box 4.1</w:t>
      </w:r>
      <w:r>
        <w:t>)</w:t>
      </w:r>
    </w:p>
    <w:p w14:paraId="6198A668" w14:textId="77777777" w:rsidR="00940E6E" w:rsidRDefault="00940E6E" w:rsidP="00A45AB3">
      <w:pPr>
        <w:pStyle w:val="ListBullet"/>
        <w:numPr>
          <w:ilvl w:val="0"/>
          <w:numId w:val="46"/>
        </w:numPr>
      </w:pPr>
      <w:r>
        <w:t xml:space="preserve">University of Newcastle’s </w:t>
      </w:r>
      <w:r w:rsidR="004D175A">
        <w:t>AIM HIGH</w:t>
      </w:r>
    </w:p>
    <w:p w14:paraId="3834D90B" w14:textId="77777777" w:rsidR="004D175A" w:rsidRDefault="00940E6E" w:rsidP="00A45AB3">
      <w:pPr>
        <w:pStyle w:val="ListBullet"/>
        <w:numPr>
          <w:ilvl w:val="0"/>
          <w:numId w:val="46"/>
        </w:numPr>
      </w:pPr>
      <w:r>
        <w:t>Flinders University’s m</w:t>
      </w:r>
      <w:r w:rsidR="004D175A">
        <w:t>entor programs</w:t>
      </w:r>
    </w:p>
    <w:p w14:paraId="5E775F19" w14:textId="63E79EB7" w:rsidR="004D175A" w:rsidRDefault="00940E6E" w:rsidP="00A45AB3">
      <w:pPr>
        <w:pStyle w:val="ListBullet"/>
        <w:numPr>
          <w:ilvl w:val="0"/>
          <w:numId w:val="46"/>
        </w:numPr>
      </w:pPr>
      <w:r>
        <w:t>UTS’</w:t>
      </w:r>
      <w:r w:rsidR="00E758AE">
        <w:t>s</w:t>
      </w:r>
      <w:r>
        <w:t xml:space="preserve"> </w:t>
      </w:r>
      <w:r w:rsidR="004D175A">
        <w:t>U@Uni Summer School</w:t>
      </w:r>
    </w:p>
    <w:p w14:paraId="248835B3" w14:textId="77777777" w:rsidR="004D175A" w:rsidRDefault="00940E6E" w:rsidP="00A45AB3">
      <w:pPr>
        <w:pStyle w:val="ListBullet"/>
        <w:numPr>
          <w:ilvl w:val="0"/>
          <w:numId w:val="46"/>
        </w:numPr>
      </w:pPr>
      <w:r>
        <w:t xml:space="preserve">University of Canberra’s </w:t>
      </w:r>
      <w:r w:rsidR="004D175A">
        <w:t>UC 4 Yourself</w:t>
      </w:r>
    </w:p>
    <w:p w14:paraId="1880D1EC" w14:textId="77777777" w:rsidR="004D175A" w:rsidRDefault="00940E6E" w:rsidP="00A45AB3">
      <w:pPr>
        <w:pStyle w:val="ListBullet"/>
        <w:numPr>
          <w:ilvl w:val="0"/>
          <w:numId w:val="46"/>
        </w:numPr>
      </w:pPr>
      <w:r>
        <w:t xml:space="preserve">University of South Australia’s </w:t>
      </w:r>
      <w:r w:rsidR="004D175A">
        <w:t xml:space="preserve">UniCamps and UniReady </w:t>
      </w:r>
    </w:p>
    <w:p w14:paraId="2101FF90" w14:textId="77777777" w:rsidR="004D175A" w:rsidRDefault="004D175A" w:rsidP="00A45AB3">
      <w:pPr>
        <w:pStyle w:val="ListBullet"/>
        <w:numPr>
          <w:ilvl w:val="0"/>
          <w:numId w:val="46"/>
        </w:numPr>
      </w:pPr>
      <w:r>
        <w:t>UNSW Aspire</w:t>
      </w:r>
    </w:p>
    <w:p w14:paraId="64B5ECF6" w14:textId="77777777" w:rsidR="004D175A" w:rsidRDefault="00940E6E" w:rsidP="00A45AB3">
      <w:pPr>
        <w:pStyle w:val="ListBullet"/>
        <w:numPr>
          <w:ilvl w:val="0"/>
          <w:numId w:val="46"/>
        </w:numPr>
      </w:pPr>
      <w:r>
        <w:t xml:space="preserve">UQ’s </w:t>
      </w:r>
      <w:r w:rsidR="004D175A">
        <w:t>Young Achievers Program.</w:t>
      </w:r>
    </w:p>
    <w:p w14:paraId="3250754E" w14:textId="77777777" w:rsidR="004D175A" w:rsidRDefault="004D175A" w:rsidP="004D175A">
      <w:pPr>
        <w:pStyle w:val="BodyText"/>
      </w:pPr>
      <w:r>
        <w:t>These programs vary in length, from single sessions (for example, UniReady) to intensive programs (for example, U@Uni Summer School) or those delivered over a substantial period of time (for example, Flinders University’s mentoring programs).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4D175A" w14:paraId="494BB76D" w14:textId="77777777" w:rsidTr="004D175A">
        <w:trPr>
          <w:cantSplit/>
        </w:trPr>
        <w:tc>
          <w:tcPr>
            <w:tcW w:w="8614" w:type="dxa"/>
            <w:tcMar>
              <w:top w:w="160" w:type="dxa"/>
              <w:left w:w="446" w:type="dxa"/>
              <w:bottom w:w="0" w:type="dxa"/>
              <w:right w:w="0" w:type="dxa"/>
            </w:tcMar>
            <w:hideMark/>
          </w:tcPr>
          <w:p w14:paraId="53B1064E" w14:textId="77777777" w:rsidR="004D175A" w:rsidRDefault="004D175A">
            <w:pPr>
              <w:pStyle w:val="Caption"/>
              <w:rPr>
                <w:lang w:val="en-US"/>
              </w:rPr>
            </w:pPr>
            <w:bookmarkStart w:id="183" w:name="_Ref462394568"/>
            <w:bookmarkStart w:id="184" w:name="_Toc463029918"/>
            <w:bookmarkStart w:id="185" w:name="_Toc466657014"/>
            <w:r>
              <w:rPr>
                <w:rStyle w:val="CaptionLabel"/>
                <w:lang w:val="en-US"/>
              </w:rPr>
              <w:t>Box </w:t>
            </w:r>
            <w:r w:rsidR="008C090E">
              <w:rPr>
                <w:rStyle w:val="CaptionLabel"/>
                <w:noProof/>
                <w:lang w:val="en-US"/>
              </w:rPr>
              <w:t>4</w:t>
            </w:r>
            <w:r>
              <w:rPr>
                <w:rStyle w:val="CaptionLabel"/>
                <w:lang w:val="en-US"/>
              </w:rPr>
              <w:t>.</w:t>
            </w:r>
            <w:r w:rsidR="008C090E">
              <w:rPr>
                <w:rStyle w:val="CaptionLabel"/>
                <w:noProof/>
                <w:lang w:val="en-US"/>
              </w:rPr>
              <w:t>1</w:t>
            </w:r>
            <w:bookmarkEnd w:id="183"/>
            <w:r>
              <w:rPr>
                <w:lang w:val="en-US"/>
              </w:rPr>
              <w:tab/>
              <w:t>Aspire UWA, The University of Western Australia</w:t>
            </w:r>
            <w:bookmarkEnd w:id="184"/>
            <w:bookmarkEnd w:id="185"/>
          </w:p>
        </w:tc>
      </w:tr>
      <w:tr w:rsidR="004D175A" w14:paraId="45143E4D" w14:textId="77777777" w:rsidTr="004D175A">
        <w:trPr>
          <w:cantSplit/>
          <w:trHeight w:val="380"/>
        </w:trPr>
        <w:tc>
          <w:tcPr>
            <w:tcW w:w="8614" w:type="dxa"/>
            <w:shd w:val="clear" w:color="auto" w:fill="E4E0DD"/>
            <w:hideMark/>
          </w:tcPr>
          <w:p w14:paraId="78C8A94F" w14:textId="77777777" w:rsidR="004D175A" w:rsidRDefault="00A45AB3">
            <w:pPr>
              <w:pStyle w:val="spacer"/>
              <w:rPr>
                <w:lang w:val="en-US"/>
              </w:rPr>
            </w:pPr>
            <w:r>
              <w:rPr>
                <w:noProof/>
                <w:lang w:eastAsia="en-AU"/>
              </w:rPr>
              <mc:AlternateContent>
                <mc:Choice Requires="wps">
                  <w:drawing>
                    <wp:anchor distT="0" distB="0" distL="114300" distR="114300" simplePos="0" relativeHeight="251631616" behindDoc="0" locked="1" layoutInCell="1" allowOverlap="1" wp14:anchorId="1D71D530" wp14:editId="55C94AEF">
                      <wp:simplePos x="0" y="0"/>
                      <wp:positionH relativeFrom="rightMargin">
                        <wp:posOffset>-772795</wp:posOffset>
                      </wp:positionH>
                      <wp:positionV relativeFrom="page">
                        <wp:posOffset>0</wp:posOffset>
                      </wp:positionV>
                      <wp:extent cx="436880" cy="213360"/>
                      <wp:effectExtent l="0" t="0" r="1270" b="0"/>
                      <wp:wrapNone/>
                      <wp:docPr id="608" name="Freeform 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8F27CF" id="Freeform 608" o:spid="_x0000_s1026" style="position:absolute;margin-left:-60.85pt;margin-top:0;width:34.4pt;height:16.8pt;z-index:251631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RbINq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57C9B77F" w14:textId="77777777" w:rsidTr="004D175A">
        <w:trPr>
          <w:cantSplit/>
          <w:trHeight w:val="1960"/>
        </w:trPr>
        <w:tc>
          <w:tcPr>
            <w:tcW w:w="8614" w:type="dxa"/>
            <w:shd w:val="clear" w:color="auto" w:fill="E4E0DD"/>
            <w:tcMar>
              <w:top w:w="276" w:type="dxa"/>
              <w:left w:w="0" w:type="dxa"/>
              <w:bottom w:w="184" w:type="dxa"/>
              <w:right w:w="120" w:type="dxa"/>
            </w:tcMar>
            <w:hideMark/>
          </w:tcPr>
          <w:p w14:paraId="34A6DA87" w14:textId="77777777" w:rsidR="004D175A" w:rsidRDefault="004D175A">
            <w:pPr>
              <w:pStyle w:val="BoxText"/>
              <w:rPr>
                <w:lang w:val="en-US"/>
              </w:rPr>
            </w:pPr>
            <w:r>
              <w:rPr>
                <w:lang w:val="en-US"/>
              </w:rPr>
              <w:t xml:space="preserve">Aspire UWA </w:t>
            </w:r>
            <w:r w:rsidR="00072E82">
              <w:rPr>
                <w:lang w:val="en-US"/>
              </w:rPr>
              <w:t>i</w:t>
            </w:r>
            <w:r>
              <w:rPr>
                <w:lang w:val="en-US"/>
              </w:rPr>
              <w:t xml:space="preserve">s a large outreach program run by </w:t>
            </w:r>
            <w:r w:rsidR="00072E82">
              <w:rPr>
                <w:lang w:val="en-US"/>
              </w:rPr>
              <w:t>the University of Western Australia. It was</w:t>
            </w:r>
            <w:r>
              <w:rPr>
                <w:lang w:val="en-US"/>
              </w:rPr>
              <w:t xml:space="preserve"> funded through a HEPPP Partnership grant</w:t>
            </w:r>
            <w:r>
              <w:rPr>
                <w:vertAlign w:val="superscript"/>
                <w:lang w:val="en-US"/>
              </w:rPr>
              <w:t>a</w:t>
            </w:r>
            <w:r>
              <w:rPr>
                <w:lang w:val="en-US"/>
              </w:rPr>
              <w:t xml:space="preserve"> for the period from 1 December 2011 to 31 December 2015. Its objective is ‘to encourage and support students from low SES backgrounds to continue to higher education’. The program has expanded significantly since it was established in 2009, from 25 schools to 63 in 2016—22 in Perth and 41 in regional and rural Western Australia. The program initially worked with students in Years 9 to 12, and was expanded in 2015 to include students from Years 7 and 8. In 2015, more than 10,300 students were associated with the program.</w:t>
            </w:r>
          </w:p>
          <w:p w14:paraId="001A3C9F" w14:textId="77777777" w:rsidR="004D175A" w:rsidRDefault="004D175A">
            <w:pPr>
              <w:pStyle w:val="BoxText"/>
              <w:rPr>
                <w:lang w:val="en-US"/>
              </w:rPr>
            </w:pPr>
            <w:r>
              <w:rPr>
                <w:lang w:val="en-US"/>
              </w:rPr>
              <w:t>The program consists of three components, delivered by different areas of the university:</w:t>
            </w:r>
          </w:p>
          <w:p w14:paraId="09944F7F" w14:textId="77777777" w:rsidR="004D175A" w:rsidRDefault="004D175A" w:rsidP="00A45AB3">
            <w:pPr>
              <w:pStyle w:val="BoxListBullet"/>
              <w:numPr>
                <w:ilvl w:val="0"/>
                <w:numId w:val="47"/>
              </w:numPr>
              <w:rPr>
                <w:lang w:val="en-US"/>
              </w:rPr>
            </w:pPr>
            <w:r>
              <w:rPr>
                <w:lang w:val="en-US"/>
              </w:rPr>
              <w:t>a core learning framework for students in Years 7-12 in all partner schools (UWA Student Life division)</w:t>
            </w:r>
          </w:p>
          <w:p w14:paraId="19BA634D" w14:textId="77777777" w:rsidR="004D175A" w:rsidRDefault="004D175A" w:rsidP="00A45AB3">
            <w:pPr>
              <w:pStyle w:val="BoxListBullet"/>
              <w:numPr>
                <w:ilvl w:val="0"/>
                <w:numId w:val="47"/>
              </w:numPr>
              <w:rPr>
                <w:lang w:val="en-US"/>
              </w:rPr>
            </w:pPr>
            <w:r>
              <w:rPr>
                <w:lang w:val="en-US"/>
              </w:rPr>
              <w:t>an outreach program specifically for Indigenous students (UWA School of Indigenous Studies)</w:t>
            </w:r>
          </w:p>
          <w:p w14:paraId="1E80509D" w14:textId="77777777" w:rsidR="004D175A" w:rsidRDefault="004D175A" w:rsidP="00A45AB3">
            <w:pPr>
              <w:pStyle w:val="BoxListBullet"/>
              <w:numPr>
                <w:ilvl w:val="0"/>
                <w:numId w:val="47"/>
              </w:numPr>
              <w:rPr>
                <w:lang w:val="en-US"/>
              </w:rPr>
            </w:pPr>
            <w:r>
              <w:rPr>
                <w:lang w:val="en-US"/>
              </w:rPr>
              <w:t>a pathway program to the professional degrees of medicine and dentistry for low SES and rural students (UWA Faculty of Medicine, Dentistry and Health Sciences).</w:t>
            </w:r>
          </w:p>
          <w:p w14:paraId="3BA164D9" w14:textId="4BCD9401" w:rsidR="004D175A" w:rsidRDefault="004D175A">
            <w:pPr>
              <w:pStyle w:val="BoxText"/>
              <w:rPr>
                <w:lang w:val="en-US"/>
              </w:rPr>
            </w:pPr>
            <w:r>
              <w:rPr>
                <w:lang w:val="en-US"/>
              </w:rPr>
              <w:t xml:space="preserve">Data show an upwards trend in enrolments from Aspire UWA schools to West Australian public universities from 2009 to 2013. First year enrolment figures from partner schools grew from 567 in 2009 to 815 in 2013, before declining to 733 in 2014. There were 501 first year enrolments in </w:t>
            </w:r>
            <w:r w:rsidR="00E758AE">
              <w:rPr>
                <w:lang w:val="en-US"/>
              </w:rPr>
              <w:t>2015;</w:t>
            </w:r>
            <w:r>
              <w:rPr>
                <w:lang w:val="en-US"/>
              </w:rPr>
              <w:t xml:space="preserve"> however this reflects a smaller cohort of school leavers in WA due to changes in the primary school entry age 12 years ago. </w:t>
            </w:r>
          </w:p>
          <w:p w14:paraId="39A6B7CE" w14:textId="77777777" w:rsidR="004D175A" w:rsidRDefault="004D175A">
            <w:pPr>
              <w:pStyle w:val="BoxText"/>
              <w:rPr>
                <w:lang w:val="en-US"/>
              </w:rPr>
            </w:pPr>
            <w:r>
              <w:rPr>
                <w:lang w:val="en-US"/>
              </w:rPr>
              <w:t xml:space="preserve">Additionally, the program has seen a positive response from stakeholders, including schools, student participants and their parents, and student ambassadors from UWA. A survey of secondary school teachers and principals in 2013 (70 per cent response from partner schools) found that 99 per cent agreed that Aspire UWA was valued by their school, 97 per cent were satisfied with its quality and range of activities, and 96 per cent considered it to be a very effective program. </w:t>
            </w:r>
          </w:p>
          <w:p w14:paraId="4BE62942" w14:textId="77777777" w:rsidR="004D175A" w:rsidRDefault="004D175A">
            <w:pPr>
              <w:pStyle w:val="BoxText"/>
              <w:rPr>
                <w:lang w:val="en-US"/>
              </w:rPr>
            </w:pPr>
            <w:r>
              <w:rPr>
                <w:lang w:val="en-US"/>
              </w:rPr>
              <w:t xml:space="preserve">A number of </w:t>
            </w:r>
            <w:r w:rsidR="00516DAD">
              <w:rPr>
                <w:lang w:val="en-US"/>
              </w:rPr>
              <w:t>written</w:t>
            </w:r>
            <w:r>
              <w:rPr>
                <w:lang w:val="en-US"/>
              </w:rPr>
              <w:t xml:space="preserve"> submissions were received from schools that are involved with the Aspire UWA program, and the response was unanimously positive. The program was considered by respondents to be ‘highly effective’, with the relationship ‘demonstrably positive in its outcomes’ for students (Belmont City College, Submission 44) and it was commended ‘without reservation’ (Girrawheen Senior High School, Submission 16). Several schools noted that Aspire UWA provides a unique opportunity for students to experience university life first-hand, which they would not be able to do without it, and which increased their exposure to and consideration of higher education opportunities (Broome Senior High School, Submission 1; Kiara College, Submission 24; Derby District High School, Submission 111).</w:t>
            </w:r>
          </w:p>
        </w:tc>
      </w:tr>
      <w:tr w:rsidR="004D175A" w14:paraId="1332D9CC" w14:textId="77777777" w:rsidTr="004D175A">
        <w:trPr>
          <w:cantSplit/>
        </w:trPr>
        <w:tc>
          <w:tcPr>
            <w:tcW w:w="8614" w:type="dxa"/>
            <w:tcMar>
              <w:top w:w="12" w:type="dxa"/>
              <w:left w:w="446" w:type="dxa"/>
              <w:bottom w:w="113" w:type="dxa"/>
              <w:right w:w="0" w:type="dxa"/>
            </w:tcMar>
            <w:hideMark/>
          </w:tcPr>
          <w:p w14:paraId="709159E7" w14:textId="77777777" w:rsidR="004D175A" w:rsidRDefault="004D175A" w:rsidP="000729C9">
            <w:pPr>
              <w:pStyle w:val="Source"/>
              <w:rPr>
                <w:lang w:val="en-US"/>
              </w:rPr>
            </w:pPr>
            <w:r>
              <w:rPr>
                <w:caps w:val="0"/>
                <w:vertAlign w:val="superscript"/>
                <w:lang w:val="en-US"/>
              </w:rPr>
              <w:t>a</w:t>
            </w:r>
            <w:r>
              <w:rPr>
                <w:i w:val="0"/>
                <w:caps w:val="0"/>
                <w:lang w:val="en-US"/>
              </w:rPr>
              <w:t xml:space="preserve"> The Partnership grant </w:t>
            </w:r>
            <w:r w:rsidRPr="00AD49C8">
              <w:rPr>
                <w:i w:val="0"/>
                <w:caps w:val="0"/>
                <w:lang w:val="en-US"/>
              </w:rPr>
              <w:t>provided through the HEPPP</w:t>
            </w:r>
            <w:r>
              <w:rPr>
                <w:lang w:val="en-US"/>
              </w:rPr>
              <w:t xml:space="preserve"> </w:t>
            </w:r>
            <w:r>
              <w:rPr>
                <w:i w:val="0"/>
                <w:caps w:val="0"/>
                <w:lang w:val="en-US"/>
              </w:rPr>
              <w:t>contributed 97 per cent of total income, with 2 per cent provided</w:t>
            </w:r>
            <w:r w:rsidR="00516DAD">
              <w:rPr>
                <w:i w:val="0"/>
                <w:caps w:val="0"/>
                <w:lang w:val="en-US"/>
              </w:rPr>
              <w:t xml:space="preserve"> by interest and 1 per cent by c</w:t>
            </w:r>
            <w:r w:rsidRPr="00AD49C8">
              <w:rPr>
                <w:i w:val="0"/>
                <w:caps w:val="0"/>
                <w:lang w:val="en-US"/>
              </w:rPr>
              <w:t>orporate support and individual donations.</w:t>
            </w:r>
            <w:r>
              <w:rPr>
                <w:i w:val="0"/>
                <w:caps w:val="0"/>
                <w:lang w:val="en-US"/>
              </w:rPr>
              <w:br/>
            </w:r>
            <w:r w:rsidRPr="00AD49C8">
              <w:rPr>
                <w:lang w:val="en-US"/>
              </w:rPr>
              <w:t xml:space="preserve">Source: Skene, Pollard and house 2016, various </w:t>
            </w:r>
            <w:r w:rsidR="00C940AA">
              <w:rPr>
                <w:lang w:val="en-US"/>
              </w:rPr>
              <w:t>written</w:t>
            </w:r>
            <w:r w:rsidR="00C940AA" w:rsidRPr="00AD49C8">
              <w:rPr>
                <w:lang w:val="en-US"/>
              </w:rPr>
              <w:t xml:space="preserve"> </w:t>
            </w:r>
            <w:r w:rsidRPr="00AD49C8">
              <w:rPr>
                <w:lang w:val="en-US"/>
              </w:rPr>
              <w:t>submissions</w:t>
            </w:r>
          </w:p>
        </w:tc>
      </w:tr>
    </w:tbl>
    <w:p w14:paraId="20DA29B9" w14:textId="77777777" w:rsidR="004D175A" w:rsidRDefault="004D175A" w:rsidP="004D175A">
      <w:pPr>
        <w:pStyle w:val="BodyText"/>
      </w:pPr>
      <w:r>
        <w:t>Activities that provide non university experience involve other forms of aspiration raising, for example, in-class or otherwise school-based activities, such as the University of the Sunshine Coast’s My Tertiary Education Day (MyTED) project (Terton and Greenaway 2015), the University of Canberra’s Aspire UC, and the Children’s University program, hosted by the University of South Australia and also delivered through the University of Tasmania and the University of Newcastle (</w:t>
      </w:r>
      <w:r w:rsidR="008C090E" w:rsidRPr="00AD49C8">
        <w:t>Box 4.2</w:t>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4D175A" w14:paraId="6E2DB88F" w14:textId="77777777" w:rsidTr="004D175A">
        <w:trPr>
          <w:cantSplit/>
        </w:trPr>
        <w:tc>
          <w:tcPr>
            <w:tcW w:w="8614" w:type="dxa"/>
            <w:tcMar>
              <w:top w:w="160" w:type="dxa"/>
              <w:left w:w="446" w:type="dxa"/>
              <w:bottom w:w="0" w:type="dxa"/>
              <w:right w:w="0" w:type="dxa"/>
            </w:tcMar>
            <w:hideMark/>
          </w:tcPr>
          <w:p w14:paraId="6C7F640A" w14:textId="77777777" w:rsidR="004D175A" w:rsidRDefault="004D175A">
            <w:pPr>
              <w:pStyle w:val="Caption"/>
              <w:rPr>
                <w:lang w:val="en-US"/>
              </w:rPr>
            </w:pPr>
            <w:bookmarkStart w:id="186" w:name="_Ref462394629"/>
            <w:bookmarkStart w:id="187" w:name="_Toc463029919"/>
            <w:bookmarkStart w:id="188" w:name="_Toc466657015"/>
            <w:r>
              <w:rPr>
                <w:rStyle w:val="CaptionLabel"/>
                <w:lang w:val="en-US"/>
              </w:rPr>
              <w:t>Box </w:t>
            </w:r>
            <w:r w:rsidR="008C090E">
              <w:rPr>
                <w:rStyle w:val="CaptionLabel"/>
                <w:noProof/>
                <w:lang w:val="en-US"/>
              </w:rPr>
              <w:t>4</w:t>
            </w:r>
            <w:r>
              <w:rPr>
                <w:rStyle w:val="CaptionLabel"/>
                <w:lang w:val="en-US"/>
              </w:rPr>
              <w:t>.</w:t>
            </w:r>
            <w:r w:rsidR="008C090E">
              <w:rPr>
                <w:rStyle w:val="CaptionLabel"/>
                <w:noProof/>
                <w:lang w:val="en-US"/>
              </w:rPr>
              <w:t>2</w:t>
            </w:r>
            <w:bookmarkEnd w:id="186"/>
            <w:r>
              <w:rPr>
                <w:lang w:val="en-US"/>
              </w:rPr>
              <w:tab/>
              <w:t>Children’s University, the University of Adelaide</w:t>
            </w:r>
            <w:bookmarkEnd w:id="187"/>
            <w:bookmarkEnd w:id="188"/>
          </w:p>
        </w:tc>
      </w:tr>
      <w:tr w:rsidR="004D175A" w14:paraId="1BC32DA5" w14:textId="77777777" w:rsidTr="004D175A">
        <w:trPr>
          <w:cantSplit/>
          <w:trHeight w:val="380"/>
        </w:trPr>
        <w:tc>
          <w:tcPr>
            <w:tcW w:w="8614" w:type="dxa"/>
            <w:shd w:val="clear" w:color="auto" w:fill="E4E0DD"/>
            <w:hideMark/>
          </w:tcPr>
          <w:p w14:paraId="6B0E3990" w14:textId="77777777" w:rsidR="004D175A" w:rsidRDefault="00A45AB3">
            <w:pPr>
              <w:pStyle w:val="spacer"/>
              <w:rPr>
                <w:lang w:val="en-US"/>
              </w:rPr>
            </w:pPr>
            <w:r>
              <w:rPr>
                <w:noProof/>
                <w:lang w:eastAsia="en-AU"/>
              </w:rPr>
              <mc:AlternateContent>
                <mc:Choice Requires="wps">
                  <w:drawing>
                    <wp:anchor distT="0" distB="0" distL="114300" distR="114300" simplePos="0" relativeHeight="251632640" behindDoc="0" locked="1" layoutInCell="1" allowOverlap="1" wp14:anchorId="7AD168EF" wp14:editId="264C9F53">
                      <wp:simplePos x="0" y="0"/>
                      <wp:positionH relativeFrom="rightMargin">
                        <wp:posOffset>-772795</wp:posOffset>
                      </wp:positionH>
                      <wp:positionV relativeFrom="page">
                        <wp:posOffset>0</wp:posOffset>
                      </wp:positionV>
                      <wp:extent cx="436880" cy="213360"/>
                      <wp:effectExtent l="0" t="0" r="1270" b="0"/>
                      <wp:wrapNone/>
                      <wp:docPr id="607" name="Freeform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586822" id="Freeform 607" o:spid="_x0000_s1026" style="position:absolute;margin-left:-60.85pt;margin-top:0;width:34.4pt;height:16.8pt;z-index:251632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yfgMAAMQ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Oovosn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2529A1FC" w14:textId="77777777" w:rsidTr="004D175A">
        <w:trPr>
          <w:cantSplit/>
        </w:trPr>
        <w:tc>
          <w:tcPr>
            <w:tcW w:w="8614" w:type="dxa"/>
            <w:shd w:val="clear" w:color="auto" w:fill="E4E0DD"/>
            <w:tcMar>
              <w:top w:w="276" w:type="dxa"/>
              <w:left w:w="0" w:type="dxa"/>
              <w:bottom w:w="184" w:type="dxa"/>
              <w:right w:w="120" w:type="dxa"/>
            </w:tcMar>
            <w:hideMark/>
          </w:tcPr>
          <w:p w14:paraId="29BACED0" w14:textId="77777777" w:rsidR="004D175A" w:rsidRDefault="004D175A">
            <w:pPr>
              <w:pStyle w:val="BoxText"/>
              <w:rPr>
                <w:lang w:val="en-US"/>
              </w:rPr>
            </w:pPr>
            <w:r>
              <w:rPr>
                <w:lang w:val="en-US"/>
              </w:rPr>
              <w:t>The Children’s University program, developed in the United Kingdom, was established in Australia by the University of Adelaide in 2013. The University of Adelaide continues to manage the program, primarily targeting disadvantaged schools, although it is available for any schools that express interest. The University of Tasmania began implementing the program in 2015 and the University of Newcastle in 2016.</w:t>
            </w:r>
          </w:p>
          <w:p w14:paraId="7E9CBA0E" w14:textId="28B3C7F3" w:rsidR="004D175A" w:rsidRDefault="004D175A">
            <w:pPr>
              <w:pStyle w:val="BoxText"/>
              <w:rPr>
                <w:lang w:val="en-US"/>
              </w:rPr>
            </w:pPr>
            <w:r>
              <w:rPr>
                <w:lang w:val="en-US"/>
              </w:rPr>
              <w:t>The Children’s University provides learning activities outside the school environment for children aged 7</w:t>
            </w:r>
            <w:r>
              <w:rPr>
                <w:lang w:val="en-US"/>
              </w:rPr>
              <w:noBreakHyphen/>
              <w:t>14 years at a range of ‘Learning Destinations’ in their community, for example, performing</w:t>
            </w:r>
            <w:r w:rsidR="00E758AE">
              <w:rPr>
                <w:lang w:val="en-US"/>
              </w:rPr>
              <w:t>-</w:t>
            </w:r>
            <w:r>
              <w:rPr>
                <w:lang w:val="en-US"/>
              </w:rPr>
              <w:t>arts centres and sports clubs. Students’ learning activities are recorded in a ‘Passport to Learning’, and when they reach a required number of hours they participate in a graduation ceremony at the relevant university. Participation in the program is voluntary, and the children choose which activities they would like to pursue. Students aged 15-18 can volunteer through the program.</w:t>
            </w:r>
          </w:p>
          <w:p w14:paraId="5D9AA9A3" w14:textId="77777777" w:rsidR="004D175A" w:rsidRDefault="004D175A">
            <w:pPr>
              <w:pStyle w:val="BoxText"/>
              <w:rPr>
                <w:lang w:val="en-US"/>
              </w:rPr>
            </w:pPr>
            <w:r>
              <w:rPr>
                <w:lang w:val="en-US"/>
              </w:rPr>
              <w:t>Evaluations of the Children’s University in Australia and internationally have consistently found positive impacts for children participating in the program. Results from the pilot program in 2013 showed positive effects on the behaviour, attendance and lateness of the pilot cohort in one term. An evaluation of the Children’s University in the UK, undertaken in 2012 (MacBeath 2013), found that:</w:t>
            </w:r>
          </w:p>
          <w:p w14:paraId="116ACA7A" w14:textId="77777777" w:rsidR="004D175A" w:rsidRDefault="004D175A" w:rsidP="00A45AB3">
            <w:pPr>
              <w:pStyle w:val="BoxListBullet"/>
              <w:numPr>
                <w:ilvl w:val="0"/>
                <w:numId w:val="47"/>
              </w:numPr>
              <w:rPr>
                <w:lang w:val="en-US"/>
              </w:rPr>
            </w:pPr>
            <w:r>
              <w:rPr>
                <w:lang w:val="en-US"/>
              </w:rPr>
              <w:t>student participants had better school attendance records than non-participants in the same school</w:t>
            </w:r>
          </w:p>
          <w:p w14:paraId="48E67240" w14:textId="77777777" w:rsidR="004D175A" w:rsidRDefault="004D175A" w:rsidP="00A45AB3">
            <w:pPr>
              <w:pStyle w:val="BoxListBullet"/>
              <w:numPr>
                <w:ilvl w:val="0"/>
                <w:numId w:val="47"/>
              </w:numPr>
              <w:rPr>
                <w:lang w:val="en-US"/>
              </w:rPr>
            </w:pPr>
            <w:r>
              <w:rPr>
                <w:lang w:val="en-US"/>
              </w:rPr>
              <w:t>student participants attain more highly than non-participants in the same school</w:t>
            </w:r>
          </w:p>
          <w:p w14:paraId="4BB9E97A" w14:textId="77777777" w:rsidR="004D175A" w:rsidRDefault="004D175A" w:rsidP="00A45AB3">
            <w:pPr>
              <w:pStyle w:val="BoxListBullet"/>
              <w:numPr>
                <w:ilvl w:val="0"/>
                <w:numId w:val="47"/>
              </w:numPr>
              <w:rPr>
                <w:lang w:val="en-US"/>
              </w:rPr>
            </w:pPr>
            <w:r>
              <w:rPr>
                <w:lang w:val="en-US"/>
              </w:rPr>
              <w:t>there is a positive correlation between length of involvement with Children’s University and performance in tests and exams</w:t>
            </w:r>
          </w:p>
          <w:p w14:paraId="363EBA33" w14:textId="77777777" w:rsidR="004D175A" w:rsidRDefault="004D175A" w:rsidP="00A45AB3">
            <w:pPr>
              <w:pStyle w:val="BoxListBullet"/>
              <w:numPr>
                <w:ilvl w:val="0"/>
                <w:numId w:val="47"/>
              </w:numPr>
              <w:rPr>
                <w:lang w:val="en-US"/>
              </w:rPr>
            </w:pPr>
            <w:r>
              <w:rPr>
                <w:lang w:val="en-US"/>
              </w:rPr>
              <w:t>the attitudes of students, parents, teachers and coordinators had changed and student aspiration had grown.</w:t>
            </w:r>
          </w:p>
          <w:p w14:paraId="1F79F7F1" w14:textId="77777777" w:rsidR="004D175A" w:rsidRDefault="004D175A">
            <w:pPr>
              <w:pStyle w:val="BoxText"/>
              <w:rPr>
                <w:lang w:val="en-US"/>
              </w:rPr>
            </w:pPr>
            <w:r>
              <w:rPr>
                <w:lang w:val="en-US"/>
              </w:rPr>
              <w:t>The NCVER is conducting an evaluation of the program for the University of Adelaide, which commenced in May 2015. The interim report concludes that ‘early work from graduation ceremonies highlights participants’ and parents’ positive perceptions of CUA. However, CUA participants who did not graduate may have different perceptions of the program’.</w:t>
            </w:r>
          </w:p>
        </w:tc>
      </w:tr>
      <w:tr w:rsidR="004D175A" w14:paraId="02A4DB57" w14:textId="77777777" w:rsidTr="004D175A">
        <w:trPr>
          <w:cantSplit/>
        </w:trPr>
        <w:tc>
          <w:tcPr>
            <w:tcW w:w="8614" w:type="dxa"/>
            <w:tcMar>
              <w:top w:w="12" w:type="dxa"/>
              <w:left w:w="446" w:type="dxa"/>
              <w:bottom w:w="113" w:type="dxa"/>
              <w:right w:w="0" w:type="dxa"/>
            </w:tcMar>
            <w:hideMark/>
          </w:tcPr>
          <w:p w14:paraId="4937F452" w14:textId="77777777" w:rsidR="004D175A" w:rsidRDefault="004D175A">
            <w:pPr>
              <w:pStyle w:val="Source"/>
              <w:rPr>
                <w:lang w:val="en-US"/>
              </w:rPr>
            </w:pPr>
            <w:r>
              <w:rPr>
                <w:lang w:val="en-US"/>
              </w:rPr>
              <w:t>Source: Harrison and Skujins 2016, MacBeath 2013, university of Adelaide 2013</w:t>
            </w:r>
          </w:p>
        </w:tc>
      </w:tr>
    </w:tbl>
    <w:p w14:paraId="097F3B27" w14:textId="77777777" w:rsidR="004D175A" w:rsidRDefault="004D175A" w:rsidP="00A45AB3">
      <w:pPr>
        <w:pStyle w:val="Heading3"/>
        <w:numPr>
          <w:ilvl w:val="2"/>
          <w:numId w:val="45"/>
        </w:numPr>
      </w:pPr>
      <w:r>
        <w:t>Careers advice</w:t>
      </w:r>
    </w:p>
    <w:p w14:paraId="710CF087" w14:textId="77777777" w:rsidR="004D175A" w:rsidRDefault="004D175A" w:rsidP="004D175A">
      <w:pPr>
        <w:pStyle w:val="BodyText"/>
      </w:pPr>
      <w:r>
        <w:t xml:space="preserve">Increased awareness of ‘how higher and further education is related to professions and careers’ is one of the key areas in which outreach activities in Australia have been found to have an impact (Bennett et al. 2015). </w:t>
      </w:r>
    </w:p>
    <w:p w14:paraId="18746612" w14:textId="77777777" w:rsidR="004D175A" w:rsidRDefault="004D175A" w:rsidP="004D175A">
      <w:pPr>
        <w:pStyle w:val="BodyText"/>
      </w:pPr>
      <w:r>
        <w:t>Under the HEPPP, the provision of careers advice and information about study-to-career pathways is often incorporated into other forms of outreach activity as part of raising students’ aspirations or awareness about opportunities in higher education, such as Federation University’s Regional Schools Outreach Program (Effective Change 2014) and the mentoring project run through the Deakin Warrnambool campus (Lynch et al. 2015). Careers advice and support is also provided throughout the Access and Participation stages of the student life cycle (Bennett et al. 2015). However, a number of HEPPP Partnership projects have been specifically designed to provide careers advice to participants, or similarly, specific careers modules or components have been incorporated into larger projects.</w:t>
      </w:r>
    </w:p>
    <w:p w14:paraId="447C6E9F" w14:textId="77777777" w:rsidR="004D175A" w:rsidRDefault="004D175A" w:rsidP="00E22B2A">
      <w:pPr>
        <w:pStyle w:val="BodyText"/>
      </w:pPr>
      <w:r>
        <w:t xml:space="preserve">AIM HIGH, a large outreach program developed and delivered by the University of Newcastle, incorporates careers projects for primary school students into a broad range of other outreach activities. The Careers through Reading and Careers through Science programs run over four weeks for Year 5 and Year 4 students respectively, and include in-class sessions led by university students. Outcome data </w:t>
      </w:r>
      <w:r w:rsidR="00655909">
        <w:t>are</w:t>
      </w:r>
      <w:r>
        <w:t xml:space="preserve"> not yet available as students who have participated in this program have not yet completed secondary school, however surveys of participating students show an increase in the number of students considering university</w:t>
      </w:r>
      <w:r>
        <w:noBreakHyphen/>
        <w:t xml:space="preserve">relevant careers and in the number who aspire to higher education (Bennett et al. 2015). Data from the University of Newcastle’s annual HEPPP report show that in 2015, 1,333 individual school students participated in the Careers through Science program, through 113 school visits. Before they participated, 31 per cent of students </w:t>
      </w:r>
      <w:r w:rsidR="00325771">
        <w:t>agreed ‘</w:t>
      </w:r>
      <w:r>
        <w:t>I can imagine having a career where I will use Science’, and after the program this had increased to 50 per cent of student respondents. Similarly, 1,375 students participated in the Careers through Reading program in 2015, through 130 school visits. The percentage of student respondents who reported they knew what happens at a university rose from 32 per cent before participating in the program to 52 per cent afterwards.</w:t>
      </w:r>
    </w:p>
    <w:p w14:paraId="74AC986F" w14:textId="77777777" w:rsidR="004D175A" w:rsidRPr="00E22B2A" w:rsidRDefault="00E22B2A" w:rsidP="00E22B2A">
      <w:pPr>
        <w:pStyle w:val="BodyText"/>
      </w:pPr>
      <w:r>
        <w:t>T</w:t>
      </w:r>
      <w:r w:rsidRPr="00E22B2A">
        <w:t xml:space="preserve">he Week Of Work at </w:t>
      </w:r>
      <w:r w:rsidR="00940E6E">
        <w:t>UNSW</w:t>
      </w:r>
      <w:r w:rsidR="00AC0C28">
        <w:t xml:space="preserve"> </w:t>
      </w:r>
      <w:r w:rsidRPr="00E22B2A">
        <w:t xml:space="preserve">is another example of </w:t>
      </w:r>
      <w:r>
        <w:t>O</w:t>
      </w:r>
      <w:r w:rsidRPr="00E22B2A">
        <w:t>utreach designed around</w:t>
      </w:r>
      <w:r>
        <w:t xml:space="preserve"> careers advice and support (Lee</w:t>
      </w:r>
      <w:r w:rsidRPr="00E22B2A">
        <w:t xml:space="preserve"> 2014). </w:t>
      </w:r>
      <w:r>
        <w:t>I</w:t>
      </w:r>
      <w:r w:rsidRPr="00E22B2A">
        <w:t xml:space="preserve">n 2014, a group of year 10 students from regional schools were hosted at UNSW for the week through the </w:t>
      </w:r>
      <w:r>
        <w:t>university’s outreach program, A</w:t>
      </w:r>
      <w:r w:rsidRPr="00E22B2A">
        <w:t xml:space="preserve">spire. </w:t>
      </w:r>
      <w:r>
        <w:t>T</w:t>
      </w:r>
      <w:r w:rsidRPr="00E22B2A">
        <w:t>he week involved a range of activities, incorporating students’ work experience placement and the university open day, as well as leisure activities and workshops on topics such as resume writing and professionalism in the workplace. Participants were also supported by student ambassadors for activities such as preparing lunch budgets and grocery shopping. Qualitative feedback on the event from participants and school teachers who attended was positive, and they reported increased confidence in ability and increased motivation to enter higher education, as well as increas</w:t>
      </w:r>
      <w:r>
        <w:t>ed knowledge of study options (L</w:t>
      </w:r>
      <w:r w:rsidRPr="00E22B2A">
        <w:t>ee 2014).</w:t>
      </w:r>
    </w:p>
    <w:p w14:paraId="1C60CFE4" w14:textId="77777777" w:rsidR="004D175A" w:rsidRDefault="004D175A" w:rsidP="00E22B2A">
      <w:pPr>
        <w:pStyle w:val="BodyText"/>
      </w:pPr>
      <w:r>
        <w:t xml:space="preserve">The Prison Outreach Engagement Program run by Curtin University—as part of Curtin’s larger Addressing Higher Education Access Disadvantage (AHEAD) project—also involves specific career development activities and advice. Program participants are residents in two low-security prisons in Perth. Sessions are run on site in the prisons by the Curtin AHEAD career consultant, and include an initial group session followed by one-on-one appointments with </w:t>
      </w:r>
      <w:r w:rsidR="007E1062">
        <w:t xml:space="preserve">prison </w:t>
      </w:r>
      <w:r>
        <w:t>residents, ongoing career guidance to residents following their release, and weekly resume writing support. Qualitative feedback from prison staff and participants has been positive (Stewart, Submission 135). Staff from the prisons and from AHEAD have reported observing ‘a significant change in residents’ self-esteem, self-confidence and outlook’ after participating in the Outreach Engagement Program (Munindradasa 2016).</w:t>
      </w:r>
    </w:p>
    <w:p w14:paraId="49141127" w14:textId="77777777" w:rsidR="004D175A" w:rsidRDefault="004D175A" w:rsidP="00A45AB3">
      <w:pPr>
        <w:pStyle w:val="Heading3"/>
        <w:numPr>
          <w:ilvl w:val="2"/>
          <w:numId w:val="45"/>
        </w:numPr>
      </w:pPr>
      <w:bookmarkStart w:id="189" w:name="_Ref464461842"/>
      <w:r>
        <w:t>Mentoring, peer support</w:t>
      </w:r>
      <w:bookmarkEnd w:id="189"/>
    </w:p>
    <w:p w14:paraId="21E2EF45" w14:textId="77777777" w:rsidR="004D175A" w:rsidRDefault="004D175A" w:rsidP="004D175A">
      <w:pPr>
        <w:pStyle w:val="BodyText"/>
      </w:pPr>
      <w:r>
        <w:t>Mentoring ‘stands out as an important aspect of effective outreach initiatives’ (Bennett et al</w:t>
      </w:r>
      <w:r w:rsidR="009F5C29">
        <w:t>.</w:t>
      </w:r>
      <w:r>
        <w:t xml:space="preserve"> 2015). Although it is a broad concept, in this context it is generally understood as peer mentoring and peer support, where university students, often from similar backgrounds to the participant school students, ‘build relationships with high school students’ and assist them to develop their awareness of higher education opportunities and pathways (Bennett et al</w:t>
      </w:r>
      <w:r w:rsidR="009F5C29">
        <w:t>.</w:t>
      </w:r>
      <w:r>
        <w:t xml:space="preserve"> 2015).</w:t>
      </w:r>
    </w:p>
    <w:p w14:paraId="1A01E556" w14:textId="77777777" w:rsidR="004D175A" w:rsidRDefault="004D175A" w:rsidP="004D175A">
      <w:pPr>
        <w:pStyle w:val="BodyText"/>
      </w:pPr>
      <w:r>
        <w:t xml:space="preserve">Mentoring activities are also run through subsequent stages of the student life cycle (namely, Access and Participation), such as the Student Futures mentoring program at Federation University which provides a later-year student mentor for each commencing student (Federation University 2016). </w:t>
      </w:r>
    </w:p>
    <w:p w14:paraId="55C7E1B8" w14:textId="77777777" w:rsidR="004D175A" w:rsidRPr="00135E5A" w:rsidRDefault="004D175A" w:rsidP="004D175A">
      <w:pPr>
        <w:pStyle w:val="BodyText"/>
      </w:pPr>
      <w:r>
        <w:t xml:space="preserve">Different universities approach mentoring and peer support activities in different ways. These activities are often incorporated into broader outreach programs, for example UNSW Aspire, Aspire UWA, AIM HIGH at the University of Newcastle, and the Young Achievers Program at </w:t>
      </w:r>
      <w:r w:rsidR="00940E6E">
        <w:t>UQ</w:t>
      </w:r>
      <w:r>
        <w:t xml:space="preserve">. The Inspire Mentor program for secondary school students, part of the Journey to Higher Education Program—a joint outreach project from the University of Adelaide, Flinders University and the University of South Australia—offers weekly mentoring activities in an online format for rural and remote students (Journey to Higher Education 2016). </w:t>
      </w:r>
      <w:r w:rsidR="00BE6086" w:rsidRPr="00BE6086">
        <w:t xml:space="preserve">The Journey to Higher Education program was funded through the </w:t>
      </w:r>
      <w:r w:rsidR="00BE6086" w:rsidRPr="006640EC">
        <w:t xml:space="preserve">Partnership component in the </w:t>
      </w:r>
      <w:r w:rsidR="00BE6086" w:rsidRPr="00BE6086">
        <w:t>2013</w:t>
      </w:r>
      <w:r w:rsidR="00BE6086">
        <w:t xml:space="preserve"> Competitive Grants Round. </w:t>
      </w:r>
      <w:r>
        <w:t xml:space="preserve">Mentoring is also a significant part </w:t>
      </w:r>
      <w:r w:rsidRPr="00135E5A">
        <w:t xml:space="preserve">of the outreach activities undertaken through the Queensland Widening Participation </w:t>
      </w:r>
      <w:r w:rsidRPr="006640EC">
        <w:t>Consortium (</w:t>
      </w:r>
      <w:r w:rsidR="00072E82" w:rsidRPr="006640EC">
        <w:t>Box</w:t>
      </w:r>
      <w:r w:rsidR="00374AF0" w:rsidRPr="006640EC">
        <w:t> </w:t>
      </w:r>
      <w:r w:rsidR="00072E82" w:rsidRPr="006640EC">
        <w:t>4.3</w:t>
      </w:r>
      <w:r w:rsidRPr="006640EC">
        <w:t>).</w:t>
      </w:r>
    </w:p>
    <w:p w14:paraId="702B22A3" w14:textId="77777777" w:rsidR="004D175A" w:rsidRDefault="004D175A" w:rsidP="004D175A">
      <w:pPr>
        <w:pStyle w:val="BodyText"/>
      </w:pPr>
      <w:r w:rsidRPr="00135E5A">
        <w:t xml:space="preserve">In many cases, mentors are students who were involved with outreach activities while they were at secondary school and/or come from equity backgrounds. Qualitative feedback from student mentors/ambassadors, in surveys undertaken by universities and in consultations undertaken for this evaluation, shows that mentors believe that their programs are helping to increase students’ aspirations for and awareness of higher education. In the surveys mentioned </w:t>
      </w:r>
      <w:r w:rsidRPr="006640EC">
        <w:t xml:space="preserve">in </w:t>
      </w:r>
      <w:r w:rsidR="00CB1466" w:rsidRPr="006640EC">
        <w:t>Box 4.3,</w:t>
      </w:r>
      <w:r w:rsidRPr="006640EC">
        <w:t xml:space="preserve"> 100</w:t>
      </w:r>
      <w:r w:rsidRPr="00135E5A">
        <w:t xml:space="preserve"> per cent of </w:t>
      </w:r>
      <w:r w:rsidR="00CB1466" w:rsidRPr="00135E5A">
        <w:t>respondents (</w:t>
      </w:r>
      <w:r w:rsidRPr="00135E5A">
        <w:t xml:space="preserve">university student </w:t>
      </w:r>
      <w:r w:rsidR="00CB1466" w:rsidRPr="00135E5A">
        <w:t xml:space="preserve">mentors) </w:t>
      </w:r>
      <w:r w:rsidRPr="00135E5A">
        <w:t>agreed that the relevant activities were helping to ‘raise</w:t>
      </w:r>
      <w:r w:rsidRPr="00CB6487">
        <w:t xml:space="preserve"> students’ higher education aspirations and awareness’ about higher education (</w:t>
      </w:r>
      <w:r w:rsidRPr="00CB1466">
        <w:t xml:space="preserve">Cupitt, Costello </w:t>
      </w:r>
      <w:r w:rsidR="00430F5D" w:rsidRPr="00CB1466">
        <w:t>&amp;</w:t>
      </w:r>
      <w:r>
        <w:t xml:space="preserve"> Mitchell</w:t>
      </w:r>
      <w:r w:rsidR="00430F5D">
        <w:t> </w:t>
      </w:r>
      <w:r>
        <w:t>2015).</w:t>
      </w:r>
    </w:p>
    <w:p w14:paraId="41DCBC67" w14:textId="77777777" w:rsidR="006A48DF" w:rsidRDefault="00325771" w:rsidP="004D175A">
      <w:pPr>
        <w:pStyle w:val="BodyText"/>
      </w:pPr>
      <w:r>
        <w:t xml:space="preserve">Student mentors interviewed for this evaluation </w:t>
      </w:r>
      <w:r w:rsidR="004D175A">
        <w:t>provided positive feedback on the programs, noting that it had provided participating student</w:t>
      </w:r>
      <w:r>
        <w:t xml:space="preserve"> mentee</w:t>
      </w:r>
      <w:r w:rsidR="004D175A">
        <w:t>s with exposure to opportunities and information about university they may not have been able to access otherwise, particularly for those from rural areas.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6A48DF" w:rsidRPr="00AF3F55" w14:paraId="18CD50F6" w14:textId="77777777" w:rsidTr="00FA05FB">
        <w:trPr>
          <w:cantSplit/>
        </w:trPr>
        <w:tc>
          <w:tcPr>
            <w:tcW w:w="8614" w:type="dxa"/>
            <w:tcMar>
              <w:top w:w="160" w:type="dxa"/>
              <w:left w:w="446" w:type="dxa"/>
            </w:tcMar>
          </w:tcPr>
          <w:p w14:paraId="4C34988E" w14:textId="77777777" w:rsidR="006A48DF" w:rsidRPr="00AF3F55" w:rsidRDefault="006A48DF" w:rsidP="000A6C1F">
            <w:pPr>
              <w:pStyle w:val="Caption"/>
            </w:pPr>
            <w:bookmarkStart w:id="190" w:name="_Toc466657016"/>
            <w:r w:rsidRPr="00AF3F55">
              <w:rPr>
                <w:rStyle w:val="CaptionLabel"/>
              </w:rPr>
              <w:t>Box</w:t>
            </w:r>
            <w:r>
              <w:rPr>
                <w:rStyle w:val="CaptionLabel"/>
              </w:rPr>
              <w:t> </w:t>
            </w:r>
            <w:r w:rsidR="008C090E">
              <w:rPr>
                <w:rStyle w:val="CaptionLabel"/>
                <w:noProof/>
              </w:rPr>
              <w:t>4</w:t>
            </w:r>
            <w:r w:rsidRPr="00AF3F55">
              <w:rPr>
                <w:rStyle w:val="CaptionLabel"/>
              </w:rPr>
              <w:t>.</w:t>
            </w:r>
            <w:r w:rsidR="008C090E">
              <w:rPr>
                <w:rStyle w:val="CaptionLabel"/>
                <w:noProof/>
              </w:rPr>
              <w:t>3</w:t>
            </w:r>
            <w:r>
              <w:tab/>
            </w:r>
            <w:r>
              <w:rPr>
                <w:lang w:val="en-US"/>
              </w:rPr>
              <w:t>Mentoring and peer support through the Queensland Widening Participation Consortium</w:t>
            </w:r>
            <w:bookmarkEnd w:id="190"/>
          </w:p>
        </w:tc>
      </w:tr>
      <w:tr w:rsidR="006A48DF" w:rsidRPr="00B07121" w14:paraId="16537ED0" w14:textId="77777777" w:rsidTr="00AD49C8">
        <w:trPr>
          <w:cantSplit/>
          <w:trHeight w:hRule="exact" w:val="380"/>
        </w:trPr>
        <w:tc>
          <w:tcPr>
            <w:tcW w:w="8614" w:type="dxa"/>
            <w:shd w:val="clear" w:color="auto" w:fill="E4E0DD"/>
          </w:tcPr>
          <w:p w14:paraId="17A7AAE3" w14:textId="77777777" w:rsidR="006A48DF" w:rsidRPr="00B07121" w:rsidRDefault="00A45AB3" w:rsidP="000A6C1F">
            <w:pPr>
              <w:pStyle w:val="spacer"/>
            </w:pPr>
            <w:r>
              <w:rPr>
                <w:noProof/>
                <w:lang w:eastAsia="en-AU"/>
              </w:rPr>
              <mc:AlternateContent>
                <mc:Choice Requires="wps">
                  <w:drawing>
                    <wp:anchor distT="0" distB="0" distL="114300" distR="114300" simplePos="0" relativeHeight="251660288" behindDoc="0" locked="1" layoutInCell="1" allowOverlap="1" wp14:anchorId="5A65CA60" wp14:editId="6488E73A">
                      <wp:simplePos x="0" y="0"/>
                      <wp:positionH relativeFrom="rightMargin">
                        <wp:posOffset>-772795</wp:posOffset>
                      </wp:positionH>
                      <wp:positionV relativeFrom="page">
                        <wp:posOffset>0</wp:posOffset>
                      </wp:positionV>
                      <wp:extent cx="436880" cy="213360"/>
                      <wp:effectExtent l="0" t="0" r="1270" b="0"/>
                      <wp:wrapNone/>
                      <wp:docPr id="32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AAE904" id="Freeform 5" o:spid="_x0000_s1026" style="position:absolute;margin-left:-60.85pt;margin-top:0;width:34.4pt;height:16.8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3Hu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BHbce5/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6A48DF" w14:paraId="6A628273" w14:textId="77777777" w:rsidTr="00AD49C8">
        <w:trPr>
          <w:cantSplit/>
        </w:trPr>
        <w:tc>
          <w:tcPr>
            <w:tcW w:w="8614" w:type="dxa"/>
            <w:shd w:val="clear" w:color="auto" w:fill="E4E0DD"/>
            <w:tcMar>
              <w:top w:w="276" w:type="dxa"/>
              <w:bottom w:w="184" w:type="dxa"/>
              <w:right w:w="120" w:type="dxa"/>
            </w:tcMar>
          </w:tcPr>
          <w:p w14:paraId="1C34BBD2" w14:textId="77777777" w:rsidR="006A48DF" w:rsidRDefault="006A48DF" w:rsidP="006A48DF">
            <w:pPr>
              <w:pStyle w:val="BoxText"/>
              <w:rPr>
                <w:lang w:val="en-US"/>
              </w:rPr>
            </w:pPr>
            <w:r>
              <w:rPr>
                <w:lang w:val="en-US"/>
              </w:rPr>
              <w:t xml:space="preserve">The Queensland Widening Participation Consortium was established in 2009 as a collaboration between the eight public universities in Queensland, for the purpose of increasing the participation of low SES and Indigenous people in higher education. Each university, along with the </w:t>
            </w:r>
            <w:r w:rsidR="00DA49C9">
              <w:rPr>
                <w:lang w:val="en-US"/>
              </w:rPr>
              <w:t xml:space="preserve">Queensland </w:t>
            </w:r>
            <w:r>
              <w:rPr>
                <w:lang w:val="en-US"/>
              </w:rPr>
              <w:t>Department</w:t>
            </w:r>
            <w:r w:rsidR="00DA49C9">
              <w:rPr>
                <w:lang w:val="en-US"/>
              </w:rPr>
              <w:t xml:space="preserve"> of Education and Training</w:t>
            </w:r>
            <w:r>
              <w:rPr>
                <w:lang w:val="en-US"/>
              </w:rPr>
              <w:t xml:space="preserve">, signed </w:t>
            </w:r>
            <w:r w:rsidR="00DA49C9">
              <w:rPr>
                <w:lang w:val="en-US"/>
              </w:rPr>
              <w:t xml:space="preserve">a </w:t>
            </w:r>
            <w:r>
              <w:rPr>
                <w:lang w:val="en-US"/>
              </w:rPr>
              <w:t xml:space="preserve">Memorandum of Understanding </w:t>
            </w:r>
            <w:r w:rsidR="00DA49C9">
              <w:rPr>
                <w:lang w:val="en-US"/>
              </w:rPr>
              <w:t xml:space="preserve">outlining </w:t>
            </w:r>
            <w:r>
              <w:rPr>
                <w:lang w:val="en-US"/>
              </w:rPr>
              <w:t>the Consortium’s philosophy and approach to outreach. Progress reports are provided by each member university, compiled, and provided to the Department on a six-monthly basis. The Consortium agreement was renegotiated in 2016, with six universities.</w:t>
            </w:r>
          </w:p>
          <w:p w14:paraId="2E161AFE" w14:textId="77777777" w:rsidR="006A48DF" w:rsidRDefault="006A48DF" w:rsidP="006A48DF">
            <w:pPr>
              <w:pStyle w:val="BoxText"/>
              <w:rPr>
                <w:lang w:val="en-US"/>
              </w:rPr>
            </w:pPr>
            <w:r>
              <w:rPr>
                <w:lang w:val="en-US"/>
              </w:rPr>
              <w:t>Mentoring and other forms of peer support, including role models and ambassadors, are commonly used by the universities in their outreach activities. The use of role models was included in the MOU as a key activity area for ‘providing encouragement and inspiration’, along with ‘de-mystification experiences’, with which mentors can also assist.</w:t>
            </w:r>
          </w:p>
          <w:p w14:paraId="2116427D" w14:textId="77777777" w:rsidR="006A48DF" w:rsidRDefault="006A48DF" w:rsidP="006A48DF">
            <w:pPr>
              <w:pStyle w:val="BoxText"/>
              <w:rPr>
                <w:lang w:val="en-US"/>
              </w:rPr>
            </w:pPr>
            <w:r>
              <w:rPr>
                <w:lang w:val="en-US"/>
              </w:rPr>
              <w:t>The universities use mentors in different ways; for example, a number of universities had mentoring programs in place for commencing or continuing undergraduate students. James Cook University (JCU) has a student mentor program for commencing students, including a specific program for Indigenous students. Griffith University also has an extensive mentoring program for undergraduate students.</w:t>
            </w:r>
          </w:p>
          <w:p w14:paraId="6E01826F" w14:textId="77777777" w:rsidR="006A48DF" w:rsidRDefault="006A48DF" w:rsidP="006A48DF">
            <w:pPr>
              <w:pStyle w:val="BoxText"/>
              <w:rPr>
                <w:lang w:val="en-US"/>
              </w:rPr>
            </w:pPr>
            <w:r>
              <w:rPr>
                <w:lang w:val="en-US"/>
              </w:rPr>
              <w:t>Surveys at Griffith University and UQ have shown that the student mentors overwhelmingly believe that the programs are helping to increase participating school students’ awareness of university options and pathways, and their aspirations to attend (Cupitt, Costello &amp; Mitchell 2015).</w:t>
            </w:r>
          </w:p>
          <w:p w14:paraId="4AF5D209" w14:textId="77777777" w:rsidR="006A48DF" w:rsidRDefault="006A48DF" w:rsidP="006A48DF">
            <w:pPr>
              <w:pStyle w:val="BoxTextBoldItalic"/>
              <w:rPr>
                <w:lang w:val="en-US"/>
              </w:rPr>
            </w:pPr>
            <w:r>
              <w:rPr>
                <w:lang w:val="en-US"/>
              </w:rPr>
              <w:t>Young Achievers Program, the University of Queensland</w:t>
            </w:r>
          </w:p>
          <w:p w14:paraId="53878AE5" w14:textId="77777777" w:rsidR="006A48DF" w:rsidRDefault="006A48DF" w:rsidP="006A48DF">
            <w:pPr>
              <w:pStyle w:val="BoxText"/>
              <w:rPr>
                <w:lang w:val="en-US"/>
              </w:rPr>
            </w:pPr>
            <w:r>
              <w:rPr>
                <w:lang w:val="en-US"/>
              </w:rPr>
              <w:t>Mentoring is also an important component of the Young Achievers Program through UQ, which runs across the pre-access through to participation stages of the student life cycle. In 2015, HEPPP funding contributed $499,625 to the program budget, with an additional $914,500 from donor funding.</w:t>
            </w:r>
          </w:p>
          <w:p w14:paraId="11E8550D" w14:textId="77777777" w:rsidR="006A48DF" w:rsidRDefault="006A48DF" w:rsidP="006A48DF">
            <w:pPr>
              <w:pStyle w:val="BoxText"/>
              <w:rPr>
                <w:lang w:val="en-US"/>
              </w:rPr>
            </w:pPr>
            <w:r>
              <w:rPr>
                <w:lang w:val="en-US"/>
              </w:rPr>
              <w:t>The program is targeted towards low income students attending state secondary schools with low participation in higher education. Students are nominated for the program by their Principals, and participants are chosen through a Selection Committee. The program involves a range of activities, including mentoring, residential university experiences, customised information and advice about study and career opportunities, bonus rankings to assist with university entry, specialised transition and support services, and financial assistance.</w:t>
            </w:r>
          </w:p>
          <w:p w14:paraId="19138FBE" w14:textId="77777777" w:rsidR="006A48DF" w:rsidRDefault="006A48DF" w:rsidP="006A48DF">
            <w:pPr>
              <w:pStyle w:val="BoxText"/>
              <w:rPr>
                <w:lang w:val="en-US"/>
              </w:rPr>
            </w:pPr>
            <w:r>
              <w:rPr>
                <w:lang w:val="en-US"/>
              </w:rPr>
              <w:t>Over 680 students have been involved in the program since it commenced in 2009. Forty university students were mentors in the program in 2015, including 20 program alumni. There were 93 Young Achievers who graduated from Year 12 in 2015, 90 of whom submitted an application to a higher education institution. Of these students, 84 accepted a higher education offer—65 accepted an offer from UQ.</w:t>
            </w:r>
          </w:p>
          <w:p w14:paraId="1E7E3275" w14:textId="77777777" w:rsidR="006A48DF" w:rsidRDefault="006A48DF" w:rsidP="006A48DF">
            <w:pPr>
              <w:pStyle w:val="BoxText"/>
            </w:pPr>
            <w:r>
              <w:rPr>
                <w:lang w:val="en-US"/>
              </w:rPr>
              <w:t>Student participants interviewed for the program’s longitudinal Impact Research Project ‘consistently identified’ mentoring as important. Bennett et al. (2015) note that ‘evaluation of the program shows that it helps to develop better awareness of pathways, course options, support services and the practical aspects of university for students. It increases students’ recognition of their own capabilities and increased family, community and school pride’.</w:t>
            </w:r>
          </w:p>
        </w:tc>
      </w:tr>
      <w:tr w:rsidR="006A48DF" w14:paraId="302B1C67" w14:textId="77777777" w:rsidTr="00AD49C8">
        <w:trPr>
          <w:cantSplit/>
        </w:trPr>
        <w:tc>
          <w:tcPr>
            <w:tcW w:w="8614" w:type="dxa"/>
            <w:tcMar>
              <w:top w:w="12" w:type="dxa"/>
              <w:left w:w="446" w:type="dxa"/>
              <w:bottom w:w="113" w:type="dxa"/>
            </w:tcMar>
          </w:tcPr>
          <w:p w14:paraId="60336EB6" w14:textId="77777777" w:rsidR="006A48DF" w:rsidRDefault="006A48DF" w:rsidP="000A6C1F">
            <w:pPr>
              <w:pStyle w:val="Source"/>
            </w:pPr>
            <w:r>
              <w:t xml:space="preserve">Source: </w:t>
            </w:r>
            <w:r>
              <w:rPr>
                <w:lang w:val="en-US"/>
              </w:rPr>
              <w:t>Bennett et al. 2015; Brown 2016; Cupitt, Costello and Mitchell 2015; UQ HEPPP Annual report 2015</w:t>
            </w:r>
          </w:p>
        </w:tc>
      </w:tr>
    </w:tbl>
    <w:p w14:paraId="00ED5E8F" w14:textId="77777777" w:rsidR="004D175A" w:rsidRDefault="004D175A" w:rsidP="00A45AB3">
      <w:pPr>
        <w:pStyle w:val="Heading3"/>
        <w:numPr>
          <w:ilvl w:val="2"/>
          <w:numId w:val="45"/>
        </w:numPr>
      </w:pPr>
      <w:r>
        <w:t>Academic preparation/support</w:t>
      </w:r>
    </w:p>
    <w:p w14:paraId="2D513DD6" w14:textId="77777777" w:rsidR="004D175A" w:rsidRDefault="004D175A" w:rsidP="004D175A">
      <w:pPr>
        <w:pStyle w:val="BodyText"/>
      </w:pPr>
      <w:r>
        <w:t xml:space="preserve">Stakeholder </w:t>
      </w:r>
      <w:r w:rsidR="007D44D6">
        <w:t xml:space="preserve">interviews </w:t>
      </w:r>
      <w:r>
        <w:t>commonly noted that academic achievement is a significant barrier for students from low SES backgrounds in accessing higher education. The Bradley Review (2008) supports this, identifying ‘educational attainment to allow participation’ as one of the three precursors to entry that need to be addressed, along with awareness and aspiration.</w:t>
      </w:r>
    </w:p>
    <w:p w14:paraId="20BE02D4" w14:textId="77777777" w:rsidR="004D175A" w:rsidRDefault="004D175A" w:rsidP="004D175A">
      <w:pPr>
        <w:pStyle w:val="BodyText"/>
      </w:pPr>
      <w:r>
        <w:t>Academic preparation/support, in the context of the HEPPP outreach activities, is often incorporated with other outreach activities, and can take many forms. The variety of projects undertaken that have an academic support or development aspect is broad, ranging from the University of the Sunshine Coast’s MyTED e-book project for Year 4 students (designed to developed literacy skills while raising aspirations for higher education) to the Digital Divas project run by Monash University, Deakin University and Swinburne University of Technology to increase female high school students’ skillset, interest and confidence in pursuing IT studies (Bennett et al</w:t>
      </w:r>
      <w:r w:rsidR="009F5C29">
        <w:t>.</w:t>
      </w:r>
      <w:r>
        <w:t xml:space="preserve"> 2015). </w:t>
      </w:r>
    </w:p>
    <w:p w14:paraId="347F33F4" w14:textId="77777777" w:rsidR="004D175A" w:rsidRDefault="004D175A" w:rsidP="004D175A">
      <w:pPr>
        <w:pStyle w:val="BodyText"/>
      </w:pPr>
      <w:r>
        <w:t xml:space="preserve">Digital Divas, along with a number of other HEPPP outreach projects, involves the development of specialised curriculum and teaching modules for teachers to deliver in class. The AIM HIGH and Aspire outreach programs, run by the University of Newcastle and </w:t>
      </w:r>
      <w:r w:rsidR="00AC0C28">
        <w:t>UWA</w:t>
      </w:r>
      <w:r>
        <w:t xml:space="preserve"> respectively, also include school-based projects that are incorporated into the curriculum and academic extension activities. Specialised curriculum has also been developed for the Uni Bridges program through La Trobe University</w:t>
      </w:r>
      <w:r w:rsidR="00874A22">
        <w:t xml:space="preserve"> (</w:t>
      </w:r>
      <w:r w:rsidR="008C090E" w:rsidRPr="00AD49C8">
        <w:t>Box 4.4</w:t>
      </w:r>
      <w:r w:rsidR="00874A22">
        <w:t>)</w:t>
      </w:r>
      <w:r>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4D175A" w14:paraId="7E5948AB" w14:textId="77777777" w:rsidTr="004D175A">
        <w:trPr>
          <w:cantSplit/>
        </w:trPr>
        <w:tc>
          <w:tcPr>
            <w:tcW w:w="8614" w:type="dxa"/>
            <w:tcMar>
              <w:top w:w="160" w:type="dxa"/>
              <w:left w:w="446" w:type="dxa"/>
              <w:bottom w:w="0" w:type="dxa"/>
              <w:right w:w="0" w:type="dxa"/>
            </w:tcMar>
            <w:hideMark/>
          </w:tcPr>
          <w:p w14:paraId="0EF8EAED" w14:textId="77777777" w:rsidR="004D175A" w:rsidRDefault="004D175A">
            <w:pPr>
              <w:pStyle w:val="Caption"/>
              <w:rPr>
                <w:lang w:val="en-US"/>
              </w:rPr>
            </w:pPr>
            <w:bookmarkStart w:id="191" w:name="_Ref462393564"/>
            <w:bookmarkStart w:id="192" w:name="_Toc463029921"/>
            <w:bookmarkStart w:id="193" w:name="_Toc466657017"/>
            <w:r>
              <w:rPr>
                <w:rStyle w:val="CaptionLabel"/>
                <w:lang w:val="en-US"/>
              </w:rPr>
              <w:t>Box </w:t>
            </w:r>
            <w:r w:rsidR="008C090E">
              <w:rPr>
                <w:rStyle w:val="CaptionLabel"/>
                <w:noProof/>
                <w:lang w:val="en-US"/>
              </w:rPr>
              <w:t>4</w:t>
            </w:r>
            <w:r>
              <w:rPr>
                <w:rStyle w:val="CaptionLabel"/>
                <w:lang w:val="en-US"/>
              </w:rPr>
              <w:t>.</w:t>
            </w:r>
            <w:r w:rsidR="008C090E">
              <w:rPr>
                <w:rStyle w:val="CaptionLabel"/>
                <w:noProof/>
                <w:lang w:val="en-US"/>
              </w:rPr>
              <w:t>4</w:t>
            </w:r>
            <w:bookmarkEnd w:id="191"/>
            <w:r>
              <w:rPr>
                <w:lang w:val="en-US"/>
              </w:rPr>
              <w:tab/>
              <w:t>Uni Bridges Program, La Trobe University</w:t>
            </w:r>
            <w:bookmarkEnd w:id="192"/>
            <w:bookmarkEnd w:id="193"/>
          </w:p>
        </w:tc>
      </w:tr>
      <w:tr w:rsidR="004D175A" w14:paraId="097DA14D" w14:textId="77777777" w:rsidTr="004D175A">
        <w:trPr>
          <w:cantSplit/>
          <w:trHeight w:val="380"/>
        </w:trPr>
        <w:tc>
          <w:tcPr>
            <w:tcW w:w="8614" w:type="dxa"/>
            <w:shd w:val="clear" w:color="auto" w:fill="E4E0DD"/>
            <w:hideMark/>
          </w:tcPr>
          <w:p w14:paraId="4245C404" w14:textId="77777777" w:rsidR="004D175A" w:rsidRDefault="00A45AB3">
            <w:pPr>
              <w:pStyle w:val="spacer"/>
              <w:rPr>
                <w:lang w:val="en-US"/>
              </w:rPr>
            </w:pPr>
            <w:r>
              <w:rPr>
                <w:noProof/>
                <w:lang w:eastAsia="en-AU"/>
              </w:rPr>
              <mc:AlternateContent>
                <mc:Choice Requires="wps">
                  <w:drawing>
                    <wp:anchor distT="0" distB="0" distL="114300" distR="114300" simplePos="0" relativeHeight="251633664" behindDoc="0" locked="1" layoutInCell="1" allowOverlap="1" wp14:anchorId="55AC3C85" wp14:editId="731B7F1F">
                      <wp:simplePos x="0" y="0"/>
                      <wp:positionH relativeFrom="rightMargin">
                        <wp:posOffset>-772795</wp:posOffset>
                      </wp:positionH>
                      <wp:positionV relativeFrom="page">
                        <wp:posOffset>0</wp:posOffset>
                      </wp:positionV>
                      <wp:extent cx="436880" cy="213360"/>
                      <wp:effectExtent l="0" t="0" r="1270" b="0"/>
                      <wp:wrapNone/>
                      <wp:docPr id="601" name="Freeform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9E166D" id="Freeform 601" o:spid="_x0000_s1026" style="position:absolute;margin-left:-60.85pt;margin-top:0;width:34.4pt;height:16.8pt;z-index:251633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1LfTwn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4D175A" w14:paraId="45B6F7D8" w14:textId="77777777" w:rsidTr="004D175A">
        <w:trPr>
          <w:cantSplit/>
        </w:trPr>
        <w:tc>
          <w:tcPr>
            <w:tcW w:w="8614" w:type="dxa"/>
            <w:shd w:val="clear" w:color="auto" w:fill="E4E0DD"/>
            <w:tcMar>
              <w:top w:w="276" w:type="dxa"/>
              <w:left w:w="0" w:type="dxa"/>
              <w:bottom w:w="184" w:type="dxa"/>
              <w:right w:w="120" w:type="dxa"/>
            </w:tcMar>
            <w:hideMark/>
          </w:tcPr>
          <w:p w14:paraId="33A1C444" w14:textId="77777777" w:rsidR="004D175A" w:rsidRDefault="004D175A">
            <w:pPr>
              <w:pStyle w:val="BoxText"/>
              <w:rPr>
                <w:lang w:val="en-US"/>
              </w:rPr>
            </w:pPr>
            <w:r>
              <w:rPr>
                <w:lang w:val="en-US"/>
              </w:rPr>
              <w:t>Uni Bridges (also known as Curriculum Bridges) is an outreach program developed by La Trobe University. It was primarily funded through the HEPPP Indigenous Grants Round in 2013 (part of the Partnership component) for the period from 20 December 2013 until 31 March 2016. The first stage of the program, before the HEPPP grant, was funded through the Victorian Department of Education. The key objectives of Uni Bridges are:</w:t>
            </w:r>
          </w:p>
          <w:p w14:paraId="5FF32E82" w14:textId="77777777" w:rsidR="004D175A" w:rsidRDefault="004D175A" w:rsidP="00A45AB3">
            <w:pPr>
              <w:pStyle w:val="BoxListBullet"/>
              <w:numPr>
                <w:ilvl w:val="0"/>
                <w:numId w:val="47"/>
              </w:numPr>
              <w:rPr>
                <w:lang w:val="en-US"/>
              </w:rPr>
            </w:pPr>
            <w:r>
              <w:rPr>
                <w:lang w:val="en-US"/>
              </w:rPr>
              <w:t>to increase participation and achievement in STEM by students from low socioeconomic backgrounds</w:t>
            </w:r>
          </w:p>
          <w:p w14:paraId="0F4C07D9" w14:textId="77777777" w:rsidR="004D175A" w:rsidRDefault="004D175A" w:rsidP="00A45AB3">
            <w:pPr>
              <w:pStyle w:val="BoxListBullet"/>
              <w:numPr>
                <w:ilvl w:val="0"/>
                <w:numId w:val="47"/>
              </w:numPr>
              <w:rPr>
                <w:lang w:val="en-US"/>
              </w:rPr>
            </w:pPr>
            <w:r>
              <w:rPr>
                <w:lang w:val="en-US"/>
              </w:rPr>
              <w:t>to increase university aspirations and transition rates among Curriculum Bridges cohorts</w:t>
            </w:r>
          </w:p>
          <w:p w14:paraId="72D5C268" w14:textId="77777777" w:rsidR="004D175A" w:rsidRDefault="004D175A" w:rsidP="00A45AB3">
            <w:pPr>
              <w:pStyle w:val="BoxListBullet"/>
              <w:numPr>
                <w:ilvl w:val="0"/>
                <w:numId w:val="47"/>
              </w:numPr>
              <w:rPr>
                <w:lang w:val="en-US"/>
              </w:rPr>
            </w:pPr>
            <w:r>
              <w:rPr>
                <w:lang w:val="en-US"/>
              </w:rPr>
              <w:t>to improve pedagogical practices within participating schools.</w:t>
            </w:r>
          </w:p>
          <w:p w14:paraId="0D9000ED" w14:textId="77777777" w:rsidR="004D175A" w:rsidRDefault="004D175A">
            <w:pPr>
              <w:pStyle w:val="BoxText"/>
              <w:rPr>
                <w:lang w:val="en-US"/>
              </w:rPr>
            </w:pPr>
            <w:r>
              <w:rPr>
                <w:lang w:val="en-US"/>
              </w:rPr>
              <w:t xml:space="preserve">Uni Bridges involves partnerships with 12 secondary schools across Victoria—seven schools in the northern Melbourne metropolitan area and five regional schools around Bendigo. Specific curriculum is developed by participating schools and integrated into various subjects, and students participate in ‘hands on’ science activities and engage with experts and students from other schools through visits to La Trobe campuses and a digital learning platform, </w:t>
            </w:r>
            <w:r>
              <w:rPr>
                <w:i/>
                <w:lang w:val="en-US"/>
              </w:rPr>
              <w:t>The Uni Bridge</w:t>
            </w:r>
            <w:r>
              <w:rPr>
                <w:lang w:val="en-US"/>
              </w:rPr>
              <w:t>.</w:t>
            </w:r>
            <w:r>
              <w:rPr>
                <w:i/>
                <w:lang w:val="en-US"/>
              </w:rPr>
              <w:t xml:space="preserve"> </w:t>
            </w:r>
            <w:r>
              <w:rPr>
                <w:lang w:val="en-US"/>
              </w:rPr>
              <w:t>Additionally, through the Uni Bridges Pathway, students may receive an early offer into selected courses at La Trobe based on a school recommendation, regardless of their ATAR.</w:t>
            </w:r>
          </w:p>
          <w:p w14:paraId="6880425C" w14:textId="77777777" w:rsidR="004D175A" w:rsidRDefault="004D175A">
            <w:pPr>
              <w:pStyle w:val="BoxText"/>
              <w:rPr>
                <w:lang w:val="en-US"/>
              </w:rPr>
            </w:pPr>
            <w:r>
              <w:rPr>
                <w:lang w:val="en-US"/>
              </w:rPr>
              <w:t>Students who participated in the program at three pilot schools have already completed high school, with students from five additional schools to complete at the end of 2016. Although the program period funded through the HEPPP grant has concluded, outreach workshops will continue to be held, and the Pathway will be available until the final cohort of participating students completes Year 12.</w:t>
            </w:r>
          </w:p>
          <w:p w14:paraId="1B7EC174" w14:textId="77777777" w:rsidR="004D175A" w:rsidRDefault="004D175A">
            <w:pPr>
              <w:pStyle w:val="BoxText"/>
              <w:rPr>
                <w:lang w:val="en-US"/>
              </w:rPr>
            </w:pPr>
            <w:r>
              <w:rPr>
                <w:lang w:val="en-US"/>
              </w:rPr>
              <w:t>A 15 month evaluation of the program (beginning in 2014, with the final report released in 2016) found that:</w:t>
            </w:r>
          </w:p>
          <w:p w14:paraId="68D0468C" w14:textId="77777777" w:rsidR="004D175A" w:rsidRDefault="004D175A">
            <w:pPr>
              <w:pStyle w:val="BoxQuote"/>
              <w:rPr>
                <w:lang w:val="en-US"/>
              </w:rPr>
            </w:pPr>
            <w:r>
              <w:rPr>
                <w:lang w:val="en-US"/>
              </w:rPr>
              <w:t>the extent and range of student benefits due to implementation of UB depends, inter alia, on the degree to which the program has run its full term in the schools. Implementation in Years 10 and 11 reveal that in most schools there is evidence that the program has resulted in significant student cognitive and affective outcomes. Taking a Year 10-12 perspective, there is evidence that achievement of these outcomes leads to application to, and enrolments in universities and other forms of further education. The view of UB coordinators is that these are outcomes that would not have been achieved for the cohort of students if they had not enrolled in UB.</w:t>
            </w:r>
          </w:p>
          <w:p w14:paraId="192F46AC" w14:textId="77777777" w:rsidR="004D175A" w:rsidRDefault="004D175A" w:rsidP="000729C9">
            <w:pPr>
              <w:pStyle w:val="BoxText"/>
              <w:rPr>
                <w:lang w:val="en-US"/>
              </w:rPr>
            </w:pPr>
            <w:r>
              <w:rPr>
                <w:lang w:val="en-US"/>
              </w:rPr>
              <w:t xml:space="preserve">For example, in one of the pilot schools, 16 of the 28 participating students enrolled in a STEM-related further education course after completing high school. This was seen by staff as a ‘major achievement’ in terms of student retention and aspiration. At another pilot school, 16 of the 18 students who completed Uni Bridges in 2014 have enrolled in further education—14 of these in STEM courses, and eight at La Trobe University. Data on the progression to STEM subjects for students from the same schools prior to the implementation of Uni Bridges </w:t>
            </w:r>
            <w:r w:rsidR="00835EC6">
              <w:rPr>
                <w:lang w:val="en-US"/>
              </w:rPr>
              <w:t>are</w:t>
            </w:r>
            <w:r>
              <w:rPr>
                <w:lang w:val="en-US"/>
              </w:rPr>
              <w:t xml:space="preserve"> not available.</w:t>
            </w:r>
          </w:p>
        </w:tc>
      </w:tr>
      <w:tr w:rsidR="004D175A" w14:paraId="4C8AFBD8" w14:textId="77777777" w:rsidTr="004D175A">
        <w:trPr>
          <w:cantSplit/>
        </w:trPr>
        <w:tc>
          <w:tcPr>
            <w:tcW w:w="8614" w:type="dxa"/>
            <w:tcMar>
              <w:top w:w="12" w:type="dxa"/>
              <w:left w:w="446" w:type="dxa"/>
              <w:bottom w:w="113" w:type="dxa"/>
              <w:right w:w="0" w:type="dxa"/>
            </w:tcMar>
            <w:hideMark/>
          </w:tcPr>
          <w:p w14:paraId="174EFEA0" w14:textId="77777777" w:rsidR="004D175A" w:rsidRDefault="004D175A">
            <w:pPr>
              <w:pStyle w:val="Source"/>
              <w:rPr>
                <w:lang w:val="en-US"/>
              </w:rPr>
            </w:pPr>
            <w:r>
              <w:rPr>
                <w:lang w:val="en-US"/>
              </w:rPr>
              <w:t>Source: Curriculum Bridges PARTNERSHIPS REPORT 2016, Uni BRidges web page, and Owen, Calnin And andrew 2016</w:t>
            </w:r>
          </w:p>
        </w:tc>
      </w:tr>
    </w:tbl>
    <w:p w14:paraId="0AEC5E65" w14:textId="77777777" w:rsidR="004D175A" w:rsidRDefault="004D175A" w:rsidP="00A45AB3">
      <w:pPr>
        <w:pStyle w:val="Heading3"/>
        <w:numPr>
          <w:ilvl w:val="2"/>
          <w:numId w:val="45"/>
        </w:numPr>
      </w:pPr>
      <w:bookmarkStart w:id="194" w:name="_Ref462415359"/>
      <w:r>
        <w:t>Professional development</w:t>
      </w:r>
      <w:bookmarkEnd w:id="194"/>
    </w:p>
    <w:p w14:paraId="28EE02C3" w14:textId="77777777" w:rsidR="004D175A" w:rsidRDefault="004D175A" w:rsidP="004D175A">
      <w:pPr>
        <w:pStyle w:val="BodyText"/>
      </w:pPr>
      <w:r>
        <w:t xml:space="preserve">Many of the outreach activities undertaken through the HEPPP include professional development for school teachers and careers advisors, whether through a formal program or their exposure to information about higher education pathways and opportunities, and current entry requirements. The value of this exposure was mentioned in a number of </w:t>
      </w:r>
      <w:r w:rsidR="00516DAD">
        <w:t xml:space="preserve">written </w:t>
      </w:r>
      <w:r>
        <w:t>submissions, particularly those from rural and remote schools, where teachers may not often be able to attend campus visits or other professional development sessions in person.</w:t>
      </w:r>
    </w:p>
    <w:p w14:paraId="4DECC3E9" w14:textId="77777777" w:rsidR="004D175A" w:rsidRDefault="004D175A" w:rsidP="00AD49C8">
      <w:pPr>
        <w:pStyle w:val="Quote"/>
        <w:keepNext/>
      </w:pPr>
      <w:r>
        <w:t>Staff are better informed of entry, courses, pathways, study options and have an opportunity to ask one to one questions of the presenters which in rural areas is rare. This is used by staff for subject counselling for all year levels and helping students select pathways and prerequisite subjects for university/TAFE/VET courses. It helps our Indigenous students, students with disabilities (blind), international students and students who need alternative pathways into higher study.</w:t>
      </w:r>
    </w:p>
    <w:p w14:paraId="0F24B004" w14:textId="77777777" w:rsidR="004D175A" w:rsidRDefault="004D175A" w:rsidP="00AD49C8">
      <w:pPr>
        <w:pStyle w:val="QuoteSource"/>
        <w:keepNext/>
      </w:pPr>
      <w:r>
        <w:t>Tenison Woods College, Mount Gambier, Submission 25</w:t>
      </w:r>
    </w:p>
    <w:p w14:paraId="0D815249" w14:textId="77777777" w:rsidR="004D175A" w:rsidRDefault="004D175A" w:rsidP="004D175A">
      <w:pPr>
        <w:pStyle w:val="BodyText"/>
      </w:pPr>
      <w:r>
        <w:t>Formal professional development activities are included in many outreach activities, including those that involve enhanced curriculum and/or IT, such as La Trobe’s Uni Bridges program (</w:t>
      </w:r>
      <w:r w:rsidR="008C090E" w:rsidRPr="00AD49C8">
        <w:t>Box 4.4</w:t>
      </w:r>
      <w:r>
        <w:t>). Professional development opportunities through Uni Bridges included:</w:t>
      </w:r>
    </w:p>
    <w:p w14:paraId="353E8347" w14:textId="77777777" w:rsidR="004D175A" w:rsidRDefault="004D175A" w:rsidP="00A45AB3">
      <w:pPr>
        <w:pStyle w:val="ListBullet"/>
        <w:numPr>
          <w:ilvl w:val="0"/>
          <w:numId w:val="46"/>
        </w:numPr>
      </w:pPr>
      <w:r>
        <w:t>opportunities to collaborate with other staff, within the school or with colleagues in other participating schools</w:t>
      </w:r>
    </w:p>
    <w:p w14:paraId="3A3EFC95" w14:textId="77777777" w:rsidR="004D175A" w:rsidRDefault="004D175A" w:rsidP="00A45AB3">
      <w:pPr>
        <w:pStyle w:val="ListBullet"/>
        <w:numPr>
          <w:ilvl w:val="0"/>
          <w:numId w:val="46"/>
        </w:numPr>
      </w:pPr>
      <w:r>
        <w:t>availability of expert advice about teaching and learning in a digital environment</w:t>
      </w:r>
    </w:p>
    <w:p w14:paraId="1D6CA60A" w14:textId="77777777" w:rsidR="004D175A" w:rsidRDefault="004D175A" w:rsidP="00A45AB3">
      <w:pPr>
        <w:pStyle w:val="ListBullet"/>
        <w:numPr>
          <w:ilvl w:val="0"/>
          <w:numId w:val="46"/>
        </w:numPr>
      </w:pPr>
      <w:r>
        <w:t>periodic out-of-school meetings involving Uni Bridges coordinators, teachers and school leaders, as well as an annual conference</w:t>
      </w:r>
    </w:p>
    <w:p w14:paraId="6C2A932A" w14:textId="77777777" w:rsidR="004D175A" w:rsidRDefault="004D175A" w:rsidP="00A45AB3">
      <w:pPr>
        <w:pStyle w:val="ListBullet"/>
        <w:numPr>
          <w:ilvl w:val="0"/>
          <w:numId w:val="46"/>
        </w:numPr>
      </w:pPr>
      <w:r>
        <w:t>the creation of Curriculum Development Groups involving teachers from different STEM disciplines (Owen et al</w:t>
      </w:r>
      <w:r w:rsidR="009F5C29">
        <w:t>.</w:t>
      </w:r>
      <w:r>
        <w:t xml:space="preserve"> 2016).</w:t>
      </w:r>
    </w:p>
    <w:p w14:paraId="385CA1AD" w14:textId="77777777" w:rsidR="004D175A" w:rsidRDefault="004D175A" w:rsidP="004D175A">
      <w:pPr>
        <w:pStyle w:val="BodyText"/>
      </w:pPr>
      <w:r>
        <w:t>The Aspire UWA program also involves professional development for school staff. Skene et al</w:t>
      </w:r>
      <w:r w:rsidR="009F5C29">
        <w:t>.</w:t>
      </w:r>
      <w:r>
        <w:t xml:space="preserve"> (2016), in their case study of the program, report that ‘the model of sustained, whole-of-school engagement encourages a school culture where high academic achievement is an expectation rather than the exception. Assisting teachers with professional development opportunities has helped to support this aim, particularly in regional schools with high staff turnover’. Additional careers resources to support professional development for teachers were developed through a National Priorities Pool project in 2014</w:t>
      </w:r>
      <w:r w:rsidR="00874A22">
        <w:t xml:space="preserve"> (refer</w:t>
      </w:r>
      <w:r>
        <w:t xml:space="preserve"> </w:t>
      </w:r>
      <w:r w:rsidR="00C71CE9">
        <w:t xml:space="preserve">Section </w:t>
      </w:r>
      <w:r w:rsidR="008C090E">
        <w:t>4.2.6</w:t>
      </w:r>
      <w:r w:rsidR="00874A22">
        <w:t>)</w:t>
      </w:r>
      <w:r>
        <w:t>.</w:t>
      </w:r>
    </w:p>
    <w:p w14:paraId="54B34795" w14:textId="77777777" w:rsidR="004D175A" w:rsidRDefault="004D175A" w:rsidP="00A45AB3">
      <w:pPr>
        <w:pStyle w:val="Heading3"/>
        <w:numPr>
          <w:ilvl w:val="2"/>
          <w:numId w:val="45"/>
        </w:numPr>
      </w:pPr>
      <w:bookmarkStart w:id="195" w:name="_Ref462827388"/>
      <w:r>
        <w:t>Parent/community information/support</w:t>
      </w:r>
      <w:bookmarkEnd w:id="195"/>
    </w:p>
    <w:p w14:paraId="7CCE01E2" w14:textId="77777777" w:rsidR="004D175A" w:rsidRDefault="00DA49C9" w:rsidP="004D175A">
      <w:pPr>
        <w:pStyle w:val="BodyText"/>
      </w:pPr>
      <w:r>
        <w:t>O</w:t>
      </w:r>
      <w:r w:rsidR="004D175A">
        <w:t>utreach activities</w:t>
      </w:r>
      <w:r>
        <w:t xml:space="preserve"> such as undertaken through the HEPPP</w:t>
      </w:r>
      <w:r w:rsidR="004D175A">
        <w:t xml:space="preserve"> have been found </w:t>
      </w:r>
      <w:r w:rsidR="00A6600F">
        <w:t xml:space="preserve">in the literature </w:t>
      </w:r>
      <w:r w:rsidR="004D175A">
        <w:t>to have a positive impact in ‘building broader community support for higher and further education’ (Bennett et al</w:t>
      </w:r>
      <w:r w:rsidR="009F5C29">
        <w:t>.</w:t>
      </w:r>
      <w:r w:rsidR="004D175A">
        <w:t xml:space="preserve"> 2015), and this is reinforced by the findings of this evaluation. Many outreach projects target and include parents, either actively or more passively through knowledge diffusion from their children. For example, student participants in Central Queensland University’s Indigenous Youth Sports Program ‘showed a marked increase in discussing aspirations with family, friends, teachers and community Elders, an effect which broadens the impact of the initiative’ (Bennett et al</w:t>
      </w:r>
      <w:r w:rsidR="009F5C29">
        <w:t>.</w:t>
      </w:r>
      <w:r w:rsidR="004D175A">
        <w:t xml:space="preserve"> 2015). Parents are also included in the Children’s University program through the provision of information, the out of school learning activities and the graduation ceremony. Their responses to the NCVER evaluation team ‘show overwhelmingly that it is a positive experience’ (Harrison and Skujins 2016).</w:t>
      </w:r>
    </w:p>
    <w:p w14:paraId="062B2461" w14:textId="77777777" w:rsidR="004D175A" w:rsidRDefault="004D175A" w:rsidP="004D175A">
      <w:pPr>
        <w:pStyle w:val="BodyText"/>
      </w:pPr>
      <w:r>
        <w:t xml:space="preserve">Some projects report that engaging parents in the activities is difficult. In 2014, </w:t>
      </w:r>
      <w:r w:rsidR="00AC0C28">
        <w:t>UWA</w:t>
      </w:r>
      <w:r>
        <w:t xml:space="preserve"> undertook a project funded through the National Priorities Pool, ‘Influencing the key influencers’, to address this challenge and ‘to trial targeted engagement strategies with parents in the Mid-West and Gascoyne’ (Skene et al</w:t>
      </w:r>
      <w:r w:rsidR="009F5C29">
        <w:t>.</w:t>
      </w:r>
      <w:r>
        <w:t xml:space="preserve"> 2016). A ‘comprehensive suite of resources and strategies to engage students, teachers, parents and the wider community’ was developed through the project (</w:t>
      </w:r>
      <w:r w:rsidR="00AC0C28">
        <w:t>UWA</w:t>
      </w:r>
      <w:r w:rsidRPr="00AD49C8">
        <w:t xml:space="preserve"> HEPPP</w:t>
      </w:r>
      <w:r>
        <w:t xml:space="preserve"> NPP </w:t>
      </w:r>
      <w:r w:rsidR="00AC0C28">
        <w:t>Report </w:t>
      </w:r>
      <w:r>
        <w:t>2014). In their case study, Skene et al</w:t>
      </w:r>
      <w:r w:rsidR="009F5C29">
        <w:t>.</w:t>
      </w:r>
      <w:r>
        <w:t xml:space="preserve"> (2016) observe that ‘when parents of students living in regional communities see the impact of students’ engagement, they appreciate the opportunity their children have, especially those attending Aspire’s 3-day residential camps in Perth’.</w:t>
      </w:r>
    </w:p>
    <w:p w14:paraId="401F58A8" w14:textId="77777777" w:rsidR="004D175A" w:rsidRDefault="004D175A" w:rsidP="004D175A">
      <w:pPr>
        <w:pStyle w:val="BodyText"/>
      </w:pPr>
      <w:r>
        <w:t>The Bridges to Higher Education collaborative outreach program in New South Wales includes a specific project targeted at parents, with the aim of increasing ‘parents’ capacity to support students to aspire to, engage with and succeed in higher education’ (KPMG 2015). The project involved the development of activities and resources to assist parents, guardians and carers, and included a campus-visits program. The KPMG evaluation of the Bridges program found that over 98 per cent of parents interviewed agreed that the campus visits and associated activities had helped them to support their children and their children’s future education and career goals. The evaluation also found evidence of parents’ increased awareness of higher education pathways and opportunities. Additionally, the partner schools provided positive feedback on the resources and strengthened relationships with parents that were developed through the Parents Project.</w:t>
      </w:r>
    </w:p>
    <w:p w14:paraId="0D990072" w14:textId="77777777" w:rsidR="004D175A" w:rsidRDefault="004D175A" w:rsidP="00A45AB3">
      <w:pPr>
        <w:pStyle w:val="Heading2"/>
        <w:numPr>
          <w:ilvl w:val="1"/>
          <w:numId w:val="45"/>
        </w:numPr>
      </w:pPr>
      <w:bookmarkStart w:id="196" w:name="_Toc463029763"/>
      <w:bookmarkStart w:id="197" w:name="_Toc466657126"/>
      <w:r>
        <w:t>The overall impact of HEPPP Pre-Access stage activities</w:t>
      </w:r>
      <w:bookmarkEnd w:id="196"/>
      <w:bookmarkEnd w:id="197"/>
    </w:p>
    <w:p w14:paraId="41B2DFF8" w14:textId="77777777" w:rsidR="004D175A" w:rsidRDefault="004D175A" w:rsidP="004D175A">
      <w:pPr>
        <w:pStyle w:val="BodyText"/>
      </w:pPr>
      <w:r>
        <w:t>A key objective of the HEPPP is ‘to increase the total number of people from low SES backgrounds who access and participate in higher education through effective outreach and related activities’.</w:t>
      </w:r>
      <w:r>
        <w:rPr>
          <w:rStyle w:val="FootnoteReference"/>
        </w:rPr>
        <w:footnoteReference w:id="26"/>
      </w:r>
    </w:p>
    <w:p w14:paraId="0646FCAC" w14:textId="77777777" w:rsidR="004D175A" w:rsidRDefault="004D175A" w:rsidP="004D175A">
      <w:pPr>
        <w:pStyle w:val="BodyText"/>
      </w:pPr>
      <w:r>
        <w:t xml:space="preserve">There is emerging evidence that this objective is being met. </w:t>
      </w:r>
      <w:r w:rsidR="00077B0C">
        <w:t>T</w:t>
      </w:r>
      <w:r>
        <w:t>he number of low SES individuals accessing higher education has risen strongly since 2010</w:t>
      </w:r>
      <w:r w:rsidR="00077B0C">
        <w:t xml:space="preserve"> (refer Section 9.2)</w:t>
      </w:r>
      <w:r>
        <w:t xml:space="preserve">. Although establishing causal links for interventions in education </w:t>
      </w:r>
      <w:r w:rsidR="00DA7F98">
        <w:t>policy</w:t>
      </w:r>
      <w:r>
        <w:t xml:space="preserve"> is difficult, evidence where available </w:t>
      </w:r>
      <w:r w:rsidR="00DA7F98">
        <w:t xml:space="preserve">often </w:t>
      </w:r>
      <w:r>
        <w:t>shows increased aspirations and in some cases increased applications and enrolments to higher education. Staff and students at universities and their outreach partners, most often schools, have responded positively to the activities undertaken through the HEPPP.</w:t>
      </w:r>
    </w:p>
    <w:p w14:paraId="6C580236" w14:textId="77777777" w:rsidR="004D175A" w:rsidRDefault="00A5450F" w:rsidP="004D175A">
      <w:pPr>
        <w:pStyle w:val="BodyText"/>
      </w:pPr>
      <w:r>
        <w:t>T</w:t>
      </w:r>
      <w:r w:rsidR="004D175A">
        <w:t>he surveys and interviews carried out for this evaluation indicate that the university staff delivering outreach projects are observing an impact on the higher education aspirations of school students and other participants due to HEPPP activities</w:t>
      </w:r>
      <w:r>
        <w:t xml:space="preserve"> (refer Section 4.1.3)</w:t>
      </w:r>
      <w:r w:rsidR="004D175A">
        <w:t>. There is also evidence that the university students often involved in HEPPP outreach activities as mentors or ambassadors consider the activities to be increasing school students’ confidence, and their aspirations for and awareness of higher education (</w:t>
      </w:r>
      <w:r w:rsidR="00655909">
        <w:t>S</w:t>
      </w:r>
      <w:r w:rsidR="004D175A">
        <w:t xml:space="preserve">ection </w:t>
      </w:r>
      <w:r w:rsidR="008C090E">
        <w:t>4.2.3</w:t>
      </w:r>
      <w:r w:rsidR="004D175A">
        <w:t>). In many cases, student ambassadors were themselves involved with HEPPP projects when they were at school.</w:t>
      </w:r>
    </w:p>
    <w:p w14:paraId="0759C682" w14:textId="77777777" w:rsidR="004D175A" w:rsidRDefault="004D175A" w:rsidP="004D175A">
      <w:pPr>
        <w:pStyle w:val="BodyText"/>
      </w:pPr>
      <w:r>
        <w:t>Similarly, the evaluation received 98 written submissions from schools and other HEPPP outreach partner organisations and participants, a significant majority of which expressed strong support for the HEPPP and reported positive impacts of HEPPP activities on students’, teachers’ and other individuals’ understanding of university pathways and on students’ aspirations for and access to higher education. A number of examples are provided below.</w:t>
      </w:r>
    </w:p>
    <w:p w14:paraId="1A212A7E" w14:textId="77777777" w:rsidR="00E013A9" w:rsidRDefault="00E013A9" w:rsidP="004D175A">
      <w:pPr>
        <w:pStyle w:val="BodyText"/>
      </w:pPr>
      <w:r w:rsidRPr="00E013A9">
        <w:t>Data provided in the submission from Sarah Redfern High School in New South Wales (Submission</w:t>
      </w:r>
      <w:r w:rsidRPr="006640EC">
        <w:t> </w:t>
      </w:r>
      <w:r w:rsidRPr="00E013A9">
        <w:t>99) show a significant increase in students’ access to university after the school partnered with WSU in 2009. Between 2003 and 2009, only two students enrolled in university through UAC (from a total of 373 Year 12 graduates), while between 2010 and 2015 there were 33 university offers made to students from the school (from a total of 314 Year 12 graduates). This is an increase in students’ rate of higher education access from 0.5 per cent (2003-2009) to 10.5 per cent (2010-2015).</w:t>
      </w:r>
    </w:p>
    <w:p w14:paraId="0567DF45" w14:textId="77777777" w:rsidR="004D175A" w:rsidRDefault="004D175A" w:rsidP="004D175A">
      <w:pPr>
        <w:pStyle w:val="BodyText"/>
      </w:pPr>
      <w:r>
        <w:t xml:space="preserve">The rate of Year 12 completion (attainment of QCE) increased at Queensland’s Deception Bay State High School from 78 per cent in 2011 to 100 per cent in 2015, following the school’s involvement with </w:t>
      </w:r>
      <w:r w:rsidR="00B660C4">
        <w:t>Queensland University of Technology</w:t>
      </w:r>
      <w:r w:rsidR="008B2B8C">
        <w:t>’s</w:t>
      </w:r>
      <w:r w:rsidR="00B660C4">
        <w:t xml:space="preserve"> (QUT)</w:t>
      </w:r>
      <w:r>
        <w:t xml:space="preserve"> Explore Uni program. The submission notes that ‘there was a 250 per cent increase in the number of students destined for university’ between 2011 and 2014 (Submission 101).</w:t>
      </w:r>
    </w:p>
    <w:p w14:paraId="7CED1615" w14:textId="77777777" w:rsidR="004D175A" w:rsidRDefault="004D175A" w:rsidP="004D175A">
      <w:pPr>
        <w:pStyle w:val="BodyText"/>
      </w:pPr>
      <w:r>
        <w:t xml:space="preserve">Many school submissions did not include quantitative data regarding access, although they were strongly supportive of the HEPPP. For example, the submission from Roxburgh College in Victoria notes that ‘the college data on tracking students to university and TAFE has demonstrated that the </w:t>
      </w:r>
      <w:r w:rsidR="00FC13FC">
        <w:t>HEPPP</w:t>
      </w:r>
      <w:r w:rsidR="00F641AC">
        <w:t>-</w:t>
      </w:r>
      <w:r>
        <w:t>funded program has played a significant role in ensuring that the college’s transition of students to tertiary education exceeded Dept of Ed benchmark standards’ (Submission 51). For Woodenburg Central School, although the submission observed no significant impact in students’ academic achievement at school, retention to Year 12, or TAFE enrolment, there was ‘a significantly increased impact’ on the probability of students applying to university and being offered a place since the school has been involved with Griffith University (Submission 12).</w:t>
      </w:r>
    </w:p>
    <w:p w14:paraId="2E75106D" w14:textId="77777777" w:rsidR="004D175A" w:rsidRDefault="004D175A" w:rsidP="004D175A">
      <w:pPr>
        <w:pStyle w:val="BodyText"/>
      </w:pPr>
      <w:r>
        <w:t>One submission, from Katanning Senior High School in Western Australia (Submission 121), noted that its involvement with the HEPPP had been limited to a single visit, which ‘provided some short term motivation but no more’ and did not lead to any changes for students. The submission suggested that a greater investment of time would be needed for the program to be of more value to the school.</w:t>
      </w:r>
    </w:p>
    <w:p w14:paraId="5C03F58B" w14:textId="77777777" w:rsidR="004D175A" w:rsidRDefault="004D175A" w:rsidP="004D175A">
      <w:pPr>
        <w:pStyle w:val="BodyText"/>
      </w:pPr>
      <w:r>
        <w:t>Some university evaluations accord with the stakeholder views collected through this evaluation, reporting positive impacts of the outreach programs. A number of these were discussed throughout this chapter. While many evaluations are based on participant surveys, some analyse application and enrolment data, and these show inconsistent evidence of impact. For example, the evaluation of the New South Wales collaborative Bridges to Higher Education program showed that growth in the proportion of students who applied to university and received an offer was considerably higher for Bridges schools than non</w:t>
      </w:r>
      <w:r>
        <w:noBreakHyphen/>
        <w:t>Bridges schools (5.37 per cent versus 3.15 per cent).</w:t>
      </w:r>
      <w:r>
        <w:rPr>
          <w:rStyle w:val="FootnoteReference"/>
        </w:rPr>
        <w:footnoteReference w:id="27"/>
      </w:r>
      <w:r>
        <w:t xml:space="preserve"> In contrast, enrolment data from schools involved in the Aspire UWA program show increasing enrolment numbers from 2009 until 2013, after which they declined (</w:t>
      </w:r>
      <w:r w:rsidR="008C090E" w:rsidRPr="00AD49C8">
        <w:t>Box 4.1</w:t>
      </w:r>
      <w:r>
        <w:t xml:space="preserve">). </w:t>
      </w:r>
    </w:p>
    <w:p w14:paraId="1EEFCE6F" w14:textId="140A8A19" w:rsidR="004D175A" w:rsidRDefault="004D175A" w:rsidP="004D175A">
      <w:pPr>
        <w:pStyle w:val="BodyText"/>
      </w:pPr>
      <w:r>
        <w:t>The Queensland Widening Participation Consortium has undertaken a number of detailed evaluations of its outreach programs, including comparison of application, offer, deferral and enrolment rates between participating schools—the Consortium agreement provides for outreach to be undertaken at all eligible (low SES) schools in the state—and other schools (medium and high SES).</w:t>
      </w:r>
    </w:p>
    <w:p w14:paraId="70CF323E" w14:textId="77777777" w:rsidR="004D175A" w:rsidRDefault="004D175A" w:rsidP="004D175A">
      <w:pPr>
        <w:pStyle w:val="BodyText"/>
      </w:pPr>
      <w:r>
        <w:t xml:space="preserve">The </w:t>
      </w:r>
      <w:r>
        <w:rPr>
          <w:i/>
        </w:rPr>
        <w:t xml:space="preserve">Monitoring Consortium Applications </w:t>
      </w:r>
      <w:r>
        <w:t>2016 report analyses data at the Consortium/state level (using QTAC data), and is not disaggregated by individual universities. For example, ‘the application rate refers to the proportion of Year 12 completers who apply for First Semester study at a Consortium university through the Queensland Tertiary Admission Centre’ (Queensland WP Consortium 2016).</w:t>
      </w:r>
    </w:p>
    <w:p w14:paraId="2395132F" w14:textId="7AF279BF" w:rsidR="00F54833" w:rsidRDefault="004D175A" w:rsidP="004D175A">
      <w:pPr>
        <w:pStyle w:val="BodyText"/>
      </w:pPr>
      <w:r>
        <w:t>The report indicates a wide gap in application rates between</w:t>
      </w:r>
      <w:r w:rsidR="00EB1126">
        <w:t xml:space="preserve"> the two</w:t>
      </w:r>
      <w:r>
        <w:t xml:space="preserve"> school</w:t>
      </w:r>
      <w:r w:rsidR="00EB1126">
        <w:t xml:space="preserve"> groups (participating and not participating)</w:t>
      </w:r>
      <w:r>
        <w:t xml:space="preserve"> in 2015. The Year 12 completer application rate for participating schools was 32.5 percent in 2015 (an increase of 1.5 percentage points since 2011), compared with 56.6 per cent for other schools (1.8 percentage point increase since 2011). The gap between the two narrowed from 25.6 percentage points in 2014 to 24.5 percentage points in 2015, for the first time since 2011. The report also found that ‘larger improvements in application rates occurred in schools where greatest engagement with [</w:t>
      </w:r>
      <w:r w:rsidR="00EB1126">
        <w:t>W</w:t>
      </w:r>
      <w:r>
        <w:t xml:space="preserve">idening </w:t>
      </w:r>
      <w:r w:rsidR="00EB1126">
        <w:t>P</w:t>
      </w:r>
      <w:r>
        <w:t>art</w:t>
      </w:r>
      <w:r w:rsidR="00430F5D">
        <w:t>icipation] activities occurred’</w:t>
      </w:r>
      <w:r>
        <w:t>.</w:t>
      </w:r>
      <w:r w:rsidR="00951EBD">
        <w:t xml:space="preserve"> </w:t>
      </w:r>
    </w:p>
    <w:p w14:paraId="57C75E05" w14:textId="290DBAAE" w:rsidR="004D175A" w:rsidRDefault="004D175A" w:rsidP="004D175A">
      <w:pPr>
        <w:pStyle w:val="BodyText"/>
      </w:pPr>
      <w:r>
        <w:t>The gap in offer rates between participating and other schools is much lower, at just 2.8 percentage points in 2015 (from 3.3 percentage points in 2014, and 4 in 2011). The offer rate for participating schools was 90.8 per cent, compared with 93.6 per cent for other schools.</w:t>
      </w:r>
      <w:r w:rsidR="00951EBD">
        <w:t xml:space="preserve"> </w:t>
      </w:r>
      <w:r>
        <w:t>Changes in enrolment rates across the state since 2011 are largely consistent with the changing application rates.</w:t>
      </w:r>
    </w:p>
    <w:p w14:paraId="166EDC6E" w14:textId="77777777" w:rsidR="004D175A" w:rsidRDefault="004D175A" w:rsidP="004D175A">
      <w:pPr>
        <w:pStyle w:val="BodyText"/>
      </w:pPr>
      <w:r>
        <w:t>In some cases, data at the university level within the Consortium show greater evidence of impact—although it follows that some universities’ activities have had less impact than observed at the Consortium level. The evaluation of outreach activities undertaken by QUT between 2010 and 2014 compared QTAC data from schools where QUT undertook outreach with all Queensland schools (QUT Equity Services 2015). This evaluation found that application rates (number of applications as a proportion of Year 12 completers) had increased by 4.9 per cent from QUT outreach schools between 2010-11 and 2013-14 (from 31.3 per cent to 36.2 per cent), compared with a 2.2 per cent increase across all schools. Similarly, the enrolment rate for QUT outreach schools increased by 4.9 per cent (from 20.3 per cent to 25.5 per cent) compared with a 3.4 per cent increase at all schools.</w:t>
      </w:r>
    </w:p>
    <w:p w14:paraId="360B300B" w14:textId="43359A35" w:rsidR="004D175A" w:rsidRDefault="004D175A" w:rsidP="004D175A">
      <w:pPr>
        <w:pStyle w:val="BodyText"/>
      </w:pPr>
      <w:r>
        <w:t xml:space="preserve">However, it may not be accurate to use changing application/offer/enrolment rates from different universities’ outreach jurisdictions as a way of comparing the relative or overall effectiveness of their activities, for a number of reasons. Firstly, it is not possible to control for external variables such as macroeconomic conditions or changing higher education policy and any differential effects this may have on students from different backgrounds. Secondly, the number, location and profile of schools within each university’s jurisdiction (as allocated under the Consortium MOU) </w:t>
      </w:r>
      <w:r w:rsidR="00E758AE">
        <w:t xml:space="preserve">are </w:t>
      </w:r>
      <w:r>
        <w:t xml:space="preserve">different, and this may have a varying influence on students’ access to higher education. For example, QUT and ACU share the northern Brisbane region—QUT covered 33 schools with 20,845 students and ACU covered 29 schools with 6,132 in 2014. In comparison, </w:t>
      </w:r>
      <w:r w:rsidR="00940E6E">
        <w:t>JCU</w:t>
      </w:r>
      <w:r>
        <w:t xml:space="preserve"> covered 54 schools with a total of 52,384 students in north and far north Queensland, while the University of the Sunshine Coast covered 56 schools with only 7,126 students, in the Wide Bay and Fraser Coast region. It is possible that differential factors such as proximity to university campus may have an impact on the access rates of students from different schools and jurisdictions.</w:t>
      </w:r>
    </w:p>
    <w:p w14:paraId="663EE5CB" w14:textId="77777777" w:rsidR="004D175A" w:rsidRDefault="004D175A" w:rsidP="004D175A">
      <w:pPr>
        <w:pStyle w:val="BodyText"/>
      </w:pPr>
      <w:r>
        <w:t>In addition, there are several further limitations to the evaluation of HEPPP outreach activities. A natural limitation is that the ultimate impact of such activities is not known until participants graduate from high school. Working with school students to prepare them to apply to and progress through university is a long term, collaborative task, and due to this, many of the ultimate impacts of HEPPP outreach activities are yet to materialise. There may also be a time delay in the partnership development between universities, schools and other stakeholders that is necessary for effective outreach activities, as QUT notes in its evaluation report (QUT Equity Services 2015).</w:t>
      </w:r>
    </w:p>
    <w:p w14:paraId="160287BF" w14:textId="77777777" w:rsidR="004D175A" w:rsidRDefault="004D175A" w:rsidP="004D175A">
      <w:pPr>
        <w:pStyle w:val="BodyText"/>
      </w:pPr>
      <w:r>
        <w:t>A further issue is that all but one of the HEPPP outreach projects have been unable to define suitable counterfactual or control groups against which to measure impact.</w:t>
      </w:r>
      <w:r>
        <w:rPr>
          <w:rStyle w:val="FootnoteReference"/>
        </w:rPr>
        <w:footnoteReference w:id="28"/>
      </w:r>
      <w:r>
        <w:t xml:space="preserve"> </w:t>
      </w:r>
      <w:r w:rsidRPr="00AD49C8">
        <w:t xml:space="preserve">The Bridges to Higher Education </w:t>
      </w:r>
      <w:r>
        <w:t xml:space="preserve">evaluation (KPMG 2015) discussed above </w:t>
      </w:r>
      <w:r w:rsidRPr="00AD49C8">
        <w:t>demonstrates how a counterfactual may be introduced, by developing a set of non-participating schools similar to the Bridges schools</w:t>
      </w:r>
      <w:r>
        <w:t>.</w:t>
      </w:r>
    </w:p>
    <w:p w14:paraId="7A1E6C8C" w14:textId="77777777" w:rsidR="004D175A" w:rsidRPr="000F648F" w:rsidRDefault="004D175A" w:rsidP="00AD49C8">
      <w:r>
        <w:t>Finally, based on data provided by 29 universities (</w:t>
      </w:r>
      <w:r w:rsidR="00077B0C">
        <w:t xml:space="preserve">refer </w:t>
      </w:r>
      <w:r>
        <w:t xml:space="preserve">Section </w:t>
      </w:r>
      <w:r w:rsidR="008C090E">
        <w:t>4.1.2</w:t>
      </w:r>
      <w:r>
        <w:t>), it is possible that some schools are being over-serviced by outreach activities while others are not being reached by the HEPPP. This may have an effect on the overall impact of outreach activities when considered on a population (state or national) basis. The coverage of low SES schools could be improved through improved coordination and collaboration between universities, an issue discussed further in Chapter 11.</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4D175A" w14:paraId="69C47B1C" w14:textId="77777777" w:rsidTr="004D175A">
        <w:trPr>
          <w:cantSplit/>
        </w:trPr>
        <w:tc>
          <w:tcPr>
            <w:tcW w:w="8614" w:type="dxa"/>
            <w:tcMar>
              <w:top w:w="160" w:type="dxa"/>
              <w:left w:w="446" w:type="dxa"/>
              <w:bottom w:w="0" w:type="dxa"/>
              <w:right w:w="0" w:type="dxa"/>
            </w:tcMar>
            <w:hideMark/>
          </w:tcPr>
          <w:p w14:paraId="7C371F9B" w14:textId="77777777" w:rsidR="004D175A" w:rsidRDefault="004D175A">
            <w:pPr>
              <w:pStyle w:val="Caption"/>
              <w:rPr>
                <w:lang w:val="en-US"/>
              </w:rPr>
            </w:pPr>
            <w:r>
              <w:rPr>
                <w:rStyle w:val="CaptionLabel"/>
                <w:lang w:val="en-US"/>
              </w:rPr>
              <w:t>Key Findings </w:t>
            </w:r>
            <w:r w:rsidR="008C090E">
              <w:rPr>
                <w:rStyle w:val="CaptionLabel"/>
                <w:noProof/>
                <w:lang w:val="en-US"/>
              </w:rPr>
              <w:t>2</w:t>
            </w:r>
            <w:r>
              <w:rPr>
                <w:rStyle w:val="CaptionLabel"/>
                <w:lang w:val="en-US"/>
              </w:rPr>
              <w:t xml:space="preserve">  </w:t>
            </w:r>
            <w:r>
              <w:rPr>
                <w:lang w:val="en-US"/>
              </w:rPr>
              <w:tab/>
              <w:t>outreach</w:t>
            </w:r>
          </w:p>
        </w:tc>
      </w:tr>
      <w:tr w:rsidR="004D175A" w14:paraId="69C89918" w14:textId="77777777" w:rsidTr="004D175A">
        <w:trPr>
          <w:cantSplit/>
        </w:trPr>
        <w:tc>
          <w:tcPr>
            <w:tcW w:w="8614" w:type="dxa"/>
            <w:shd w:val="clear" w:color="auto" w:fill="E4E0DD"/>
            <w:tcMar>
              <w:top w:w="276" w:type="dxa"/>
              <w:left w:w="0" w:type="dxa"/>
              <w:bottom w:w="0" w:type="dxa"/>
              <w:right w:w="120" w:type="dxa"/>
            </w:tcMar>
            <w:hideMark/>
          </w:tcPr>
          <w:p w14:paraId="31B3E07A" w14:textId="77777777" w:rsidR="004D175A" w:rsidRDefault="004D175A">
            <w:pPr>
              <w:pStyle w:val="BoxText"/>
              <w:rPr>
                <w:lang w:val="en-US"/>
              </w:rPr>
            </w:pPr>
            <w:r>
              <w:rPr>
                <w:lang w:val="en-US"/>
              </w:rPr>
              <w:t>Outreach projects under HEPPP often combine a number of different activities in order to provide school students or other</w:t>
            </w:r>
            <w:r w:rsidR="001277F0">
              <w:rPr>
                <w:lang w:val="en-US"/>
              </w:rPr>
              <w:t xml:space="preserve"> EIF</w:t>
            </w:r>
            <w:r>
              <w:rPr>
                <w:lang w:val="en-US"/>
              </w:rPr>
              <w:t xml:space="preserve"> target groups with multiple supports. Aspiration raising and academic preparation/support are the most common types of outreach activities. </w:t>
            </w:r>
          </w:p>
          <w:p w14:paraId="5CB77319" w14:textId="77777777" w:rsidR="004D175A" w:rsidRDefault="004D175A">
            <w:pPr>
              <w:pStyle w:val="BoxText"/>
              <w:rPr>
                <w:lang w:val="en-US"/>
              </w:rPr>
            </w:pPr>
            <w:r>
              <w:rPr>
                <w:lang w:val="en-US"/>
              </w:rPr>
              <w:t>The majority of outreach projects target only low SES students, although they may also capture intersecting equity subgroups. A significant proportion of projects are specifically targeted to Indigenous low SES students. Most programs worked with high school students.</w:t>
            </w:r>
          </w:p>
          <w:p w14:paraId="04C76A91" w14:textId="77777777" w:rsidR="004D175A" w:rsidRDefault="004D175A">
            <w:pPr>
              <w:pStyle w:val="BoxText"/>
              <w:rPr>
                <w:lang w:val="en-US"/>
              </w:rPr>
            </w:pPr>
            <w:r>
              <w:rPr>
                <w:lang w:val="en-US"/>
              </w:rPr>
              <w:t>There is emerging evidence that the HEPPP objective ‘to increase the total number of people from low SES backgrounds who access and participate in higher education through effective outreach and related activities’ (the Guidelines) is being met by HEPPP outreach activities.</w:t>
            </w:r>
          </w:p>
          <w:p w14:paraId="714FE00A" w14:textId="77777777" w:rsidR="004D175A" w:rsidRDefault="004D175A">
            <w:pPr>
              <w:pStyle w:val="BoxText"/>
              <w:rPr>
                <w:lang w:val="en-US"/>
              </w:rPr>
            </w:pPr>
            <w:r>
              <w:rPr>
                <w:lang w:val="en-US"/>
              </w:rPr>
              <w:t xml:space="preserve">The surveys and interviews carried out for this evaluation indicate that university staff are observing an impact on the higher education aspirations of school students and other participants due to HEPPP activities. Similarly, the evaluation received 98 written submissions from schools and other HEPPP outreach partner organisations and participants, a significant majority of which expressed strong support for the HEPPP and reported positive impacts of HEPPP activities on students’, teachers’ and other individuals’ understanding of university pathways. The majority of submissions also reported positive increases in students’ confidence and aspirations to attend university, as well as </w:t>
            </w:r>
            <w:r w:rsidR="00F641AC">
              <w:rPr>
                <w:lang w:val="en-US"/>
              </w:rPr>
              <w:t xml:space="preserve">increasing the number of student </w:t>
            </w:r>
            <w:r>
              <w:rPr>
                <w:lang w:val="en-US"/>
              </w:rPr>
              <w:t>applications and enrolments.</w:t>
            </w:r>
          </w:p>
          <w:p w14:paraId="2052D5A6" w14:textId="77777777" w:rsidR="004D175A" w:rsidRDefault="004D175A">
            <w:pPr>
              <w:pStyle w:val="BoxText"/>
              <w:rPr>
                <w:lang w:val="en-US"/>
              </w:rPr>
            </w:pPr>
            <w:r>
              <w:rPr>
                <w:lang w:val="en-US"/>
              </w:rPr>
              <w:t>Consistent with this, some evaluations carried out by universities indicate that HEPPP outreach activities are considered to have positive impacts by program recipients, including school students, teachers and community members. Qualitative surveys of participants indicate that HEPPP outreach activities appear to be shifting school students’ and other individuals’ views on the feasibility of attending university, and building students’ and other individuals’ ability to undertake higher education through targeted academic support.</w:t>
            </w:r>
          </w:p>
          <w:p w14:paraId="24DAF814" w14:textId="77777777" w:rsidR="004D175A" w:rsidRDefault="004D175A">
            <w:pPr>
              <w:pStyle w:val="BoxText"/>
              <w:rPr>
                <w:lang w:val="en-US"/>
              </w:rPr>
            </w:pPr>
            <w:r>
              <w:rPr>
                <w:lang w:val="en-US"/>
              </w:rPr>
              <w:t>However, application and enrolment data from participating schools show an inconsistent impact from HEPPP outreach activities. Some submissions provide quantitative data showing an increase in enrolment rates from their school, as does the Bridges to Higher Education evaluation and QUT outreach data. However, data from the Queensland Widening Participation Consortium show little change in the application and enrolment rates of students from participating schools compared with other schools at the state level.</w:t>
            </w:r>
          </w:p>
          <w:p w14:paraId="7F6BE8A2" w14:textId="77777777" w:rsidR="004D175A" w:rsidRDefault="004D175A">
            <w:pPr>
              <w:pStyle w:val="BoxText"/>
              <w:rPr>
                <w:lang w:val="en-US"/>
              </w:rPr>
            </w:pPr>
            <w:r>
              <w:rPr>
                <w:lang w:val="en-US"/>
              </w:rPr>
              <w:t>There are several limitations to assessing the impact of HEPPP outreach activities. The long term nature of outreach activities may mean that impact is not yet apparent in some cases; for example, many participating students are yet to complete high school. Evaluations of the activities have rarely been able to provide adequate counterfactual or control groups. Additionally, there is some evidence that not all low SES schools are being serviced to the extent intended under HEPPP.</w:t>
            </w:r>
          </w:p>
        </w:tc>
      </w:tr>
      <w:tr w:rsidR="004D175A" w14:paraId="303A8216" w14:textId="77777777" w:rsidTr="004D175A">
        <w:trPr>
          <w:cantSplit/>
          <w:trHeight w:val="376"/>
        </w:trPr>
        <w:tc>
          <w:tcPr>
            <w:tcW w:w="8614" w:type="dxa"/>
            <w:shd w:val="clear" w:color="auto" w:fill="E4E0DD"/>
          </w:tcPr>
          <w:p w14:paraId="4FA60C81" w14:textId="77777777" w:rsidR="004D175A" w:rsidRDefault="004D175A">
            <w:pPr>
              <w:pStyle w:val="spacer"/>
              <w:rPr>
                <w:lang w:val="en-US"/>
              </w:rPr>
            </w:pPr>
          </w:p>
        </w:tc>
      </w:tr>
      <w:tr w:rsidR="004D175A" w14:paraId="62DCC6C6" w14:textId="77777777" w:rsidTr="004D175A">
        <w:trPr>
          <w:cantSplit/>
          <w:trHeight w:val="180"/>
        </w:trPr>
        <w:tc>
          <w:tcPr>
            <w:tcW w:w="8614" w:type="dxa"/>
            <w:tcMar>
              <w:top w:w="0" w:type="dxa"/>
              <w:left w:w="446" w:type="dxa"/>
              <w:bottom w:w="0" w:type="dxa"/>
              <w:right w:w="0" w:type="dxa"/>
            </w:tcMar>
            <w:hideMark/>
          </w:tcPr>
          <w:p w14:paraId="4F9D5BEF" w14:textId="77777777" w:rsidR="004D175A" w:rsidRDefault="00A45AB3">
            <w:pPr>
              <w:pStyle w:val="spacertbl"/>
              <w:rPr>
                <w:lang w:val="en-US"/>
              </w:rPr>
            </w:pPr>
            <w:r>
              <w:rPr>
                <w:noProof/>
                <w:lang w:eastAsia="en-AU"/>
              </w:rPr>
              <mc:AlternateContent>
                <mc:Choice Requires="wps">
                  <w:drawing>
                    <wp:anchor distT="0" distB="0" distL="114300" distR="114300" simplePos="0" relativeHeight="251640832" behindDoc="0" locked="1" layoutInCell="1" allowOverlap="1" wp14:anchorId="07EFC924" wp14:editId="00E8CD6A">
                      <wp:simplePos x="0" y="0"/>
                      <wp:positionH relativeFrom="rightMargin">
                        <wp:posOffset>-772795</wp:posOffset>
                      </wp:positionH>
                      <wp:positionV relativeFrom="page">
                        <wp:posOffset>-237490</wp:posOffset>
                      </wp:positionV>
                      <wp:extent cx="436880" cy="213360"/>
                      <wp:effectExtent l="0" t="0" r="1270" b="0"/>
                      <wp:wrapNone/>
                      <wp:docPr id="599" name="Freeform 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FDA39C" id="Freeform 599" o:spid="_x0000_s1026" style="position:absolute;margin-left:-60.85pt;margin-top:-18.7pt;width:34.4pt;height:16.8pt;z-index:251640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4AC289CC" w14:textId="77777777" w:rsidR="00EA6577" w:rsidRPr="001A2F85" w:rsidRDefault="00EA6577" w:rsidP="000B6604">
      <w:pPr>
        <w:pStyle w:val="BodyText"/>
      </w:pPr>
    </w:p>
    <w:p w14:paraId="242D3838" w14:textId="77777777" w:rsidR="00EA6577" w:rsidRPr="001A2F85" w:rsidRDefault="00EA6577" w:rsidP="000B6604">
      <w:pPr>
        <w:pStyle w:val="BodyText"/>
      </w:pPr>
    </w:p>
    <w:p w14:paraId="75D27F67" w14:textId="77777777" w:rsidR="00EA6577" w:rsidRPr="001A2F85" w:rsidRDefault="00EA6577" w:rsidP="000B6604">
      <w:pPr>
        <w:pStyle w:val="BodyText"/>
        <w:sectPr w:rsidR="00EA6577" w:rsidRPr="001A2F85" w:rsidSect="00EA6577">
          <w:headerReference w:type="even" r:id="rId114"/>
          <w:headerReference w:type="default" r:id="rId115"/>
          <w:footerReference w:type="even" r:id="rId116"/>
          <w:footerReference w:type="default" r:id="rId117"/>
          <w:headerReference w:type="first" r:id="rId118"/>
          <w:footerReference w:type="first" r:id="rId119"/>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EA6577" w:rsidRPr="001A2F85" w14:paraId="3AC2649E" w14:textId="77777777" w:rsidTr="000B6604">
        <w:trPr>
          <w:trHeight w:hRule="exact" w:val="382"/>
        </w:trPr>
        <w:tc>
          <w:tcPr>
            <w:tcW w:w="4738" w:type="dxa"/>
            <w:shd w:val="clear" w:color="auto" w:fill="9D57A6"/>
          </w:tcPr>
          <w:p w14:paraId="276E8210" w14:textId="77777777" w:rsidR="00EA6577" w:rsidRPr="001A2F85" w:rsidRDefault="00A45AB3" w:rsidP="000B6604">
            <w:pPr>
              <w:pStyle w:val="tagchapterBanner"/>
            </w:pPr>
            <w:r>
              <w:rPr>
                <w:noProof/>
                <w:lang w:eastAsia="en-AU"/>
              </w:rPr>
              <mc:AlternateContent>
                <mc:Choice Requires="wps">
                  <w:drawing>
                    <wp:anchor distT="0" distB="0" distL="114300" distR="114300" simplePos="0" relativeHeight="251617280" behindDoc="0" locked="1" layoutInCell="1" allowOverlap="1" wp14:anchorId="5B2DB3E7" wp14:editId="7E1D0670">
                      <wp:simplePos x="0" y="0"/>
                      <wp:positionH relativeFrom="page">
                        <wp:posOffset>158750</wp:posOffset>
                      </wp:positionH>
                      <wp:positionV relativeFrom="page">
                        <wp:posOffset>6350</wp:posOffset>
                      </wp:positionV>
                      <wp:extent cx="439420" cy="215265"/>
                      <wp:effectExtent l="0" t="0" r="0" b="0"/>
                      <wp:wrapNone/>
                      <wp:docPr id="24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7CC21D" id="Freeform 5" o:spid="_x0000_s1026" style="position:absolute;margin-left:12.5pt;margin-top:.5pt;width:34.6pt;height:16.9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o7Nh8X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55806C2A" w14:textId="77777777" w:rsidR="00EA6577" w:rsidRPr="001A2F85" w:rsidRDefault="00EA6577" w:rsidP="000B6604">
            <w:pPr>
              <w:pStyle w:val="spacer"/>
            </w:pPr>
          </w:p>
        </w:tc>
      </w:tr>
      <w:tr w:rsidR="00EA6577" w:rsidRPr="001A2F85" w14:paraId="2672629F" w14:textId="77777777" w:rsidTr="000B6604">
        <w:trPr>
          <w:trHeight w:hRule="exact" w:val="3665"/>
        </w:trPr>
        <w:tc>
          <w:tcPr>
            <w:tcW w:w="4738" w:type="dxa"/>
            <w:shd w:val="clear" w:color="auto" w:fill="9D57A6"/>
            <w:tcMar>
              <w:left w:w="0" w:type="dxa"/>
              <w:bottom w:w="0" w:type="dxa"/>
            </w:tcMar>
            <w:vAlign w:val="bottom"/>
          </w:tcPr>
          <w:p w14:paraId="4E9AE7AD" w14:textId="77777777" w:rsidR="00EA6577" w:rsidRPr="001A2F85" w:rsidRDefault="00D349AB" w:rsidP="00D349AB">
            <w:pPr>
              <w:pStyle w:val="Heading1"/>
              <w:outlineLvl w:val="0"/>
            </w:pPr>
            <w:r w:rsidRPr="001A2F85">
              <w:t>Access: Pathways and Admissions</w:t>
            </w:r>
          </w:p>
        </w:tc>
        <w:tc>
          <w:tcPr>
            <w:tcW w:w="3430" w:type="dxa"/>
            <w:shd w:val="clear" w:color="auto" w:fill="9D57A6"/>
            <w:tcMar>
              <w:right w:w="344" w:type="dxa"/>
            </w:tcMar>
          </w:tcPr>
          <w:p w14:paraId="27B6AF5E" w14:textId="77777777" w:rsidR="00EA6577" w:rsidRPr="001A2F85" w:rsidRDefault="008C090E" w:rsidP="000B6604">
            <w:pPr>
              <w:pStyle w:val="HeadingChapter"/>
              <w:keepNext/>
            </w:pPr>
            <w:bookmarkStart w:id="198" w:name="_Toc466657127"/>
            <w:r>
              <w:t>5</w:t>
            </w:r>
            <w:bookmarkEnd w:id="198"/>
          </w:p>
        </w:tc>
      </w:tr>
      <w:tr w:rsidR="00EA6577" w:rsidRPr="001A2F85" w14:paraId="4E7F1AF2" w14:textId="77777777" w:rsidTr="000B6604">
        <w:trPr>
          <w:trHeight w:hRule="exact" w:val="232"/>
        </w:trPr>
        <w:tc>
          <w:tcPr>
            <w:tcW w:w="4738" w:type="dxa"/>
            <w:shd w:val="clear" w:color="auto" w:fill="9D57A6"/>
          </w:tcPr>
          <w:p w14:paraId="0D3E2D74" w14:textId="77777777" w:rsidR="00EA6577" w:rsidRPr="001A2F85" w:rsidRDefault="00EA6577" w:rsidP="000B6604">
            <w:pPr>
              <w:pStyle w:val="Chpt-Context"/>
            </w:pPr>
          </w:p>
        </w:tc>
        <w:tc>
          <w:tcPr>
            <w:tcW w:w="3430" w:type="dxa"/>
            <w:shd w:val="clear" w:color="auto" w:fill="9D57A6"/>
          </w:tcPr>
          <w:p w14:paraId="25627DC1" w14:textId="77777777" w:rsidR="00EA6577" w:rsidRPr="001A2F85" w:rsidRDefault="008C090E" w:rsidP="000B6604">
            <w:pPr>
              <w:pStyle w:val="Chpt-Context"/>
            </w:pPr>
            <w:bookmarkStart w:id="199" w:name="_Toc466657128"/>
            <w:r>
              <w:rPr>
                <w:noProof/>
              </w:rPr>
              <w:t>Access: Pathways and Admissions</w:t>
            </w:r>
            <w:bookmarkEnd w:id="199"/>
          </w:p>
        </w:tc>
      </w:tr>
      <w:tr w:rsidR="00EA6577" w:rsidRPr="001A2F85" w14:paraId="6DDC2060" w14:textId="77777777" w:rsidTr="000B6604">
        <w:trPr>
          <w:trHeight w:hRule="exact" w:val="228"/>
        </w:trPr>
        <w:tc>
          <w:tcPr>
            <w:tcW w:w="4738" w:type="dxa"/>
            <w:tcBorders>
              <w:top w:val="single" w:sz="4" w:space="0" w:color="9D57A6"/>
            </w:tcBorders>
          </w:tcPr>
          <w:p w14:paraId="7D399AD7" w14:textId="77777777" w:rsidR="00EA6577" w:rsidRPr="001A2F85" w:rsidRDefault="00EA6577" w:rsidP="000B6604">
            <w:pPr>
              <w:pStyle w:val="spacer"/>
            </w:pPr>
          </w:p>
        </w:tc>
        <w:tc>
          <w:tcPr>
            <w:tcW w:w="3430" w:type="dxa"/>
            <w:tcBorders>
              <w:top w:val="single" w:sz="4" w:space="0" w:color="9D57A6"/>
            </w:tcBorders>
          </w:tcPr>
          <w:p w14:paraId="25F61DA6" w14:textId="77777777" w:rsidR="00EA6577" w:rsidRPr="001A2F85" w:rsidRDefault="00EA6577" w:rsidP="000B6604">
            <w:pPr>
              <w:pStyle w:val="spacer"/>
            </w:pPr>
          </w:p>
        </w:tc>
      </w:tr>
    </w:tbl>
    <w:p w14:paraId="30D2F01F" w14:textId="77777777" w:rsidR="006B6BAD" w:rsidRDefault="006B6BAD" w:rsidP="006B6BAD">
      <w:pPr>
        <w:pStyle w:val="Introduction"/>
      </w:pPr>
      <w:r>
        <w:t>This chapter provides</w:t>
      </w:r>
      <w:r w:rsidR="00107EBA">
        <w:t xml:space="preserve"> an</w:t>
      </w:r>
      <w:r>
        <w:t xml:space="preserve"> analysis of the range and impact of HEPPP activities carried out by universities at the Access stage of the</w:t>
      </w:r>
      <w:r w:rsidRPr="006B6BAD">
        <w:t xml:space="preserve"> </w:t>
      </w:r>
      <w:r>
        <w:t>EIF student life cycle.</w:t>
      </w:r>
    </w:p>
    <w:p w14:paraId="2752A8CF" w14:textId="77777777" w:rsidR="003907BB" w:rsidRPr="001A2F85" w:rsidRDefault="003907BB" w:rsidP="003907BB">
      <w:pPr>
        <w:pStyle w:val="BodyText"/>
      </w:pPr>
      <w:r w:rsidRPr="001A2F85">
        <w:t xml:space="preserve">The Pre-Access stage—Outreach to Schools and Communities—addressed in the previous chapter is the first stage of the student life cycle in the </w:t>
      </w:r>
      <w:r w:rsidR="00B660C4">
        <w:t>EIF</w:t>
      </w:r>
      <w:r w:rsidRPr="001A2F85">
        <w:t xml:space="preserve">, covering the student life </w:t>
      </w:r>
      <w:r>
        <w:t xml:space="preserve">cycle </w:t>
      </w:r>
      <w:r w:rsidRPr="001A2F85">
        <w:t xml:space="preserve">up </w:t>
      </w:r>
      <w:r w:rsidRPr="00537495">
        <w:t>to the point of access to higher education and comprising outreach to schools and communities (</w:t>
      </w:r>
      <w:r w:rsidR="007D44D6" w:rsidRPr="00537495">
        <w:t>Bennett</w:t>
      </w:r>
      <w:r w:rsidR="007D44D6">
        <w:t> </w:t>
      </w:r>
      <w:r w:rsidR="007D44D6" w:rsidRPr="00537495">
        <w:t>et</w:t>
      </w:r>
      <w:r w:rsidR="007D44D6">
        <w:t> </w:t>
      </w:r>
      <w:r w:rsidRPr="00537495">
        <w:t>al</w:t>
      </w:r>
      <w:r w:rsidR="007D44D6" w:rsidRPr="00537495">
        <w:t>.</w:t>
      </w:r>
      <w:r w:rsidR="007D44D6">
        <w:t> </w:t>
      </w:r>
      <w:r w:rsidRPr="00537495">
        <w:t>2015). The</w:t>
      </w:r>
      <w:r w:rsidRPr="001A2F85">
        <w:t xml:space="preserve"> next stage—A</w:t>
      </w:r>
      <w:r>
        <w:t>ccess (Pathways and Admissions)</w:t>
      </w:r>
      <w:r w:rsidRPr="001A2F85">
        <w:t>—addressed in this chapter covers the entry process to higher education, and targets school leavers as well as mature age and VET students.</w:t>
      </w:r>
    </w:p>
    <w:p w14:paraId="2922D4FB" w14:textId="77777777" w:rsidR="003907BB" w:rsidRPr="001A2F85" w:rsidRDefault="003907BB" w:rsidP="003907BB">
      <w:pPr>
        <w:pStyle w:val="BodyText"/>
      </w:pPr>
      <w:r w:rsidRPr="001A2F85">
        <w:t>The primary aim for the Access stage is to ‘provide opportunities for people to access and achieve at university’ (Bennett et al</w:t>
      </w:r>
      <w:r w:rsidR="009F5C29">
        <w:t>.</w:t>
      </w:r>
      <w:r w:rsidRPr="001A2F85">
        <w:t xml:space="preserve"> 2015). Access activities are considered to be Participation or Partnership activities under the HEPPP</w:t>
      </w:r>
      <w:r>
        <w:t xml:space="preserve">, depending on their </w:t>
      </w:r>
      <w:r w:rsidR="001277F0">
        <w:t xml:space="preserve">EIF </w:t>
      </w:r>
      <w:r>
        <w:t>target group,</w:t>
      </w:r>
      <w:r w:rsidRPr="001A2F85">
        <w:t xml:space="preserve"> and may be funded through either component. </w:t>
      </w:r>
      <w:r>
        <w:t xml:space="preserve">For example, Access activities that are conducted in partnership with schools are considered to be Partnership activities, but may be funded through either the Participation or Partnership components. </w:t>
      </w:r>
      <w:r w:rsidRPr="001A2F85">
        <w:t xml:space="preserve">As can be seen from the analysis of HEPPP expenditure </w:t>
      </w:r>
      <w:r>
        <w:t>in Chapter 3</w:t>
      </w:r>
      <w:r w:rsidRPr="001A2F85">
        <w:t xml:space="preserve">, the universities have invested less HEPPP funds in </w:t>
      </w:r>
      <w:r>
        <w:t>A</w:t>
      </w:r>
      <w:r w:rsidRPr="001A2F85">
        <w:t xml:space="preserve">ccess-related activities than in these other stages of the student life cycle. This is perhaps to be expected as the time period involved at the </w:t>
      </w:r>
      <w:r w:rsidR="007C6B78">
        <w:t>A</w:t>
      </w:r>
      <w:r w:rsidRPr="001A2F85">
        <w:t>ccess stage of the student life-cycle is relatively short.</w:t>
      </w:r>
    </w:p>
    <w:p w14:paraId="38517B79" w14:textId="77777777" w:rsidR="003907BB" w:rsidRPr="001A2F85" w:rsidRDefault="003907BB" w:rsidP="00AD49C8">
      <w:pPr>
        <w:pStyle w:val="Heading2"/>
      </w:pPr>
      <w:bookmarkStart w:id="200" w:name="_Ref464651693"/>
      <w:bookmarkStart w:id="201" w:name="_Toc466657129"/>
      <w:r w:rsidRPr="001A2F85">
        <w:t>Overview of HEPPP Access stage activities</w:t>
      </w:r>
      <w:bookmarkEnd w:id="200"/>
      <w:bookmarkEnd w:id="201"/>
    </w:p>
    <w:p w14:paraId="28FAA614" w14:textId="77777777" w:rsidR="003907BB" w:rsidRPr="001A2F85" w:rsidRDefault="003907BB" w:rsidP="003907BB">
      <w:pPr>
        <w:pStyle w:val="BodyText"/>
      </w:pPr>
      <w:r w:rsidRPr="001A2F85">
        <w:t xml:space="preserve">HEPPP-funded activities at the </w:t>
      </w:r>
      <w:r>
        <w:t>A</w:t>
      </w:r>
      <w:r w:rsidRPr="001A2F85">
        <w:t>ccess stage have been aimed at assisting students from low SES and other equity groups by:</w:t>
      </w:r>
    </w:p>
    <w:p w14:paraId="32C20DEE" w14:textId="77777777" w:rsidR="003907BB" w:rsidRPr="001A2F85" w:rsidRDefault="003907BB" w:rsidP="003907BB">
      <w:pPr>
        <w:pStyle w:val="ListBullet"/>
      </w:pPr>
      <w:r w:rsidRPr="001A2F85">
        <w:t>building confidence and increasing knowledge of what universities have to offer</w:t>
      </w:r>
    </w:p>
    <w:p w14:paraId="599D33EF" w14:textId="77777777" w:rsidR="003907BB" w:rsidRPr="001A2F85" w:rsidRDefault="003907BB" w:rsidP="003907BB">
      <w:pPr>
        <w:pStyle w:val="ListBullet"/>
      </w:pPr>
      <w:r w:rsidRPr="001A2F85">
        <w:t>providing scholarships to low SES and other equity groups</w:t>
      </w:r>
    </w:p>
    <w:p w14:paraId="7EDE34CF" w14:textId="77777777" w:rsidR="003907BB" w:rsidRPr="001A2F85" w:rsidRDefault="003907BB" w:rsidP="003907BB">
      <w:pPr>
        <w:pStyle w:val="ListBullet"/>
      </w:pPr>
      <w:r w:rsidRPr="001A2F85">
        <w:t>raising academic knowledge to the levels necessary to commence undergraduate studies (e.g.</w:t>
      </w:r>
      <w:r>
        <w:t> </w:t>
      </w:r>
      <w:r w:rsidRPr="001A2F85">
        <w:t xml:space="preserve">foundation studies) </w:t>
      </w:r>
    </w:p>
    <w:p w14:paraId="2D9CD300" w14:textId="77777777" w:rsidR="003907BB" w:rsidRPr="001A2F85" w:rsidRDefault="003907BB" w:rsidP="003907BB">
      <w:pPr>
        <w:pStyle w:val="ListBullet"/>
      </w:pPr>
      <w:r>
        <w:t>making use of alternative selection criteria and other entry requirement tools</w:t>
      </w:r>
    </w:p>
    <w:p w14:paraId="74576CC1" w14:textId="77777777" w:rsidR="003907BB" w:rsidRPr="001A2F85" w:rsidRDefault="003907BB" w:rsidP="003907BB">
      <w:pPr>
        <w:pStyle w:val="ListBullet"/>
      </w:pPr>
      <w:r w:rsidRPr="001A2F85">
        <w:t>providing assistance during admission processes and in the first week at university.</w:t>
      </w:r>
    </w:p>
    <w:p w14:paraId="58F42C6F" w14:textId="77777777" w:rsidR="003907BB" w:rsidRPr="001A2F85" w:rsidRDefault="003907BB" w:rsidP="00AD49C8">
      <w:pPr>
        <w:pStyle w:val="ListNumber2"/>
        <w:keepNext/>
        <w:numPr>
          <w:ilvl w:val="0"/>
          <w:numId w:val="0"/>
        </w:numPr>
      </w:pPr>
      <w:r w:rsidRPr="001A2F85">
        <w:t>While the types of activities undertaken through this stage of the life cycle vary, they generally fit into one or more of the categories below:</w:t>
      </w:r>
    </w:p>
    <w:p w14:paraId="2A599623" w14:textId="77777777" w:rsidR="003907BB" w:rsidRPr="00CB6487" w:rsidRDefault="003907BB" w:rsidP="00AD49C8">
      <w:pPr>
        <w:pStyle w:val="ListBullet"/>
        <w:keepNext/>
      </w:pPr>
      <w:r w:rsidRPr="00CB6487">
        <w:t>aspiration raising - pre-entry university experience</w:t>
      </w:r>
    </w:p>
    <w:p w14:paraId="49E18133" w14:textId="77777777" w:rsidR="003907BB" w:rsidRPr="00EF15B3" w:rsidRDefault="003907BB" w:rsidP="00AD49C8">
      <w:pPr>
        <w:pStyle w:val="ListBullet"/>
        <w:keepNext/>
      </w:pPr>
      <w:r w:rsidRPr="00EF15B3">
        <w:t>aspiration raising - non-university experience</w:t>
      </w:r>
    </w:p>
    <w:p w14:paraId="6B265C1D" w14:textId="77777777" w:rsidR="003907BB" w:rsidRPr="00EF15B3" w:rsidRDefault="003907BB" w:rsidP="00AD49C8">
      <w:pPr>
        <w:pStyle w:val="ListBullet"/>
        <w:keepNext/>
      </w:pPr>
      <w:r w:rsidRPr="00EF15B3">
        <w:t>careers advice</w:t>
      </w:r>
    </w:p>
    <w:p w14:paraId="39A8B587" w14:textId="77777777" w:rsidR="003907BB" w:rsidRPr="00EF15B3" w:rsidRDefault="003907BB" w:rsidP="00AD49C8">
      <w:pPr>
        <w:pStyle w:val="ListBullet"/>
        <w:keepNext/>
      </w:pPr>
      <w:r w:rsidRPr="00EF15B3">
        <w:t>mentoring, peer support</w:t>
      </w:r>
    </w:p>
    <w:p w14:paraId="1848D297" w14:textId="77777777" w:rsidR="003907BB" w:rsidRPr="00EF15B3" w:rsidRDefault="003907BB" w:rsidP="00AD49C8">
      <w:pPr>
        <w:pStyle w:val="ListBullet"/>
        <w:keepNext/>
      </w:pPr>
      <w:r w:rsidRPr="00EF15B3">
        <w:t>academic preparation/support</w:t>
      </w:r>
    </w:p>
    <w:p w14:paraId="3CC39677" w14:textId="77777777" w:rsidR="003907BB" w:rsidRPr="00EF15B3" w:rsidRDefault="003907BB" w:rsidP="00AD49C8">
      <w:pPr>
        <w:pStyle w:val="ListBullet"/>
        <w:keepNext/>
      </w:pPr>
      <w:r w:rsidRPr="00EF15B3">
        <w:t>other outreach</w:t>
      </w:r>
    </w:p>
    <w:p w14:paraId="36702222" w14:textId="77777777" w:rsidR="003907BB" w:rsidRPr="001A2F85" w:rsidRDefault="003907BB" w:rsidP="00AD49C8">
      <w:pPr>
        <w:pStyle w:val="ListBullet"/>
        <w:keepNext/>
      </w:pPr>
      <w:r w:rsidRPr="001A2F85">
        <w:t>pre-university qualification pathway</w:t>
      </w:r>
    </w:p>
    <w:p w14:paraId="06DA3019" w14:textId="77777777" w:rsidR="003907BB" w:rsidRPr="001A2F85" w:rsidRDefault="003907BB" w:rsidP="00AD49C8">
      <w:pPr>
        <w:pStyle w:val="ListBullet"/>
        <w:keepNext/>
      </w:pPr>
      <w:r w:rsidRPr="001A2F85">
        <w:t>foundation programs for extra academic skills</w:t>
      </w:r>
    </w:p>
    <w:p w14:paraId="7B73D5F7" w14:textId="77777777" w:rsidR="003907BB" w:rsidRPr="001A2F85" w:rsidRDefault="003907BB" w:rsidP="00AD49C8">
      <w:pPr>
        <w:pStyle w:val="ListBullet"/>
        <w:keepNext/>
      </w:pPr>
      <w:r w:rsidRPr="001A2F85">
        <w:t>inclusive entry processes</w:t>
      </w:r>
    </w:p>
    <w:p w14:paraId="25E46F5A" w14:textId="77777777" w:rsidR="003907BB" w:rsidRPr="001A2F85" w:rsidRDefault="003907BB" w:rsidP="00AD49C8">
      <w:pPr>
        <w:pStyle w:val="ListBullet"/>
        <w:keepNext/>
      </w:pPr>
      <w:r w:rsidRPr="001A2F85">
        <w:t>scholarships</w:t>
      </w:r>
    </w:p>
    <w:p w14:paraId="479084AB" w14:textId="77777777" w:rsidR="003907BB" w:rsidRPr="001A2F85" w:rsidRDefault="003907BB" w:rsidP="00AD49C8">
      <w:pPr>
        <w:pStyle w:val="ListBullet"/>
        <w:keepNext/>
      </w:pPr>
      <w:r w:rsidRPr="001A2F85">
        <w:t xml:space="preserve">inclusive course design/pedagogies. </w:t>
      </w:r>
    </w:p>
    <w:p w14:paraId="0E3E7E13" w14:textId="77777777" w:rsidR="003907BB" w:rsidRPr="001A2F85" w:rsidRDefault="003907BB" w:rsidP="003907BB">
      <w:pPr>
        <w:pStyle w:val="BodyText"/>
      </w:pPr>
      <w:r w:rsidRPr="001A2F85">
        <w:t xml:space="preserve">Many of the </w:t>
      </w:r>
      <w:r w:rsidR="007C6B78">
        <w:t>A</w:t>
      </w:r>
      <w:r w:rsidRPr="001A2F85">
        <w:t xml:space="preserve">ccess-related activities supported by the HEPPP overlap with earlier </w:t>
      </w:r>
      <w:r w:rsidR="007C6B78">
        <w:t>P</w:t>
      </w:r>
      <w:r w:rsidRPr="001A2F85">
        <w:t>re-</w:t>
      </w:r>
      <w:r w:rsidR="007C6B78">
        <w:t>A</w:t>
      </w:r>
      <w:r w:rsidR="007C6B78" w:rsidRPr="001A2F85">
        <w:t xml:space="preserve">ccess </w:t>
      </w:r>
      <w:r w:rsidRPr="001A2F85">
        <w:t xml:space="preserve">and following </w:t>
      </w:r>
      <w:r w:rsidR="007C6B78">
        <w:t>Pa</w:t>
      </w:r>
      <w:r w:rsidR="007C6B78" w:rsidRPr="001A2F85">
        <w:t xml:space="preserve">rticipation </w:t>
      </w:r>
      <w:r w:rsidRPr="001A2F85">
        <w:t xml:space="preserve">stages. As such, this chapter focuses </w:t>
      </w:r>
      <w:r>
        <w:t xml:space="preserve">specifically </w:t>
      </w:r>
      <w:r w:rsidRPr="001A2F85">
        <w:t>on:</w:t>
      </w:r>
    </w:p>
    <w:p w14:paraId="0E774C3D" w14:textId="77777777" w:rsidR="003907BB" w:rsidRPr="001A2F85" w:rsidRDefault="003907BB" w:rsidP="003907BB">
      <w:pPr>
        <w:pStyle w:val="ListBullet"/>
      </w:pPr>
      <w:r w:rsidRPr="001A2F85">
        <w:t xml:space="preserve">pre-university qualification pathway and inclusive course design/pedagogies. </w:t>
      </w:r>
    </w:p>
    <w:p w14:paraId="11B46F85" w14:textId="77777777" w:rsidR="003907BB" w:rsidRPr="001A2F85" w:rsidRDefault="003907BB" w:rsidP="003907BB">
      <w:pPr>
        <w:pStyle w:val="ListBullet"/>
      </w:pPr>
      <w:r w:rsidRPr="001A2F85">
        <w:t>foundation programs for extra academic skills</w:t>
      </w:r>
    </w:p>
    <w:p w14:paraId="5226ED00" w14:textId="77777777" w:rsidR="003907BB" w:rsidRPr="001A2F85" w:rsidRDefault="003907BB" w:rsidP="003907BB">
      <w:pPr>
        <w:pStyle w:val="ListBullet"/>
      </w:pPr>
      <w:r w:rsidRPr="001A2F85">
        <w:t>inclusive entry processes</w:t>
      </w:r>
    </w:p>
    <w:p w14:paraId="3A5EEEDE" w14:textId="77777777" w:rsidR="003907BB" w:rsidRPr="001A2F85" w:rsidRDefault="003907BB" w:rsidP="003907BB">
      <w:pPr>
        <w:pStyle w:val="ListBullet"/>
      </w:pPr>
      <w:r w:rsidRPr="001A2F85">
        <w:t>scholarships</w:t>
      </w:r>
    </w:p>
    <w:p w14:paraId="66FE9AA1" w14:textId="77777777" w:rsidR="003907BB" w:rsidRPr="001A2F85" w:rsidRDefault="003907BB" w:rsidP="003907BB">
      <w:pPr>
        <w:pStyle w:val="ListBullet"/>
      </w:pPr>
      <w:r w:rsidRPr="001A2F85">
        <w:t>other outreach</w:t>
      </w:r>
    </w:p>
    <w:p w14:paraId="507F067A" w14:textId="77777777" w:rsidR="003907BB" w:rsidRPr="001A2F85" w:rsidRDefault="003907BB" w:rsidP="003907BB">
      <w:pPr>
        <w:pStyle w:val="Heading3"/>
      </w:pPr>
      <w:r w:rsidRPr="001A2F85">
        <w:t>Nature and extent of activities</w:t>
      </w:r>
    </w:p>
    <w:p w14:paraId="3428570E" w14:textId="7A69CCF9" w:rsidR="003907BB" w:rsidRPr="001A2F85" w:rsidRDefault="007D44D6" w:rsidP="003907BB">
      <w:pPr>
        <w:pStyle w:val="BodyText"/>
      </w:pPr>
      <w:r>
        <w:t xml:space="preserve">Analysis of the type of activities undertaken at the Access stage </w:t>
      </w:r>
      <w:r w:rsidR="00787A0C">
        <w:t xml:space="preserve">between 2010 and 2015 </w:t>
      </w:r>
      <w:r>
        <w:t xml:space="preserve">shows that inclusive entry processes </w:t>
      </w:r>
      <w:r w:rsidR="00E758AE">
        <w:t xml:space="preserve">are </w:t>
      </w:r>
      <w:r>
        <w:t>the most common activity by a significant margin</w:t>
      </w:r>
      <w:r w:rsidR="00787A0C">
        <w:t>, included in two thirds of Access projects</w:t>
      </w:r>
      <w:r>
        <w:t xml:space="preserve"> (</w:t>
      </w:r>
      <w:r w:rsidR="008C090E" w:rsidRPr="00AD49C8">
        <w:t>Figure 5.1</w:t>
      </w:r>
      <w:r>
        <w:t xml:space="preserve">). </w:t>
      </w:r>
      <w:r w:rsidR="00787A0C">
        <w:t xml:space="preserve">The next most common activity is </w:t>
      </w:r>
      <w:r w:rsidR="00787A0C" w:rsidRPr="001A2F85">
        <w:t>pre-uni</w:t>
      </w:r>
      <w:r w:rsidR="00787A0C">
        <w:t>versity qualification pathways, in 29</w:t>
      </w:r>
      <w:r w:rsidR="00787A0C" w:rsidRPr="001A2F85">
        <w:t> per cent</w:t>
      </w:r>
      <w:r w:rsidR="00787A0C">
        <w:t xml:space="preserve"> of projects. Careers advice and aspiration raising – non-university experience were the least common activities at this life cycle stage.</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498ED002" w14:textId="77777777" w:rsidTr="003907BB">
        <w:trPr>
          <w:cantSplit/>
          <w:trHeight w:hRule="exact" w:val="160"/>
        </w:trPr>
        <w:tc>
          <w:tcPr>
            <w:tcW w:w="8168" w:type="dxa"/>
            <w:tcBorders>
              <w:bottom w:val="single" w:sz="4" w:space="0" w:color="auto"/>
            </w:tcBorders>
          </w:tcPr>
          <w:p w14:paraId="0AA07AAC" w14:textId="77777777" w:rsidR="003907BB" w:rsidRPr="001A2F85" w:rsidRDefault="003907BB" w:rsidP="003907BB">
            <w:pPr>
              <w:pStyle w:val="spacer"/>
            </w:pPr>
          </w:p>
        </w:tc>
      </w:tr>
      <w:tr w:rsidR="003907BB" w:rsidRPr="001A2F85" w14:paraId="40EBA51E" w14:textId="77777777" w:rsidTr="003907BB">
        <w:trPr>
          <w:cantSplit/>
        </w:trPr>
        <w:tc>
          <w:tcPr>
            <w:tcW w:w="8168" w:type="dxa"/>
            <w:tcBorders>
              <w:top w:val="single" w:sz="4" w:space="0" w:color="auto"/>
            </w:tcBorders>
            <w:tcMar>
              <w:left w:w="0" w:type="dxa"/>
            </w:tcMar>
          </w:tcPr>
          <w:p w14:paraId="06CEA70F" w14:textId="77777777" w:rsidR="003907BB" w:rsidRPr="001A2F85" w:rsidRDefault="003907BB" w:rsidP="003907BB">
            <w:pPr>
              <w:pStyle w:val="Caption"/>
            </w:pPr>
            <w:bookmarkStart w:id="202" w:name="_Ref464140543"/>
            <w:bookmarkStart w:id="203" w:name="_Toc466655674"/>
            <w:r w:rsidRPr="001A2F85">
              <w:rPr>
                <w:rStyle w:val="CaptionLabel"/>
              </w:rPr>
              <w:t>Figure </w:t>
            </w:r>
            <w:r w:rsidR="008C090E">
              <w:rPr>
                <w:rStyle w:val="CaptionLabel"/>
                <w:noProof/>
              </w:rPr>
              <w:t>5</w:t>
            </w:r>
            <w:r w:rsidRPr="001A2F85">
              <w:rPr>
                <w:rStyle w:val="CaptionLabel"/>
              </w:rPr>
              <w:t>.</w:t>
            </w:r>
            <w:r w:rsidR="008C090E">
              <w:rPr>
                <w:rStyle w:val="CaptionLabel"/>
                <w:noProof/>
              </w:rPr>
              <w:t>1</w:t>
            </w:r>
            <w:bookmarkEnd w:id="202"/>
            <w:r w:rsidRPr="001A2F85">
              <w:tab/>
              <w:t>proportion of HEPPP access projects containing each activity</w:t>
            </w:r>
            <w:bookmarkEnd w:id="203"/>
          </w:p>
        </w:tc>
      </w:tr>
      <w:tr w:rsidR="003907BB" w:rsidRPr="001A2F85" w14:paraId="11A63A76" w14:textId="77777777" w:rsidTr="003907BB">
        <w:trPr>
          <w:cantSplit/>
          <w:trHeight w:hRule="exact" w:val="380"/>
        </w:trPr>
        <w:tc>
          <w:tcPr>
            <w:tcW w:w="8168" w:type="dxa"/>
            <w:tcBorders>
              <w:bottom w:val="single" w:sz="4" w:space="0" w:color="auto"/>
            </w:tcBorders>
          </w:tcPr>
          <w:p w14:paraId="2B2A525B"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24448" behindDoc="0" locked="1" layoutInCell="1" allowOverlap="1" wp14:anchorId="687985E1" wp14:editId="3A8CF9F7">
                      <wp:simplePos x="0" y="0"/>
                      <wp:positionH relativeFrom="rightMargin">
                        <wp:posOffset>-772795</wp:posOffset>
                      </wp:positionH>
                      <wp:positionV relativeFrom="page">
                        <wp:posOffset>0</wp:posOffset>
                      </wp:positionV>
                      <wp:extent cx="436880" cy="213360"/>
                      <wp:effectExtent l="0" t="0" r="1270" b="0"/>
                      <wp:wrapNone/>
                      <wp:docPr id="36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D3569D" id="Freeform 5" o:spid="_x0000_s1026" style="position:absolute;margin-left:-60.85pt;margin-top:0;width:34.4pt;height:16.8pt;z-index:251624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GAHEdt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55AB5B9C"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311D8CB2" w14:textId="77777777" w:rsidR="003907BB" w:rsidRPr="001A2F85" w:rsidRDefault="007F5EE9" w:rsidP="003907BB">
            <w:pPr>
              <w:pStyle w:val="Figure"/>
            </w:pPr>
            <w:r>
              <w:rPr>
                <w:noProof/>
                <w:lang w:eastAsia="en-AU"/>
              </w:rPr>
              <w:drawing>
                <wp:inline distT="0" distB="0" distL="0" distR="0" wp14:anchorId="60BA9C14" wp14:editId="4D5E40BC">
                  <wp:extent cx="5191125" cy="2209800"/>
                  <wp:effectExtent l="0" t="0" r="0" b="0"/>
                  <wp:docPr id="29"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3907BB" w:rsidRPr="001A2F85" w14:paraId="74611D76"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29E64C6F" w14:textId="77777777" w:rsidR="003907BB" w:rsidRPr="001A2F85" w:rsidRDefault="003907BB" w:rsidP="003907BB">
            <w:pPr>
              <w:pStyle w:val="Note"/>
            </w:pPr>
            <w:r w:rsidRPr="001A2F85">
              <w:t>Note: Percentages do not sum to 100 as projects can have multiple activities.</w:t>
            </w:r>
          </w:p>
          <w:p w14:paraId="030F1339" w14:textId="77777777" w:rsidR="003907BB" w:rsidRPr="001A2F85" w:rsidRDefault="003907BB" w:rsidP="003907BB">
            <w:pPr>
              <w:pStyle w:val="Source"/>
            </w:pPr>
            <w:r w:rsidRPr="001A2F85">
              <w:t xml:space="preserve">Source: </w:t>
            </w:r>
            <w:r w:rsidRPr="00252BF1">
              <w:t>UNIVERSITY HEPPP ANNUAL REPORTS 2010-2015</w:t>
            </w:r>
          </w:p>
        </w:tc>
      </w:tr>
      <w:tr w:rsidR="003907BB" w:rsidRPr="001A2F85" w14:paraId="394AEE0B" w14:textId="77777777" w:rsidTr="003907BB">
        <w:trPr>
          <w:trHeight w:hRule="exact" w:val="160"/>
        </w:trPr>
        <w:tc>
          <w:tcPr>
            <w:tcW w:w="8168" w:type="dxa"/>
            <w:tcBorders>
              <w:top w:val="single" w:sz="4" w:space="0" w:color="auto"/>
            </w:tcBorders>
          </w:tcPr>
          <w:p w14:paraId="4CB43B12" w14:textId="77777777" w:rsidR="003907BB" w:rsidRPr="001A2F85" w:rsidRDefault="003907BB" w:rsidP="003907BB">
            <w:pPr>
              <w:pStyle w:val="spacertbl"/>
            </w:pPr>
          </w:p>
        </w:tc>
      </w:tr>
    </w:tbl>
    <w:p w14:paraId="0A9AE0EF" w14:textId="77777777" w:rsidR="003907BB" w:rsidRPr="001A2F85" w:rsidRDefault="00787A0C" w:rsidP="003907BB">
      <w:pPr>
        <w:pStyle w:val="BodyText"/>
      </w:pPr>
      <w:r>
        <w:t xml:space="preserve">The majority of Access projects—70 per cent—were targeted towards only </w:t>
      </w:r>
      <w:r w:rsidRPr="001A2F85">
        <w:t>low SES people (</w:t>
      </w:r>
      <w:r w:rsidR="008C090E" w:rsidRPr="00AD49C8">
        <w:t>Figure 5.2</w:t>
      </w:r>
      <w:r w:rsidRPr="001A2F85">
        <w:t>)</w:t>
      </w:r>
      <w:r>
        <w:t>, although almost 20 per cent of projects specifically targeted low SES Indigenous people. Low SES people from regional and remote areas were specifically targeted in 10 per cent of Access projects.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7AEB2866" w14:textId="77777777" w:rsidTr="003907BB">
        <w:trPr>
          <w:cantSplit/>
          <w:trHeight w:hRule="exact" w:val="160"/>
        </w:trPr>
        <w:tc>
          <w:tcPr>
            <w:tcW w:w="8168" w:type="dxa"/>
            <w:tcBorders>
              <w:bottom w:val="single" w:sz="4" w:space="0" w:color="auto"/>
            </w:tcBorders>
          </w:tcPr>
          <w:p w14:paraId="72B3E87E" w14:textId="77777777" w:rsidR="003907BB" w:rsidRPr="001A2F85" w:rsidRDefault="003907BB" w:rsidP="003907BB">
            <w:pPr>
              <w:pStyle w:val="spacer"/>
            </w:pPr>
          </w:p>
        </w:tc>
      </w:tr>
      <w:tr w:rsidR="003907BB" w:rsidRPr="001A2F85" w14:paraId="1E3B2447" w14:textId="77777777" w:rsidTr="003907BB">
        <w:trPr>
          <w:cantSplit/>
        </w:trPr>
        <w:tc>
          <w:tcPr>
            <w:tcW w:w="8168" w:type="dxa"/>
            <w:tcBorders>
              <w:top w:val="single" w:sz="4" w:space="0" w:color="auto"/>
            </w:tcBorders>
            <w:tcMar>
              <w:left w:w="0" w:type="dxa"/>
            </w:tcMar>
          </w:tcPr>
          <w:p w14:paraId="2A79D05C" w14:textId="77777777" w:rsidR="003907BB" w:rsidRPr="001A2F85" w:rsidRDefault="003907BB" w:rsidP="0016594A">
            <w:pPr>
              <w:pStyle w:val="Caption"/>
            </w:pPr>
            <w:bookmarkStart w:id="204" w:name="_Ref464220045"/>
            <w:bookmarkStart w:id="205" w:name="_Toc466655675"/>
            <w:r w:rsidRPr="001A2F85">
              <w:rPr>
                <w:rStyle w:val="CaptionLabel"/>
              </w:rPr>
              <w:t>Figure </w:t>
            </w:r>
            <w:r w:rsidR="008C090E">
              <w:rPr>
                <w:rStyle w:val="CaptionLabel"/>
                <w:noProof/>
              </w:rPr>
              <w:t>5</w:t>
            </w:r>
            <w:r w:rsidRPr="001A2F85">
              <w:rPr>
                <w:rStyle w:val="CaptionLabel"/>
              </w:rPr>
              <w:t>.</w:t>
            </w:r>
            <w:r w:rsidR="008C090E">
              <w:rPr>
                <w:rStyle w:val="CaptionLabel"/>
                <w:noProof/>
              </w:rPr>
              <w:t>2</w:t>
            </w:r>
            <w:bookmarkEnd w:id="204"/>
            <w:r w:rsidRPr="001A2F85">
              <w:tab/>
              <w:t xml:space="preserve">proportion of HEPPP access projects TARGETING each </w:t>
            </w:r>
            <w:r w:rsidR="001277F0">
              <w:t xml:space="preserve">Equity </w:t>
            </w:r>
            <w:r w:rsidRPr="001A2F85">
              <w:t>group</w:t>
            </w:r>
            <w:bookmarkEnd w:id="205"/>
          </w:p>
        </w:tc>
      </w:tr>
      <w:tr w:rsidR="003907BB" w:rsidRPr="001A2F85" w14:paraId="2E228959" w14:textId="77777777" w:rsidTr="003907BB">
        <w:trPr>
          <w:cantSplit/>
          <w:trHeight w:hRule="exact" w:val="380"/>
        </w:trPr>
        <w:tc>
          <w:tcPr>
            <w:tcW w:w="8168" w:type="dxa"/>
            <w:tcBorders>
              <w:bottom w:val="single" w:sz="4" w:space="0" w:color="auto"/>
            </w:tcBorders>
          </w:tcPr>
          <w:p w14:paraId="5DEB7CE0"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25472" behindDoc="0" locked="1" layoutInCell="1" allowOverlap="1" wp14:anchorId="69316684" wp14:editId="33E65B7E">
                      <wp:simplePos x="0" y="0"/>
                      <wp:positionH relativeFrom="rightMargin">
                        <wp:posOffset>-772795</wp:posOffset>
                      </wp:positionH>
                      <wp:positionV relativeFrom="page">
                        <wp:posOffset>0</wp:posOffset>
                      </wp:positionV>
                      <wp:extent cx="436880" cy="213360"/>
                      <wp:effectExtent l="0" t="0" r="1270" b="0"/>
                      <wp:wrapNone/>
                      <wp:docPr id="36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28DCA7" id="Freeform 5" o:spid="_x0000_s1026" style="position:absolute;margin-left:-60.85pt;margin-top:0;width:34.4pt;height:16.8pt;z-index:251625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Zo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CxgVmh/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4480DB99"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7DFBEB5A" w14:textId="77777777" w:rsidR="003907BB" w:rsidRPr="001A2F85" w:rsidRDefault="007F5EE9" w:rsidP="003907BB">
            <w:pPr>
              <w:pStyle w:val="Figure"/>
            </w:pPr>
            <w:r>
              <w:rPr>
                <w:noProof/>
                <w:lang w:eastAsia="en-AU"/>
              </w:rPr>
              <w:drawing>
                <wp:inline distT="0" distB="0" distL="0" distR="0" wp14:anchorId="7C979BA6" wp14:editId="2750B988">
                  <wp:extent cx="5191125" cy="2209800"/>
                  <wp:effectExtent l="0" t="0" r="0" b="0"/>
                  <wp:docPr id="30"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3907BB" w:rsidRPr="001A2F85" w14:paraId="4024602C"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1E7558D2" w14:textId="2F01B437" w:rsidR="003907BB" w:rsidRPr="001A2F85" w:rsidRDefault="003907BB" w:rsidP="003907BB">
            <w:pPr>
              <w:pStyle w:val="Note"/>
            </w:pPr>
            <w:r w:rsidRPr="001A2F85">
              <w:t xml:space="preserve">Note: Percentages do not sum to 100 as projects can </w:t>
            </w:r>
            <w:r w:rsidR="001277F0">
              <w:t xml:space="preserve">target </w:t>
            </w:r>
            <w:r w:rsidRPr="001A2F85">
              <w:t xml:space="preserve">multiple </w:t>
            </w:r>
            <w:r w:rsidR="001277F0">
              <w:t>equity</w:t>
            </w:r>
            <w:r>
              <w:t xml:space="preserve"> groups</w:t>
            </w:r>
            <w:r w:rsidRPr="001A2F85">
              <w:t>.</w:t>
            </w:r>
            <w:r w:rsidR="003325E6">
              <w:rPr>
                <w:lang w:val="en-US"/>
              </w:rPr>
              <w:t xml:space="preserve"> See Appendix D for further disaggregation.</w:t>
            </w:r>
          </w:p>
          <w:p w14:paraId="16DD3AC5" w14:textId="77777777" w:rsidR="003907BB" w:rsidRPr="001A2F85" w:rsidRDefault="003907BB" w:rsidP="003907BB">
            <w:pPr>
              <w:pStyle w:val="Source"/>
            </w:pPr>
            <w:r w:rsidRPr="001A2F85">
              <w:t xml:space="preserve">Source: </w:t>
            </w:r>
            <w:r w:rsidRPr="00252BF1">
              <w:t xml:space="preserve">UNIVERSITY HEPPP ANNUAL REPORTS 2010-2015 </w:t>
            </w:r>
          </w:p>
        </w:tc>
      </w:tr>
      <w:tr w:rsidR="003907BB" w:rsidRPr="001A2F85" w14:paraId="2B803CAE" w14:textId="77777777" w:rsidTr="003907BB">
        <w:trPr>
          <w:trHeight w:hRule="exact" w:val="160"/>
        </w:trPr>
        <w:tc>
          <w:tcPr>
            <w:tcW w:w="8168" w:type="dxa"/>
            <w:tcBorders>
              <w:top w:val="single" w:sz="4" w:space="0" w:color="auto"/>
            </w:tcBorders>
          </w:tcPr>
          <w:p w14:paraId="4E8A5233" w14:textId="77777777" w:rsidR="003907BB" w:rsidRPr="001A2F85" w:rsidRDefault="003907BB" w:rsidP="003907BB">
            <w:pPr>
              <w:pStyle w:val="spacertbl"/>
            </w:pPr>
          </w:p>
        </w:tc>
      </w:tr>
    </w:tbl>
    <w:p w14:paraId="71A4A3FE" w14:textId="77777777" w:rsidR="003907BB" w:rsidRPr="001A2F85" w:rsidRDefault="00F8421F" w:rsidP="003907BB">
      <w:pPr>
        <w:pStyle w:val="BodyText"/>
      </w:pPr>
      <w:r>
        <w:t>Access projects targeted a range of different EIF target groups (</w:t>
      </w:r>
      <w:r w:rsidR="008C090E" w:rsidRPr="00AD49C8">
        <w:t>Figure 5.3</w:t>
      </w:r>
      <w:r>
        <w:t xml:space="preserve">). </w:t>
      </w:r>
      <w:r w:rsidR="003907BB">
        <w:t>A</w:t>
      </w:r>
      <w:r w:rsidR="003907BB" w:rsidRPr="001A2F85">
        <w:t xml:space="preserve">lmost half of the projects </w:t>
      </w:r>
      <w:r w:rsidR="003907BB">
        <w:t xml:space="preserve">were </w:t>
      </w:r>
      <w:r w:rsidR="003907BB" w:rsidRPr="001A2F85">
        <w:t xml:space="preserve">targeted </w:t>
      </w:r>
      <w:r w:rsidR="003907BB">
        <w:t xml:space="preserve">towards </w:t>
      </w:r>
      <w:r w:rsidR="003907BB" w:rsidRPr="001A2F85">
        <w:t>secondary school leavers</w:t>
      </w:r>
      <w:r w:rsidR="003907BB">
        <w:t xml:space="preserve"> (47 per cent)</w:t>
      </w:r>
      <w:r>
        <w:t>. Other students—c</w:t>
      </w:r>
      <w:r w:rsidRPr="001A2F85">
        <w:t>ommencing/first year</w:t>
      </w:r>
      <w:r>
        <w:t xml:space="preserve"> university</w:t>
      </w:r>
      <w:r w:rsidRPr="001A2F85">
        <w:t xml:space="preserve"> students</w:t>
      </w:r>
      <w:r>
        <w:t>, VET, secondary school and mature age students—were targeted in between 17 and 27 per cent of projects, and community members in 14 per cent.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907BB" w:rsidRPr="001A2F85" w14:paraId="733135E0" w14:textId="77777777" w:rsidTr="003907BB">
        <w:trPr>
          <w:cantSplit/>
          <w:trHeight w:hRule="exact" w:val="160"/>
        </w:trPr>
        <w:tc>
          <w:tcPr>
            <w:tcW w:w="8168" w:type="dxa"/>
            <w:tcBorders>
              <w:bottom w:val="single" w:sz="4" w:space="0" w:color="auto"/>
            </w:tcBorders>
          </w:tcPr>
          <w:p w14:paraId="54343DBC" w14:textId="77777777" w:rsidR="003907BB" w:rsidRPr="001A2F85" w:rsidRDefault="003907BB" w:rsidP="003907BB">
            <w:pPr>
              <w:pStyle w:val="spacer"/>
            </w:pPr>
          </w:p>
        </w:tc>
      </w:tr>
      <w:tr w:rsidR="003907BB" w:rsidRPr="001A2F85" w14:paraId="361DA084" w14:textId="77777777" w:rsidTr="003907BB">
        <w:trPr>
          <w:cantSplit/>
        </w:trPr>
        <w:tc>
          <w:tcPr>
            <w:tcW w:w="8168" w:type="dxa"/>
            <w:tcBorders>
              <w:top w:val="single" w:sz="4" w:space="0" w:color="auto"/>
            </w:tcBorders>
            <w:tcMar>
              <w:left w:w="0" w:type="dxa"/>
            </w:tcMar>
          </w:tcPr>
          <w:p w14:paraId="41ECD7BF" w14:textId="77777777" w:rsidR="003907BB" w:rsidRPr="001A2F85" w:rsidRDefault="003907BB" w:rsidP="003907BB">
            <w:pPr>
              <w:pStyle w:val="Caption"/>
            </w:pPr>
            <w:bookmarkStart w:id="206" w:name="_Ref464219834"/>
            <w:bookmarkStart w:id="207" w:name="_Toc466655676"/>
            <w:r w:rsidRPr="001A2F85">
              <w:rPr>
                <w:rStyle w:val="CaptionLabel"/>
              </w:rPr>
              <w:t>Figure </w:t>
            </w:r>
            <w:r w:rsidR="008C090E">
              <w:rPr>
                <w:rStyle w:val="CaptionLabel"/>
                <w:noProof/>
              </w:rPr>
              <w:t>5</w:t>
            </w:r>
            <w:r w:rsidRPr="001A2F85">
              <w:rPr>
                <w:rStyle w:val="CaptionLabel"/>
              </w:rPr>
              <w:t>.</w:t>
            </w:r>
            <w:r w:rsidR="008C090E">
              <w:rPr>
                <w:rStyle w:val="CaptionLabel"/>
                <w:noProof/>
              </w:rPr>
              <w:t>3</w:t>
            </w:r>
            <w:bookmarkEnd w:id="206"/>
            <w:r w:rsidRPr="001A2F85">
              <w:tab/>
              <w:t xml:space="preserve">proportion of HEPPP access projects </w:t>
            </w:r>
            <w:r>
              <w:t>targeting</w:t>
            </w:r>
            <w:r w:rsidRPr="001A2F85">
              <w:t xml:space="preserve"> each EIF target group</w:t>
            </w:r>
            <w:bookmarkEnd w:id="207"/>
          </w:p>
        </w:tc>
      </w:tr>
      <w:tr w:rsidR="003907BB" w:rsidRPr="001A2F85" w14:paraId="07DE967C" w14:textId="77777777" w:rsidTr="003907BB">
        <w:trPr>
          <w:cantSplit/>
          <w:trHeight w:hRule="exact" w:val="380"/>
        </w:trPr>
        <w:tc>
          <w:tcPr>
            <w:tcW w:w="8168" w:type="dxa"/>
            <w:tcBorders>
              <w:bottom w:val="single" w:sz="4" w:space="0" w:color="auto"/>
            </w:tcBorders>
          </w:tcPr>
          <w:p w14:paraId="29A3B189"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26496" behindDoc="0" locked="1" layoutInCell="1" allowOverlap="1" wp14:anchorId="7D86155D" wp14:editId="5EEA5831">
                      <wp:simplePos x="0" y="0"/>
                      <wp:positionH relativeFrom="rightMargin">
                        <wp:posOffset>-772795</wp:posOffset>
                      </wp:positionH>
                      <wp:positionV relativeFrom="page">
                        <wp:posOffset>0</wp:posOffset>
                      </wp:positionV>
                      <wp:extent cx="436880" cy="213360"/>
                      <wp:effectExtent l="0" t="0" r="1270" b="0"/>
                      <wp:wrapNone/>
                      <wp:docPr id="36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BD140B" id="Freeform 5" o:spid="_x0000_s1026" style="position:absolute;margin-left:-60.85pt;margin-top:0;width:34.4pt;height:16.8pt;z-index:251626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xV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FgaTFV/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0867A092" w14:textId="77777777" w:rsidTr="003907BB">
        <w:trPr>
          <w:cantSplit/>
        </w:trPr>
        <w:tc>
          <w:tcPr>
            <w:tcW w:w="8168" w:type="dxa"/>
            <w:tcBorders>
              <w:top w:val="single" w:sz="4" w:space="0" w:color="auto"/>
              <w:bottom w:val="single" w:sz="4" w:space="0" w:color="auto"/>
            </w:tcBorders>
            <w:tcMar>
              <w:top w:w="10" w:type="dxa"/>
              <w:bottom w:w="10" w:type="dxa"/>
              <w:right w:w="0" w:type="dxa"/>
            </w:tcMar>
          </w:tcPr>
          <w:p w14:paraId="013FD1FE" w14:textId="77777777" w:rsidR="003907BB" w:rsidRPr="001A2F85" w:rsidRDefault="007F5EE9" w:rsidP="003907BB">
            <w:pPr>
              <w:pStyle w:val="Figure"/>
            </w:pPr>
            <w:r>
              <w:rPr>
                <w:noProof/>
                <w:lang w:eastAsia="en-AU"/>
              </w:rPr>
              <w:drawing>
                <wp:inline distT="0" distB="0" distL="0" distR="0" wp14:anchorId="2C50D3A9" wp14:editId="5F463C12">
                  <wp:extent cx="5191125" cy="2209800"/>
                  <wp:effectExtent l="0" t="0" r="0" b="0"/>
                  <wp:docPr id="31"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3907BB" w:rsidRPr="001A2F85" w14:paraId="69DF3FB3" w14:textId="77777777" w:rsidTr="003907BB">
        <w:trPr>
          <w:cantSplit/>
        </w:trPr>
        <w:tc>
          <w:tcPr>
            <w:tcW w:w="8168" w:type="dxa"/>
            <w:tcBorders>
              <w:top w:val="single" w:sz="4" w:space="0" w:color="auto"/>
              <w:bottom w:val="single" w:sz="4" w:space="0" w:color="auto"/>
            </w:tcBorders>
            <w:tcMar>
              <w:top w:w="12" w:type="dxa"/>
              <w:left w:w="0" w:type="dxa"/>
              <w:bottom w:w="113" w:type="dxa"/>
            </w:tcMar>
          </w:tcPr>
          <w:p w14:paraId="0A87A35C" w14:textId="77777777" w:rsidR="003907BB" w:rsidRPr="001A2F85" w:rsidRDefault="003907BB" w:rsidP="003907BB">
            <w:pPr>
              <w:pStyle w:val="Note"/>
            </w:pPr>
            <w:r w:rsidRPr="001A2F85">
              <w:t xml:space="preserve">Note: Percentages do not sum to 100 as projects can </w:t>
            </w:r>
            <w:r w:rsidR="001277F0">
              <w:t xml:space="preserve">target </w:t>
            </w:r>
            <w:r w:rsidRPr="001A2F85">
              <w:t xml:space="preserve">multiple </w:t>
            </w:r>
            <w:r w:rsidR="001277F0">
              <w:t xml:space="preserve">EIF </w:t>
            </w:r>
            <w:r>
              <w:t>groups</w:t>
            </w:r>
            <w:r w:rsidRPr="001A2F85">
              <w:t>.</w:t>
            </w:r>
          </w:p>
          <w:p w14:paraId="1092C6BF" w14:textId="77777777" w:rsidR="003907BB" w:rsidRPr="001A2F85" w:rsidRDefault="003907BB" w:rsidP="003907BB">
            <w:pPr>
              <w:pStyle w:val="Source"/>
            </w:pPr>
            <w:r w:rsidRPr="001A2F85">
              <w:t xml:space="preserve">Source: </w:t>
            </w:r>
            <w:r w:rsidRPr="00252BF1">
              <w:t>UNIVERSITY HEPPP ANNUAL REPORTS 2010-2015</w:t>
            </w:r>
          </w:p>
        </w:tc>
      </w:tr>
      <w:tr w:rsidR="003907BB" w:rsidRPr="001A2F85" w14:paraId="51A13A20" w14:textId="77777777" w:rsidTr="003907BB">
        <w:trPr>
          <w:trHeight w:hRule="exact" w:val="160"/>
        </w:trPr>
        <w:tc>
          <w:tcPr>
            <w:tcW w:w="8168" w:type="dxa"/>
            <w:tcBorders>
              <w:top w:val="single" w:sz="4" w:space="0" w:color="auto"/>
            </w:tcBorders>
          </w:tcPr>
          <w:p w14:paraId="349BA1F6" w14:textId="77777777" w:rsidR="003907BB" w:rsidRPr="001A2F85" w:rsidRDefault="003907BB" w:rsidP="003907BB">
            <w:pPr>
              <w:pStyle w:val="spacertbl"/>
            </w:pPr>
          </w:p>
        </w:tc>
      </w:tr>
    </w:tbl>
    <w:p w14:paraId="313FBCB6" w14:textId="77777777" w:rsidR="003907BB" w:rsidRDefault="003907BB" w:rsidP="00AD49C8">
      <w:pPr>
        <w:pStyle w:val="BodyText"/>
      </w:pPr>
      <w:r w:rsidRPr="009C43FC">
        <w:t>It is important to note at this stage of the student life cycle that there are challenges regarding the assignment of SES when the participant is a mature-aged student. It is not clear whether the SES level of policy interest is that which the participant held during their primary and secondary education (as for other EIF groups), or whether it is their current SES level. As such, it may be considered differently at different universities, although there is limited information available on this.</w:t>
      </w:r>
    </w:p>
    <w:p w14:paraId="753758D9" w14:textId="77777777" w:rsidR="003907BB" w:rsidRPr="001A2F85" w:rsidRDefault="003907BB" w:rsidP="003907BB">
      <w:pPr>
        <w:pStyle w:val="Heading2"/>
      </w:pPr>
      <w:bookmarkStart w:id="208" w:name="_Toc466657130"/>
      <w:r w:rsidRPr="001A2F85">
        <w:t>The impact of individual HEPPP activities at the Access stage</w:t>
      </w:r>
      <w:bookmarkEnd w:id="208"/>
    </w:p>
    <w:p w14:paraId="675868A7" w14:textId="77777777" w:rsidR="003907BB" w:rsidRPr="001A2F85" w:rsidRDefault="003907BB" w:rsidP="003907BB">
      <w:pPr>
        <w:pStyle w:val="BodyText"/>
      </w:pPr>
      <w:r w:rsidRPr="001A2F85">
        <w:t xml:space="preserve">This section examines the impact of different types of HEPPP </w:t>
      </w:r>
      <w:r w:rsidR="007C6B78">
        <w:t>Ac</w:t>
      </w:r>
      <w:r w:rsidR="007C6B78" w:rsidRPr="001A2F85">
        <w:t xml:space="preserve">cess </w:t>
      </w:r>
      <w:r w:rsidRPr="001A2F85">
        <w:t>activities, based on project evaluations conducted by universities and consultations with stakeholders. It also provides a number of case studies which detail specific projects and their key activities.</w:t>
      </w:r>
    </w:p>
    <w:p w14:paraId="45B3B731" w14:textId="77777777" w:rsidR="003907BB" w:rsidRPr="001A2F85" w:rsidRDefault="003907BB" w:rsidP="003907BB">
      <w:pPr>
        <w:pStyle w:val="BodyText"/>
        <w:keepNext/>
      </w:pPr>
      <w:r w:rsidRPr="001A2F85">
        <w:t xml:space="preserve">A range of </w:t>
      </w:r>
      <w:r w:rsidR="007C6B78">
        <w:t>A</w:t>
      </w:r>
      <w:r w:rsidR="007C6B78" w:rsidRPr="001A2F85">
        <w:t xml:space="preserve">ccess </w:t>
      </w:r>
      <w:r w:rsidRPr="001A2F85">
        <w:t xml:space="preserve">activities have been undertaken to address the objectives outlined in </w:t>
      </w:r>
      <w:r w:rsidR="00C71CE9">
        <w:t>S</w:t>
      </w:r>
      <w:r w:rsidR="00C71CE9" w:rsidRPr="001A2F85">
        <w:t xml:space="preserve">ection </w:t>
      </w:r>
      <w:r w:rsidR="008C090E">
        <w:t>5.1</w:t>
      </w:r>
      <w:r w:rsidRPr="001A2F85">
        <w:t xml:space="preserve">. </w:t>
      </w:r>
      <w:r>
        <w:t>S</w:t>
      </w:r>
      <w:r w:rsidRPr="001A2F85">
        <w:t xml:space="preserve">ome of the measures </w:t>
      </w:r>
      <w:r>
        <w:t xml:space="preserve">that have been </w:t>
      </w:r>
      <w:r w:rsidRPr="001A2F85">
        <w:t>adopted through HEPPP funding are new. In other cases, existing activities have been enhanced and expanded</w:t>
      </w:r>
      <w:r>
        <w:t xml:space="preserve"> using HEPPP funding</w:t>
      </w:r>
      <w:r w:rsidRPr="001A2F85">
        <w:t>.</w:t>
      </w:r>
    </w:p>
    <w:p w14:paraId="1A87BB8E" w14:textId="77777777" w:rsidR="003907BB" w:rsidRPr="001A2F85" w:rsidRDefault="003907BB" w:rsidP="003907BB">
      <w:pPr>
        <w:pStyle w:val="Heading3"/>
      </w:pPr>
      <w:r w:rsidRPr="001A2F85">
        <w:t>Pre-university qualification pathway and inclusive course design/pedagogies</w:t>
      </w:r>
    </w:p>
    <w:p w14:paraId="6432E783" w14:textId="77777777" w:rsidR="00EF15B3" w:rsidRDefault="003907BB" w:rsidP="003907BB">
      <w:pPr>
        <w:pStyle w:val="BodyText"/>
      </w:pPr>
      <w:r w:rsidRPr="001A2F85">
        <w:t>Pre-university qualification pathway programs, or ‘enabling’ programs, provide a</w:t>
      </w:r>
      <w:r w:rsidR="00EF15B3">
        <w:t xml:space="preserve">n alternative higher education entry pathway for students. Completion of these courses is designed to allow students to meet the entry or curriculum requirements for a course of study that leads to a higher education award. </w:t>
      </w:r>
      <w:r w:rsidR="003C1B4E">
        <w:t xml:space="preserve">In many cases </w:t>
      </w:r>
      <w:r w:rsidR="00EF15B3" w:rsidRPr="001A2F85">
        <w:t>HEPPP projects work with</w:t>
      </w:r>
      <w:r w:rsidR="003C1B4E">
        <w:t xml:space="preserve"> existing</w:t>
      </w:r>
      <w:r w:rsidR="00EF15B3" w:rsidRPr="001A2F85">
        <w:t xml:space="preserve"> enabling programs</w:t>
      </w:r>
      <w:r w:rsidR="00EF15B3" w:rsidRPr="00EF15B3">
        <w:t xml:space="preserve"> </w:t>
      </w:r>
      <w:r w:rsidR="00EF15B3" w:rsidRPr="001A2F85">
        <w:t xml:space="preserve">to develop </w:t>
      </w:r>
      <w:r w:rsidR="003C1B4E">
        <w:t xml:space="preserve">more </w:t>
      </w:r>
      <w:r w:rsidR="00EF15B3" w:rsidRPr="001A2F85">
        <w:t>inclusive course design</w:t>
      </w:r>
      <w:r w:rsidR="003C1B4E">
        <w:t xml:space="preserve"> or </w:t>
      </w:r>
      <w:r w:rsidR="00EF15B3" w:rsidRPr="001A2F85">
        <w:t xml:space="preserve">pedagogies </w:t>
      </w:r>
      <w:r w:rsidR="003C1B4E">
        <w:t xml:space="preserve">that are </w:t>
      </w:r>
      <w:r w:rsidR="00EF15B3" w:rsidRPr="001A2F85">
        <w:t xml:space="preserve">aimed at </w:t>
      </w:r>
      <w:r w:rsidR="003C1B4E">
        <w:t xml:space="preserve">students from </w:t>
      </w:r>
      <w:r w:rsidR="00EF15B3" w:rsidRPr="001A2F85">
        <w:t>low SES</w:t>
      </w:r>
      <w:r w:rsidR="003C1B4E">
        <w:t xml:space="preserve"> backgrounds</w:t>
      </w:r>
      <w:r w:rsidR="00EF15B3" w:rsidRPr="001A2F85">
        <w:t>.</w:t>
      </w:r>
    </w:p>
    <w:p w14:paraId="0FE87DE2" w14:textId="77777777" w:rsidR="003907BB" w:rsidRPr="001A2F85" w:rsidRDefault="003907BB" w:rsidP="003907BB">
      <w:pPr>
        <w:pStyle w:val="BodyText"/>
      </w:pPr>
      <w:r w:rsidRPr="001A2F85">
        <w:t>For example, Deakin University provides a pre-university qualification pathway through the Deakin Learning Centres</w:t>
      </w:r>
      <w:r>
        <w:t>, which are supported with HEPPP Participation funding</w:t>
      </w:r>
      <w:r w:rsidRPr="001A2F85">
        <w:t>. These centres offer community-based programs through a supported online learning environment, with academic and mentoring support for students’ transition to university at outer metropolitan Melbourne sites in Dandenong, Werribee and Craigieburn.</w:t>
      </w:r>
    </w:p>
    <w:p w14:paraId="65321327" w14:textId="77777777" w:rsidR="003907BB" w:rsidRPr="001A2F85" w:rsidRDefault="003907BB" w:rsidP="003907BB">
      <w:pPr>
        <w:pStyle w:val="BodyText"/>
      </w:pPr>
      <w:r w:rsidRPr="001A2F85">
        <w:t>Griffith University also undertakes a range of activities targeted at mature age students and adult learners (</w:t>
      </w:r>
      <w:r w:rsidR="008C090E" w:rsidRPr="00AD49C8">
        <w:t>Box 5.1</w:t>
      </w:r>
      <w:r w:rsidRPr="001A2F85">
        <w:t>). Griffith has used HEPPP funding to support the delivery of a range of outreach activities, including presentations and information sessions, on-campus events, parent information workshops and transition support events. Resources to engage and support this cohort have also been developed and disseminated.</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rsidRPr="001A2F85" w14:paraId="52B53B37" w14:textId="77777777" w:rsidTr="003907BB">
        <w:trPr>
          <w:cantSplit/>
        </w:trPr>
        <w:tc>
          <w:tcPr>
            <w:tcW w:w="8614" w:type="dxa"/>
            <w:tcMar>
              <w:top w:w="160" w:type="dxa"/>
              <w:left w:w="446" w:type="dxa"/>
            </w:tcMar>
          </w:tcPr>
          <w:p w14:paraId="4D15A705" w14:textId="77777777" w:rsidR="003907BB" w:rsidRPr="001A2F85" w:rsidRDefault="003907BB" w:rsidP="003907BB">
            <w:pPr>
              <w:pStyle w:val="Caption"/>
            </w:pPr>
            <w:bookmarkStart w:id="209" w:name="_Ref462656618"/>
            <w:bookmarkStart w:id="210" w:name="_Toc466657018"/>
            <w:r w:rsidRPr="001A2F85">
              <w:rPr>
                <w:rStyle w:val="CaptionLabel"/>
              </w:rPr>
              <w:t>Box </w:t>
            </w:r>
            <w:r w:rsidR="008C090E">
              <w:rPr>
                <w:rStyle w:val="CaptionLabel"/>
                <w:noProof/>
              </w:rPr>
              <w:t>5</w:t>
            </w:r>
            <w:r w:rsidRPr="001A2F85">
              <w:rPr>
                <w:rStyle w:val="CaptionLabel"/>
              </w:rPr>
              <w:t>.</w:t>
            </w:r>
            <w:r w:rsidR="008C090E">
              <w:rPr>
                <w:rStyle w:val="CaptionLabel"/>
                <w:noProof/>
              </w:rPr>
              <w:t>1</w:t>
            </w:r>
            <w:bookmarkEnd w:id="209"/>
            <w:r w:rsidRPr="001A2F85">
              <w:tab/>
              <w:t>Adult Learner project, Griffith University</w:t>
            </w:r>
            <w:bookmarkEnd w:id="210"/>
          </w:p>
        </w:tc>
      </w:tr>
      <w:tr w:rsidR="003907BB" w:rsidRPr="001A2F85" w14:paraId="54875E8E" w14:textId="77777777" w:rsidTr="003907BB">
        <w:trPr>
          <w:cantSplit/>
          <w:trHeight w:hRule="exact" w:val="380"/>
        </w:trPr>
        <w:tc>
          <w:tcPr>
            <w:tcW w:w="8614" w:type="dxa"/>
            <w:shd w:val="clear" w:color="auto" w:fill="E4E0DD"/>
          </w:tcPr>
          <w:p w14:paraId="0DAD8300"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29568" behindDoc="0" locked="1" layoutInCell="1" allowOverlap="1" wp14:anchorId="01C8AE0F" wp14:editId="247B6A70">
                      <wp:simplePos x="0" y="0"/>
                      <wp:positionH relativeFrom="rightMargin">
                        <wp:posOffset>-772795</wp:posOffset>
                      </wp:positionH>
                      <wp:positionV relativeFrom="page">
                        <wp:posOffset>0</wp:posOffset>
                      </wp:positionV>
                      <wp:extent cx="436880" cy="213360"/>
                      <wp:effectExtent l="0" t="0" r="1270" b="0"/>
                      <wp:wrapNone/>
                      <wp:docPr id="20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227F80" id="Freeform 5" o:spid="_x0000_s1026" style="position:absolute;margin-left:-60.85pt;margin-top:0;width:34.4pt;height:16.8pt;z-index:251629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f8fQ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5Enf8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7A7CABD2" w14:textId="77777777" w:rsidTr="003907BB">
        <w:trPr>
          <w:cantSplit/>
        </w:trPr>
        <w:tc>
          <w:tcPr>
            <w:tcW w:w="8614" w:type="dxa"/>
            <w:shd w:val="clear" w:color="auto" w:fill="E4E0DD"/>
            <w:tcMar>
              <w:top w:w="276" w:type="dxa"/>
              <w:bottom w:w="184" w:type="dxa"/>
              <w:right w:w="120" w:type="dxa"/>
            </w:tcMar>
          </w:tcPr>
          <w:p w14:paraId="68435955" w14:textId="47E977F9" w:rsidR="003907BB" w:rsidRPr="001A2F85" w:rsidRDefault="003907BB" w:rsidP="003907BB">
            <w:pPr>
              <w:pStyle w:val="BoxText"/>
            </w:pPr>
            <w:r w:rsidRPr="001A2F85">
              <w:t xml:space="preserve">Griffith University’s Adult Learner </w:t>
            </w:r>
            <w:r>
              <w:t>P</w:t>
            </w:r>
            <w:r w:rsidRPr="001A2F85">
              <w:t>roject aims to share information and provide decision-making support about which pathways and courses provide the most appropriate higher education options for adult learners from low-income and equity backgrounds.</w:t>
            </w:r>
            <w:r>
              <w:t xml:space="preserve"> It targets a</w:t>
            </w:r>
            <w:r w:rsidRPr="0040435D">
              <w:t xml:space="preserve">dult learners enrolled in bridging and pathway programs at TAFE </w:t>
            </w:r>
            <w:r>
              <w:t>or with</w:t>
            </w:r>
            <w:r w:rsidRPr="0040435D">
              <w:t xml:space="preserve"> private providers </w:t>
            </w:r>
            <w:r>
              <w:t>as well as</w:t>
            </w:r>
            <w:r w:rsidRPr="0040435D">
              <w:t xml:space="preserve"> community-based programs that include specific groups such as refugees or adults/pare</w:t>
            </w:r>
            <w:r>
              <w:t>nts from low</w:t>
            </w:r>
            <w:r w:rsidR="00E758AE">
              <w:t>-</w:t>
            </w:r>
            <w:r>
              <w:t>income backgrounds.</w:t>
            </w:r>
            <w:r>
              <w:rPr>
                <w:vertAlign w:val="superscript"/>
              </w:rPr>
              <w:t>a</w:t>
            </w:r>
            <w:r w:rsidRPr="0040435D">
              <w:t xml:space="preserve"> </w:t>
            </w:r>
            <w:r w:rsidRPr="001A2F85">
              <w:t>Program activities have been designed to encourage the higher education aspirations of non-school leavers and improve their confidence and skills for successful transition to tertiary study.</w:t>
            </w:r>
          </w:p>
          <w:p w14:paraId="7AC6F35B" w14:textId="77777777" w:rsidR="003907BB" w:rsidRPr="001A2F85" w:rsidRDefault="003907BB" w:rsidP="003907BB">
            <w:pPr>
              <w:pStyle w:val="BoxText"/>
            </w:pPr>
            <w:r w:rsidRPr="001A2F85">
              <w:t>Some 93 events were delivered in Brisbane, Logan, Gold Coast and northern NSW regions in 2015, involving 22 partner organisations. There were 2,286 engagements with potential students from equity backgrounds and 13 mentors were involved.</w:t>
            </w:r>
          </w:p>
          <w:p w14:paraId="3D72F653" w14:textId="77777777" w:rsidR="003907BB" w:rsidRPr="001A2F85" w:rsidRDefault="003907BB" w:rsidP="003907BB">
            <w:pPr>
              <w:pStyle w:val="BoxText"/>
            </w:pPr>
            <w:r w:rsidRPr="001A2F85">
              <w:t xml:space="preserve">During Adult Learners Week in September 2015, 34 Awards were presented to adult learners by Dr Jim Chalmers MP, federal member for Rankin. These bursaries acknowledge academic potential and encourage tertiary aspirations. The second Adult Learners’ Week Celebration 2015 was held 2 September on the Logan campus to recognize the diverse experiences of adult learners and to celebrate and reward their academic efforts. The event attracted 115 participants and involved potential students enrolled in various local TAFE pathway programs, Senior Secondary Colleges and some community-based partner organisations. </w:t>
            </w:r>
          </w:p>
          <w:p w14:paraId="7E60A930" w14:textId="77777777" w:rsidR="003907BB" w:rsidRPr="001A2F85" w:rsidRDefault="003907BB" w:rsidP="003907BB">
            <w:pPr>
              <w:pStyle w:val="BoxText"/>
            </w:pPr>
            <w:r w:rsidRPr="001A2F85">
              <w:t>A new transition support program for mature age students was developed in 2015. The ‘Coffee Catch Up Club’ was developed recognizing that mature age students from low SES and equity backgrounds have specific support needs as they transition from TAFE, VET or alternative pathways. 152 student engagements were achieved via this initiative in 2015.</w:t>
            </w:r>
          </w:p>
          <w:p w14:paraId="5D478AE0" w14:textId="77777777" w:rsidR="003907BB" w:rsidRPr="001A2F85" w:rsidRDefault="003907BB" w:rsidP="003907BB">
            <w:pPr>
              <w:pStyle w:val="BoxText"/>
            </w:pPr>
            <w:r w:rsidRPr="001A2F85">
              <w:t>Overall, participants have rated their experiences positively. Evaluation data collected from a range of student groups who attended an On-campus Experience showed that 91 per cent agreed/strongly agreed that their on-campus visit increased their understanding about university and 90 per cent agreed/strongly agreed that their on-campus visit increased their confidence in attending university.</w:t>
            </w:r>
          </w:p>
          <w:p w14:paraId="1CA797B5" w14:textId="77777777" w:rsidR="003907BB" w:rsidRPr="001A2F85" w:rsidRDefault="003907BB" w:rsidP="003907BB">
            <w:pPr>
              <w:pStyle w:val="BoxText"/>
            </w:pPr>
            <w:r w:rsidRPr="001A2F85">
              <w:t xml:space="preserve">One </w:t>
            </w:r>
            <w:r w:rsidR="00C940AA">
              <w:t>written</w:t>
            </w:r>
            <w:r>
              <w:t xml:space="preserve"> submission to</w:t>
            </w:r>
            <w:r w:rsidRPr="001A2F85">
              <w:t xml:space="preserve"> this evaluation noted:</w:t>
            </w:r>
          </w:p>
          <w:p w14:paraId="6473B68B" w14:textId="77777777" w:rsidR="003907BB" w:rsidRPr="001A2F85" w:rsidRDefault="003907BB" w:rsidP="003907BB">
            <w:pPr>
              <w:pStyle w:val="BoxQuote"/>
            </w:pPr>
            <w:r w:rsidRPr="001A2F85">
              <w:t>Assistance provided by Griffith University to the Adult Tertiary Preparation program (ATP) delivered at the TAFE QLD Brisbane – Logan Campus, has created a partnership by both institutions to collectively support students on further career pathways.</w:t>
            </w:r>
          </w:p>
          <w:p w14:paraId="462EF0C0" w14:textId="77777777" w:rsidR="003907BB" w:rsidRPr="001A2F85" w:rsidRDefault="003907BB" w:rsidP="003907BB">
            <w:pPr>
              <w:pStyle w:val="BoxQuote"/>
            </w:pPr>
            <w:r w:rsidRPr="001A2F85">
              <w:t>Assistance provided to TAFE QLD Brisbane Senior College has produced positive opportunities for year 12 students to consider a University Pathway. Activities under the HEPP funding have encourage</w:t>
            </w:r>
            <w:r>
              <w:t>d</w:t>
            </w:r>
            <w:r w:rsidRPr="001A2F85">
              <w:t xml:space="preserve"> students to consider a University Pathway that previously they may not have thought they were able to achieve. </w:t>
            </w:r>
          </w:p>
          <w:p w14:paraId="11D6D211" w14:textId="77777777" w:rsidR="003907BB" w:rsidRDefault="003907BB" w:rsidP="003907BB">
            <w:pPr>
              <w:pStyle w:val="BoxQuote"/>
            </w:pPr>
            <w:r w:rsidRPr="001A2F85">
              <w:t xml:space="preserve">Working collaboratively with Griffith University our ATP students have benefited not only from the (TAFE) curriculum but </w:t>
            </w:r>
            <w:r>
              <w:t>[</w:t>
            </w:r>
            <w:r w:rsidRPr="001A2F85">
              <w:t>also</w:t>
            </w:r>
            <w:r>
              <w:t>]</w:t>
            </w:r>
            <w:r w:rsidRPr="001A2F85">
              <w:t xml:space="preserve"> the range of activities and rewards that Griffith University has offered. This has increased self-esteem and confidence of students in readiness for University. Griffith clearly define requirements and support mechanisms for year</w:t>
            </w:r>
            <w:r>
              <w:t> </w:t>
            </w:r>
            <w:r w:rsidRPr="001A2F85">
              <w:t>12 students who identity as wishing to follow a University pathway.</w:t>
            </w:r>
          </w:p>
          <w:p w14:paraId="79458142" w14:textId="77777777" w:rsidR="003907BB" w:rsidRPr="001A2F85" w:rsidRDefault="003907BB" w:rsidP="00AD49C8">
            <w:pPr>
              <w:pStyle w:val="BoxQuoteSource"/>
            </w:pPr>
            <w:r>
              <w:t>TAFE QLD Brisbane, Submission 59</w:t>
            </w:r>
          </w:p>
        </w:tc>
      </w:tr>
      <w:tr w:rsidR="003907BB" w:rsidRPr="001A2F85" w14:paraId="430D5B5D" w14:textId="77777777" w:rsidTr="00AD49C8">
        <w:trPr>
          <w:cantSplit/>
          <w:trHeight w:val="589"/>
        </w:trPr>
        <w:tc>
          <w:tcPr>
            <w:tcW w:w="8614" w:type="dxa"/>
            <w:tcMar>
              <w:top w:w="12" w:type="dxa"/>
              <w:left w:w="446" w:type="dxa"/>
              <w:bottom w:w="113" w:type="dxa"/>
            </w:tcMar>
          </w:tcPr>
          <w:p w14:paraId="1BD89865" w14:textId="77777777" w:rsidR="003907BB" w:rsidRPr="00AD49C8" w:rsidRDefault="003907BB" w:rsidP="003907BB">
            <w:pPr>
              <w:pStyle w:val="Source"/>
              <w:rPr>
                <w:i w:val="0"/>
                <w:caps w:val="0"/>
              </w:rPr>
            </w:pPr>
            <w:r w:rsidRPr="00AD49C8">
              <w:rPr>
                <w:i w:val="0"/>
                <w:caps w:val="0"/>
                <w:vertAlign w:val="superscript"/>
              </w:rPr>
              <w:t>a</w:t>
            </w:r>
            <w:r w:rsidRPr="00AD49C8">
              <w:rPr>
                <w:i w:val="0"/>
                <w:caps w:val="0"/>
              </w:rPr>
              <w:t xml:space="preserve"> As noted in </w:t>
            </w:r>
            <w:r w:rsidR="00C71CE9">
              <w:rPr>
                <w:i w:val="0"/>
                <w:caps w:val="0"/>
              </w:rPr>
              <w:t>S</w:t>
            </w:r>
            <w:r w:rsidRPr="00AD49C8">
              <w:rPr>
                <w:i w:val="0"/>
                <w:caps w:val="0"/>
              </w:rPr>
              <w:t xml:space="preserve">ection </w:t>
            </w:r>
            <w:r w:rsidRPr="00D5199C">
              <w:rPr>
                <w:i w:val="0"/>
                <w:caps w:val="0"/>
              </w:rPr>
              <w:t xml:space="preserve">1.1.1, there </w:t>
            </w:r>
            <w:r>
              <w:rPr>
                <w:i w:val="0"/>
                <w:caps w:val="0"/>
              </w:rPr>
              <w:t>may be</w:t>
            </w:r>
            <w:r w:rsidRPr="00D5199C">
              <w:rPr>
                <w:i w:val="0"/>
                <w:caps w:val="0"/>
              </w:rPr>
              <w:t xml:space="preserve"> issues around consideration of </w:t>
            </w:r>
            <w:r>
              <w:rPr>
                <w:i w:val="0"/>
                <w:caps w:val="0"/>
              </w:rPr>
              <w:t>‘low SES status’ for mature age students, and in some cases low-income is used as a proxy.</w:t>
            </w:r>
          </w:p>
          <w:p w14:paraId="5F5B0CF7" w14:textId="77777777" w:rsidR="003907BB" w:rsidRPr="001A2F85" w:rsidRDefault="003907BB" w:rsidP="003907BB">
            <w:pPr>
              <w:pStyle w:val="Source"/>
            </w:pPr>
            <w:r w:rsidRPr="001A2F85">
              <w:t xml:space="preserve">Source: </w:t>
            </w:r>
            <w:r w:rsidRPr="00537495">
              <w:t xml:space="preserve">Griffith University </w:t>
            </w:r>
            <w:r w:rsidRPr="00AD49C8">
              <w:t xml:space="preserve">HEPPP ANNUAL REPORT </w:t>
            </w:r>
            <w:r w:rsidRPr="00537495">
              <w:t>2015,  Annual HEPPP report; GRIFFITH UNIVERSITY Adult Learner evaluation Summary 2012-2016; TAFE</w:t>
            </w:r>
            <w:r>
              <w:t xml:space="preserve"> QLD Brisbane, submission 59</w:t>
            </w:r>
          </w:p>
        </w:tc>
      </w:tr>
    </w:tbl>
    <w:p w14:paraId="7276CD62" w14:textId="77777777" w:rsidR="003907BB" w:rsidRPr="001A2F85" w:rsidRDefault="003907BB" w:rsidP="003907BB">
      <w:pPr>
        <w:pStyle w:val="Heading3"/>
      </w:pPr>
      <w:r w:rsidRPr="001A2F85">
        <w:t>Foundation programs for extra academic skills</w:t>
      </w:r>
    </w:p>
    <w:p w14:paraId="52B21732" w14:textId="0BF8D7CD" w:rsidR="003907BB" w:rsidRDefault="003907BB" w:rsidP="003907BB">
      <w:pPr>
        <w:pStyle w:val="BodyText"/>
      </w:pPr>
      <w:r w:rsidRPr="001A2F85">
        <w:t xml:space="preserve">Foundation studies and other preparatory courses have been available for some time. In the past, they have often </w:t>
      </w:r>
      <w:r w:rsidR="004F03C4">
        <w:t>focused</w:t>
      </w:r>
      <w:r w:rsidRPr="001A2F85">
        <w:t xml:space="preserve"> on assisting foreign students to meet university entry </w:t>
      </w:r>
      <w:r w:rsidR="00E758AE" w:rsidRPr="001A2F85">
        <w:t>requirements</w:t>
      </w:r>
      <w:r w:rsidR="00E758AE">
        <w:t>;</w:t>
      </w:r>
      <w:r>
        <w:t xml:space="preserve"> however there are now courses open to all students and many for students from disadvantaged backgrounds</w:t>
      </w:r>
      <w:r w:rsidRPr="001A2F85">
        <w:t xml:space="preserve">. Several universities use these types of programs to facilitate the entry of students who have experienced educational disadvantage but have been identified as having the potential to succeed at university. School principals, in consultation with </w:t>
      </w:r>
      <w:r w:rsidR="008D6E69">
        <w:t xml:space="preserve">the </w:t>
      </w:r>
      <w:r w:rsidRPr="001A2F85">
        <w:t>relevant faculty</w:t>
      </w:r>
      <w:r>
        <w:t>,</w:t>
      </w:r>
      <w:r w:rsidRPr="001A2F85">
        <w:t xml:space="preserve"> can recommend such students to participate in a special access or degree program.</w:t>
      </w:r>
    </w:p>
    <w:p w14:paraId="1530B6E7" w14:textId="77777777" w:rsidR="003907BB" w:rsidRDefault="003907BB" w:rsidP="003907BB">
      <w:pPr>
        <w:pStyle w:val="BodyText"/>
      </w:pPr>
      <w:r w:rsidRPr="001A2F85">
        <w:t xml:space="preserve">Relatively little HEPPP funding has been invested in these types of courses, possibly because they are already an established part of access arrangements. </w:t>
      </w:r>
      <w:r>
        <w:t xml:space="preserve">In addition, entry to many courses is not contingent on </w:t>
      </w:r>
      <w:r w:rsidR="00F641AC">
        <w:t xml:space="preserve">the </w:t>
      </w:r>
      <w:r>
        <w:t>student</w:t>
      </w:r>
      <w:r w:rsidR="00F641AC">
        <w:t xml:space="preserve"> </w:t>
      </w:r>
      <w:r w:rsidR="0093484B">
        <w:t>having</w:t>
      </w:r>
      <w:r w:rsidR="00F641AC">
        <w:t xml:space="preserve"> a low</w:t>
      </w:r>
      <w:r>
        <w:t xml:space="preserve"> SES</w:t>
      </w:r>
      <w:r w:rsidR="00F641AC">
        <w:t xml:space="preserve"> background</w:t>
      </w:r>
      <w:r w:rsidR="0093484B">
        <w:t>,</w:t>
      </w:r>
      <w:r>
        <w:t xml:space="preserve"> but is either open to all students or to students from otherwise disadvantaged backgrounds, which may mean that the program is only partially funded through the HEPPP. For many programs it may not be possible to restrict entry to a particular cohort (for example, low SES students), and during consultations stakeholders also noted that even if it were possible it could be counterproductive by leading to stigmatisation</w:t>
      </w:r>
      <w:r w:rsidR="00CA090C">
        <w:t xml:space="preserve"> of low SES students</w:t>
      </w:r>
      <w:r>
        <w:t>. The University Preparation Program at the University of Tasmania is designed for mature age students, people who did not complete Years 11 and/or 12, and for students currently enrolled in a degree who are struggling with their studies, rather than for the low SES student cohort. The program receives funding through the HEPPP and directly from the university.</w:t>
      </w:r>
    </w:p>
    <w:p w14:paraId="08E57850" w14:textId="71B5ACCB" w:rsidR="003907BB" w:rsidRPr="001A2F85" w:rsidRDefault="003907BB" w:rsidP="003907BB">
      <w:pPr>
        <w:pStyle w:val="BodyText"/>
      </w:pPr>
      <w:r>
        <w:t>In many cases, universities’ foundation programs predate the HEPPP</w:t>
      </w:r>
      <w:r w:rsidR="008708D3">
        <w:t>;</w:t>
      </w:r>
      <w:r>
        <w:t xml:space="preserve"> however universities have used HEPPP funding to provide additional support for students from equity groups or to embed more inclusive pedagogies into the programs. </w:t>
      </w:r>
      <w:r w:rsidRPr="001A2F85">
        <w:t xml:space="preserve">In the case of </w:t>
      </w:r>
      <w:r w:rsidR="0098304D">
        <w:t>ACU</w:t>
      </w:r>
      <w:r w:rsidRPr="001A2F85">
        <w:t>, s</w:t>
      </w:r>
      <w:r w:rsidR="00CA090C">
        <w:t>tudents</w:t>
      </w:r>
      <w:r w:rsidRPr="001A2F85">
        <w:t xml:space="preserve"> </w:t>
      </w:r>
      <w:r w:rsidR="00CA090C">
        <w:t>from equity groups</w:t>
      </w:r>
      <w:r w:rsidR="00CA090C" w:rsidRPr="001A2F85">
        <w:t xml:space="preserve"> </w:t>
      </w:r>
      <w:r w:rsidRPr="001A2F85">
        <w:t>participate in ACU Smart</w:t>
      </w:r>
      <w:r>
        <w:t xml:space="preserve"> </w:t>
      </w:r>
      <w:r w:rsidRPr="001A2F85">
        <w:t xml:space="preserve">and are supported by an academic skills advisor throughout their first year. Students wishing to enrol at ACU who do not have sufficient pre-requisites to start a degree course have </w:t>
      </w:r>
      <w:r w:rsidR="00CA090C">
        <w:t xml:space="preserve">a variety of entry </w:t>
      </w:r>
      <w:r w:rsidRPr="001A2F85">
        <w:t xml:space="preserve">pathways </w:t>
      </w:r>
      <w:r w:rsidR="00CA090C">
        <w:t>available to them</w:t>
      </w:r>
      <w:r w:rsidR="00CA090C" w:rsidRPr="001A2F85">
        <w:t xml:space="preserve"> </w:t>
      </w:r>
      <w:r w:rsidRPr="001A2F85">
        <w:t xml:space="preserve">that include Diploma courses, or VET courses offered by ACUcom. This is discussed in more detail in </w:t>
      </w:r>
      <w:r w:rsidR="008C090E" w:rsidRPr="00AD49C8">
        <w:t>Box 5.3</w:t>
      </w:r>
      <w:r w:rsidRPr="001A2F85">
        <w:t xml:space="preserve"> below.</w:t>
      </w:r>
      <w:r>
        <w:t xml:space="preserve"> Since 2010, the program has received over $10,000 HEPPP Participation funding annually.</w:t>
      </w:r>
    </w:p>
    <w:p w14:paraId="664557F9" w14:textId="77777777" w:rsidR="003907BB" w:rsidRDefault="003907BB" w:rsidP="003907BB">
      <w:pPr>
        <w:pStyle w:val="BodyText"/>
      </w:pPr>
      <w:r w:rsidRPr="001A2F85">
        <w:t xml:space="preserve">The University of South Australia also provides a Foundation Studies </w:t>
      </w:r>
      <w:r>
        <w:t xml:space="preserve">program </w:t>
      </w:r>
      <w:r w:rsidRPr="001A2F85">
        <w:t>at the UniSA College</w:t>
      </w:r>
      <w:r>
        <w:t xml:space="preserve">, a </w:t>
      </w:r>
      <w:r w:rsidRPr="001A2F85">
        <w:t>one-year full-time on-campus course to build students’ literary skills and confidence.</w:t>
      </w:r>
      <w:r>
        <w:t xml:space="preserve"> The program was designed as part of the university’s Participation Strategy, to increase the participation of students from low SES and other traditionally under-represented backgrounds.</w:t>
      </w:r>
      <w:r w:rsidRPr="003D3C8A">
        <w:t xml:space="preserve"> </w:t>
      </w:r>
      <w:r>
        <w:t>Since it was established in 2010, the College has received funding through the HEPPP Participation component each year—over $1 million annually from 2011 to 2015.</w:t>
      </w:r>
      <w:r w:rsidRPr="003D3C8A">
        <w:t xml:space="preserve"> </w:t>
      </w:r>
      <w:r>
        <w:t>In 2015, 87 per cent of the 225 students who completed the Foundation Studies program received an undergraduate offer at the University of South Australia (University of South Australia HEPPP Annual Report 2015).</w:t>
      </w:r>
    </w:p>
    <w:p w14:paraId="0D4CCD2B" w14:textId="77777777" w:rsidR="003907BB" w:rsidRPr="001A2F85" w:rsidRDefault="003907BB" w:rsidP="003907BB">
      <w:pPr>
        <w:pStyle w:val="BodyText"/>
      </w:pPr>
      <w:r w:rsidRPr="001A2F85">
        <w:t>The</w:t>
      </w:r>
      <w:r>
        <w:t xml:space="preserve"> University of Newcastle has used HEPPP funds for the design and implementation of a suite of learning support measures to assist enabling students with the transition to university (</w:t>
      </w:r>
      <w:r w:rsidR="008C090E" w:rsidRPr="00AD49C8">
        <w:t>Box 5.2</w:t>
      </w:r>
      <w:r>
        <w:t xml:space="preserve">).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rsidRPr="001A2F85" w14:paraId="5F5A0010" w14:textId="77777777" w:rsidTr="003907BB">
        <w:trPr>
          <w:cantSplit/>
        </w:trPr>
        <w:tc>
          <w:tcPr>
            <w:tcW w:w="8614" w:type="dxa"/>
            <w:tcMar>
              <w:top w:w="160" w:type="dxa"/>
              <w:left w:w="446" w:type="dxa"/>
            </w:tcMar>
          </w:tcPr>
          <w:p w14:paraId="566798B3" w14:textId="77777777" w:rsidR="003907BB" w:rsidRPr="001A2F85" w:rsidRDefault="003907BB" w:rsidP="003907BB">
            <w:pPr>
              <w:pStyle w:val="Caption"/>
            </w:pPr>
            <w:bookmarkStart w:id="211" w:name="_Ref462654743"/>
            <w:bookmarkStart w:id="212" w:name="_Ref464651619"/>
            <w:bookmarkStart w:id="213" w:name="_Toc466657019"/>
            <w:r w:rsidRPr="001A2F85">
              <w:rPr>
                <w:rStyle w:val="CaptionLabel"/>
              </w:rPr>
              <w:t>Box </w:t>
            </w:r>
            <w:r w:rsidR="008C090E">
              <w:rPr>
                <w:rStyle w:val="CaptionLabel"/>
                <w:noProof/>
              </w:rPr>
              <w:t>5</w:t>
            </w:r>
            <w:r w:rsidRPr="001A2F85">
              <w:rPr>
                <w:rStyle w:val="CaptionLabel"/>
              </w:rPr>
              <w:t>.</w:t>
            </w:r>
            <w:r w:rsidR="008C090E">
              <w:rPr>
                <w:rStyle w:val="CaptionLabel"/>
                <w:noProof/>
              </w:rPr>
              <w:t>2</w:t>
            </w:r>
            <w:bookmarkEnd w:id="211"/>
            <w:r w:rsidRPr="001A2F85">
              <w:tab/>
              <w:t>Open Foundation support, University of Newcastle</w:t>
            </w:r>
            <w:bookmarkEnd w:id="212"/>
            <w:bookmarkEnd w:id="213"/>
          </w:p>
        </w:tc>
      </w:tr>
      <w:tr w:rsidR="003907BB" w:rsidRPr="001A2F85" w14:paraId="06DB4B7E" w14:textId="77777777" w:rsidTr="003907BB">
        <w:trPr>
          <w:cantSplit/>
          <w:trHeight w:hRule="exact" w:val="380"/>
        </w:trPr>
        <w:tc>
          <w:tcPr>
            <w:tcW w:w="8614" w:type="dxa"/>
            <w:shd w:val="clear" w:color="auto" w:fill="E4E0DD"/>
          </w:tcPr>
          <w:p w14:paraId="1AC15B61"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28544" behindDoc="0" locked="1" layoutInCell="1" allowOverlap="1" wp14:anchorId="068E54ED" wp14:editId="2DAF13BE">
                      <wp:simplePos x="0" y="0"/>
                      <wp:positionH relativeFrom="rightMargin">
                        <wp:posOffset>-772795</wp:posOffset>
                      </wp:positionH>
                      <wp:positionV relativeFrom="page">
                        <wp:posOffset>0</wp:posOffset>
                      </wp:positionV>
                      <wp:extent cx="436880" cy="213360"/>
                      <wp:effectExtent l="0" t="0" r="1270" b="0"/>
                      <wp:wrapNone/>
                      <wp:docPr id="20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725DB2" id="Freeform 5" o:spid="_x0000_s1026" style="position:absolute;margin-left:-60.85pt;margin-top:0;width:34.4pt;height:16.8pt;z-index:251628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I1obcF/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562AA8B4" w14:textId="77777777" w:rsidTr="003907BB">
        <w:trPr>
          <w:cantSplit/>
        </w:trPr>
        <w:tc>
          <w:tcPr>
            <w:tcW w:w="8614" w:type="dxa"/>
            <w:shd w:val="clear" w:color="auto" w:fill="E4E0DD"/>
            <w:tcMar>
              <w:top w:w="276" w:type="dxa"/>
              <w:bottom w:w="184" w:type="dxa"/>
              <w:right w:w="120" w:type="dxa"/>
            </w:tcMar>
          </w:tcPr>
          <w:p w14:paraId="25EBDD8B" w14:textId="77777777" w:rsidR="003907BB" w:rsidRDefault="003907BB" w:rsidP="003907BB">
            <w:pPr>
              <w:pStyle w:val="BoxText"/>
            </w:pPr>
            <w:r>
              <w:t xml:space="preserve">The University of Newcastle’s Open Foundation Program was established in 1974. It ‘provides </w:t>
            </w:r>
            <w:r w:rsidRPr="001A2F85">
              <w:t xml:space="preserve">students </w:t>
            </w:r>
            <w:r>
              <w:t>with a pathway to university</w:t>
            </w:r>
            <w:r w:rsidRPr="001A2F85">
              <w:t xml:space="preserve"> </w:t>
            </w:r>
            <w:r>
              <w:t>and a preparation for tertiary study’ (Bennett et al</w:t>
            </w:r>
            <w:r w:rsidR="009F5C29">
              <w:t>.</w:t>
            </w:r>
            <w:r>
              <w:t xml:space="preserve"> 2015). The University has used HEPPP funding to introduce extra support measures that were intended ‘to increase the retention and success of students from low SES backgrounds’ enrolled in its enabling programs, as it recognised that these programs ‘contain a higher percentage of low SES students than other student cohorts in higher education’. As noted earlier in this chapter, in many cases entry to such programs is not restricted to low SES students only. For example, in 2015 approximately 36 per cent of enabling program students were from low SES backgrounds and 62 per cent were the first in their family to access higher education.</w:t>
            </w:r>
          </w:p>
          <w:p w14:paraId="649EDCE2" w14:textId="77777777" w:rsidR="003907BB" w:rsidRDefault="003907BB" w:rsidP="003907BB">
            <w:pPr>
              <w:pStyle w:val="BoxText"/>
            </w:pPr>
            <w:r>
              <w:t>The University reports that ‘the HEPPP has provided an opportunity to refine teaching and learning practices within enabling programs so that support is embedded into programs, rather than an optional extra for students’. These support measures include embedded career information and advice, as well as an expansion of earning support models such as Peer Assisted Study Sessions and tutorial support clinics. Student Liaison Officers also monitor student engagement and follow up with students identified to be at risk of not completing their program, through scheduled appointments, drop-in visits, class presentations, telephone calls and online contact</w:t>
            </w:r>
            <w:r w:rsidRPr="001A2F85">
              <w:t>.</w:t>
            </w:r>
          </w:p>
          <w:p w14:paraId="3D8CBD91" w14:textId="5792EB48" w:rsidR="003907BB" w:rsidRDefault="003907BB" w:rsidP="003907BB">
            <w:pPr>
              <w:pStyle w:val="BoxText"/>
            </w:pPr>
            <w:r>
              <w:t>Participant feedback is positive, with 81.7 per cent of participants rating the online Open Foundation Program as ‘excellent’. The program underwent an internal review by the university in 2013, which found that</w:t>
            </w:r>
            <w:r w:rsidR="008708D3">
              <w:t>,</w:t>
            </w:r>
            <w:r>
              <w:t xml:space="preserve"> over the life of the program (since 1974), approximately 90 per cent of Open Foundation students went on to study degree programs. It also found, for example, that in 2011, almost 13 per cent of the students who received the University Medal (a</w:t>
            </w:r>
            <w:r w:rsidRPr="00093A9D">
              <w:t>warded annually to undergraduate students who have shown exceptional academic merit</w:t>
            </w:r>
            <w:r>
              <w:t>) had completed the Open Foundation course as their pathway to university entry.</w:t>
            </w:r>
          </w:p>
          <w:p w14:paraId="5B5139FE" w14:textId="77777777" w:rsidR="003907BB" w:rsidRPr="001A2F85" w:rsidRDefault="003907BB" w:rsidP="00AD49C8">
            <w:pPr>
              <w:pStyle w:val="BoxText"/>
            </w:pPr>
            <w:r>
              <w:t>Changes continue to be made to the program in response to student need—for example, since the Online Learning Coordinator position was introduced in 2015, a 500 per cent increase in online forum posts/engagement has been observed. Early engagement with the forum is considered to be critical to students’ retention and success.</w:t>
            </w:r>
          </w:p>
        </w:tc>
      </w:tr>
      <w:tr w:rsidR="003907BB" w:rsidRPr="001A2F85" w14:paraId="5F9BD5A6" w14:textId="77777777" w:rsidTr="003907BB">
        <w:trPr>
          <w:cantSplit/>
        </w:trPr>
        <w:tc>
          <w:tcPr>
            <w:tcW w:w="8614" w:type="dxa"/>
            <w:tcMar>
              <w:top w:w="12" w:type="dxa"/>
              <w:left w:w="446" w:type="dxa"/>
              <w:bottom w:w="113" w:type="dxa"/>
            </w:tcMar>
          </w:tcPr>
          <w:p w14:paraId="3D96DCA7" w14:textId="77777777" w:rsidR="003907BB" w:rsidRPr="001A2F85" w:rsidRDefault="003907BB" w:rsidP="003907BB">
            <w:pPr>
              <w:pStyle w:val="Source"/>
            </w:pPr>
            <w:r w:rsidRPr="001A2F85">
              <w:t>Source: University of newcastle HEPPP annual report 2015</w:t>
            </w:r>
            <w:r>
              <w:t>; Bennett et al</w:t>
            </w:r>
            <w:r w:rsidR="009F5C29">
              <w:t>.</w:t>
            </w:r>
            <w:r>
              <w:t xml:space="preserve"> 2015</w:t>
            </w:r>
          </w:p>
        </w:tc>
      </w:tr>
    </w:tbl>
    <w:p w14:paraId="7860191E" w14:textId="77777777" w:rsidR="003907BB" w:rsidRPr="001A2F85" w:rsidRDefault="003907BB" w:rsidP="003907BB">
      <w:pPr>
        <w:pStyle w:val="Heading3"/>
      </w:pPr>
      <w:r w:rsidRPr="001A2F85">
        <w:t>Inclusive entry processes</w:t>
      </w:r>
    </w:p>
    <w:p w14:paraId="19B08F9C" w14:textId="77777777" w:rsidR="003907BB" w:rsidRPr="001A2F85" w:rsidRDefault="003907BB" w:rsidP="003907BB">
      <w:pPr>
        <w:pStyle w:val="BodyText"/>
      </w:pPr>
      <w:r w:rsidRPr="001A2F85">
        <w:t>The purpose of inclusive entry processes is to take into account factors other than previous academic achievement in admitting students to universities. Some universities have specific admissions policies to assist students from low</w:t>
      </w:r>
      <w:r w:rsidR="002810F1">
        <w:t xml:space="preserve"> </w:t>
      </w:r>
      <w:r w:rsidRPr="001A2F85">
        <w:t>SES backgrounds and other equity groups to gain entry. This may be through accepting a lower ATAR for students from low SES schools</w:t>
      </w:r>
      <w:r>
        <w:t xml:space="preserve"> or</w:t>
      </w:r>
      <w:r w:rsidRPr="001A2F85">
        <w:t xml:space="preserve"> arrangements for VET and mature age students to gain admission to universities, including recognition of prior learning.</w:t>
      </w:r>
      <w:r>
        <w:t xml:space="preserve"> </w:t>
      </w:r>
      <w:r w:rsidRPr="001A2F85">
        <w:t>University admission policies to facilitate entry for students from low SES and other equity groups have not drawn on significant HEPPP funding. However some new admissions arrangements have been piloted</w:t>
      </w:r>
      <w:r>
        <w:t xml:space="preserve"> or expanded through the HEPPP.</w:t>
      </w:r>
    </w:p>
    <w:p w14:paraId="258202F4" w14:textId="77777777" w:rsidR="003907BB" w:rsidRDefault="003907BB" w:rsidP="003907BB">
      <w:pPr>
        <w:pStyle w:val="BodyText"/>
      </w:pPr>
      <w:r w:rsidRPr="001A2F85">
        <w:t>Examples of admissions policy measures</w:t>
      </w:r>
      <w:r>
        <w:t xml:space="preserve"> supported by the HEPPP </w:t>
      </w:r>
      <w:r w:rsidRPr="001A2F85">
        <w:t>include consideration of students’ demographic information in addition to academic results. For example,</w:t>
      </w:r>
      <w:r>
        <w:t xml:space="preserve"> Early Offer Year 12</w:t>
      </w:r>
      <w:r w:rsidRPr="001A2F85">
        <w:t xml:space="preserve"> </w:t>
      </w:r>
      <w:r>
        <w:t>(</w:t>
      </w:r>
      <w:r w:rsidRPr="00AD49C8">
        <w:t>E12</w:t>
      </w:r>
      <w:r>
        <w:t>)</w:t>
      </w:r>
      <w:r w:rsidRPr="001A2F85">
        <w:rPr>
          <w:i/>
        </w:rPr>
        <w:t xml:space="preserve"> </w:t>
      </w:r>
      <w:r w:rsidRPr="001A2F85">
        <w:t xml:space="preserve">is an </w:t>
      </w:r>
      <w:r>
        <w:t xml:space="preserve">admissions pathway program offered by the University of Sydney. It is targeted towards Year 12 students across New South Wales from low SES backgrounds, regional and remote areas, and/or Indigenous students. The program’s objective is ‘to provide an admissions scheme which fairly assesses students from disadvantaged backgrounds’ (University of Sydney HEPPP Annual Report 2015). </w:t>
      </w:r>
      <w:r w:rsidRPr="001A2F85">
        <w:t xml:space="preserve">Accepting a lower entry ATAR cut-off for students from low SES schools is a part of this admission process. </w:t>
      </w:r>
      <w:r>
        <w:t>In late 2014, 1,264 applications were received for the E12 scheme, with 625 early conditional offers made prior to the commencement of students’ Year 12 exams. In January 2015, 408 firm offers were made to students, and 235 enrolments occurred. Thirty five university courses were made available through the E12 pathway, across 14 faculties.</w:t>
      </w:r>
    </w:p>
    <w:p w14:paraId="07B815B9" w14:textId="77777777" w:rsidR="003907BB" w:rsidRDefault="00AC0C28" w:rsidP="003907BB">
      <w:pPr>
        <w:pStyle w:val="BodyText"/>
      </w:pPr>
      <w:r>
        <w:t>UWA</w:t>
      </w:r>
      <w:r w:rsidR="003907BB" w:rsidRPr="009E5C48">
        <w:t xml:space="preserve">’s Fairway program </w:t>
      </w:r>
      <w:r w:rsidR="003907BB">
        <w:t>provides an alternative entry pathway for students entering the university</w:t>
      </w:r>
      <w:r w:rsidR="003907BB" w:rsidRPr="009E5C48">
        <w:t>, along with a range of other activities</w:t>
      </w:r>
      <w:r w:rsidR="003907BB">
        <w:t xml:space="preserve"> and support measures for participating students. S</w:t>
      </w:r>
      <w:r w:rsidR="003907BB" w:rsidRPr="009E5C48">
        <w:t xml:space="preserve">panning the Pre-Access, Access and Participation stages of the student life cycle, </w:t>
      </w:r>
      <w:r w:rsidR="003907BB">
        <w:t xml:space="preserve">the Fairway program </w:t>
      </w:r>
      <w:r w:rsidR="003907BB" w:rsidRPr="009E5C48">
        <w:t>supports students from Year 12 (they are selected for the program in Year</w:t>
      </w:r>
      <w:r w:rsidR="003907BB">
        <w:t> </w:t>
      </w:r>
      <w:r w:rsidR="003907BB" w:rsidRPr="009E5C48">
        <w:t>11) through the completion of their schooling and their entry to university, as well as through their university studie</w:t>
      </w:r>
      <w:r w:rsidR="003907BB">
        <w:t>s, with mentoring, scholarships</w:t>
      </w:r>
      <w:r w:rsidR="003907BB" w:rsidRPr="009E5C48">
        <w:t xml:space="preserve"> and </w:t>
      </w:r>
      <w:r w:rsidR="003907BB">
        <w:t xml:space="preserve">other </w:t>
      </w:r>
      <w:r w:rsidR="003907BB" w:rsidRPr="009E5C48">
        <w:t>support</w:t>
      </w:r>
      <w:r w:rsidR="003907BB">
        <w:t>,</w:t>
      </w:r>
      <w:r w:rsidR="003907BB" w:rsidRPr="009E5C48">
        <w:t xml:space="preserve"> </w:t>
      </w:r>
      <w:r w:rsidR="003907BB">
        <w:t>including</w:t>
      </w:r>
      <w:r w:rsidR="003907BB" w:rsidRPr="009E5C48">
        <w:t xml:space="preserve"> an on-campus residential program.</w:t>
      </w:r>
      <w:r w:rsidR="003907BB">
        <w:t xml:space="preserve"> The program is open to ‘students who demonstrate financial disadvantage and other significant challenges in achieving their higher education goals’ (UWA HEPPP Annual Report 2015). Students who complete the Year 12 program successfully are eligible for an offer from UWA that is up to 10 points lower than the standard UWA ATAR cut-off of 80.00. In 2015, 115 students commenced the program, with 90 completing. Of the completing students, over 96 per cent received university offers (87 students). This is representative of other years, with 96.4 per cent of Fairway-completing students between 2012 and 2015 receiving an offer from a university in Western Australia. Student feedback was also positive, with 100 per cent of survey respondents indicating that they would recommend the program to others, and 97.8 per cent agreeing that it had enhanced their motivation to succeed in Year 12. </w:t>
      </w:r>
    </w:p>
    <w:p w14:paraId="3C260DD5" w14:textId="77777777" w:rsidR="003907BB" w:rsidRDefault="003907BB" w:rsidP="003907BB">
      <w:pPr>
        <w:pStyle w:val="BodyText"/>
      </w:pPr>
      <w:r w:rsidRPr="00517F36">
        <w:t>The uniTEST is an alternative selection tool for access to undergraduate courses (except undergraduate Medicine)</w:t>
      </w:r>
      <w:r>
        <w:t xml:space="preserve"> </w:t>
      </w:r>
      <w:r w:rsidRPr="00517F36">
        <w:t xml:space="preserve">at Flinders University, developed by the Australian Council for Educational Research. It is intended to help identify students who have the ability to succeed at university but who may not be eligible based on Year 12 academic results alone. The program was first piloted at Flinders University in 2008 with </w:t>
      </w:r>
      <w:r>
        <w:t xml:space="preserve">pre-HEPPP </w:t>
      </w:r>
      <w:r w:rsidRPr="00517F36">
        <w:t xml:space="preserve">funding from the Department, and has been expanded through HEPPP funding since 2010. There were 167 schools participating in the program in 2015 (an increase from 130 in 2011), with a total of 2,071 students sitting the test. Almost 80 per cent of </w:t>
      </w:r>
      <w:r>
        <w:t>participating</w:t>
      </w:r>
      <w:r w:rsidRPr="00517F36">
        <w:t xml:space="preserve"> schools are considered to be low SES. In total, 267 students received offers to a course at Flinders University as a result of their participation in uniTEST in 2015 (an offer to participation rate of 12.9</w:t>
      </w:r>
      <w:r>
        <w:t> </w:t>
      </w:r>
      <w:r w:rsidRPr="00517F36">
        <w:t>per</w:t>
      </w:r>
      <w:r>
        <w:t> </w:t>
      </w:r>
      <w:r w:rsidRPr="00517F36">
        <w:t xml:space="preserve">cent). Of these, 234 received offers for their preferred course, an increase of 46.2 </w:t>
      </w:r>
      <w:r>
        <w:t>per cent from 2014.</w:t>
      </w:r>
    </w:p>
    <w:p w14:paraId="1AED83FD" w14:textId="77777777" w:rsidR="003907BB" w:rsidRDefault="003907BB" w:rsidP="003907BB">
      <w:pPr>
        <w:pStyle w:val="BodyText"/>
      </w:pPr>
      <w:r>
        <w:t xml:space="preserve">Positive feedback on the project has been received from stakeholders. </w:t>
      </w:r>
      <w:r w:rsidRPr="00517F36">
        <w:t xml:space="preserve">In its submission to the evaluation, </w:t>
      </w:r>
      <w:r>
        <w:t xml:space="preserve">participating school </w:t>
      </w:r>
      <w:r w:rsidRPr="00517F36">
        <w:t>Banksia Park International High School noted that although it did not have data on applications or acceptances at Flinders University following the uniTEST, the school appreciated the ‘flexible nature of the entry process which is helpful for some students’ (Submission</w:t>
      </w:r>
      <w:r w:rsidR="00B44468">
        <w:t> </w:t>
      </w:r>
      <w:r w:rsidRPr="00517F36">
        <w:t>8). The submission from Tyndale Christian School Strathalbyn</w:t>
      </w:r>
      <w:r>
        <w:t>, another participating school,</w:t>
      </w:r>
      <w:r w:rsidRPr="00517F36">
        <w:t xml:space="preserve"> observed that the uniTEST has ‘encouraged students to commit to considering university enrolment’ even though they may be facing financial and other challenges</w:t>
      </w:r>
      <w:r>
        <w:t>,</w:t>
      </w:r>
      <w:r w:rsidRPr="00517F36">
        <w:t xml:space="preserve"> and deciding between tertiary study (immediate or delayed) and full-time employment (Submission 68).</w:t>
      </w:r>
    </w:p>
    <w:p w14:paraId="24ED520F" w14:textId="3A58FEE0" w:rsidR="003907BB" w:rsidRPr="001A2F85" w:rsidRDefault="003907BB" w:rsidP="003907BB">
      <w:pPr>
        <w:pStyle w:val="BodyText"/>
      </w:pPr>
      <w:r>
        <w:t xml:space="preserve">UTS </w:t>
      </w:r>
      <w:r w:rsidRPr="001A2F85">
        <w:t xml:space="preserve">has </w:t>
      </w:r>
      <w:r>
        <w:t xml:space="preserve">also </w:t>
      </w:r>
      <w:r w:rsidRPr="001A2F85">
        <w:t>used HEPPP funding to expand and strengthen access schemes and admission pathways into UTS to assist low SES and Indigenous students gain access to university. This includes recognising academic potential beyond ATAR attainment and increased enrolment at UTS by low SES students and TAFE students.</w:t>
      </w:r>
      <w:r>
        <w:t xml:space="preserve"> For example, the UTS-Sydney TAFE Pathway, through the U@Uni Pathways Project, focuses ‘</w:t>
      </w:r>
      <w:r w:rsidRPr="005F5B31">
        <w:t xml:space="preserve">on </w:t>
      </w:r>
      <w:r>
        <w:t>improve[ing]</w:t>
      </w:r>
      <w:r w:rsidRPr="005F5B31">
        <w:t xml:space="preserve"> UTS processes to support TAFE pathways to the university, along with expand</w:t>
      </w:r>
      <w:r>
        <w:t>[ing]</w:t>
      </w:r>
      <w:r w:rsidRPr="005F5B31">
        <w:t xml:space="preserve"> information and support to students currently studying at TAFE</w:t>
      </w:r>
      <w:r>
        <w:t>’ (UTS HEPPP Annual Report 2015). While much of the evaluation data from this project are from participant surveys, they indicate that the TAFE cohort’s understanding of university is increasing. Eighty nine per cent of TAFE students who participated in UTS’</w:t>
      </w:r>
      <w:r w:rsidR="008708D3">
        <w:t>s</w:t>
      </w:r>
      <w:r>
        <w:t xml:space="preserve"> classroom visits in 2015 agreed that they had a greater understanding of what university offers, and 91 per cent felt that they had a greater understanding of pathways to enter university (200 of 320 students responded to the survey request). In 2015, there were an additional 23 UTS stude</w:t>
      </w:r>
      <w:r w:rsidR="00655909">
        <w:t>nts with a TAFE background. These</w:t>
      </w:r>
      <w:r>
        <w:t xml:space="preserve"> data w</w:t>
      </w:r>
      <w:r w:rsidR="00655909">
        <w:t>ere</w:t>
      </w:r>
      <w:r>
        <w:t xml:space="preserve"> not provided for earlier years.</w:t>
      </w:r>
    </w:p>
    <w:p w14:paraId="3F71D86D" w14:textId="77777777" w:rsidR="003907BB" w:rsidRPr="001A2F85" w:rsidRDefault="0098304D" w:rsidP="003907BB">
      <w:pPr>
        <w:pStyle w:val="BodyText"/>
      </w:pPr>
      <w:r>
        <w:t>ACU</w:t>
      </w:r>
      <w:r w:rsidR="003907BB" w:rsidRPr="001A2F85">
        <w:t xml:space="preserve"> offers an inclusive entry pathway for low SES students through its Principal’s Recommendation Program. Students who enrol in the university through this path are then provided with extra support through the </w:t>
      </w:r>
      <w:r w:rsidR="003907BB">
        <w:t xml:space="preserve">HEPPP-funded </w:t>
      </w:r>
      <w:r w:rsidR="003907BB" w:rsidRPr="001A2F85">
        <w:t>ACU Smart program</w:t>
      </w:r>
      <w:r w:rsidR="00B44468">
        <w:t xml:space="preserve"> (</w:t>
      </w:r>
      <w:r w:rsidR="008C090E" w:rsidRPr="00AD49C8">
        <w:t>Box 5.3</w:t>
      </w:r>
      <w:r w:rsidR="00B44468">
        <w:t>)</w:t>
      </w:r>
      <w:r w:rsidR="003907BB" w:rsidRPr="001A2F85">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rsidRPr="001A2F85" w14:paraId="4B61A9D4" w14:textId="77777777" w:rsidTr="003907BB">
        <w:trPr>
          <w:cantSplit/>
        </w:trPr>
        <w:tc>
          <w:tcPr>
            <w:tcW w:w="8614" w:type="dxa"/>
            <w:tcMar>
              <w:top w:w="160" w:type="dxa"/>
              <w:left w:w="446" w:type="dxa"/>
            </w:tcMar>
          </w:tcPr>
          <w:p w14:paraId="0D88924F" w14:textId="77777777" w:rsidR="003907BB" w:rsidRPr="001A2F85" w:rsidRDefault="003907BB" w:rsidP="003907BB">
            <w:pPr>
              <w:pStyle w:val="Caption"/>
            </w:pPr>
            <w:bookmarkStart w:id="214" w:name="_Ref462653363"/>
            <w:bookmarkStart w:id="215" w:name="_Toc466657020"/>
            <w:r w:rsidRPr="001A2F85">
              <w:rPr>
                <w:rStyle w:val="CaptionLabel"/>
              </w:rPr>
              <w:t>Box </w:t>
            </w:r>
            <w:r w:rsidR="008C090E">
              <w:rPr>
                <w:rStyle w:val="CaptionLabel"/>
                <w:noProof/>
              </w:rPr>
              <w:t>5</w:t>
            </w:r>
            <w:r w:rsidRPr="001A2F85">
              <w:rPr>
                <w:rStyle w:val="CaptionLabel"/>
              </w:rPr>
              <w:t>.</w:t>
            </w:r>
            <w:r w:rsidR="008C090E">
              <w:rPr>
                <w:rStyle w:val="CaptionLabel"/>
                <w:noProof/>
              </w:rPr>
              <w:t>3</w:t>
            </w:r>
            <w:bookmarkEnd w:id="214"/>
            <w:r w:rsidRPr="001A2F85">
              <w:tab/>
              <w:t>ACU Smart, Australian Catholic University</w:t>
            </w:r>
            <w:bookmarkEnd w:id="215"/>
          </w:p>
        </w:tc>
      </w:tr>
      <w:tr w:rsidR="003907BB" w:rsidRPr="001A2F85" w14:paraId="7BE7A79B" w14:textId="77777777" w:rsidTr="003907BB">
        <w:trPr>
          <w:cantSplit/>
          <w:trHeight w:hRule="exact" w:val="380"/>
        </w:trPr>
        <w:tc>
          <w:tcPr>
            <w:tcW w:w="8614" w:type="dxa"/>
            <w:shd w:val="clear" w:color="auto" w:fill="E4E0DD"/>
          </w:tcPr>
          <w:p w14:paraId="7CBD0EA4" w14:textId="77777777" w:rsidR="003907BB" w:rsidRPr="001A2F85" w:rsidRDefault="00A45AB3" w:rsidP="003907BB">
            <w:pPr>
              <w:pStyle w:val="spacer"/>
            </w:pPr>
            <w:r>
              <w:rPr>
                <w:noProof/>
                <w:lang w:eastAsia="en-AU"/>
              </w:rPr>
              <mc:AlternateContent>
                <mc:Choice Requires="wps">
                  <w:drawing>
                    <wp:anchor distT="0" distB="0" distL="114300" distR="114300" simplePos="0" relativeHeight="251627520" behindDoc="0" locked="1" layoutInCell="1" allowOverlap="1" wp14:anchorId="08863840" wp14:editId="30953DAF">
                      <wp:simplePos x="0" y="0"/>
                      <wp:positionH relativeFrom="rightMargin">
                        <wp:posOffset>-772795</wp:posOffset>
                      </wp:positionH>
                      <wp:positionV relativeFrom="page">
                        <wp:posOffset>0</wp:posOffset>
                      </wp:positionV>
                      <wp:extent cx="436880" cy="213360"/>
                      <wp:effectExtent l="0" t="0" r="1270" b="0"/>
                      <wp:wrapNone/>
                      <wp:docPr id="36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E1EA11" id="Freeform 5" o:spid="_x0000_s1026" style="position:absolute;margin-left:-60.85pt;margin-top:0;width:34.4pt;height:16.8pt;z-index:251627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MSUYhJ/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907BB" w:rsidRPr="001A2F85" w14:paraId="40233A07" w14:textId="77777777" w:rsidTr="003907BB">
        <w:trPr>
          <w:cantSplit/>
        </w:trPr>
        <w:tc>
          <w:tcPr>
            <w:tcW w:w="8614" w:type="dxa"/>
            <w:shd w:val="clear" w:color="auto" w:fill="E4E0DD"/>
            <w:tcMar>
              <w:top w:w="276" w:type="dxa"/>
              <w:bottom w:w="184" w:type="dxa"/>
              <w:right w:w="120" w:type="dxa"/>
            </w:tcMar>
          </w:tcPr>
          <w:p w14:paraId="0115D33C" w14:textId="77777777" w:rsidR="003907BB" w:rsidRPr="001A2F85" w:rsidRDefault="0098304D" w:rsidP="003907BB">
            <w:pPr>
              <w:pStyle w:val="BoxText"/>
            </w:pPr>
            <w:r>
              <w:t>The</w:t>
            </w:r>
            <w:r w:rsidR="003907BB" w:rsidRPr="001A2F85">
              <w:t xml:space="preserve"> ACU Smart program began in 2010 and is now conducted on all ACU campuses</w:t>
            </w:r>
            <w:r w:rsidR="003907BB">
              <w:t>.</w:t>
            </w:r>
            <w:r w:rsidR="003907BB" w:rsidRPr="001A2F85">
              <w:t xml:space="preserve"> ACU Smart’s primary objective is to improve student performance in the first year of higher education, by providing opportunities to develop the</w:t>
            </w:r>
            <w:r w:rsidR="003907BB">
              <w:t xml:space="preserve"> more </w:t>
            </w:r>
            <w:r w:rsidR="003907BB" w:rsidRPr="001A2F85">
              <w:t>generic skills that students need</w:t>
            </w:r>
            <w:r w:rsidR="003907BB">
              <w:t xml:space="preserve"> to succeed at university</w:t>
            </w:r>
            <w:r w:rsidR="003907BB" w:rsidRPr="001A2F85">
              <w:t>. In the first phase</w:t>
            </w:r>
            <w:r w:rsidR="003907BB">
              <w:t xml:space="preserve"> of the program,</w:t>
            </w:r>
            <w:r w:rsidR="003907BB" w:rsidRPr="001A2F85">
              <w:t xml:space="preserve"> students attend transition courses of one or two days in the week before orientation. The courses are conducted by </w:t>
            </w:r>
            <w:r w:rsidR="003907BB">
              <w:t>E</w:t>
            </w:r>
            <w:r w:rsidR="003907BB" w:rsidRPr="001A2F85">
              <w:t xml:space="preserve">quity </w:t>
            </w:r>
            <w:r w:rsidR="003907BB">
              <w:t xml:space="preserve">Pathways </w:t>
            </w:r>
            <w:r w:rsidR="003907BB" w:rsidRPr="001A2F85">
              <w:t xml:space="preserve">staff, lecturers and </w:t>
            </w:r>
            <w:r w:rsidR="003907BB">
              <w:t xml:space="preserve">staff from the </w:t>
            </w:r>
            <w:r w:rsidR="003907BB" w:rsidRPr="001A2F85">
              <w:t>O</w:t>
            </w:r>
            <w:r w:rsidR="003907BB">
              <w:t xml:space="preserve">ffice of </w:t>
            </w:r>
            <w:r w:rsidR="003907BB" w:rsidRPr="001A2F85">
              <w:t>S</w:t>
            </w:r>
            <w:r w:rsidR="003907BB">
              <w:t>tudent Success</w:t>
            </w:r>
            <w:r w:rsidR="003907BB" w:rsidRPr="001A2F85">
              <w:t xml:space="preserve"> </w:t>
            </w:r>
            <w:r w:rsidR="003907BB">
              <w:t xml:space="preserve">(which also received HEPPP Participation funding) and the </w:t>
            </w:r>
            <w:r w:rsidR="003907BB" w:rsidRPr="001A2F85">
              <w:t xml:space="preserve">academic skills </w:t>
            </w:r>
            <w:r w:rsidR="003907BB">
              <w:t>team. Staff</w:t>
            </w:r>
            <w:r w:rsidR="003907BB" w:rsidRPr="001A2F85">
              <w:t xml:space="preserve"> introduce students to the skills that they will need at university, including academic, technological, logistical, study and time management skills. In the </w:t>
            </w:r>
            <w:r w:rsidR="003907BB">
              <w:t xml:space="preserve">program’s </w:t>
            </w:r>
            <w:r w:rsidR="003907BB" w:rsidRPr="001A2F85">
              <w:t>second phase</w:t>
            </w:r>
            <w:r w:rsidR="003907BB">
              <w:t>, students’</w:t>
            </w:r>
            <w:r w:rsidR="003907BB" w:rsidRPr="001A2F85">
              <w:t xml:space="preserve"> progress is tracked throughout </w:t>
            </w:r>
            <w:r w:rsidR="003907BB">
              <w:t xml:space="preserve">their </w:t>
            </w:r>
            <w:r w:rsidR="003907BB" w:rsidRPr="001A2F85">
              <w:t>first year</w:t>
            </w:r>
            <w:r w:rsidR="003907BB">
              <w:t xml:space="preserve"> at the university</w:t>
            </w:r>
            <w:r w:rsidR="003907BB" w:rsidRPr="001A2F85">
              <w:t>.</w:t>
            </w:r>
          </w:p>
          <w:p w14:paraId="3D5543E5" w14:textId="77777777" w:rsidR="003907BB" w:rsidRDefault="003907BB" w:rsidP="003907BB">
            <w:pPr>
              <w:pStyle w:val="BoxText"/>
            </w:pPr>
            <w:r w:rsidRPr="001A2F85">
              <w:t xml:space="preserve">This program is funded under the Participation component of HEPPP, recognising that students from regional and low </w:t>
            </w:r>
            <w:r>
              <w:t>SES</w:t>
            </w:r>
            <w:r w:rsidRPr="001A2F85">
              <w:t xml:space="preserve"> backgrounds can feel isolated, lack confidence in the new environment, and be under prepared for higher education. The ACU Smart aims to improve retention and</w:t>
            </w:r>
            <w:r>
              <w:t>,</w:t>
            </w:r>
            <w:r w:rsidRPr="001A2F85">
              <w:t xml:space="preserve"> ultimate</w:t>
            </w:r>
            <w:r>
              <w:t>ly,</w:t>
            </w:r>
            <w:r w:rsidRPr="001A2F85">
              <w:t xml:space="preserve"> academic success by addressing these issues.</w:t>
            </w:r>
            <w:r>
              <w:t xml:space="preserve"> In 2015 there was a total of 436 students participating in the program, across all six campuses. This is an increase from 345 students across four campuses in 2013 and 310 students across five campuses in 2014.</w:t>
            </w:r>
          </w:p>
          <w:p w14:paraId="0B1A6A48" w14:textId="77777777" w:rsidR="003907BB" w:rsidRPr="001A2F85" w:rsidRDefault="003907BB" w:rsidP="003907BB">
            <w:pPr>
              <w:pStyle w:val="BoxText"/>
            </w:pPr>
            <w:r>
              <w:t xml:space="preserve">Invitations are issued </w:t>
            </w:r>
            <w:r w:rsidRPr="001A2F85">
              <w:t xml:space="preserve">to all new low </w:t>
            </w:r>
            <w:r>
              <w:t>SES</w:t>
            </w:r>
            <w:r w:rsidRPr="001A2F85">
              <w:t xml:space="preserve"> students who have achieved an ATAR below a particular score, via mail, email and mobile phone. Students from partner secondary schools (low SES) entering under the Principal’s Recommendation Program are expected to attend ACU Smart</w:t>
            </w:r>
            <w:r>
              <w:t>.</w:t>
            </w:r>
          </w:p>
          <w:p w14:paraId="0F6C130B" w14:textId="77777777" w:rsidR="003907BB" w:rsidRPr="001A2F85" w:rsidRDefault="003907BB" w:rsidP="003907BB">
            <w:pPr>
              <w:pStyle w:val="BoxText"/>
            </w:pPr>
            <w:r w:rsidRPr="001A2F85">
              <w:t xml:space="preserve">The program obtains feedback from participants by questionnaire and structured feedback from course presenters. </w:t>
            </w:r>
            <w:r>
              <w:t>Feedback from students in 2015 shows that 92-100 per cent report more confidence in starting university and an increased understanding of academic expectations after the program. Additionally, 95</w:t>
            </w:r>
            <w:r>
              <w:noBreakHyphen/>
              <w:t>100 per cent of respondents reported the formation of new and valued relationships with fellow students through the program.</w:t>
            </w:r>
          </w:p>
        </w:tc>
      </w:tr>
      <w:tr w:rsidR="003907BB" w:rsidRPr="001A2F85" w14:paraId="23BAEE48" w14:textId="77777777" w:rsidTr="003907BB">
        <w:trPr>
          <w:cantSplit/>
        </w:trPr>
        <w:tc>
          <w:tcPr>
            <w:tcW w:w="8614" w:type="dxa"/>
            <w:tcMar>
              <w:top w:w="12" w:type="dxa"/>
              <w:left w:w="446" w:type="dxa"/>
              <w:bottom w:w="113" w:type="dxa"/>
            </w:tcMar>
          </w:tcPr>
          <w:p w14:paraId="2275FEC1" w14:textId="77777777" w:rsidR="003907BB" w:rsidRPr="001A2F85" w:rsidRDefault="003907BB" w:rsidP="003907BB">
            <w:pPr>
              <w:pStyle w:val="Source"/>
            </w:pPr>
            <w:r w:rsidRPr="00DB4DCF">
              <w:t>Source: ACU</w:t>
            </w:r>
            <w:r w:rsidRPr="00AD49C8">
              <w:t xml:space="preserve"> equity pathways 2010-2014 report </w:t>
            </w:r>
          </w:p>
        </w:tc>
      </w:tr>
    </w:tbl>
    <w:p w14:paraId="55541486" w14:textId="77777777" w:rsidR="003907BB" w:rsidRPr="001A2F85" w:rsidRDefault="003907BB" w:rsidP="003907BB">
      <w:pPr>
        <w:pStyle w:val="Heading3"/>
      </w:pPr>
      <w:bookmarkStart w:id="216" w:name="_Ref464651476"/>
      <w:r w:rsidRPr="001A2F85">
        <w:t>Scholarships</w:t>
      </w:r>
      <w:bookmarkEnd w:id="216"/>
    </w:p>
    <w:p w14:paraId="15A446C1" w14:textId="77777777" w:rsidR="003907BB" w:rsidRDefault="003907BB" w:rsidP="003907BB">
      <w:pPr>
        <w:pStyle w:val="BodyText"/>
      </w:pPr>
      <w:r w:rsidRPr="001A2F85">
        <w:t>The provision of scholarships for</w:t>
      </w:r>
      <w:r>
        <w:t xml:space="preserve"> students from</w:t>
      </w:r>
      <w:r w:rsidRPr="001A2F85">
        <w:t xml:space="preserve"> low SES </w:t>
      </w:r>
      <w:r>
        <w:t>backgrounds, I</w:t>
      </w:r>
      <w:r w:rsidRPr="001A2F85">
        <w:t xml:space="preserve">ndigenous </w:t>
      </w:r>
      <w:r>
        <w:t>students, and/or those from rural and remote areas</w:t>
      </w:r>
      <w:r w:rsidRPr="001A2F85">
        <w:t xml:space="preserve"> is widely recognised as necessary to address the concerns </w:t>
      </w:r>
      <w:r>
        <w:t xml:space="preserve">and capacity </w:t>
      </w:r>
      <w:r w:rsidRPr="001A2F85">
        <w:t xml:space="preserve">of some students to meet the costs of studying at university. </w:t>
      </w:r>
      <w:r>
        <w:t xml:space="preserve">This commonly takes place at both the Access and the Participation stages of the student life cycle. At the Access stage, scholarships are provided to raise students’ aspiration to attend university and ease the financial burden of this access. This is discussed below. </w:t>
      </w:r>
    </w:p>
    <w:p w14:paraId="5A3B0712" w14:textId="77777777" w:rsidR="003907BB" w:rsidRDefault="003907BB" w:rsidP="003907BB">
      <w:pPr>
        <w:pStyle w:val="BodyText"/>
      </w:pPr>
      <w:r>
        <w:t>At the Participation stage, discussed in Chapter 6, scholarships are intended to support students during their studies and decrease attrition, for example by reducing the number of hours they need to work to support themselves while studying. Scholarships may also be provided in the Participation stage to allow low income students to participate in other activities, such as international exchange programs, that they may not otherwise be able to afford.</w:t>
      </w:r>
    </w:p>
    <w:p w14:paraId="258B16C8" w14:textId="77777777" w:rsidR="003907BB" w:rsidRDefault="003907BB" w:rsidP="003907BB">
      <w:pPr>
        <w:pStyle w:val="BodyText"/>
      </w:pPr>
      <w:r w:rsidRPr="001A2F85">
        <w:t xml:space="preserve">Universities have discovered that there are </w:t>
      </w:r>
      <w:r>
        <w:t xml:space="preserve">often </w:t>
      </w:r>
      <w:r w:rsidRPr="001A2F85">
        <w:t xml:space="preserve">misunderstandings among low SES </w:t>
      </w:r>
      <w:r>
        <w:t xml:space="preserve">school </w:t>
      </w:r>
      <w:r w:rsidRPr="001A2F85">
        <w:t xml:space="preserve">students about </w:t>
      </w:r>
      <w:r>
        <w:t>the</w:t>
      </w:r>
      <w:r w:rsidRPr="001A2F85">
        <w:t xml:space="preserve"> costs </w:t>
      </w:r>
      <w:r>
        <w:t xml:space="preserve">of attending university, </w:t>
      </w:r>
      <w:r w:rsidRPr="001A2F85">
        <w:t xml:space="preserve">and </w:t>
      </w:r>
      <w:r>
        <w:t xml:space="preserve">that these students may </w:t>
      </w:r>
      <w:r w:rsidRPr="001A2F85">
        <w:t>lack knowledge of available sources of financial support</w:t>
      </w:r>
      <w:r>
        <w:t xml:space="preserve"> (Bennett et al</w:t>
      </w:r>
      <w:r w:rsidR="009F5C29">
        <w:t>.</w:t>
      </w:r>
      <w:r>
        <w:t xml:space="preserve"> 2015)</w:t>
      </w:r>
      <w:r w:rsidRPr="001A2F85">
        <w:t>.</w:t>
      </w:r>
      <w:r>
        <w:t xml:space="preserve"> In some cases this knowledge gap is addressed through outreach programs, including mentor programs which provide school students with a less formal and potentially less intimidating way of gaining information about the range of supports available (see discussion in Chapter 4). These supports include scholarships, such as those embedded in the low SES entry pathways program at QUT</w:t>
      </w:r>
      <w:r w:rsidR="00B44468">
        <w:t xml:space="preserve"> (</w:t>
      </w:r>
      <w:r w:rsidR="008C090E" w:rsidRPr="00AD49C8">
        <w:t>Box 5.4</w:t>
      </w:r>
      <w:r w:rsidR="00B44468" w:rsidRPr="00AD49C8">
        <w:t>)</w:t>
      </w:r>
      <w:r w:rsidRPr="00763164">
        <w:t>.</w:t>
      </w:r>
    </w:p>
    <w:p w14:paraId="63F5B6F1" w14:textId="77777777" w:rsidR="00763164" w:rsidRDefault="003907BB" w:rsidP="003907BB">
      <w:pPr>
        <w:pStyle w:val="BodyText"/>
      </w:pPr>
      <w:r w:rsidRPr="001A2F85">
        <w:t>It should be noted that some pathways and admissions measures</w:t>
      </w:r>
      <w:r>
        <w:t>, including scholarships,</w:t>
      </w:r>
      <w:r w:rsidRPr="001A2F85">
        <w:t xml:space="preserve"> are directed at particular courses, such as nursing, agriculture, or science, technology and mathematics (STEM) courses. For example, </w:t>
      </w:r>
      <w:r w:rsidR="00940E6E">
        <w:t>UNE’s</w:t>
      </w:r>
      <w:r w:rsidRPr="001A2F85">
        <w:t xml:space="preserve"> GRASS Industry Placement Scholarships program aims to raise school leavers</w:t>
      </w:r>
      <w:r>
        <w:t>’</w:t>
      </w:r>
      <w:r w:rsidRPr="001A2F85">
        <w:t xml:space="preserve"> awareness of the broad range of science</w:t>
      </w:r>
      <w:r>
        <w:t>-</w:t>
      </w:r>
      <w:r w:rsidRPr="001A2F85">
        <w:t>based careers supporting agriculture, and to draw attention to the course options available as pathways to these ca</w:t>
      </w:r>
      <w:r>
        <w:t>reers</w:t>
      </w:r>
      <w:r w:rsidRPr="001A2F85">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763164" w:rsidRPr="00AF3F55" w14:paraId="72B8F6DF" w14:textId="77777777" w:rsidTr="009903E4">
        <w:trPr>
          <w:cantSplit/>
        </w:trPr>
        <w:tc>
          <w:tcPr>
            <w:tcW w:w="8614" w:type="dxa"/>
            <w:tcMar>
              <w:top w:w="160" w:type="dxa"/>
              <w:left w:w="446" w:type="dxa"/>
            </w:tcMar>
          </w:tcPr>
          <w:p w14:paraId="647835E8" w14:textId="77777777" w:rsidR="00763164" w:rsidRPr="00AF3F55" w:rsidRDefault="00763164" w:rsidP="00DA0683">
            <w:pPr>
              <w:pStyle w:val="Caption"/>
            </w:pPr>
            <w:bookmarkStart w:id="217" w:name="_Ref466289995"/>
            <w:bookmarkStart w:id="218" w:name="_Toc466657021"/>
            <w:r w:rsidRPr="00AF3F55">
              <w:rPr>
                <w:rStyle w:val="CaptionLabel"/>
              </w:rPr>
              <w:t>Box</w:t>
            </w:r>
            <w:r>
              <w:rPr>
                <w:rStyle w:val="CaptionLabel"/>
              </w:rPr>
              <w:t> </w:t>
            </w:r>
            <w:r w:rsidR="008C090E">
              <w:rPr>
                <w:rStyle w:val="CaptionLabel"/>
                <w:noProof/>
              </w:rPr>
              <w:t>5</w:t>
            </w:r>
            <w:r w:rsidRPr="00AF3F55">
              <w:rPr>
                <w:rStyle w:val="CaptionLabel"/>
              </w:rPr>
              <w:t>.</w:t>
            </w:r>
            <w:r w:rsidR="008C090E">
              <w:rPr>
                <w:rStyle w:val="CaptionLabel"/>
                <w:noProof/>
              </w:rPr>
              <w:t>4</w:t>
            </w:r>
            <w:bookmarkEnd w:id="217"/>
            <w:r>
              <w:tab/>
              <w:t>Q-Step Scheme</w:t>
            </w:r>
            <w:r w:rsidRPr="001A2F85">
              <w:t>, Queensland University of Technology</w:t>
            </w:r>
            <w:bookmarkEnd w:id="218"/>
          </w:p>
        </w:tc>
      </w:tr>
      <w:tr w:rsidR="00763164" w:rsidRPr="00B07121" w14:paraId="0607BEA2" w14:textId="77777777" w:rsidTr="00AD49C8">
        <w:trPr>
          <w:cantSplit/>
          <w:trHeight w:hRule="exact" w:val="380"/>
        </w:trPr>
        <w:tc>
          <w:tcPr>
            <w:tcW w:w="8614" w:type="dxa"/>
            <w:shd w:val="clear" w:color="auto" w:fill="E4E0DD"/>
          </w:tcPr>
          <w:p w14:paraId="3CE3B0F0" w14:textId="77777777" w:rsidR="00763164" w:rsidRPr="00B07121" w:rsidRDefault="00A45AB3" w:rsidP="00DA0683">
            <w:pPr>
              <w:pStyle w:val="spacer"/>
            </w:pPr>
            <w:r>
              <w:rPr>
                <w:noProof/>
                <w:lang w:eastAsia="en-AU"/>
              </w:rPr>
              <mc:AlternateContent>
                <mc:Choice Requires="wps">
                  <w:drawing>
                    <wp:anchor distT="0" distB="0" distL="114300" distR="114300" simplePos="0" relativeHeight="251658240" behindDoc="0" locked="1" layoutInCell="1" allowOverlap="1" wp14:anchorId="53421C5E" wp14:editId="686C3E5C">
                      <wp:simplePos x="0" y="0"/>
                      <wp:positionH relativeFrom="rightMargin">
                        <wp:posOffset>-772795</wp:posOffset>
                      </wp:positionH>
                      <wp:positionV relativeFrom="page">
                        <wp:posOffset>0</wp:posOffset>
                      </wp:positionV>
                      <wp:extent cx="436880" cy="213360"/>
                      <wp:effectExtent l="0" t="0" r="1270" b="0"/>
                      <wp:wrapNone/>
                      <wp:docPr id="30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95E44D" id="Freeform 5" o:spid="_x0000_s1026" style="position:absolute;margin-left:-60.85pt;margin-top:0;width:34.4pt;height:16.8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HfQ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zC/QH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63164" w14:paraId="044F65F7" w14:textId="77777777" w:rsidTr="00AD49C8">
        <w:trPr>
          <w:cantSplit/>
        </w:trPr>
        <w:tc>
          <w:tcPr>
            <w:tcW w:w="8614" w:type="dxa"/>
            <w:shd w:val="clear" w:color="auto" w:fill="E4E0DD"/>
            <w:tcMar>
              <w:top w:w="276" w:type="dxa"/>
              <w:bottom w:w="184" w:type="dxa"/>
              <w:right w:w="120" w:type="dxa"/>
            </w:tcMar>
          </w:tcPr>
          <w:p w14:paraId="7228FF5A" w14:textId="77777777" w:rsidR="00763164" w:rsidRDefault="00763164" w:rsidP="00763164">
            <w:pPr>
              <w:pStyle w:val="BoxText"/>
            </w:pPr>
            <w:r w:rsidRPr="001A2F85">
              <w:t xml:space="preserve">The Q-Step </w:t>
            </w:r>
            <w:r>
              <w:t>scheme</w:t>
            </w:r>
            <w:r w:rsidRPr="001A2F85">
              <w:t xml:space="preserve"> </w:t>
            </w:r>
            <w:r>
              <w:t xml:space="preserve">is </w:t>
            </w:r>
            <w:r w:rsidRPr="001A2F85">
              <w:t>QUT</w:t>
            </w:r>
            <w:r>
              <w:t xml:space="preserve">’s entry program for students from low-income backgrounds. The objective of the program is ‘to redress the negative effects of poverty on achievement, and provide practical assistance’. The scheme provides recipients with a boost to their rank or ‘Overall Position’ (known as </w:t>
            </w:r>
            <w:r w:rsidRPr="001A2F85">
              <w:t>OP</w:t>
            </w:r>
            <w:r>
              <w:t>—a student’s position in the state rank order, based on their achievement in certain subjects) for entry to university, as well as a guaranteed scholarship. The scholarship amount has increased from $1,000 until 2012, to $2,500 in 2013 and 2014, and $3,500 in 2015. Applications and assessments for the scheme, including facilitation of the bonus points, occur through QTAC’s Educational Access Scheme.</w:t>
            </w:r>
          </w:p>
          <w:p w14:paraId="29D909DF" w14:textId="77777777" w:rsidR="00763164" w:rsidRDefault="00763164" w:rsidP="00763164">
            <w:pPr>
              <w:pStyle w:val="BoxText"/>
            </w:pPr>
            <w:r>
              <w:t>Through the scheme, QUT staff also conduct QTAC and general information presentations at low SES schools, provide assistance with QTAC applications, and distribute QTAC vouchers to students who cannot afford the application fee or for whom the need to pay by credit card presents a problem.</w:t>
            </w:r>
          </w:p>
          <w:p w14:paraId="065C7254" w14:textId="61B2CF12" w:rsidR="00763164" w:rsidRDefault="00763164" w:rsidP="00763164">
            <w:pPr>
              <w:pStyle w:val="BoxText"/>
            </w:pPr>
            <w:r>
              <w:t>The Q-Step scheme</w:t>
            </w:r>
            <w:r w:rsidRPr="001A2F85">
              <w:t xml:space="preserve"> pre-date</w:t>
            </w:r>
            <w:r>
              <w:t>s the</w:t>
            </w:r>
            <w:r w:rsidRPr="001A2F85">
              <w:t xml:space="preserve"> HEPPP</w:t>
            </w:r>
            <w:r>
              <w:t xml:space="preserve">, having been implemented in the </w:t>
            </w:r>
            <w:r w:rsidR="008708D3">
              <w:t>1990s;</w:t>
            </w:r>
            <w:r>
              <w:t xml:space="preserve"> however</w:t>
            </w:r>
            <w:r w:rsidRPr="001A2F85">
              <w:t xml:space="preserve"> HEPPP funding </w:t>
            </w:r>
            <w:r>
              <w:t xml:space="preserve">has been used to significantly expand the reach of the program. In 2010, HEPPP Participation funds were used to double the size of the </w:t>
            </w:r>
            <w:r w:rsidRPr="00956846">
              <w:t>on-campus visits and school presentations</w:t>
            </w:r>
            <w:r>
              <w:t xml:space="preserve"> arm of the program.</w:t>
            </w:r>
          </w:p>
          <w:p w14:paraId="239AAA7A" w14:textId="77777777" w:rsidR="00763164" w:rsidRDefault="00763164" w:rsidP="00763164">
            <w:pPr>
              <w:pStyle w:val="BoxText"/>
            </w:pPr>
            <w:r>
              <w:t>In 2015, staff provided information talks for more than 1,390 Year 12 students across 16 schools and distributed 155 vouchers (valued at $5,580 in total). There were 737 successful Q-Step applications. Retention rates for the 2015 Q-Step cohort were higher than for other cohorts—87 per cent for Q-Step students compared with 85.9 per cent for all low SES students and 86.6 per cent for all QUT students.</w:t>
            </w:r>
          </w:p>
          <w:p w14:paraId="7F8AD95E" w14:textId="23BED1F6" w:rsidR="00763164" w:rsidRDefault="00763164" w:rsidP="00763164">
            <w:pPr>
              <w:pStyle w:val="BoxText"/>
            </w:pPr>
            <w:r>
              <w:t>The evaluation of QUT’s 2010</w:t>
            </w:r>
            <w:r w:rsidR="008708D3">
              <w:t>–</w:t>
            </w:r>
            <w:r>
              <w:t>2014 Widening Participation program notes that the number of applications and offers to students from low-income backgrounds through the scheme has increased substantially in that time:</w:t>
            </w:r>
          </w:p>
          <w:p w14:paraId="0CC1DD31" w14:textId="77777777" w:rsidR="00763164" w:rsidRDefault="00763164" w:rsidP="00AD49C8">
            <w:pPr>
              <w:pStyle w:val="BoxQuote"/>
            </w:pPr>
            <w:r w:rsidRPr="008A1B4E">
              <w:t>While not suggesting there is a causal link, it is heartening to note that during the HEPPP funding period both overall and target school Q-Step Scheme/QTAC EAS financial hardship category</w:t>
            </w:r>
            <w:r>
              <w:t xml:space="preserve"> </w:t>
            </w:r>
            <w:r w:rsidRPr="008A1B4E">
              <w:t>applications have increased. QUT course offers to students assessed as meeting the financial hardship criteria increased between the 2009-2010 and 2012-2013 admissions years (from 313 to 729) with a slight dip to 683 in 2013-2014.</w:t>
            </w:r>
          </w:p>
        </w:tc>
      </w:tr>
      <w:tr w:rsidR="00763164" w14:paraId="3638C1D1" w14:textId="77777777" w:rsidTr="00AD49C8">
        <w:trPr>
          <w:cantSplit/>
        </w:trPr>
        <w:tc>
          <w:tcPr>
            <w:tcW w:w="8614" w:type="dxa"/>
            <w:tcMar>
              <w:top w:w="12" w:type="dxa"/>
              <w:left w:w="446" w:type="dxa"/>
              <w:bottom w:w="113" w:type="dxa"/>
            </w:tcMar>
          </w:tcPr>
          <w:p w14:paraId="75075AF1" w14:textId="77777777" w:rsidR="00763164" w:rsidRDefault="00763164" w:rsidP="00DA0683">
            <w:pPr>
              <w:pStyle w:val="Source"/>
            </w:pPr>
            <w:r>
              <w:t xml:space="preserve">Source: </w:t>
            </w:r>
            <w:r w:rsidRPr="00537495">
              <w:t>QUT WIdening participation evaluation report 2010-2014; QUT</w:t>
            </w:r>
            <w:r>
              <w:t xml:space="preserve"> HEPPP Annual reports</w:t>
            </w:r>
          </w:p>
        </w:tc>
      </w:tr>
    </w:tbl>
    <w:p w14:paraId="3A7048EA" w14:textId="77777777" w:rsidR="00763164" w:rsidRDefault="00763164" w:rsidP="006640EC">
      <w:pPr>
        <w:pStyle w:val="Heading3"/>
      </w:pPr>
      <w:r>
        <w:t>Other outreach</w:t>
      </w:r>
    </w:p>
    <w:p w14:paraId="00AA189F" w14:textId="77777777" w:rsidR="00763164" w:rsidRDefault="00763164" w:rsidP="00763164">
      <w:pPr>
        <w:pStyle w:val="BodyText"/>
      </w:pPr>
      <w:r>
        <w:t>Universities’ HEPPP-funded activities to build student confidence and increase their knowledge of what universities have to offer have included information sessions for prospective students from low SES and other equity groups, as well as their parents. While some of these confidence-building activities start in the Pre-Access stage of the student life cycle, many continue into the Access phase. These information activities are particularly important at the time when students are considering seeking entry to university because it is at this time that low SES students may have concerns about whether they will meet admissions requirements and, if they are successful in gaining admission, how they will manage the logistics of commencing university studies.</w:t>
      </w:r>
    </w:p>
    <w:p w14:paraId="187F368C" w14:textId="77777777" w:rsidR="00763164" w:rsidRDefault="00763164" w:rsidP="00763164">
      <w:pPr>
        <w:pStyle w:val="BodyText"/>
      </w:pPr>
      <w:r>
        <w:t>For Indigenous students, there are a number of examples where universities have provided these information sessions to Indigenous Councils and other organisations. In some cases, universities have used current students who are nearing the completion of their studies to help raise the confidence of prospective students.</w:t>
      </w:r>
    </w:p>
    <w:p w14:paraId="635C67D5" w14:textId="77777777" w:rsidR="00763164" w:rsidRDefault="00B44468" w:rsidP="000729C9">
      <w:pPr>
        <w:pStyle w:val="BodyText"/>
      </w:pPr>
      <w:r>
        <w:t>A</w:t>
      </w:r>
      <w:r w:rsidR="00763164">
        <w:t xml:space="preserve"> common concern of students from low SES and other equity groups is what their costs at university are likely to be and how they will finance their studies</w:t>
      </w:r>
      <w:r>
        <w:t xml:space="preserve"> (refer Section 5.2.4)</w:t>
      </w:r>
      <w:r w:rsidR="00763164">
        <w:t>. Students from regional and remote areas and Indigenous students often have to live away from home, and can encounter difficulties in finding affordable accommodation. University information services and, in some cases scholarships and other financial assistance, can be important at this stage, and universities are being proactive in providing information about the availability of this assistance to new students. This includes telephone contact with them to identify and address any problems, as well as support services available by telephone. These concerns are also commonly identified by students in the Pre-Access stage of the life cycle, and in some cases are addressed through outreach activities to schools and communities (Bennett et al. 2015). Support services for commencing students during the admissions period and the first week of university, such as those provided through the ACU Smart program (Box 5.3) are also very important.</w:t>
      </w:r>
    </w:p>
    <w:p w14:paraId="6B084CF3" w14:textId="77777777" w:rsidR="003907BB" w:rsidRDefault="003907BB" w:rsidP="00AD49C8">
      <w:pPr>
        <w:pStyle w:val="Heading2"/>
      </w:pPr>
      <w:bookmarkStart w:id="219" w:name="_Toc466293729"/>
      <w:bookmarkStart w:id="220" w:name="_Toc466295684"/>
      <w:bookmarkStart w:id="221" w:name="_Toc466297124"/>
      <w:bookmarkStart w:id="222" w:name="_Toc466304880"/>
      <w:bookmarkStart w:id="223" w:name="_Toc466293730"/>
      <w:bookmarkStart w:id="224" w:name="_Toc466295685"/>
      <w:bookmarkStart w:id="225" w:name="_Toc466297125"/>
      <w:bookmarkStart w:id="226" w:name="_Toc466304881"/>
      <w:bookmarkStart w:id="227" w:name="_Toc466657131"/>
      <w:bookmarkEnd w:id="219"/>
      <w:bookmarkEnd w:id="220"/>
      <w:bookmarkEnd w:id="221"/>
      <w:bookmarkEnd w:id="222"/>
      <w:bookmarkEnd w:id="223"/>
      <w:bookmarkEnd w:id="224"/>
      <w:bookmarkEnd w:id="225"/>
      <w:bookmarkEnd w:id="226"/>
      <w:r>
        <w:t>The overall impact of HEPPP Access stage activities</w:t>
      </w:r>
      <w:bookmarkEnd w:id="227"/>
    </w:p>
    <w:p w14:paraId="387D0475" w14:textId="77777777" w:rsidR="003907BB" w:rsidRDefault="003907BB" w:rsidP="003907BB">
      <w:pPr>
        <w:pStyle w:val="BodyText"/>
      </w:pPr>
      <w:r w:rsidRPr="001A2F85">
        <w:t xml:space="preserve">The </w:t>
      </w:r>
      <w:r>
        <w:t xml:space="preserve">HEPPP-supported </w:t>
      </w:r>
      <w:r w:rsidRPr="001A2F85">
        <w:t xml:space="preserve">Access measures target a critical step in getting low SES, Indigenous and other equity groups to </w:t>
      </w:r>
      <w:r>
        <w:t>make the transition to</w:t>
      </w:r>
      <w:r w:rsidRPr="001A2F85">
        <w:t xml:space="preserve"> university studies, which is one of the key objectives provided by the Guidelines. The Access stage of the student life cycle is focused </w:t>
      </w:r>
      <w:r>
        <w:t>on</w:t>
      </w:r>
      <w:r w:rsidRPr="001A2F85">
        <w:t xml:space="preserve"> a relatively short time-frame</w:t>
      </w:r>
      <w:r>
        <w:t xml:space="preserve"> and a</w:t>
      </w:r>
      <w:r w:rsidRPr="001A2F85">
        <w:t>s a result, it has received less funding by universities than the preceding and subsequent phases of the student life cycle (see Figure 3.2).</w:t>
      </w:r>
    </w:p>
    <w:p w14:paraId="2F20D1D9" w14:textId="77777777" w:rsidR="003907BB" w:rsidRPr="001A2F85" w:rsidRDefault="00B44468" w:rsidP="003907BB">
      <w:pPr>
        <w:pStyle w:val="BodyText"/>
      </w:pPr>
      <w:r>
        <w:t>T</w:t>
      </w:r>
      <w:r w:rsidR="003907BB" w:rsidRPr="001A2F85">
        <w:t>here is emerging evidence that the objective of increasing low SES access rates is being met, which is relevant to both the Pre-Access and Access life cycle stages</w:t>
      </w:r>
      <w:r>
        <w:t xml:space="preserve"> (refer </w:t>
      </w:r>
      <w:r w:rsidRPr="001A2F85">
        <w:t>Section 4.4</w:t>
      </w:r>
      <w:r>
        <w:t>)</w:t>
      </w:r>
      <w:r w:rsidR="003907BB" w:rsidRPr="001A2F85">
        <w:t>. Since 2010, there has been a significant increase in the number of people from low SES backgrounds entering higher education, with</w:t>
      </w:r>
      <w:r w:rsidR="003907BB">
        <w:t xml:space="preserve"> both</w:t>
      </w:r>
      <w:r w:rsidR="003907BB" w:rsidRPr="001A2F85">
        <w:t xml:space="preserve"> the DDS and </w:t>
      </w:r>
      <w:r w:rsidR="003907BB">
        <w:t>the</w:t>
      </w:r>
      <w:r w:rsidR="003907BB" w:rsidRPr="001A2F85">
        <w:t xml:space="preserve"> HEPPP likely contributing (Section 9.2). </w:t>
      </w:r>
    </w:p>
    <w:p w14:paraId="191F4767" w14:textId="77777777" w:rsidR="00B44468" w:rsidRDefault="00B44468" w:rsidP="00AD49C8">
      <w:r w:rsidRPr="00B44468">
        <w:t>Compared to projects undertaken in the other student life cycle stages, universities have undertaken relatively few evaluations of their Access projects. However, most projects have been the subject of student surveys and other feedback mechanisms, and some evaluations are still underway. Additionally, comparative retention data across cohorts has been collected for some projects, such as the Q-Step entry program at QUT (</w:t>
      </w:r>
      <w:r w:rsidR="008C090E" w:rsidRPr="00AD49C8">
        <w:t>Box 5.4</w:t>
      </w:r>
      <w:r w:rsidRPr="00B44468">
        <w:t>). There are limited data available on the access rates of students participating in Access stage activities.</w:t>
      </w:r>
    </w:p>
    <w:p w14:paraId="6002FE87" w14:textId="77777777" w:rsidR="00B44468" w:rsidRDefault="00B44468" w:rsidP="003907BB">
      <w:pPr>
        <w:pStyle w:val="BodyText"/>
      </w:pPr>
      <w:r w:rsidRPr="00B44468">
        <w:t>There are a number of reasons for the limited number of evaluations undertaken. Firstly, access and admissions measures have been undergoing frequent change, making evaluation difficult. Some of these changes have been adopted in response to student surveys and other feedback mechanisms. Secondly, it is difficult to attribute student outcomes such as retention and completion to activities and policies that cover the relatively narrow Access period, and there are limited data available on access rates.</w:t>
      </w:r>
    </w:p>
    <w:p w14:paraId="6DEB5F27" w14:textId="77777777" w:rsidR="003907BB" w:rsidRDefault="00B44468" w:rsidP="003907BB">
      <w:pPr>
        <w:pStyle w:val="BodyText"/>
      </w:pPr>
      <w:r>
        <w:t>Some data are available on Access projects, for example, approximately 90 per cent of students who have completed the University of Newcastle’s Open Foundation program have gone on to study degree programs (</w:t>
      </w:r>
      <w:r w:rsidR="008C090E" w:rsidRPr="00AD49C8">
        <w:t>Box 5.2</w:t>
      </w:r>
      <w:r>
        <w:t xml:space="preserve">). </w:t>
      </w:r>
      <w:r w:rsidR="003907BB">
        <w:t>Bennett et al</w:t>
      </w:r>
      <w:r w:rsidR="009F5C29">
        <w:t>.</w:t>
      </w:r>
      <w:r w:rsidR="003907BB">
        <w:t xml:space="preserve"> (2015) discuss this program and note that ‘enabling programs have a strong impact on student access to higher education’. However as discussed above, in this case and many others, these programs are not targeted to specific cohorts, and thus data on specific changes to low SES people’s access as a result of the activity are not available. Further to this, HEPPP funding for these programs is often directed to adding additional supports or to embedding more inclusive curriculum, rather than to implementing the access or pathways programs themselves, so it is difficult to determine the marginal impact that the HEPPP</w:t>
      </w:r>
      <w:r w:rsidR="003907BB">
        <w:noBreakHyphen/>
        <w:t>funded part of the program has made.</w:t>
      </w:r>
    </w:p>
    <w:p w14:paraId="79AE3A66" w14:textId="77777777" w:rsidR="003907BB" w:rsidRDefault="003907BB" w:rsidP="003907BB">
      <w:pPr>
        <w:pStyle w:val="BodyText"/>
      </w:pPr>
      <w:r>
        <w:t xml:space="preserve">There are also some data available on retention rates, such as QUT’s Q-Step entry scheme. Retention rates are higher for students from the Q-Step program (who are all from low-income backgrounds) than for all QUT students and QUT students from low SES backgrounds, which suggests that the program is improving outcomes for its participants </w:t>
      </w:r>
      <w:r w:rsidR="008C090E">
        <w:t>(</w:t>
      </w:r>
      <w:r w:rsidR="008C090E" w:rsidRPr="00AD49C8">
        <w:t>Box 5.4</w:t>
      </w:r>
      <w:r>
        <w:t xml:space="preserve">). This level of data </w:t>
      </w:r>
      <w:r w:rsidR="00655909">
        <w:t>are</w:t>
      </w:r>
      <w:r>
        <w:t xml:space="preserve"> unavailable for the majority of programs, however, with many relying on opinion and affect data from participants. This is generally positive, with feedback showing the programs can help build students’ confidence and preparedness for their university studies, as well as supporting them to develop peer relationships.</w:t>
      </w:r>
    </w:p>
    <w:p w14:paraId="2C03562A" w14:textId="77777777" w:rsidR="003907BB" w:rsidRDefault="003907BB" w:rsidP="003907BB">
      <w:pPr>
        <w:pStyle w:val="BodyText"/>
      </w:pPr>
      <w:r>
        <w:t xml:space="preserve">Stakeholders also expressed positive views on HEPPP Access activities through the evaluation’s consultation process. For example, several </w:t>
      </w:r>
      <w:r w:rsidR="00516DAD">
        <w:t>written</w:t>
      </w:r>
      <w:r>
        <w:t xml:space="preserve"> submissions from secondary schools in South Australia expressed support for the uniTEST entry pathway at Flinders University.</w:t>
      </w:r>
    </w:p>
    <w:p w14:paraId="170D4D85" w14:textId="77777777" w:rsidR="003907BB" w:rsidRPr="001A2F85" w:rsidRDefault="003907BB" w:rsidP="003907BB">
      <w:pPr>
        <w:pStyle w:val="BodyText"/>
      </w:pPr>
      <w:r w:rsidRPr="001A2F85">
        <w:t>As a result</w:t>
      </w:r>
      <w:r>
        <w:t xml:space="preserve"> of the limited data available on the impact of HEPPP Access activities</w:t>
      </w:r>
      <w:r w:rsidRPr="001A2F85">
        <w:t xml:space="preserve">, it </w:t>
      </w:r>
      <w:r>
        <w:t xml:space="preserve">is </w:t>
      </w:r>
      <w:r w:rsidRPr="001A2F85">
        <w:t>difficult to draw strong conclusions about the effectiveness of pathways and access measures. In these circumstances, this analysis relies on input from university staff, student surveys, submissions and annual HEPPP reports provided to the Department. These indicate that the HEPPP is having a positive impact on student access to university.</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3907BB" w:rsidRPr="001A2F85" w14:paraId="2EF0AFFE" w14:textId="77777777" w:rsidTr="003907BB">
        <w:trPr>
          <w:cantSplit/>
        </w:trPr>
        <w:tc>
          <w:tcPr>
            <w:tcW w:w="8614" w:type="dxa"/>
            <w:tcMar>
              <w:top w:w="160" w:type="dxa"/>
              <w:left w:w="446" w:type="dxa"/>
            </w:tcMar>
          </w:tcPr>
          <w:p w14:paraId="7463ACFF" w14:textId="77777777" w:rsidR="003907BB" w:rsidRPr="001A2F85" w:rsidRDefault="003907BB" w:rsidP="003907BB">
            <w:pPr>
              <w:pStyle w:val="Caption"/>
            </w:pPr>
            <w:r w:rsidRPr="001A2F85">
              <w:rPr>
                <w:rStyle w:val="CaptionLabel"/>
              </w:rPr>
              <w:t>Key FindingS </w:t>
            </w:r>
            <w:r w:rsidR="008C090E">
              <w:rPr>
                <w:rStyle w:val="CaptionLabel"/>
                <w:noProof/>
              </w:rPr>
              <w:t>3</w:t>
            </w:r>
            <w:r w:rsidRPr="001A2F85">
              <w:tab/>
              <w:t xml:space="preserve">  Access</w:t>
            </w:r>
          </w:p>
        </w:tc>
      </w:tr>
      <w:tr w:rsidR="003907BB" w:rsidRPr="001A2F85" w14:paraId="2C20471F" w14:textId="77777777" w:rsidTr="003907BB">
        <w:trPr>
          <w:cantSplit/>
        </w:trPr>
        <w:tc>
          <w:tcPr>
            <w:tcW w:w="8614" w:type="dxa"/>
            <w:shd w:val="clear" w:color="auto" w:fill="E4E0DD"/>
            <w:tcMar>
              <w:top w:w="276" w:type="dxa"/>
              <w:bottom w:w="0" w:type="dxa"/>
              <w:right w:w="120" w:type="dxa"/>
            </w:tcMar>
          </w:tcPr>
          <w:p w14:paraId="629C78C4" w14:textId="77777777" w:rsidR="003907BB" w:rsidRDefault="003907BB" w:rsidP="003907BB">
            <w:pPr>
              <w:pStyle w:val="BoxText"/>
            </w:pPr>
            <w:r>
              <w:t xml:space="preserve">The Access stage of the student life cycle is smaller than the Pre-Access and Participation stages in terms of both period of </w:t>
            </w:r>
            <w:r w:rsidRPr="00C42551">
              <w:t xml:space="preserve">time </w:t>
            </w:r>
            <w:r>
              <w:t>and degree of HEPPP funding invested by universities. In many cases, HEPPP funding has been used either to pilot new programs or to expand existing access activities, including the provision of extra supports within them for students from disadvantaged groups.</w:t>
            </w:r>
          </w:p>
          <w:p w14:paraId="27D1DAB6" w14:textId="77777777" w:rsidR="003907BB" w:rsidRPr="001A2F85" w:rsidRDefault="003907BB" w:rsidP="003907BB">
            <w:pPr>
              <w:pStyle w:val="BoxText"/>
            </w:pPr>
            <w:r w:rsidRPr="001A2F85">
              <w:t>Inclusive entry processes rate as the most common activity undertaken in the Access phase, included in more than two thirds of projects. This is followed by pre-university qualification pathways and academic preparation/support.</w:t>
            </w:r>
          </w:p>
          <w:p w14:paraId="38C033FC" w14:textId="77777777" w:rsidR="003907BB" w:rsidRPr="001A2F85" w:rsidRDefault="003907BB" w:rsidP="003907BB">
            <w:pPr>
              <w:pStyle w:val="BoxText"/>
            </w:pPr>
            <w:r w:rsidRPr="001A2F85">
              <w:t>Almost half of the HEPPP projects undertaken at this stage of the life cycle targeted secondary school leavers. Commencing/first year students and VET students were the next most common</w:t>
            </w:r>
            <w:r w:rsidR="007D6DB1">
              <w:t xml:space="preserve"> EIF</w:t>
            </w:r>
            <w:r w:rsidRPr="001A2F85">
              <w:t xml:space="preserve"> target groups. Most projects targeted only people from low SES backgrounds, although many targeted low SES Indigenous students and low SES students from regional and remote areas.</w:t>
            </w:r>
          </w:p>
          <w:p w14:paraId="40972968" w14:textId="77777777" w:rsidR="003907BB" w:rsidRPr="001A2F85" w:rsidRDefault="003907BB" w:rsidP="003907BB">
            <w:pPr>
              <w:pStyle w:val="BoxText"/>
            </w:pPr>
            <w:r w:rsidRPr="001A2F85">
              <w:t>There have been relatively few</w:t>
            </w:r>
            <w:r>
              <w:t xml:space="preserve"> university</w:t>
            </w:r>
            <w:r w:rsidRPr="001A2F85">
              <w:t xml:space="preserve"> evaluations undertaken </w:t>
            </w:r>
            <w:r>
              <w:t xml:space="preserve">of </w:t>
            </w:r>
            <w:r w:rsidRPr="001A2F85">
              <w:t xml:space="preserve">HEPPP </w:t>
            </w:r>
            <w:r>
              <w:t>A</w:t>
            </w:r>
            <w:r w:rsidRPr="001A2F85">
              <w:t>ccess projects</w:t>
            </w:r>
            <w:r>
              <w:t xml:space="preserve">. There is some evidence that a high proportion of students participating in </w:t>
            </w:r>
            <w:r w:rsidR="007C6B78">
              <w:t>A</w:t>
            </w:r>
            <w:r>
              <w:t>ccess activities go on to study degree programs</w:t>
            </w:r>
            <w:r w:rsidR="00CA090C">
              <w:t>;</w:t>
            </w:r>
            <w:r>
              <w:t xml:space="preserve"> for example, over 90 per cent through the University of Newcastle’s Open Foundation Program</w:t>
            </w:r>
            <w:r w:rsidR="00CA090C">
              <w:t xml:space="preserve"> go on to study for a degree</w:t>
            </w:r>
            <w:r>
              <w:t xml:space="preserve">. Where data </w:t>
            </w:r>
            <w:r w:rsidR="00655909">
              <w:t>are</w:t>
            </w:r>
            <w:r>
              <w:t xml:space="preserve"> available, higher retention rates for students participating in </w:t>
            </w:r>
            <w:r w:rsidR="007C6B78">
              <w:t>A</w:t>
            </w:r>
            <w:r>
              <w:t>ccess activities than for all students can be seen (for example, through QUT’s Q-Step scheme).</w:t>
            </w:r>
          </w:p>
          <w:p w14:paraId="021C52FA" w14:textId="77777777" w:rsidR="003907BB" w:rsidRDefault="003907BB" w:rsidP="003907BB">
            <w:pPr>
              <w:pStyle w:val="BoxText"/>
            </w:pPr>
            <w:r w:rsidRPr="001A2F85">
              <w:t>Some projects have been the subject of student surveys and other feedback mechanisms</w:t>
            </w:r>
            <w:r w:rsidR="00161CB2">
              <w:t xml:space="preserve"> and these suggest</w:t>
            </w:r>
            <w:r>
              <w:t xml:space="preserve"> that these projects are improving students’ confidence and their feelings of preparedness for university studies, as well as supporting them to develop peer relationships. </w:t>
            </w:r>
          </w:p>
          <w:p w14:paraId="13A7EC48" w14:textId="77777777" w:rsidR="003907BB" w:rsidRPr="001A2F85" w:rsidRDefault="003907BB" w:rsidP="003907BB">
            <w:pPr>
              <w:pStyle w:val="BoxText"/>
            </w:pPr>
            <w:r>
              <w:t xml:space="preserve">The evidence that is available, </w:t>
            </w:r>
            <w:r w:rsidRPr="001A2F85">
              <w:t>along with additional information from the consultations undertaken for the evaluation, suggest</w:t>
            </w:r>
            <w:r>
              <w:t>s</w:t>
            </w:r>
            <w:r w:rsidRPr="001A2F85">
              <w:t xml:space="preserve"> that the HEPPP is having a positive impact at the Access stage and is extending existing university activities and encourag</w:t>
            </w:r>
            <w:r>
              <w:t>ing</w:t>
            </w:r>
            <w:r w:rsidRPr="001A2F85">
              <w:t xml:space="preserve"> the initiation of new measures. </w:t>
            </w:r>
          </w:p>
        </w:tc>
      </w:tr>
      <w:tr w:rsidR="003907BB" w:rsidRPr="001A2F85" w14:paraId="7C8153AF" w14:textId="77777777" w:rsidTr="003907BB">
        <w:trPr>
          <w:cantSplit/>
          <w:trHeight w:hRule="exact" w:val="376"/>
        </w:trPr>
        <w:tc>
          <w:tcPr>
            <w:tcW w:w="8614" w:type="dxa"/>
            <w:shd w:val="clear" w:color="auto" w:fill="E4E0DD"/>
            <w:tcMar>
              <w:top w:w="0" w:type="dxa"/>
              <w:bottom w:w="0" w:type="dxa"/>
              <w:right w:w="0" w:type="dxa"/>
            </w:tcMar>
          </w:tcPr>
          <w:p w14:paraId="6D554D3F" w14:textId="77777777" w:rsidR="003907BB" w:rsidRPr="001A2F85" w:rsidRDefault="003907BB" w:rsidP="003907BB">
            <w:pPr>
              <w:pStyle w:val="spacer"/>
            </w:pPr>
          </w:p>
        </w:tc>
      </w:tr>
      <w:tr w:rsidR="003907BB" w:rsidRPr="001A2F85" w14:paraId="70AF26B2" w14:textId="77777777" w:rsidTr="003907BB">
        <w:trPr>
          <w:cantSplit/>
          <w:trHeight w:hRule="exact" w:val="180"/>
        </w:trPr>
        <w:tc>
          <w:tcPr>
            <w:tcW w:w="8614" w:type="dxa"/>
            <w:tcMar>
              <w:top w:w="0" w:type="dxa"/>
              <w:left w:w="446" w:type="dxa"/>
              <w:bottom w:w="0" w:type="dxa"/>
            </w:tcMar>
          </w:tcPr>
          <w:p w14:paraId="08744CB3" w14:textId="77777777" w:rsidR="003907BB" w:rsidRPr="001A2F85" w:rsidRDefault="00A45AB3" w:rsidP="003907BB">
            <w:pPr>
              <w:pStyle w:val="spacertbl"/>
            </w:pPr>
            <w:r>
              <w:rPr>
                <w:noProof/>
                <w:lang w:eastAsia="en-AU"/>
              </w:rPr>
              <mc:AlternateContent>
                <mc:Choice Requires="wps">
                  <w:drawing>
                    <wp:anchor distT="0" distB="0" distL="114300" distR="114300" simplePos="0" relativeHeight="251630592" behindDoc="0" locked="1" layoutInCell="1" allowOverlap="1" wp14:anchorId="08AFC08E" wp14:editId="1BA13CD2">
                      <wp:simplePos x="0" y="0"/>
                      <wp:positionH relativeFrom="rightMargin">
                        <wp:posOffset>-772795</wp:posOffset>
                      </wp:positionH>
                      <wp:positionV relativeFrom="page">
                        <wp:posOffset>-237490</wp:posOffset>
                      </wp:positionV>
                      <wp:extent cx="436880" cy="213360"/>
                      <wp:effectExtent l="0" t="0" r="1270" b="0"/>
                      <wp:wrapNone/>
                      <wp:docPr id="37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D352CE" id="Freeform 5" o:spid="_x0000_s1026" style="position:absolute;margin-left:-60.85pt;margin-top:-18.7pt;width:34.4pt;height:16.8pt;z-index:251630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A6C794C" w14:textId="77777777" w:rsidR="00EA6577" w:rsidRPr="001A2F85" w:rsidRDefault="00EA6577" w:rsidP="000B6604">
      <w:pPr>
        <w:pStyle w:val="BodyText"/>
      </w:pPr>
    </w:p>
    <w:p w14:paraId="7E760B2F" w14:textId="77777777" w:rsidR="00EA6577" w:rsidRPr="001A2F85" w:rsidRDefault="00EA6577" w:rsidP="000B6604">
      <w:pPr>
        <w:pStyle w:val="BodyText"/>
      </w:pPr>
    </w:p>
    <w:p w14:paraId="1197FB38" w14:textId="77777777" w:rsidR="00EA6577" w:rsidRPr="001A2F85" w:rsidRDefault="00EA6577" w:rsidP="000B6604">
      <w:pPr>
        <w:pStyle w:val="BodyText"/>
        <w:sectPr w:rsidR="00EA6577" w:rsidRPr="001A2F85" w:rsidSect="00EA6577">
          <w:headerReference w:type="even" r:id="rId123"/>
          <w:headerReference w:type="default" r:id="rId124"/>
          <w:footerReference w:type="even" r:id="rId125"/>
          <w:footerReference w:type="default" r:id="rId126"/>
          <w:headerReference w:type="first" r:id="rId127"/>
          <w:footerReference w:type="first" r:id="rId128"/>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EA6577" w:rsidRPr="001A2F85" w14:paraId="0853C204" w14:textId="77777777" w:rsidTr="000B6604">
        <w:trPr>
          <w:trHeight w:hRule="exact" w:val="382"/>
        </w:trPr>
        <w:tc>
          <w:tcPr>
            <w:tcW w:w="4738" w:type="dxa"/>
            <w:shd w:val="clear" w:color="auto" w:fill="9D57A6"/>
          </w:tcPr>
          <w:p w14:paraId="0E8D519D" w14:textId="77777777" w:rsidR="00EA6577" w:rsidRPr="001A2F85" w:rsidRDefault="00A45AB3" w:rsidP="000B6604">
            <w:pPr>
              <w:pStyle w:val="tagchapterBanner"/>
            </w:pPr>
            <w:r>
              <w:rPr>
                <w:noProof/>
                <w:lang w:eastAsia="en-AU"/>
              </w:rPr>
              <mc:AlternateContent>
                <mc:Choice Requires="wps">
                  <w:drawing>
                    <wp:anchor distT="0" distB="0" distL="114300" distR="114300" simplePos="0" relativeHeight="251620352" behindDoc="0" locked="1" layoutInCell="1" allowOverlap="1" wp14:anchorId="54D74171" wp14:editId="13A6FF43">
                      <wp:simplePos x="0" y="0"/>
                      <wp:positionH relativeFrom="page">
                        <wp:posOffset>158750</wp:posOffset>
                      </wp:positionH>
                      <wp:positionV relativeFrom="page">
                        <wp:posOffset>6350</wp:posOffset>
                      </wp:positionV>
                      <wp:extent cx="439420" cy="215265"/>
                      <wp:effectExtent l="0" t="0" r="0" b="0"/>
                      <wp:wrapNone/>
                      <wp:docPr id="14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933A0A" id="Freeform 5" o:spid="_x0000_s1026" style="position:absolute;margin-left:12.5pt;margin-top:.5pt;width:34.6pt;height:16.9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Mjljxt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5E80A556" w14:textId="77777777" w:rsidR="00EA6577" w:rsidRPr="001A2F85" w:rsidRDefault="00EA6577" w:rsidP="000B6604">
            <w:pPr>
              <w:pStyle w:val="spacer"/>
            </w:pPr>
          </w:p>
        </w:tc>
      </w:tr>
      <w:tr w:rsidR="00EA6577" w:rsidRPr="001A2F85" w14:paraId="446A5FF2" w14:textId="77777777" w:rsidTr="000B6604">
        <w:trPr>
          <w:trHeight w:hRule="exact" w:val="3665"/>
        </w:trPr>
        <w:tc>
          <w:tcPr>
            <w:tcW w:w="4738" w:type="dxa"/>
            <w:shd w:val="clear" w:color="auto" w:fill="9D57A6"/>
            <w:tcMar>
              <w:left w:w="0" w:type="dxa"/>
              <w:bottom w:w="0" w:type="dxa"/>
            </w:tcMar>
            <w:vAlign w:val="bottom"/>
          </w:tcPr>
          <w:p w14:paraId="1046CAE7" w14:textId="77777777" w:rsidR="00EA6577" w:rsidRPr="001A2F85" w:rsidRDefault="002300BC" w:rsidP="002300BC">
            <w:pPr>
              <w:pStyle w:val="Heading1"/>
              <w:outlineLvl w:val="0"/>
            </w:pPr>
            <w:r w:rsidRPr="001A2F85">
              <w:t>Participation: Transition, Engagement and Progression</w:t>
            </w:r>
          </w:p>
        </w:tc>
        <w:tc>
          <w:tcPr>
            <w:tcW w:w="3430" w:type="dxa"/>
            <w:shd w:val="clear" w:color="auto" w:fill="9D57A6"/>
            <w:tcMar>
              <w:right w:w="344" w:type="dxa"/>
            </w:tcMar>
          </w:tcPr>
          <w:p w14:paraId="06E2C348" w14:textId="77777777" w:rsidR="00EA6577" w:rsidRPr="001A2F85" w:rsidRDefault="008C090E" w:rsidP="000B6604">
            <w:pPr>
              <w:pStyle w:val="HeadingChapter"/>
              <w:keepNext/>
            </w:pPr>
            <w:bookmarkStart w:id="228" w:name="_Toc466657132"/>
            <w:r>
              <w:t>6</w:t>
            </w:r>
            <w:bookmarkEnd w:id="228"/>
          </w:p>
        </w:tc>
      </w:tr>
      <w:tr w:rsidR="00EA6577" w:rsidRPr="001A2F85" w14:paraId="09E8C163" w14:textId="77777777" w:rsidTr="000B6604">
        <w:trPr>
          <w:trHeight w:hRule="exact" w:val="232"/>
        </w:trPr>
        <w:tc>
          <w:tcPr>
            <w:tcW w:w="4738" w:type="dxa"/>
            <w:shd w:val="clear" w:color="auto" w:fill="9D57A6"/>
          </w:tcPr>
          <w:p w14:paraId="3FEFA8FF" w14:textId="77777777" w:rsidR="00EA6577" w:rsidRPr="001A2F85" w:rsidRDefault="00EA6577" w:rsidP="000B6604">
            <w:pPr>
              <w:pStyle w:val="Chpt-Context"/>
            </w:pPr>
          </w:p>
        </w:tc>
        <w:tc>
          <w:tcPr>
            <w:tcW w:w="3430" w:type="dxa"/>
            <w:shd w:val="clear" w:color="auto" w:fill="9D57A6"/>
          </w:tcPr>
          <w:p w14:paraId="68330F8F" w14:textId="77777777" w:rsidR="00EA6577" w:rsidRPr="001A2F85" w:rsidRDefault="008C090E" w:rsidP="000B6604">
            <w:pPr>
              <w:pStyle w:val="Chpt-Context"/>
            </w:pPr>
            <w:bookmarkStart w:id="229" w:name="_Toc466657133"/>
            <w:r>
              <w:rPr>
                <w:noProof/>
              </w:rPr>
              <w:t>Participation: Transition, Engagement and Progression</w:t>
            </w:r>
            <w:bookmarkEnd w:id="229"/>
          </w:p>
        </w:tc>
      </w:tr>
      <w:tr w:rsidR="00EA6577" w:rsidRPr="001A2F85" w14:paraId="68604363" w14:textId="77777777" w:rsidTr="000B6604">
        <w:trPr>
          <w:trHeight w:hRule="exact" w:val="228"/>
        </w:trPr>
        <w:tc>
          <w:tcPr>
            <w:tcW w:w="4738" w:type="dxa"/>
            <w:tcBorders>
              <w:top w:val="single" w:sz="4" w:space="0" w:color="9D57A6"/>
            </w:tcBorders>
          </w:tcPr>
          <w:p w14:paraId="414F9DAD" w14:textId="77777777" w:rsidR="00EA6577" w:rsidRPr="001A2F85" w:rsidRDefault="00EA6577" w:rsidP="000B6604">
            <w:pPr>
              <w:pStyle w:val="spacer"/>
            </w:pPr>
          </w:p>
        </w:tc>
        <w:tc>
          <w:tcPr>
            <w:tcW w:w="3430" w:type="dxa"/>
            <w:tcBorders>
              <w:top w:val="single" w:sz="4" w:space="0" w:color="9D57A6"/>
            </w:tcBorders>
          </w:tcPr>
          <w:p w14:paraId="2660BDDB" w14:textId="77777777" w:rsidR="00EA6577" w:rsidRPr="001A2F85" w:rsidRDefault="00EA6577" w:rsidP="000B6604">
            <w:pPr>
              <w:pStyle w:val="spacer"/>
            </w:pPr>
          </w:p>
        </w:tc>
      </w:tr>
    </w:tbl>
    <w:p w14:paraId="50061C15" w14:textId="77777777" w:rsidR="006B6BAD" w:rsidRDefault="006B6BAD" w:rsidP="006B6BAD">
      <w:pPr>
        <w:pStyle w:val="Introduction"/>
      </w:pPr>
      <w:r>
        <w:t xml:space="preserve">This chapter provides </w:t>
      </w:r>
      <w:r w:rsidR="00107EBA">
        <w:t xml:space="preserve">an </w:t>
      </w:r>
      <w:r>
        <w:t>analysis of the range and impact of HEPPP activities carried out by universities at the Participation stage of the</w:t>
      </w:r>
      <w:r w:rsidRPr="006B6BAD">
        <w:t xml:space="preserve"> </w:t>
      </w:r>
      <w:r>
        <w:t>EIF student life cycle.</w:t>
      </w:r>
    </w:p>
    <w:p w14:paraId="157039C8" w14:textId="77777777" w:rsidR="00502B62" w:rsidRDefault="00502B62" w:rsidP="00502B62">
      <w:pPr>
        <w:pStyle w:val="BodyText"/>
      </w:pPr>
      <w:r w:rsidRPr="001A2F85">
        <w:t xml:space="preserve">The Participation stage of the student life cycle </w:t>
      </w:r>
      <w:r>
        <w:t xml:space="preserve">covers students’ transition to university and their engagement and progress during studies. These activities are funded through the HEPPP Participation component. </w:t>
      </w:r>
    </w:p>
    <w:p w14:paraId="0D657391" w14:textId="77777777" w:rsidR="00502B62" w:rsidRDefault="00502B62" w:rsidP="00502B62">
      <w:pPr>
        <w:pStyle w:val="BodyText"/>
      </w:pPr>
      <w:r>
        <w:t>Activities at this stage are intended to recognise</w:t>
      </w:r>
      <w:r w:rsidRPr="001A2F85">
        <w:t xml:space="preserve"> that the transition to university study is a significant life experience that may require the student to adapt to new environments, </w:t>
      </w:r>
      <w:r w:rsidR="00BD1041">
        <w:t xml:space="preserve">new </w:t>
      </w:r>
      <w:r w:rsidRPr="001A2F85">
        <w:t xml:space="preserve">forms of learning and </w:t>
      </w:r>
      <w:r w:rsidR="00BD1041">
        <w:t xml:space="preserve">different </w:t>
      </w:r>
      <w:r w:rsidRPr="001A2F85">
        <w:t>expectations of behaviour and performance</w:t>
      </w:r>
      <w:r w:rsidR="00BD1041">
        <w:t>. Activities also</w:t>
      </w:r>
      <w:r>
        <w:t xml:space="preserve"> </w:t>
      </w:r>
      <w:r w:rsidR="00BD1041">
        <w:t>provide</w:t>
      </w:r>
      <w:r>
        <w:t xml:space="preserve"> support</w:t>
      </w:r>
      <w:r w:rsidRPr="001A2F85">
        <w:t xml:space="preserve"> </w:t>
      </w:r>
      <w:r w:rsidR="00BD1041">
        <w:t>intended to help</w:t>
      </w:r>
      <w:r w:rsidRPr="001A2F85">
        <w:t xml:space="preserve"> students remain connected to their studies and have a clear view of their progression through study and into employment.</w:t>
      </w:r>
      <w:r>
        <w:t xml:space="preserve"> </w:t>
      </w:r>
    </w:p>
    <w:p w14:paraId="080F4737" w14:textId="77777777" w:rsidR="00502B62" w:rsidRPr="001A2F85" w:rsidRDefault="00502B62" w:rsidP="00502B62">
      <w:pPr>
        <w:pStyle w:val="BodyText"/>
      </w:pPr>
      <w:r>
        <w:t xml:space="preserve">Key types of projects at this stage of the student life cycle include </w:t>
      </w:r>
      <w:r w:rsidRPr="001A2F85">
        <w:t>orientation programs</w:t>
      </w:r>
      <w:r>
        <w:t xml:space="preserve"> and </w:t>
      </w:r>
      <w:r w:rsidRPr="001A2F85">
        <w:t xml:space="preserve">first year inclusive transition programs. After the first year of study, initiatives include extra-curricular learning and academic support programs, outside or in addition to normal classes, and curriculum and </w:t>
      </w:r>
      <w:r w:rsidRPr="008947AB">
        <w:t>course design (Bennett et al</w:t>
      </w:r>
      <w:r w:rsidR="009F5C29">
        <w:t>.</w:t>
      </w:r>
      <w:r w:rsidRPr="008947AB">
        <w:t xml:space="preserve"> 201</w:t>
      </w:r>
      <w:r w:rsidRPr="00CD581F">
        <w:t>5</w:t>
      </w:r>
      <w:r w:rsidR="00363053">
        <w:t>).</w:t>
      </w:r>
    </w:p>
    <w:p w14:paraId="4D2BABAC" w14:textId="77777777" w:rsidR="00502B62" w:rsidRPr="001A2F85" w:rsidRDefault="00502B62" w:rsidP="00502B62">
      <w:pPr>
        <w:pStyle w:val="BodyText"/>
      </w:pPr>
      <w:r>
        <w:t>The Participation stage</w:t>
      </w:r>
      <w:r w:rsidRPr="001A2F85">
        <w:t xml:space="preserve"> may </w:t>
      </w:r>
      <w:r>
        <w:t xml:space="preserve">also </w:t>
      </w:r>
      <w:r w:rsidRPr="001A2F85">
        <w:t>include activities that support the Outreach</w:t>
      </w:r>
      <w:r>
        <w:t>,</w:t>
      </w:r>
      <w:r w:rsidRPr="001A2F85">
        <w:t xml:space="preserve"> and Pathways and Admissions stages</w:t>
      </w:r>
      <w:r>
        <w:t xml:space="preserve">, such as </w:t>
      </w:r>
      <w:r w:rsidRPr="001A2F85">
        <w:t>bridging programs</w:t>
      </w:r>
      <w:r>
        <w:t xml:space="preserve">, </w:t>
      </w:r>
      <w:r w:rsidRPr="001A2F85">
        <w:t>careers advice regarding educational pathways</w:t>
      </w:r>
      <w:r>
        <w:t xml:space="preserve">, and </w:t>
      </w:r>
      <w:r w:rsidRPr="001A2F85">
        <w:t>mentoring and role models.</w:t>
      </w:r>
      <w:r>
        <w:t xml:space="preserve"> </w:t>
      </w:r>
      <w:r w:rsidRPr="001A2F85">
        <w:t xml:space="preserve">Where </w:t>
      </w:r>
      <w:r>
        <w:t>P</w:t>
      </w:r>
      <w:r w:rsidRPr="001A2F85">
        <w:t>articipation programs are focused on careers advice and employment support pre-course completion, they may also support programs in the next stage of the student life cycle, Attainment and Transition Out.</w:t>
      </w:r>
    </w:p>
    <w:p w14:paraId="1F65C326" w14:textId="77777777" w:rsidR="00502B62" w:rsidRPr="001A2F85" w:rsidRDefault="00502B62" w:rsidP="00502B62">
      <w:pPr>
        <w:pStyle w:val="Heading2"/>
      </w:pPr>
      <w:bookmarkStart w:id="230" w:name="_Toc466281083"/>
      <w:bookmarkStart w:id="231" w:name="_Toc466293734"/>
      <w:bookmarkStart w:id="232" w:name="_Toc466295689"/>
      <w:bookmarkStart w:id="233" w:name="_Toc466297129"/>
      <w:bookmarkStart w:id="234" w:name="_Toc466304885"/>
      <w:bookmarkStart w:id="235" w:name="_Toc466281084"/>
      <w:bookmarkStart w:id="236" w:name="_Toc466293735"/>
      <w:bookmarkStart w:id="237" w:name="_Toc466295690"/>
      <w:bookmarkStart w:id="238" w:name="_Toc466297130"/>
      <w:bookmarkStart w:id="239" w:name="_Toc466304886"/>
      <w:bookmarkStart w:id="240" w:name="_Toc466281085"/>
      <w:bookmarkStart w:id="241" w:name="_Toc466293736"/>
      <w:bookmarkStart w:id="242" w:name="_Toc466295691"/>
      <w:bookmarkStart w:id="243" w:name="_Toc466297131"/>
      <w:bookmarkStart w:id="244" w:name="_Toc466304887"/>
      <w:bookmarkStart w:id="245" w:name="_Toc466281086"/>
      <w:bookmarkStart w:id="246" w:name="_Toc466293737"/>
      <w:bookmarkStart w:id="247" w:name="_Toc466295692"/>
      <w:bookmarkStart w:id="248" w:name="_Toc466297132"/>
      <w:bookmarkStart w:id="249" w:name="_Toc466304888"/>
      <w:bookmarkStart w:id="250" w:name="_Toc466281087"/>
      <w:bookmarkStart w:id="251" w:name="_Toc466293738"/>
      <w:bookmarkStart w:id="252" w:name="_Toc466295693"/>
      <w:bookmarkStart w:id="253" w:name="_Toc466297133"/>
      <w:bookmarkStart w:id="254" w:name="_Toc466304889"/>
      <w:bookmarkStart w:id="255" w:name="_Toc466281088"/>
      <w:bookmarkStart w:id="256" w:name="_Toc466293739"/>
      <w:bookmarkStart w:id="257" w:name="_Toc466295694"/>
      <w:bookmarkStart w:id="258" w:name="_Toc466297134"/>
      <w:bookmarkStart w:id="259" w:name="_Toc466304890"/>
      <w:bookmarkStart w:id="260" w:name="_Toc464634435"/>
      <w:bookmarkStart w:id="261" w:name="_Toc466657134"/>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1A2F85">
        <w:t>Overview of HEPPP Participation stage activities</w:t>
      </w:r>
      <w:bookmarkEnd w:id="260"/>
      <w:bookmarkEnd w:id="261"/>
    </w:p>
    <w:p w14:paraId="1DFC3E3B" w14:textId="77777777" w:rsidR="00502B62" w:rsidRPr="001A2F85" w:rsidRDefault="00502B62" w:rsidP="00502B62">
      <w:pPr>
        <w:pStyle w:val="Heading3"/>
      </w:pPr>
      <w:r w:rsidRPr="001A2F85">
        <w:t>Nature and extent of activities</w:t>
      </w:r>
    </w:p>
    <w:p w14:paraId="70EC2477" w14:textId="77777777" w:rsidR="00502B62" w:rsidRDefault="00502B62" w:rsidP="00502B62">
      <w:pPr>
        <w:pStyle w:val="BodyText"/>
      </w:pPr>
      <w:r w:rsidRPr="001A2F85">
        <w:t xml:space="preserve">Participation </w:t>
      </w:r>
      <w:r>
        <w:t xml:space="preserve">stage </w:t>
      </w:r>
      <w:r w:rsidRPr="001A2F85">
        <w:t xml:space="preserve">activities undertaken by universities under the HEPPP concentrate on orienting students to the higher education environment, offer various forms of academic learning development and seek to foster a sense of belonging in new students. </w:t>
      </w:r>
    </w:p>
    <w:p w14:paraId="2E3FCA90" w14:textId="77777777" w:rsidR="00502B62" w:rsidRPr="001A2F85" w:rsidRDefault="00502B62" w:rsidP="00AD49C8">
      <w:pPr>
        <w:pStyle w:val="BodyText"/>
        <w:keepNext/>
      </w:pPr>
      <w:r>
        <w:t>The range of P</w:t>
      </w:r>
      <w:r w:rsidRPr="001A2F85">
        <w:t xml:space="preserve">articipation </w:t>
      </w:r>
      <w:r>
        <w:t xml:space="preserve">stage </w:t>
      </w:r>
      <w:r w:rsidRPr="001A2F85">
        <w:t>activities includes:</w:t>
      </w:r>
    </w:p>
    <w:p w14:paraId="604ACE5A" w14:textId="77777777" w:rsidR="00502B62" w:rsidRPr="001A2F85" w:rsidRDefault="00502B62" w:rsidP="00AD49C8">
      <w:pPr>
        <w:pStyle w:val="ListBullet"/>
        <w:keepNext/>
      </w:pPr>
      <w:r w:rsidRPr="001A2F85">
        <w:t>orientation programs and first year transition programs</w:t>
      </w:r>
    </w:p>
    <w:p w14:paraId="30DB3CF2" w14:textId="77777777" w:rsidR="00502B62" w:rsidRPr="001A2F85" w:rsidRDefault="00502B62" w:rsidP="00AD49C8">
      <w:pPr>
        <w:pStyle w:val="ListBullet"/>
        <w:keepNext/>
      </w:pPr>
      <w:r w:rsidRPr="001A2F85">
        <w:t>academic preparation/support</w:t>
      </w:r>
    </w:p>
    <w:p w14:paraId="65BDD91E" w14:textId="77777777" w:rsidR="00502B62" w:rsidRPr="001A2F85" w:rsidRDefault="00502B62" w:rsidP="00AD49C8">
      <w:pPr>
        <w:pStyle w:val="ListBullet"/>
        <w:keepNext/>
      </w:pPr>
      <w:r w:rsidRPr="001A2F85">
        <w:t>inclusive course design/pedagogies</w:t>
      </w:r>
    </w:p>
    <w:p w14:paraId="3F3F3F7F" w14:textId="77777777" w:rsidR="00502B62" w:rsidRPr="001A2F85" w:rsidRDefault="00502B62" w:rsidP="00AD49C8">
      <w:pPr>
        <w:pStyle w:val="ListBullet"/>
        <w:keepNext/>
      </w:pPr>
      <w:r w:rsidRPr="001A2F85">
        <w:t>monitoring student progress</w:t>
      </w:r>
    </w:p>
    <w:p w14:paraId="7873BEAE" w14:textId="77777777" w:rsidR="00502B62" w:rsidRPr="001A2F85" w:rsidRDefault="00502B62" w:rsidP="00AD49C8">
      <w:pPr>
        <w:pStyle w:val="ListBullet"/>
        <w:keepNext/>
      </w:pPr>
      <w:r w:rsidRPr="001A2F85">
        <w:t>mentoring, peer support</w:t>
      </w:r>
    </w:p>
    <w:p w14:paraId="0B67075C" w14:textId="77777777" w:rsidR="00502B62" w:rsidRPr="001A2F85" w:rsidRDefault="00502B62" w:rsidP="00AD49C8">
      <w:pPr>
        <w:pStyle w:val="ListBullet"/>
        <w:keepNext/>
      </w:pPr>
      <w:r w:rsidRPr="001A2F85">
        <w:t>professional development</w:t>
      </w:r>
    </w:p>
    <w:p w14:paraId="0A920880" w14:textId="77777777" w:rsidR="00502B62" w:rsidRPr="001A2F85" w:rsidRDefault="00502B62" w:rsidP="00AD49C8">
      <w:pPr>
        <w:pStyle w:val="ListBullet"/>
        <w:keepNext/>
      </w:pPr>
      <w:r w:rsidRPr="001A2F85">
        <w:t>scholarships</w:t>
      </w:r>
    </w:p>
    <w:p w14:paraId="1F5CD332" w14:textId="77777777" w:rsidR="00502B62" w:rsidRPr="001A2F85" w:rsidRDefault="00502B62" w:rsidP="00AD49C8">
      <w:pPr>
        <w:pStyle w:val="ListBullet"/>
        <w:keepNext/>
      </w:pPr>
      <w:r w:rsidRPr="001A2F85">
        <w:t>careers advice, employment support pre-completion and alternative exit programs.</w:t>
      </w:r>
    </w:p>
    <w:p w14:paraId="471EDD96" w14:textId="77777777" w:rsidR="00502B62" w:rsidRPr="001A2F85" w:rsidRDefault="00502B62" w:rsidP="00502B62">
      <w:pPr>
        <w:pStyle w:val="BodyText"/>
      </w:pPr>
      <w:r w:rsidRPr="001A2F85">
        <w:t xml:space="preserve">Each of these is discussed in further detail </w:t>
      </w:r>
      <w:r>
        <w:t xml:space="preserve">in </w:t>
      </w:r>
      <w:r w:rsidRPr="001A2F85">
        <w:t xml:space="preserve">Section </w:t>
      </w:r>
      <w:r w:rsidR="008C090E">
        <w:t>6.2</w:t>
      </w:r>
      <w:r w:rsidRPr="001A2F85">
        <w:t>, including the purpose of the activity and the types and impact of relevant projects that have been undertaken through the HEPPP.</w:t>
      </w:r>
    </w:p>
    <w:p w14:paraId="062794B8" w14:textId="77777777" w:rsidR="00502B62" w:rsidRPr="001A2F85" w:rsidRDefault="00363053" w:rsidP="00502B62">
      <w:pPr>
        <w:pStyle w:val="BodyText"/>
      </w:pPr>
      <w:r>
        <w:t>Academic preparation/support is the most common type of activity undertaken at the Participation stage, included in 39</w:t>
      </w:r>
      <w:r w:rsidRPr="001A2F85">
        <w:t> per cent</w:t>
      </w:r>
      <w:r>
        <w:t xml:space="preserve"> of projects (</w:t>
      </w:r>
      <w:r w:rsidR="008C090E" w:rsidRPr="00AD49C8">
        <w:t>Figure 6.1</w:t>
      </w:r>
      <w:r>
        <w:t xml:space="preserve">). First year transition activities and mentoring were also common, in 33 per cent and 29 per cent of projects respectively. </w:t>
      </w:r>
      <w:r w:rsidR="00502B62" w:rsidRPr="001A2F85">
        <w:t xml:space="preserve">Perhaps related to the importance of academic preparation and support in successful higher education participation, </w:t>
      </w:r>
      <w:r>
        <w:t xml:space="preserve">student progress was </w:t>
      </w:r>
      <w:r w:rsidRPr="001A2F85">
        <w:t>monitor</w:t>
      </w:r>
      <w:r>
        <w:t xml:space="preserve">ed in </w:t>
      </w:r>
      <w:r w:rsidR="00463F20">
        <w:t>one</w:t>
      </w:r>
      <w:r>
        <w:t xml:space="preserve"> quarter of Participation projects,</w:t>
      </w:r>
      <w:r w:rsidRPr="001A2F85">
        <w:t xml:space="preserve"> </w:t>
      </w:r>
      <w:r w:rsidR="00502B62" w:rsidRPr="001A2F85">
        <w:t>as a means of identifying students in need of support.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502B62" w:rsidRPr="001A2F85" w14:paraId="6BE0442F" w14:textId="77777777" w:rsidTr="00BB3E7B">
        <w:trPr>
          <w:cantSplit/>
          <w:trHeight w:hRule="exact" w:val="160"/>
        </w:trPr>
        <w:tc>
          <w:tcPr>
            <w:tcW w:w="8168" w:type="dxa"/>
            <w:tcBorders>
              <w:bottom w:val="single" w:sz="4" w:space="0" w:color="auto"/>
            </w:tcBorders>
          </w:tcPr>
          <w:p w14:paraId="3781066D" w14:textId="77777777" w:rsidR="00502B62" w:rsidRPr="001A2F85" w:rsidRDefault="00502B62" w:rsidP="00BB3E7B">
            <w:pPr>
              <w:pStyle w:val="spacer"/>
            </w:pPr>
          </w:p>
        </w:tc>
      </w:tr>
      <w:tr w:rsidR="00502B62" w:rsidRPr="001A2F85" w14:paraId="69D834BB" w14:textId="77777777" w:rsidTr="00BB3E7B">
        <w:trPr>
          <w:cantSplit/>
        </w:trPr>
        <w:tc>
          <w:tcPr>
            <w:tcW w:w="8168" w:type="dxa"/>
            <w:tcBorders>
              <w:top w:val="single" w:sz="4" w:space="0" w:color="auto"/>
            </w:tcBorders>
            <w:tcMar>
              <w:left w:w="0" w:type="dxa"/>
            </w:tcMar>
          </w:tcPr>
          <w:p w14:paraId="15A4AEF2" w14:textId="77777777" w:rsidR="00502B62" w:rsidRPr="001A2F85" w:rsidRDefault="00502B62" w:rsidP="00BB3E7B">
            <w:pPr>
              <w:pStyle w:val="Caption"/>
            </w:pPr>
            <w:bookmarkStart w:id="262" w:name="_Ref462388208"/>
            <w:bookmarkStart w:id="263" w:name="_Toc463029849"/>
            <w:bookmarkStart w:id="264" w:name="_Toc466655677"/>
            <w:r w:rsidRPr="001A2F85">
              <w:rPr>
                <w:rStyle w:val="CaptionLabel"/>
              </w:rPr>
              <w:t>Figure </w:t>
            </w:r>
            <w:r w:rsidR="008C090E">
              <w:rPr>
                <w:rStyle w:val="CaptionLabel"/>
                <w:noProof/>
              </w:rPr>
              <w:t>6</w:t>
            </w:r>
            <w:r w:rsidRPr="001A2F85">
              <w:rPr>
                <w:rStyle w:val="CaptionLabel"/>
              </w:rPr>
              <w:t>.</w:t>
            </w:r>
            <w:r w:rsidR="008C090E">
              <w:rPr>
                <w:rStyle w:val="CaptionLabel"/>
                <w:noProof/>
              </w:rPr>
              <w:t>1</w:t>
            </w:r>
            <w:bookmarkEnd w:id="262"/>
            <w:r w:rsidRPr="001A2F85">
              <w:tab/>
              <w:t>proportion of HEPPP participation projects containing each activity</w:t>
            </w:r>
            <w:bookmarkEnd w:id="263"/>
            <w:bookmarkEnd w:id="264"/>
          </w:p>
        </w:tc>
      </w:tr>
      <w:tr w:rsidR="00502B62" w:rsidRPr="001A2F85" w14:paraId="12A38DAD" w14:textId="77777777" w:rsidTr="00BB3E7B">
        <w:trPr>
          <w:cantSplit/>
          <w:trHeight w:hRule="exact" w:val="380"/>
        </w:trPr>
        <w:tc>
          <w:tcPr>
            <w:tcW w:w="8168" w:type="dxa"/>
            <w:tcBorders>
              <w:bottom w:val="single" w:sz="4" w:space="0" w:color="auto"/>
            </w:tcBorders>
          </w:tcPr>
          <w:p w14:paraId="266BDA54"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44928" behindDoc="0" locked="1" layoutInCell="1" allowOverlap="1" wp14:anchorId="66879AD2" wp14:editId="089B5EF2">
                      <wp:simplePos x="0" y="0"/>
                      <wp:positionH relativeFrom="rightMargin">
                        <wp:posOffset>-772795</wp:posOffset>
                      </wp:positionH>
                      <wp:positionV relativeFrom="page">
                        <wp:posOffset>0</wp:posOffset>
                      </wp:positionV>
                      <wp:extent cx="436880" cy="213360"/>
                      <wp:effectExtent l="0" t="0" r="1270" b="0"/>
                      <wp:wrapNone/>
                      <wp:docPr id="54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BEF080" id="Freeform 5" o:spid="_x0000_s1026" style="position:absolute;margin-left:-60.85pt;margin-top:0;width:34.4pt;height:16.8pt;z-index:251644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9iQ1G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4C270B80" w14:textId="77777777" w:rsidTr="00BB3E7B">
        <w:tblPrEx>
          <w:tblCellMar>
            <w:left w:w="108" w:type="dxa"/>
            <w:right w:w="108" w:type="dxa"/>
          </w:tblCellMar>
        </w:tblPrEx>
        <w:trPr>
          <w:cantSplit/>
        </w:trPr>
        <w:tc>
          <w:tcPr>
            <w:tcW w:w="8168" w:type="dxa"/>
            <w:tcBorders>
              <w:top w:val="single" w:sz="4" w:space="0" w:color="auto"/>
              <w:bottom w:val="single" w:sz="4" w:space="0" w:color="auto"/>
            </w:tcBorders>
          </w:tcPr>
          <w:p w14:paraId="277EF26D" w14:textId="77777777" w:rsidR="00502B62" w:rsidRPr="001A2F85" w:rsidRDefault="007F5EE9" w:rsidP="00BB3E7B">
            <w:pPr>
              <w:pStyle w:val="Figure"/>
            </w:pPr>
            <w:r>
              <w:rPr>
                <w:noProof/>
                <w:lang w:eastAsia="en-AU"/>
              </w:rPr>
              <w:drawing>
                <wp:inline distT="0" distB="0" distL="0" distR="0" wp14:anchorId="11CF142C" wp14:editId="4B9626D5">
                  <wp:extent cx="4991100" cy="1809750"/>
                  <wp:effectExtent l="0" t="0" r="0" b="0"/>
                  <wp:docPr id="32"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91100" cy="1809750"/>
                          </a:xfrm>
                          <a:prstGeom prst="rect">
                            <a:avLst/>
                          </a:prstGeom>
                          <a:noFill/>
                          <a:ln>
                            <a:noFill/>
                          </a:ln>
                        </pic:spPr>
                      </pic:pic>
                    </a:graphicData>
                  </a:graphic>
                </wp:inline>
              </w:drawing>
            </w:r>
            <w:r w:rsidR="00502B62" w:rsidRPr="001A2F85" w:rsidDel="005476B4">
              <w:t xml:space="preserve"> </w:t>
            </w:r>
          </w:p>
        </w:tc>
      </w:tr>
      <w:tr w:rsidR="00502B62" w:rsidRPr="001A2F85" w14:paraId="30ADF513" w14:textId="77777777" w:rsidTr="00BB3E7B">
        <w:trPr>
          <w:cantSplit/>
        </w:trPr>
        <w:tc>
          <w:tcPr>
            <w:tcW w:w="8168" w:type="dxa"/>
            <w:tcBorders>
              <w:top w:val="single" w:sz="4" w:space="0" w:color="auto"/>
              <w:bottom w:val="single" w:sz="4" w:space="0" w:color="auto"/>
            </w:tcBorders>
            <w:tcMar>
              <w:top w:w="12" w:type="dxa"/>
              <w:left w:w="0" w:type="dxa"/>
              <w:bottom w:w="113" w:type="dxa"/>
            </w:tcMar>
          </w:tcPr>
          <w:p w14:paraId="10F1076B" w14:textId="77777777" w:rsidR="00502B62" w:rsidRPr="001A2F85" w:rsidRDefault="00502B62" w:rsidP="00BB3E7B">
            <w:pPr>
              <w:pStyle w:val="Note"/>
            </w:pPr>
            <w:r w:rsidRPr="001A2F85">
              <w:t>Note: Percentages do not sum to 100 as projects can have multiple activities.</w:t>
            </w:r>
          </w:p>
          <w:p w14:paraId="09B64627" w14:textId="77777777" w:rsidR="00502B62" w:rsidRPr="001A2F85" w:rsidRDefault="00502B62" w:rsidP="00BB3E7B">
            <w:pPr>
              <w:pStyle w:val="Source"/>
            </w:pPr>
            <w:r w:rsidRPr="001A2F85">
              <w:t>Source: heppp annual reports</w:t>
            </w:r>
          </w:p>
        </w:tc>
      </w:tr>
      <w:tr w:rsidR="00502B62" w:rsidRPr="001A2F85" w14:paraId="34102518" w14:textId="77777777" w:rsidTr="00BB3E7B">
        <w:trPr>
          <w:trHeight w:hRule="exact" w:val="160"/>
        </w:trPr>
        <w:tc>
          <w:tcPr>
            <w:tcW w:w="8168" w:type="dxa"/>
            <w:tcBorders>
              <w:top w:val="single" w:sz="4" w:space="0" w:color="auto"/>
            </w:tcBorders>
          </w:tcPr>
          <w:p w14:paraId="1C9FA881" w14:textId="77777777" w:rsidR="00502B62" w:rsidRPr="001A2F85" w:rsidRDefault="00502B62" w:rsidP="00BB3E7B">
            <w:pPr>
              <w:pStyle w:val="spacertbl"/>
            </w:pPr>
          </w:p>
        </w:tc>
      </w:tr>
    </w:tbl>
    <w:p w14:paraId="6A6BE774" w14:textId="77777777" w:rsidR="00502B62" w:rsidRPr="001A2F85" w:rsidRDefault="00837DF6" w:rsidP="00502B62">
      <w:pPr>
        <w:pStyle w:val="BodyText"/>
      </w:pPr>
      <w:r>
        <w:t xml:space="preserve">Analysis of target groups shows that over two thirds </w:t>
      </w:r>
      <w:r w:rsidRPr="001A2F85">
        <w:t xml:space="preserve">of </w:t>
      </w:r>
      <w:r>
        <w:t>P</w:t>
      </w:r>
      <w:r w:rsidRPr="001A2F85">
        <w:t xml:space="preserve">articipation </w:t>
      </w:r>
      <w:r>
        <w:t>projects</w:t>
      </w:r>
      <w:r w:rsidRPr="00837DF6">
        <w:t xml:space="preserve"> </w:t>
      </w:r>
      <w:r w:rsidRPr="001A2F85">
        <w:t>targe</w:t>
      </w:r>
      <w:r>
        <w:t>t</w:t>
      </w:r>
      <w:r w:rsidRPr="001A2F85">
        <w:t xml:space="preserve"> </w:t>
      </w:r>
      <w:r>
        <w:t>only low SES students (</w:t>
      </w:r>
      <w:r w:rsidR="008C090E" w:rsidRPr="00AD49C8">
        <w:t>Figure 6.2</w:t>
      </w:r>
      <w:r>
        <w:t xml:space="preserve">). </w:t>
      </w:r>
      <w:r w:rsidR="00502B62">
        <w:t xml:space="preserve">Low SES Indigenous students and low SES students from regional and remote areas are targeted in 15 and 13 per cent of projects respectively. </w:t>
      </w:r>
      <w:r w:rsidR="00502B62" w:rsidRPr="001A2F85">
        <w:t>The proportion of programs targeting students with a disability and those from non-English speaking backgrounds is 6 per cent, with only 2 per cent of programs targeting women in non-traditional areas of study.</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502B62" w:rsidRPr="001A2F85" w14:paraId="04894D78" w14:textId="77777777" w:rsidTr="00BB3E7B">
        <w:trPr>
          <w:cantSplit/>
          <w:trHeight w:hRule="exact" w:val="160"/>
        </w:trPr>
        <w:tc>
          <w:tcPr>
            <w:tcW w:w="8168" w:type="dxa"/>
            <w:tcBorders>
              <w:bottom w:val="single" w:sz="4" w:space="0" w:color="auto"/>
            </w:tcBorders>
          </w:tcPr>
          <w:p w14:paraId="489B2FE5" w14:textId="77777777" w:rsidR="00502B62" w:rsidRPr="001A2F85" w:rsidRDefault="00502B62" w:rsidP="00BB3E7B">
            <w:pPr>
              <w:pStyle w:val="spacer"/>
            </w:pPr>
          </w:p>
        </w:tc>
      </w:tr>
      <w:tr w:rsidR="00502B62" w:rsidRPr="001A2F85" w14:paraId="65035EA1" w14:textId="77777777" w:rsidTr="00BB3E7B">
        <w:trPr>
          <w:cantSplit/>
        </w:trPr>
        <w:tc>
          <w:tcPr>
            <w:tcW w:w="8168" w:type="dxa"/>
            <w:tcBorders>
              <w:top w:val="single" w:sz="4" w:space="0" w:color="auto"/>
            </w:tcBorders>
            <w:tcMar>
              <w:left w:w="0" w:type="dxa"/>
            </w:tcMar>
          </w:tcPr>
          <w:p w14:paraId="226DAFF0" w14:textId="77777777" w:rsidR="00502B62" w:rsidRPr="001A2F85" w:rsidRDefault="00502B62" w:rsidP="00BB3E7B">
            <w:pPr>
              <w:pStyle w:val="Caption"/>
            </w:pPr>
            <w:bookmarkStart w:id="265" w:name="_Ref462388351"/>
            <w:bookmarkStart w:id="266" w:name="_Toc463029850"/>
            <w:bookmarkStart w:id="267" w:name="_Toc466655678"/>
            <w:r w:rsidRPr="001A2F85">
              <w:rPr>
                <w:rStyle w:val="CaptionLabel"/>
              </w:rPr>
              <w:t>Figure </w:t>
            </w:r>
            <w:r w:rsidR="008C090E">
              <w:rPr>
                <w:rStyle w:val="CaptionLabel"/>
                <w:noProof/>
              </w:rPr>
              <w:t>6</w:t>
            </w:r>
            <w:r w:rsidRPr="001A2F85">
              <w:rPr>
                <w:rStyle w:val="CaptionLabel"/>
              </w:rPr>
              <w:t>.</w:t>
            </w:r>
            <w:r w:rsidR="008C090E">
              <w:rPr>
                <w:rStyle w:val="CaptionLabel"/>
                <w:noProof/>
              </w:rPr>
              <w:t>2</w:t>
            </w:r>
            <w:bookmarkEnd w:id="265"/>
            <w:r w:rsidRPr="001A2F85">
              <w:tab/>
              <w:t xml:space="preserve">proportion of HEPPP participation projects TARGETING each </w:t>
            </w:r>
            <w:r>
              <w:t>EQUITY</w:t>
            </w:r>
            <w:r w:rsidRPr="001A2F85">
              <w:t xml:space="preserve"> group</w:t>
            </w:r>
            <w:bookmarkEnd w:id="266"/>
            <w:bookmarkEnd w:id="267"/>
          </w:p>
        </w:tc>
      </w:tr>
      <w:tr w:rsidR="00502B62" w:rsidRPr="001A2F85" w14:paraId="66C2793D" w14:textId="77777777" w:rsidTr="00BB3E7B">
        <w:trPr>
          <w:cantSplit/>
          <w:trHeight w:hRule="exact" w:val="380"/>
        </w:trPr>
        <w:tc>
          <w:tcPr>
            <w:tcW w:w="8168" w:type="dxa"/>
            <w:tcBorders>
              <w:bottom w:val="single" w:sz="4" w:space="0" w:color="auto"/>
            </w:tcBorders>
          </w:tcPr>
          <w:p w14:paraId="4D523B87"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45952" behindDoc="0" locked="1" layoutInCell="1" allowOverlap="1" wp14:anchorId="1821AD98" wp14:editId="5A5C86B4">
                      <wp:simplePos x="0" y="0"/>
                      <wp:positionH relativeFrom="rightMargin">
                        <wp:posOffset>-772795</wp:posOffset>
                      </wp:positionH>
                      <wp:positionV relativeFrom="page">
                        <wp:posOffset>0</wp:posOffset>
                      </wp:positionV>
                      <wp:extent cx="436880" cy="213360"/>
                      <wp:effectExtent l="0" t="0" r="1270" b="0"/>
                      <wp:wrapNone/>
                      <wp:docPr id="54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091AA1" id="Freeform 5" o:spid="_x0000_s1026" style="position:absolute;margin-left:-60.85pt;margin-top:0;width:34.4pt;height:16.8pt;z-index:25164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Syfg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7WBks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447B36D8" w14:textId="77777777" w:rsidTr="00BB3E7B">
        <w:tblPrEx>
          <w:tblCellMar>
            <w:left w:w="108" w:type="dxa"/>
            <w:right w:w="108" w:type="dxa"/>
          </w:tblCellMar>
        </w:tblPrEx>
        <w:trPr>
          <w:cantSplit/>
        </w:trPr>
        <w:tc>
          <w:tcPr>
            <w:tcW w:w="8168" w:type="dxa"/>
            <w:tcBorders>
              <w:top w:val="single" w:sz="4" w:space="0" w:color="auto"/>
              <w:bottom w:val="single" w:sz="4" w:space="0" w:color="auto"/>
            </w:tcBorders>
          </w:tcPr>
          <w:p w14:paraId="4DB21923" w14:textId="6A899DD6" w:rsidR="00502B62" w:rsidRPr="001A2F85" w:rsidRDefault="007F5EE9" w:rsidP="00BB3E7B">
            <w:pPr>
              <w:pStyle w:val="Figure"/>
            </w:pPr>
            <w:r>
              <w:rPr>
                <w:noProof/>
                <w:lang w:eastAsia="en-AU"/>
              </w:rPr>
              <w:drawing>
                <wp:inline distT="0" distB="0" distL="0" distR="0" wp14:anchorId="1D95A23C" wp14:editId="2AA8929D">
                  <wp:extent cx="5029200" cy="2143125"/>
                  <wp:effectExtent l="0" t="0" r="0" b="0"/>
                  <wp:docPr id="33"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29200" cy="2143125"/>
                          </a:xfrm>
                          <a:prstGeom prst="rect">
                            <a:avLst/>
                          </a:prstGeom>
                          <a:noFill/>
                          <a:ln>
                            <a:noFill/>
                          </a:ln>
                        </pic:spPr>
                      </pic:pic>
                    </a:graphicData>
                  </a:graphic>
                </wp:inline>
              </w:drawing>
            </w:r>
          </w:p>
        </w:tc>
      </w:tr>
      <w:tr w:rsidR="00502B62" w:rsidRPr="001A2F85" w14:paraId="352CE885" w14:textId="77777777" w:rsidTr="00BB3E7B">
        <w:trPr>
          <w:cantSplit/>
        </w:trPr>
        <w:tc>
          <w:tcPr>
            <w:tcW w:w="8168" w:type="dxa"/>
            <w:tcBorders>
              <w:top w:val="single" w:sz="4" w:space="0" w:color="auto"/>
              <w:bottom w:val="single" w:sz="4" w:space="0" w:color="auto"/>
            </w:tcBorders>
            <w:tcMar>
              <w:top w:w="12" w:type="dxa"/>
              <w:left w:w="0" w:type="dxa"/>
              <w:bottom w:w="113" w:type="dxa"/>
            </w:tcMar>
          </w:tcPr>
          <w:p w14:paraId="45F3E239" w14:textId="04FF0C91" w:rsidR="00502B62" w:rsidRPr="001A2F85" w:rsidRDefault="00502B62" w:rsidP="00BB3E7B">
            <w:pPr>
              <w:pStyle w:val="Note"/>
            </w:pPr>
            <w:r w:rsidRPr="001A2F85">
              <w:t xml:space="preserve">Note: Percentages do not sum to 100 as projects can </w:t>
            </w:r>
            <w:r w:rsidR="007D6DB1">
              <w:t>target</w:t>
            </w:r>
            <w:r w:rsidRPr="001A2F85">
              <w:t xml:space="preserve"> multiple </w:t>
            </w:r>
            <w:r w:rsidR="007D6DB1">
              <w:t>equity</w:t>
            </w:r>
            <w:r>
              <w:t xml:space="preserve"> groups</w:t>
            </w:r>
            <w:r w:rsidRPr="001A2F85">
              <w:t>.</w:t>
            </w:r>
            <w:r w:rsidR="003325E6">
              <w:rPr>
                <w:lang w:val="en-US"/>
              </w:rPr>
              <w:t xml:space="preserve"> See Appendix D for further disaggregation.</w:t>
            </w:r>
          </w:p>
          <w:p w14:paraId="383A71CF" w14:textId="77777777" w:rsidR="00502B62" w:rsidRPr="001A2F85" w:rsidRDefault="00502B62" w:rsidP="00BB3E7B">
            <w:pPr>
              <w:pStyle w:val="Source"/>
            </w:pPr>
            <w:r w:rsidRPr="001A2F85">
              <w:t>Source: heppp annual reports</w:t>
            </w:r>
          </w:p>
        </w:tc>
      </w:tr>
      <w:tr w:rsidR="00502B62" w:rsidRPr="001A2F85" w14:paraId="4EE5D1DD" w14:textId="77777777" w:rsidTr="00BB3E7B">
        <w:trPr>
          <w:trHeight w:hRule="exact" w:val="160"/>
        </w:trPr>
        <w:tc>
          <w:tcPr>
            <w:tcW w:w="8168" w:type="dxa"/>
            <w:tcBorders>
              <w:top w:val="single" w:sz="4" w:space="0" w:color="auto"/>
            </w:tcBorders>
          </w:tcPr>
          <w:p w14:paraId="16E0F363" w14:textId="77777777" w:rsidR="00502B62" w:rsidRPr="001A2F85" w:rsidRDefault="00502B62" w:rsidP="00BB3E7B">
            <w:pPr>
              <w:pStyle w:val="spacertbl"/>
            </w:pPr>
          </w:p>
        </w:tc>
      </w:tr>
    </w:tbl>
    <w:p w14:paraId="61B0EE44" w14:textId="77777777" w:rsidR="00502B62" w:rsidRPr="001A2F85" w:rsidRDefault="00263F92" w:rsidP="00502B62">
      <w:pPr>
        <w:pStyle w:val="BodyText"/>
      </w:pPr>
      <w:r>
        <w:t xml:space="preserve">Projects in the Participation stage can target more than one EIF group. </w:t>
      </w:r>
      <w:r w:rsidR="00BA586F">
        <w:t xml:space="preserve">Most projects </w:t>
      </w:r>
      <w:r>
        <w:t xml:space="preserve">in this </w:t>
      </w:r>
      <w:r w:rsidR="00BA586F">
        <w:t>stage</w:t>
      </w:r>
      <w:r w:rsidR="0093484B">
        <w:t xml:space="preserve"> </w:t>
      </w:r>
      <w:r w:rsidR="00BA586F">
        <w:t>targeted commencing/first year university students</w:t>
      </w:r>
      <w:r w:rsidR="0093484B">
        <w:t xml:space="preserve"> (90 per cent)</w:t>
      </w:r>
      <w:r w:rsidR="00BA586F">
        <w:t xml:space="preserve">, with two thirds targeting </w:t>
      </w:r>
      <w:r w:rsidR="00BA586F" w:rsidRPr="001A2F85">
        <w:t>continuing</w:t>
      </w:r>
      <w:r w:rsidR="00BA586F">
        <w:t>/</w:t>
      </w:r>
      <w:r w:rsidR="00BA586F" w:rsidRPr="001A2F85">
        <w:t xml:space="preserve">later year students </w:t>
      </w:r>
      <w:r w:rsidR="00BA586F">
        <w:t>(</w:t>
      </w:r>
      <w:r w:rsidR="008C090E" w:rsidRPr="00AD49C8">
        <w:t>Figure 6.3</w:t>
      </w:r>
      <w:r w:rsidR="00BA586F">
        <w:t>). Few projects targeted the other EIF groups at this stage of the student life cycle (5 per cent or fewer).</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502B62" w:rsidRPr="001A2F85" w14:paraId="434F89A9" w14:textId="77777777" w:rsidTr="00BB3E7B">
        <w:trPr>
          <w:cantSplit/>
          <w:trHeight w:hRule="exact" w:val="160"/>
        </w:trPr>
        <w:tc>
          <w:tcPr>
            <w:tcW w:w="8168" w:type="dxa"/>
            <w:tcBorders>
              <w:bottom w:val="single" w:sz="4" w:space="0" w:color="auto"/>
            </w:tcBorders>
          </w:tcPr>
          <w:p w14:paraId="5BB17E85" w14:textId="77777777" w:rsidR="00502B62" w:rsidRPr="001A2F85" w:rsidRDefault="00502B62" w:rsidP="00BB3E7B">
            <w:pPr>
              <w:pStyle w:val="spacer"/>
            </w:pPr>
          </w:p>
        </w:tc>
      </w:tr>
      <w:tr w:rsidR="00502B62" w:rsidRPr="001A2F85" w14:paraId="6A95E0D7" w14:textId="77777777" w:rsidTr="00BB3E7B">
        <w:trPr>
          <w:cantSplit/>
        </w:trPr>
        <w:tc>
          <w:tcPr>
            <w:tcW w:w="8168" w:type="dxa"/>
            <w:tcBorders>
              <w:top w:val="single" w:sz="4" w:space="0" w:color="auto"/>
            </w:tcBorders>
            <w:tcMar>
              <w:left w:w="0" w:type="dxa"/>
            </w:tcMar>
          </w:tcPr>
          <w:p w14:paraId="5D60EDF6" w14:textId="77777777" w:rsidR="00502B62" w:rsidRPr="001A2F85" w:rsidRDefault="00502B62" w:rsidP="00BB3E7B">
            <w:pPr>
              <w:pStyle w:val="Caption"/>
            </w:pPr>
            <w:bookmarkStart w:id="268" w:name="_Ref462388979"/>
            <w:bookmarkStart w:id="269" w:name="_Toc463029851"/>
            <w:bookmarkStart w:id="270" w:name="_Toc466655679"/>
            <w:r w:rsidRPr="001A2F85">
              <w:rPr>
                <w:rStyle w:val="CaptionLabel"/>
              </w:rPr>
              <w:t>Figure </w:t>
            </w:r>
            <w:r w:rsidR="008C090E">
              <w:rPr>
                <w:rStyle w:val="CaptionLabel"/>
                <w:noProof/>
              </w:rPr>
              <w:t>6</w:t>
            </w:r>
            <w:r w:rsidRPr="001A2F85">
              <w:rPr>
                <w:rStyle w:val="CaptionLabel"/>
              </w:rPr>
              <w:t>.</w:t>
            </w:r>
            <w:r w:rsidR="008C090E">
              <w:rPr>
                <w:rStyle w:val="CaptionLabel"/>
                <w:noProof/>
              </w:rPr>
              <w:t>3</w:t>
            </w:r>
            <w:bookmarkEnd w:id="268"/>
            <w:r w:rsidRPr="001A2F85">
              <w:tab/>
              <w:t>proportion of HEPPP participation projects TARGETING each EIF target group</w:t>
            </w:r>
            <w:bookmarkEnd w:id="269"/>
            <w:bookmarkEnd w:id="270"/>
          </w:p>
        </w:tc>
      </w:tr>
      <w:tr w:rsidR="00502B62" w:rsidRPr="001A2F85" w14:paraId="21C6FB37" w14:textId="77777777" w:rsidTr="00BB3E7B">
        <w:trPr>
          <w:cantSplit/>
          <w:trHeight w:hRule="exact" w:val="380"/>
        </w:trPr>
        <w:tc>
          <w:tcPr>
            <w:tcW w:w="8168" w:type="dxa"/>
            <w:tcBorders>
              <w:bottom w:val="single" w:sz="4" w:space="0" w:color="auto"/>
            </w:tcBorders>
          </w:tcPr>
          <w:p w14:paraId="12DF7638"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46976" behindDoc="0" locked="1" layoutInCell="1" allowOverlap="1" wp14:anchorId="3DB072F2" wp14:editId="200D681B">
                      <wp:simplePos x="0" y="0"/>
                      <wp:positionH relativeFrom="rightMargin">
                        <wp:posOffset>-772795</wp:posOffset>
                      </wp:positionH>
                      <wp:positionV relativeFrom="page">
                        <wp:posOffset>0</wp:posOffset>
                      </wp:positionV>
                      <wp:extent cx="436880" cy="213360"/>
                      <wp:effectExtent l="0" t="0" r="1270" b="0"/>
                      <wp:wrapNone/>
                      <wp:docPr id="54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B873BE" id="Freeform 5" o:spid="_x0000_s1026" style="position:absolute;margin-left:-60.85pt;margin-top:0;width:34.4pt;height:16.8pt;z-index:251646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6P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Jkafo9/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440360E2" w14:textId="77777777" w:rsidTr="00BB3E7B">
        <w:trPr>
          <w:cantSplit/>
        </w:trPr>
        <w:tc>
          <w:tcPr>
            <w:tcW w:w="8168" w:type="dxa"/>
            <w:tcBorders>
              <w:top w:val="single" w:sz="4" w:space="0" w:color="auto"/>
              <w:bottom w:val="single" w:sz="4" w:space="0" w:color="auto"/>
            </w:tcBorders>
            <w:tcMar>
              <w:top w:w="10" w:type="dxa"/>
              <w:bottom w:w="10" w:type="dxa"/>
              <w:right w:w="0" w:type="dxa"/>
            </w:tcMar>
          </w:tcPr>
          <w:p w14:paraId="69A041A6" w14:textId="77777777" w:rsidR="00502B62" w:rsidRPr="001A2F85" w:rsidRDefault="00502B62" w:rsidP="00BB3E7B">
            <w:pPr>
              <w:pStyle w:val="Figure"/>
            </w:pPr>
            <w:r w:rsidRPr="001A2F85">
              <w:t xml:space="preserve"> </w:t>
            </w:r>
            <w:r w:rsidR="007F5EE9">
              <w:rPr>
                <w:noProof/>
                <w:lang w:eastAsia="en-AU"/>
              </w:rPr>
              <w:drawing>
                <wp:inline distT="0" distB="0" distL="0" distR="0" wp14:anchorId="04BB6E8D" wp14:editId="3D5F89D5">
                  <wp:extent cx="5181600" cy="1876425"/>
                  <wp:effectExtent l="0" t="0" r="0" b="0"/>
                  <wp:docPr id="3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81600" cy="1876425"/>
                          </a:xfrm>
                          <a:prstGeom prst="rect">
                            <a:avLst/>
                          </a:prstGeom>
                          <a:noFill/>
                          <a:ln>
                            <a:noFill/>
                          </a:ln>
                        </pic:spPr>
                      </pic:pic>
                    </a:graphicData>
                  </a:graphic>
                </wp:inline>
              </w:drawing>
            </w:r>
          </w:p>
        </w:tc>
      </w:tr>
      <w:tr w:rsidR="00502B62" w:rsidRPr="001A2F85" w14:paraId="029291B0" w14:textId="77777777" w:rsidTr="00BB3E7B">
        <w:trPr>
          <w:cantSplit/>
        </w:trPr>
        <w:tc>
          <w:tcPr>
            <w:tcW w:w="8168" w:type="dxa"/>
            <w:tcBorders>
              <w:top w:val="single" w:sz="4" w:space="0" w:color="auto"/>
              <w:bottom w:val="single" w:sz="4" w:space="0" w:color="auto"/>
            </w:tcBorders>
            <w:tcMar>
              <w:top w:w="12" w:type="dxa"/>
              <w:left w:w="0" w:type="dxa"/>
              <w:bottom w:w="113" w:type="dxa"/>
            </w:tcMar>
          </w:tcPr>
          <w:p w14:paraId="50A8A74D" w14:textId="77777777" w:rsidR="00502B62" w:rsidRPr="001A2F85" w:rsidRDefault="00502B62" w:rsidP="00BB3E7B">
            <w:pPr>
              <w:pStyle w:val="Note"/>
            </w:pPr>
            <w:r w:rsidRPr="001A2F85">
              <w:t xml:space="preserve">Note: Percentages do not sum to 100 as projects can </w:t>
            </w:r>
            <w:r w:rsidR="007D6DB1">
              <w:t>target</w:t>
            </w:r>
            <w:r w:rsidR="007D6DB1" w:rsidRPr="001A2F85">
              <w:t xml:space="preserve"> </w:t>
            </w:r>
            <w:r w:rsidRPr="001A2F85">
              <w:t xml:space="preserve">multiple </w:t>
            </w:r>
            <w:r w:rsidR="007D6DB1">
              <w:t>EIF</w:t>
            </w:r>
            <w:r w:rsidR="007D6DB1" w:rsidRPr="001A2F85">
              <w:t xml:space="preserve"> </w:t>
            </w:r>
            <w:r w:rsidRPr="001A2F85">
              <w:t>groups.</w:t>
            </w:r>
          </w:p>
          <w:p w14:paraId="71270FB5" w14:textId="77777777" w:rsidR="00502B62" w:rsidRPr="001A2F85" w:rsidRDefault="00502B62" w:rsidP="00BB3E7B">
            <w:pPr>
              <w:pStyle w:val="Source"/>
            </w:pPr>
            <w:r w:rsidRPr="001A2F85">
              <w:t>Source: heppp annual reports</w:t>
            </w:r>
          </w:p>
        </w:tc>
      </w:tr>
      <w:tr w:rsidR="00502B62" w:rsidRPr="001A2F85" w14:paraId="2C8C87D7" w14:textId="77777777" w:rsidTr="00BB3E7B">
        <w:trPr>
          <w:trHeight w:hRule="exact" w:val="160"/>
        </w:trPr>
        <w:tc>
          <w:tcPr>
            <w:tcW w:w="8168" w:type="dxa"/>
            <w:tcBorders>
              <w:top w:val="single" w:sz="4" w:space="0" w:color="auto"/>
            </w:tcBorders>
          </w:tcPr>
          <w:p w14:paraId="4BEBB506" w14:textId="77777777" w:rsidR="00502B62" w:rsidRPr="001A2F85" w:rsidRDefault="00502B62" w:rsidP="00BB3E7B">
            <w:pPr>
              <w:pStyle w:val="spacertbl"/>
            </w:pPr>
          </w:p>
        </w:tc>
      </w:tr>
    </w:tbl>
    <w:p w14:paraId="264419B9" w14:textId="77777777" w:rsidR="00502B62" w:rsidRPr="001A2F85" w:rsidRDefault="00502B62" w:rsidP="00502B62">
      <w:pPr>
        <w:pStyle w:val="Heading3"/>
      </w:pPr>
      <w:r w:rsidRPr="001A2F85">
        <w:t>Survey results</w:t>
      </w:r>
    </w:p>
    <w:p w14:paraId="1D9BA726" w14:textId="77777777" w:rsidR="00B33B23" w:rsidRDefault="00B33B23" w:rsidP="00B33B23">
      <w:pPr>
        <w:pStyle w:val="BodyText"/>
      </w:pPr>
      <w:r>
        <w:t xml:space="preserve">University staff who have been involved in implementation of the HEPPP were surveyed for this evaluation (refer Sections 1.2.3 and </w:t>
      </w:r>
      <w:r w:rsidR="008C090E">
        <w:t>4.1.3</w:t>
      </w:r>
      <w:r>
        <w:t>), and students who had participated in HEPPP projects were also surveyed. The results of these surveys relevant to Participation activities are provided in the figures below</w:t>
      </w:r>
      <w:r w:rsidR="00F72359">
        <w:t xml:space="preserve">, </w:t>
      </w:r>
      <w:r>
        <w:t>aggregated across the 15 universities involved in the surveys and aggregated from the multiple HEPPP p</w:t>
      </w:r>
      <w:r w:rsidR="00F72359">
        <w:t>rojects within each university.</w:t>
      </w:r>
    </w:p>
    <w:p w14:paraId="77682794" w14:textId="77777777" w:rsidR="00502B62" w:rsidRPr="001A2F85" w:rsidRDefault="00B33B23" w:rsidP="00502B62">
      <w:pPr>
        <w:pStyle w:val="BodyText"/>
      </w:pPr>
      <w:r>
        <w:t xml:space="preserve">Students were asked how they had first found </w:t>
      </w:r>
      <w:r w:rsidRPr="001A2F85">
        <w:t>out about the HEPPP projects offered by their university</w:t>
      </w:r>
      <w:r>
        <w:t xml:space="preserve"> (</w:t>
      </w:r>
      <w:r w:rsidR="008C090E" w:rsidRPr="00AD49C8">
        <w:t>Figure 6.4</w:t>
      </w:r>
      <w:r>
        <w:t xml:space="preserve">); excluding </w:t>
      </w:r>
      <w:r w:rsidRPr="001A2F85">
        <w:t>those who indicated ‘other means’, the most common way of learning about HEPPP projects was through an email or letter from the university (21 per cent)</w:t>
      </w:r>
      <w:r>
        <w:t xml:space="preserve">. </w:t>
      </w:r>
      <w:r w:rsidR="00502B62" w:rsidRPr="001A2F85">
        <w:t>Students also found out about HEPPP projects through</w:t>
      </w:r>
      <w:r>
        <w:t xml:space="preserve"> their lecturers or tutors (</w:t>
      </w:r>
      <w:r w:rsidRPr="001A2F85">
        <w:t>18 per cent)</w:t>
      </w:r>
      <w:r w:rsidR="00502B62" w:rsidRPr="001A2F85">
        <w:t xml:space="preserve"> </w:t>
      </w:r>
      <w:r>
        <w:t xml:space="preserve">or through </w:t>
      </w:r>
      <w:r w:rsidR="00502B62" w:rsidRPr="001A2F85">
        <w:t>advertisements at the university (14 per cent</w:t>
      </w:r>
      <w:r>
        <w:t>)</w:t>
      </w:r>
      <w:r w:rsidR="00502B62" w:rsidRPr="001A2F85">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502B62" w:rsidRPr="001A2F85" w14:paraId="6FD12179" w14:textId="77777777" w:rsidTr="00BB3E7B">
        <w:trPr>
          <w:cantSplit/>
          <w:trHeight w:hRule="exact" w:val="160"/>
        </w:trPr>
        <w:tc>
          <w:tcPr>
            <w:tcW w:w="8168" w:type="dxa"/>
            <w:tcBorders>
              <w:bottom w:val="single" w:sz="4" w:space="0" w:color="auto"/>
            </w:tcBorders>
          </w:tcPr>
          <w:p w14:paraId="71C3639B" w14:textId="77777777" w:rsidR="00502B62" w:rsidRPr="001A2F85" w:rsidRDefault="00502B62" w:rsidP="00BB3E7B">
            <w:pPr>
              <w:pStyle w:val="spacer"/>
            </w:pPr>
          </w:p>
        </w:tc>
      </w:tr>
      <w:tr w:rsidR="00502B62" w:rsidRPr="001A2F85" w14:paraId="63857F12" w14:textId="77777777" w:rsidTr="00BB3E7B">
        <w:trPr>
          <w:cantSplit/>
        </w:trPr>
        <w:tc>
          <w:tcPr>
            <w:tcW w:w="8168" w:type="dxa"/>
            <w:tcBorders>
              <w:top w:val="single" w:sz="4" w:space="0" w:color="auto"/>
            </w:tcBorders>
            <w:tcMar>
              <w:left w:w="0" w:type="dxa"/>
            </w:tcMar>
          </w:tcPr>
          <w:p w14:paraId="44FE1C03" w14:textId="77777777" w:rsidR="00502B62" w:rsidRPr="001A2F85" w:rsidRDefault="00502B62" w:rsidP="00BB3E7B">
            <w:pPr>
              <w:pStyle w:val="Caption"/>
            </w:pPr>
            <w:bookmarkStart w:id="271" w:name="_Ref462849446"/>
            <w:bookmarkStart w:id="272" w:name="_Toc463029852"/>
            <w:bookmarkStart w:id="273" w:name="_Toc466655680"/>
            <w:r w:rsidRPr="001A2F85">
              <w:rPr>
                <w:rStyle w:val="CaptionLabel"/>
              </w:rPr>
              <w:t>Figure </w:t>
            </w:r>
            <w:r w:rsidR="008C090E">
              <w:rPr>
                <w:rStyle w:val="CaptionLabel"/>
                <w:noProof/>
              </w:rPr>
              <w:t>6</w:t>
            </w:r>
            <w:r w:rsidRPr="001A2F85">
              <w:rPr>
                <w:rStyle w:val="CaptionLabel"/>
              </w:rPr>
              <w:t>.</w:t>
            </w:r>
            <w:r w:rsidR="008C090E">
              <w:rPr>
                <w:rStyle w:val="CaptionLabel"/>
                <w:noProof/>
              </w:rPr>
              <w:t>4</w:t>
            </w:r>
            <w:bookmarkEnd w:id="271"/>
            <w:r w:rsidRPr="001A2F85">
              <w:tab/>
              <w:t>Student survey, finding out about HEPPP PROJECTS</w:t>
            </w:r>
            <w:bookmarkEnd w:id="272"/>
            <w:bookmarkEnd w:id="273"/>
            <w:r w:rsidRPr="001A2F85">
              <w:t xml:space="preserve"> </w:t>
            </w:r>
          </w:p>
        </w:tc>
      </w:tr>
      <w:tr w:rsidR="00502B62" w:rsidRPr="001A2F85" w14:paraId="360820C7" w14:textId="77777777" w:rsidTr="00BB3E7B">
        <w:trPr>
          <w:cantSplit/>
          <w:trHeight w:hRule="exact" w:val="380"/>
        </w:trPr>
        <w:tc>
          <w:tcPr>
            <w:tcW w:w="8168" w:type="dxa"/>
            <w:tcBorders>
              <w:bottom w:val="single" w:sz="4" w:space="0" w:color="auto"/>
            </w:tcBorders>
          </w:tcPr>
          <w:p w14:paraId="1368C988"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53120" behindDoc="0" locked="1" layoutInCell="1" allowOverlap="1" wp14:anchorId="27542F2A" wp14:editId="153788CC">
                      <wp:simplePos x="0" y="0"/>
                      <wp:positionH relativeFrom="rightMargin">
                        <wp:posOffset>-772795</wp:posOffset>
                      </wp:positionH>
                      <wp:positionV relativeFrom="page">
                        <wp:posOffset>0</wp:posOffset>
                      </wp:positionV>
                      <wp:extent cx="436880" cy="213360"/>
                      <wp:effectExtent l="0" t="0" r="1270" b="0"/>
                      <wp:wrapNone/>
                      <wp:docPr id="54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E69DE0" id="Freeform 5" o:spid="_x0000_s1026" style="position:absolute;margin-left:-60.85pt;margin-top:0;width:34.4pt;height:16.8pt;z-index:251653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91fQ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cXK91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1838C743" w14:textId="77777777" w:rsidTr="00BB3E7B">
        <w:trPr>
          <w:cantSplit/>
        </w:trPr>
        <w:tc>
          <w:tcPr>
            <w:tcW w:w="8168" w:type="dxa"/>
            <w:tcBorders>
              <w:top w:val="single" w:sz="4" w:space="0" w:color="auto"/>
              <w:bottom w:val="single" w:sz="4" w:space="0" w:color="auto"/>
            </w:tcBorders>
            <w:tcMar>
              <w:top w:w="10" w:type="dxa"/>
              <w:bottom w:w="10" w:type="dxa"/>
              <w:right w:w="0" w:type="dxa"/>
            </w:tcMar>
          </w:tcPr>
          <w:p w14:paraId="70DE38DF" w14:textId="77777777" w:rsidR="00502B62" w:rsidRPr="001A2F85" w:rsidRDefault="007F5EE9" w:rsidP="00BB3E7B">
            <w:pPr>
              <w:pStyle w:val="Figure"/>
            </w:pPr>
            <w:r>
              <w:rPr>
                <w:noProof/>
                <w:lang w:eastAsia="en-AU"/>
              </w:rPr>
              <w:drawing>
                <wp:inline distT="0" distB="0" distL="0" distR="0" wp14:anchorId="5E130E00" wp14:editId="0E87BA7A">
                  <wp:extent cx="5191125" cy="2419350"/>
                  <wp:effectExtent l="0" t="0" r="0" b="0"/>
                  <wp:docPr id="35"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91125" cy="2419350"/>
                          </a:xfrm>
                          <a:prstGeom prst="rect">
                            <a:avLst/>
                          </a:prstGeom>
                          <a:noFill/>
                          <a:ln>
                            <a:noFill/>
                          </a:ln>
                        </pic:spPr>
                      </pic:pic>
                    </a:graphicData>
                  </a:graphic>
                </wp:inline>
              </w:drawing>
            </w:r>
          </w:p>
        </w:tc>
      </w:tr>
      <w:tr w:rsidR="00502B62" w:rsidRPr="001A2F85" w14:paraId="42805884" w14:textId="77777777" w:rsidTr="00BB3E7B">
        <w:trPr>
          <w:cantSplit/>
        </w:trPr>
        <w:tc>
          <w:tcPr>
            <w:tcW w:w="8168" w:type="dxa"/>
            <w:tcBorders>
              <w:top w:val="single" w:sz="4" w:space="0" w:color="auto"/>
              <w:bottom w:val="single" w:sz="4" w:space="0" w:color="auto"/>
            </w:tcBorders>
            <w:tcMar>
              <w:top w:w="12" w:type="dxa"/>
              <w:left w:w="0" w:type="dxa"/>
              <w:bottom w:w="113" w:type="dxa"/>
            </w:tcMar>
          </w:tcPr>
          <w:p w14:paraId="55411FBE" w14:textId="77777777" w:rsidR="00502B62" w:rsidRPr="00AD49C8" w:rsidRDefault="00502B62" w:rsidP="00BB3E7B">
            <w:pPr>
              <w:pStyle w:val="Source"/>
              <w:rPr>
                <w:i w:val="0"/>
              </w:rPr>
            </w:pPr>
            <w:r w:rsidRPr="00AD49C8">
              <w:rPr>
                <w:i w:val="0"/>
                <w:caps w:val="0"/>
              </w:rPr>
              <w:t>Note: n=3,447</w:t>
            </w:r>
          </w:p>
          <w:p w14:paraId="3E6BA406" w14:textId="77777777" w:rsidR="00502B62" w:rsidRPr="001A2F85" w:rsidRDefault="00502B62" w:rsidP="00BB3E7B">
            <w:pPr>
              <w:pStyle w:val="Source"/>
            </w:pPr>
            <w:r w:rsidRPr="001A2F85">
              <w:t>Source: Student survey data</w:t>
            </w:r>
          </w:p>
        </w:tc>
      </w:tr>
      <w:tr w:rsidR="00502B62" w:rsidRPr="001A2F85" w14:paraId="6BDA073D" w14:textId="77777777" w:rsidTr="00BB3E7B">
        <w:trPr>
          <w:trHeight w:hRule="exact" w:val="160"/>
        </w:trPr>
        <w:tc>
          <w:tcPr>
            <w:tcW w:w="8168" w:type="dxa"/>
            <w:tcBorders>
              <w:top w:val="single" w:sz="4" w:space="0" w:color="auto"/>
            </w:tcBorders>
          </w:tcPr>
          <w:p w14:paraId="50D08DBA" w14:textId="77777777" w:rsidR="00502B62" w:rsidRPr="001A2F85" w:rsidRDefault="00502B62" w:rsidP="00BB3E7B">
            <w:pPr>
              <w:pStyle w:val="spacertbl"/>
            </w:pPr>
          </w:p>
        </w:tc>
      </w:tr>
    </w:tbl>
    <w:p w14:paraId="265493DE" w14:textId="77777777" w:rsidR="00502B62" w:rsidRPr="001A2F85" w:rsidRDefault="00502B62" w:rsidP="00502B62">
      <w:pPr>
        <w:pStyle w:val="BodyText"/>
      </w:pPr>
      <w:r w:rsidRPr="001A2F85">
        <w:t>The majority of students agree that the HEPPP projects are easy to access and had a positive impact on their studies and their experience at university (</w:t>
      </w:r>
      <w:r w:rsidR="008C090E" w:rsidRPr="00AD49C8">
        <w:t>Figure 6.5</w:t>
      </w:r>
      <w:r w:rsidRPr="001A2F85">
        <w:t>). Three quarters of student respondents agreed or strongly agreed that the project with which they were involved had helped them make better use of the university’s services and facilities, and the same proportion agreed that the program gave them greater confidence that university studies were right for them. Additionally, 72 per cent of respondents indicated that the projects had increased the likelihood that they would complete their university studies.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502B62" w:rsidRPr="001A2F85" w14:paraId="043B1806" w14:textId="77777777" w:rsidTr="00BB3E7B">
        <w:trPr>
          <w:cantSplit/>
          <w:trHeight w:hRule="exact" w:val="160"/>
        </w:trPr>
        <w:tc>
          <w:tcPr>
            <w:tcW w:w="8168" w:type="dxa"/>
            <w:tcBorders>
              <w:bottom w:val="single" w:sz="4" w:space="0" w:color="auto"/>
            </w:tcBorders>
          </w:tcPr>
          <w:p w14:paraId="15B963EC" w14:textId="77777777" w:rsidR="00502B62" w:rsidRPr="001A2F85" w:rsidRDefault="00502B62" w:rsidP="00BB3E7B">
            <w:pPr>
              <w:pStyle w:val="spacer"/>
            </w:pPr>
          </w:p>
        </w:tc>
      </w:tr>
      <w:tr w:rsidR="00502B62" w:rsidRPr="001A2F85" w14:paraId="4F912434" w14:textId="77777777" w:rsidTr="00BB3E7B">
        <w:trPr>
          <w:cantSplit/>
        </w:trPr>
        <w:tc>
          <w:tcPr>
            <w:tcW w:w="8168" w:type="dxa"/>
            <w:tcBorders>
              <w:top w:val="single" w:sz="4" w:space="0" w:color="auto"/>
            </w:tcBorders>
            <w:tcMar>
              <w:left w:w="0" w:type="dxa"/>
            </w:tcMar>
          </w:tcPr>
          <w:p w14:paraId="6A155600" w14:textId="77777777" w:rsidR="00502B62" w:rsidRPr="001A2F85" w:rsidRDefault="00502B62" w:rsidP="00BB3E7B">
            <w:pPr>
              <w:pStyle w:val="Caption"/>
            </w:pPr>
            <w:bookmarkStart w:id="274" w:name="_Ref462849865"/>
            <w:bookmarkStart w:id="275" w:name="_Toc463029853"/>
            <w:bookmarkStart w:id="276" w:name="_Toc466655681"/>
            <w:r w:rsidRPr="001A2F85">
              <w:rPr>
                <w:rStyle w:val="CaptionLabel"/>
              </w:rPr>
              <w:t>Figure </w:t>
            </w:r>
            <w:r w:rsidR="008C090E">
              <w:rPr>
                <w:rStyle w:val="CaptionLabel"/>
                <w:noProof/>
              </w:rPr>
              <w:t>6</w:t>
            </w:r>
            <w:r w:rsidRPr="001A2F85">
              <w:rPr>
                <w:rStyle w:val="CaptionLabel"/>
              </w:rPr>
              <w:t>.</w:t>
            </w:r>
            <w:r w:rsidR="008C090E">
              <w:rPr>
                <w:rStyle w:val="CaptionLabel"/>
                <w:noProof/>
              </w:rPr>
              <w:t>5</w:t>
            </w:r>
            <w:bookmarkEnd w:id="274"/>
            <w:r w:rsidRPr="001A2F85">
              <w:tab/>
              <w:t>student survey, impact on RETENTION and COMPLETION</w:t>
            </w:r>
            <w:bookmarkEnd w:id="275"/>
            <w:bookmarkEnd w:id="276"/>
          </w:p>
        </w:tc>
      </w:tr>
      <w:tr w:rsidR="00502B62" w:rsidRPr="001A2F85" w14:paraId="7D253FA3" w14:textId="77777777" w:rsidTr="00BB3E7B">
        <w:trPr>
          <w:cantSplit/>
          <w:trHeight w:hRule="exact" w:val="380"/>
        </w:trPr>
        <w:tc>
          <w:tcPr>
            <w:tcW w:w="8168" w:type="dxa"/>
            <w:tcBorders>
              <w:bottom w:val="single" w:sz="4" w:space="0" w:color="auto"/>
            </w:tcBorders>
          </w:tcPr>
          <w:p w14:paraId="0E26AF71"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54144" behindDoc="0" locked="1" layoutInCell="1" allowOverlap="1" wp14:anchorId="36ECA1B1" wp14:editId="08098EEC">
                      <wp:simplePos x="0" y="0"/>
                      <wp:positionH relativeFrom="rightMargin">
                        <wp:posOffset>-772795</wp:posOffset>
                      </wp:positionH>
                      <wp:positionV relativeFrom="page">
                        <wp:posOffset>0</wp:posOffset>
                      </wp:positionV>
                      <wp:extent cx="436880" cy="213360"/>
                      <wp:effectExtent l="0" t="0" r="1270" b="0"/>
                      <wp:wrapNone/>
                      <wp:docPr id="20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3A3C8F" id="Freeform 5" o:spid="_x0000_s1026" style="position:absolute;margin-left:-60.85pt;margin-top:0;width:34.4pt;height:16.8pt;z-index:25165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m7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GWcWbt/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4A6B162F" w14:textId="77777777" w:rsidTr="00BB3E7B">
        <w:trPr>
          <w:cantSplit/>
        </w:trPr>
        <w:tc>
          <w:tcPr>
            <w:tcW w:w="8168" w:type="dxa"/>
            <w:tcBorders>
              <w:top w:val="single" w:sz="4" w:space="0" w:color="auto"/>
              <w:bottom w:val="single" w:sz="4" w:space="0" w:color="auto"/>
            </w:tcBorders>
            <w:tcMar>
              <w:top w:w="10" w:type="dxa"/>
              <w:bottom w:w="10" w:type="dxa"/>
              <w:right w:w="0" w:type="dxa"/>
            </w:tcMar>
          </w:tcPr>
          <w:p w14:paraId="19075C42" w14:textId="77777777" w:rsidR="00502B62" w:rsidRPr="001A2F85" w:rsidRDefault="007F5EE9" w:rsidP="00BB3E7B">
            <w:pPr>
              <w:pStyle w:val="Figure"/>
            </w:pPr>
            <w:r>
              <w:rPr>
                <w:noProof/>
                <w:lang w:eastAsia="en-AU"/>
              </w:rPr>
              <w:drawing>
                <wp:inline distT="0" distB="0" distL="0" distR="0" wp14:anchorId="42AEFB18" wp14:editId="71BCBAD7">
                  <wp:extent cx="5133975" cy="2419350"/>
                  <wp:effectExtent l="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33975" cy="2419350"/>
                          </a:xfrm>
                          <a:prstGeom prst="rect">
                            <a:avLst/>
                          </a:prstGeom>
                          <a:noFill/>
                          <a:ln>
                            <a:noFill/>
                          </a:ln>
                        </pic:spPr>
                      </pic:pic>
                    </a:graphicData>
                  </a:graphic>
                </wp:inline>
              </w:drawing>
            </w:r>
          </w:p>
        </w:tc>
      </w:tr>
      <w:tr w:rsidR="00502B62" w:rsidRPr="001A2F85" w14:paraId="66193F8E" w14:textId="77777777" w:rsidTr="00BB3E7B">
        <w:trPr>
          <w:cantSplit/>
        </w:trPr>
        <w:tc>
          <w:tcPr>
            <w:tcW w:w="8168" w:type="dxa"/>
            <w:tcBorders>
              <w:top w:val="single" w:sz="4" w:space="0" w:color="auto"/>
              <w:bottom w:val="single" w:sz="4" w:space="0" w:color="auto"/>
            </w:tcBorders>
            <w:tcMar>
              <w:top w:w="12" w:type="dxa"/>
              <w:left w:w="0" w:type="dxa"/>
              <w:bottom w:w="113" w:type="dxa"/>
            </w:tcMar>
          </w:tcPr>
          <w:p w14:paraId="093EEA7C" w14:textId="77777777" w:rsidR="00502B62" w:rsidRPr="00AD49C8" w:rsidRDefault="00502B62" w:rsidP="00BB3E7B">
            <w:pPr>
              <w:pStyle w:val="Source"/>
              <w:rPr>
                <w:i w:val="0"/>
              </w:rPr>
            </w:pPr>
            <w:r w:rsidRPr="00AD49C8">
              <w:rPr>
                <w:i w:val="0"/>
                <w:caps w:val="0"/>
              </w:rPr>
              <w:t>Note: from top to bottom n=3,502, 3,422, 3,418, 3,432</w:t>
            </w:r>
          </w:p>
          <w:p w14:paraId="4DB64F9E" w14:textId="77777777" w:rsidR="00502B62" w:rsidRPr="001A2F85" w:rsidRDefault="00502B62" w:rsidP="00BB3E7B">
            <w:pPr>
              <w:pStyle w:val="Source"/>
            </w:pPr>
            <w:r w:rsidRPr="001A2F85">
              <w:t>Source: Student survey data</w:t>
            </w:r>
          </w:p>
        </w:tc>
      </w:tr>
      <w:tr w:rsidR="00502B62" w:rsidRPr="001A2F85" w14:paraId="59ACAE01" w14:textId="77777777" w:rsidTr="00BB3E7B">
        <w:trPr>
          <w:trHeight w:hRule="exact" w:val="160"/>
        </w:trPr>
        <w:tc>
          <w:tcPr>
            <w:tcW w:w="8168" w:type="dxa"/>
            <w:tcBorders>
              <w:top w:val="single" w:sz="4" w:space="0" w:color="auto"/>
            </w:tcBorders>
          </w:tcPr>
          <w:p w14:paraId="71A81EA6" w14:textId="77777777" w:rsidR="00502B62" w:rsidRPr="001A2F85" w:rsidRDefault="00502B62" w:rsidP="00BB3E7B">
            <w:pPr>
              <w:pStyle w:val="spacertbl"/>
            </w:pPr>
          </w:p>
        </w:tc>
      </w:tr>
    </w:tbl>
    <w:p w14:paraId="509C4530" w14:textId="77777777" w:rsidR="00502B62" w:rsidRPr="001A2F85" w:rsidRDefault="00B33B23" w:rsidP="00502B62">
      <w:pPr>
        <w:pStyle w:val="BodyText"/>
      </w:pPr>
      <w:r>
        <w:t xml:space="preserve">Students were also asked </w:t>
      </w:r>
      <w:r w:rsidR="00502B62" w:rsidRPr="001A2F85">
        <w:t>how HEPPP projects have supported them and helped them to improve their academic results</w:t>
      </w:r>
      <w:r>
        <w:t xml:space="preserve"> (</w:t>
      </w:r>
      <w:r w:rsidR="008C090E" w:rsidRPr="00AD49C8">
        <w:t>Figure 6.6</w:t>
      </w:r>
      <w:r>
        <w:t>)</w:t>
      </w:r>
      <w:r w:rsidR="00502B62" w:rsidRPr="001A2F85">
        <w:t>. A significant majority of students felt that the projects had made them feel more supported (83 per cent) and more prepared for the challenges associated with university life (70 per cent). Most students said they would recommend the project to others in a similar situation (92 per cent), and 65 per cent agreed that it had helped them to improve their academic results.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502B62" w:rsidRPr="001A2F85" w14:paraId="104E39D6" w14:textId="77777777" w:rsidTr="00BB3E7B">
        <w:trPr>
          <w:cantSplit/>
          <w:trHeight w:hRule="exact" w:val="160"/>
        </w:trPr>
        <w:tc>
          <w:tcPr>
            <w:tcW w:w="8168" w:type="dxa"/>
            <w:tcBorders>
              <w:bottom w:val="single" w:sz="4" w:space="0" w:color="auto"/>
            </w:tcBorders>
          </w:tcPr>
          <w:p w14:paraId="161720B3" w14:textId="77777777" w:rsidR="00502B62" w:rsidRPr="001A2F85" w:rsidRDefault="00502B62" w:rsidP="00BB3E7B">
            <w:pPr>
              <w:pStyle w:val="spacer"/>
            </w:pPr>
          </w:p>
        </w:tc>
      </w:tr>
      <w:tr w:rsidR="00502B62" w:rsidRPr="001A2F85" w14:paraId="37D3BCF3" w14:textId="77777777" w:rsidTr="00BB3E7B">
        <w:trPr>
          <w:cantSplit/>
        </w:trPr>
        <w:tc>
          <w:tcPr>
            <w:tcW w:w="8168" w:type="dxa"/>
            <w:tcBorders>
              <w:top w:val="single" w:sz="4" w:space="0" w:color="auto"/>
            </w:tcBorders>
            <w:tcMar>
              <w:left w:w="0" w:type="dxa"/>
            </w:tcMar>
          </w:tcPr>
          <w:p w14:paraId="240D932C" w14:textId="77777777" w:rsidR="00502B62" w:rsidRPr="001A2F85" w:rsidRDefault="00502B62" w:rsidP="00BB3E7B">
            <w:pPr>
              <w:pStyle w:val="Caption"/>
            </w:pPr>
            <w:bookmarkStart w:id="277" w:name="_Ref462850153"/>
            <w:bookmarkStart w:id="278" w:name="_Toc463029854"/>
            <w:bookmarkStart w:id="279" w:name="_Toc466655682"/>
            <w:r w:rsidRPr="001A2F85">
              <w:rPr>
                <w:rStyle w:val="CaptionLabel"/>
              </w:rPr>
              <w:t>Figure </w:t>
            </w:r>
            <w:r w:rsidR="008C090E">
              <w:rPr>
                <w:rStyle w:val="CaptionLabel"/>
                <w:noProof/>
              </w:rPr>
              <w:t>6</w:t>
            </w:r>
            <w:r w:rsidRPr="001A2F85">
              <w:rPr>
                <w:rStyle w:val="CaptionLabel"/>
              </w:rPr>
              <w:t>.</w:t>
            </w:r>
            <w:r w:rsidR="008C090E">
              <w:rPr>
                <w:rStyle w:val="CaptionLabel"/>
                <w:noProof/>
              </w:rPr>
              <w:t>6</w:t>
            </w:r>
            <w:bookmarkEnd w:id="277"/>
            <w:r w:rsidRPr="001A2F85">
              <w:tab/>
              <w:t>student SURvEY, impact of SUPPORT and results</w:t>
            </w:r>
            <w:bookmarkEnd w:id="278"/>
            <w:bookmarkEnd w:id="279"/>
          </w:p>
        </w:tc>
      </w:tr>
      <w:tr w:rsidR="00502B62" w:rsidRPr="001A2F85" w14:paraId="3858B237" w14:textId="77777777" w:rsidTr="00BB3E7B">
        <w:trPr>
          <w:cantSplit/>
          <w:trHeight w:hRule="exact" w:val="380"/>
        </w:trPr>
        <w:tc>
          <w:tcPr>
            <w:tcW w:w="8168" w:type="dxa"/>
            <w:tcBorders>
              <w:bottom w:val="single" w:sz="4" w:space="0" w:color="auto"/>
            </w:tcBorders>
          </w:tcPr>
          <w:p w14:paraId="5104986F"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55168" behindDoc="0" locked="1" layoutInCell="1" allowOverlap="1" wp14:anchorId="316BF49B" wp14:editId="7058B267">
                      <wp:simplePos x="0" y="0"/>
                      <wp:positionH relativeFrom="rightMargin">
                        <wp:posOffset>-772795</wp:posOffset>
                      </wp:positionH>
                      <wp:positionV relativeFrom="page">
                        <wp:posOffset>0</wp:posOffset>
                      </wp:positionV>
                      <wp:extent cx="436880" cy="213360"/>
                      <wp:effectExtent l="0" t="0" r="1270" b="0"/>
                      <wp:wrapNone/>
                      <wp:docPr id="5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63AE52" id="Freeform 5" o:spid="_x0000_s1026" style="position:absolute;margin-left:-60.85pt;margin-top:0;width:34.4pt;height:16.8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xr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IrSbGt/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1AAC42B2" w14:textId="77777777" w:rsidTr="00BB3E7B">
        <w:trPr>
          <w:cantSplit/>
        </w:trPr>
        <w:tc>
          <w:tcPr>
            <w:tcW w:w="8168" w:type="dxa"/>
            <w:tcBorders>
              <w:top w:val="single" w:sz="4" w:space="0" w:color="auto"/>
              <w:bottom w:val="single" w:sz="4" w:space="0" w:color="auto"/>
            </w:tcBorders>
            <w:tcMar>
              <w:top w:w="10" w:type="dxa"/>
              <w:bottom w:w="10" w:type="dxa"/>
              <w:right w:w="0" w:type="dxa"/>
            </w:tcMar>
          </w:tcPr>
          <w:p w14:paraId="3DB9C44B" w14:textId="77777777" w:rsidR="00502B62" w:rsidRPr="001A2F85" w:rsidRDefault="007F5EE9" w:rsidP="00BB3E7B">
            <w:pPr>
              <w:pStyle w:val="Figure"/>
              <w:jc w:val="left"/>
            </w:pPr>
            <w:r>
              <w:rPr>
                <w:noProof/>
                <w:lang w:eastAsia="en-AU"/>
              </w:rPr>
              <w:drawing>
                <wp:inline distT="0" distB="0" distL="0" distR="0" wp14:anchorId="5B2F87F7" wp14:editId="15C113A1">
                  <wp:extent cx="5133975" cy="2419350"/>
                  <wp:effectExtent l="0" t="0" r="0" b="0"/>
                  <wp:docPr id="37"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33975" cy="2419350"/>
                          </a:xfrm>
                          <a:prstGeom prst="rect">
                            <a:avLst/>
                          </a:prstGeom>
                          <a:noFill/>
                          <a:ln>
                            <a:noFill/>
                          </a:ln>
                        </pic:spPr>
                      </pic:pic>
                    </a:graphicData>
                  </a:graphic>
                </wp:inline>
              </w:drawing>
            </w:r>
          </w:p>
        </w:tc>
      </w:tr>
      <w:tr w:rsidR="00502B62" w:rsidRPr="001A2F85" w14:paraId="6FF2CC51" w14:textId="77777777" w:rsidTr="00BB3E7B">
        <w:trPr>
          <w:cantSplit/>
        </w:trPr>
        <w:tc>
          <w:tcPr>
            <w:tcW w:w="8168" w:type="dxa"/>
            <w:tcBorders>
              <w:top w:val="single" w:sz="4" w:space="0" w:color="auto"/>
              <w:bottom w:val="single" w:sz="4" w:space="0" w:color="auto"/>
            </w:tcBorders>
            <w:tcMar>
              <w:top w:w="12" w:type="dxa"/>
              <w:left w:w="0" w:type="dxa"/>
              <w:bottom w:w="113" w:type="dxa"/>
            </w:tcMar>
          </w:tcPr>
          <w:p w14:paraId="5D876B26" w14:textId="77777777" w:rsidR="00502B62" w:rsidRPr="00AD49C8" w:rsidRDefault="00502B62" w:rsidP="00BB3E7B">
            <w:pPr>
              <w:pStyle w:val="Source"/>
              <w:rPr>
                <w:i w:val="0"/>
              </w:rPr>
            </w:pPr>
            <w:r w:rsidRPr="00AD49C8">
              <w:rPr>
                <w:i w:val="0"/>
                <w:caps w:val="0"/>
              </w:rPr>
              <w:t>Note: from top to bottom n=3,407, 3,446, 3,430, 3,510</w:t>
            </w:r>
          </w:p>
          <w:p w14:paraId="2F266B65" w14:textId="77777777" w:rsidR="00502B62" w:rsidRPr="001A2F85" w:rsidRDefault="00502B62" w:rsidP="00BB3E7B">
            <w:pPr>
              <w:pStyle w:val="Source"/>
            </w:pPr>
            <w:r w:rsidRPr="001A2F85">
              <w:t>Source: Student survey data</w:t>
            </w:r>
          </w:p>
        </w:tc>
      </w:tr>
      <w:tr w:rsidR="00502B62" w:rsidRPr="001A2F85" w14:paraId="08385AEE" w14:textId="77777777" w:rsidTr="00BB3E7B">
        <w:trPr>
          <w:trHeight w:hRule="exact" w:val="160"/>
        </w:trPr>
        <w:tc>
          <w:tcPr>
            <w:tcW w:w="8168" w:type="dxa"/>
            <w:tcBorders>
              <w:top w:val="single" w:sz="4" w:space="0" w:color="auto"/>
            </w:tcBorders>
          </w:tcPr>
          <w:p w14:paraId="50953C55" w14:textId="77777777" w:rsidR="00502B62" w:rsidRPr="001A2F85" w:rsidRDefault="00502B62" w:rsidP="00BB3E7B">
            <w:pPr>
              <w:pStyle w:val="spacertbl"/>
            </w:pPr>
          </w:p>
        </w:tc>
      </w:tr>
    </w:tbl>
    <w:p w14:paraId="75050BF6" w14:textId="77777777" w:rsidR="00502B62" w:rsidRPr="001A2F85" w:rsidRDefault="00502B62" w:rsidP="00502B62">
      <w:pPr>
        <w:pStyle w:val="BodyText"/>
      </w:pPr>
      <w:r w:rsidRPr="001A2F85">
        <w:t>The majority of</w:t>
      </w:r>
      <w:r w:rsidR="00F72359">
        <w:t xml:space="preserve"> university</w:t>
      </w:r>
      <w:r w:rsidRPr="001A2F85">
        <w:t xml:space="preserve"> staff, over 60 per cent, strongly agreed that the projects were having a positive impact on access, retention and completion for students from low SES backgrounds (</w:t>
      </w:r>
      <w:r w:rsidR="008C090E" w:rsidRPr="00AD49C8">
        <w:t>Figure 6.7</w:t>
      </w:r>
      <w:r w:rsidRPr="001A2F85">
        <w:t>). Eighty</w:t>
      </w:r>
      <w:r w:rsidR="00E5459F">
        <w:noBreakHyphen/>
      </w:r>
      <w:r w:rsidRPr="001A2F85">
        <w:t>six per cent of staff respondents considered that the project was improving access to undergraduate courses for people from low SES backgrounds and that the project was increasing the retention of low SES students in undergraduate degrees. Staff also agreed that the projects were increasing the undergraduate completion/attainment rates of low SES students (91 per cent).</w:t>
      </w:r>
      <w:r>
        <w:t xml:space="preserve"> The overall impact of the HEPPP on these student outcomes is discussed in Chapter 9.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502B62" w:rsidRPr="001A2F85" w14:paraId="330E542F" w14:textId="77777777" w:rsidTr="00BB3E7B">
        <w:trPr>
          <w:cantSplit/>
          <w:trHeight w:hRule="exact" w:val="160"/>
        </w:trPr>
        <w:tc>
          <w:tcPr>
            <w:tcW w:w="8168" w:type="dxa"/>
            <w:tcBorders>
              <w:bottom w:val="single" w:sz="4" w:space="0" w:color="auto"/>
            </w:tcBorders>
          </w:tcPr>
          <w:p w14:paraId="5DA8E2B6" w14:textId="77777777" w:rsidR="00502B62" w:rsidRPr="001A2F85" w:rsidRDefault="00502B62" w:rsidP="00BB3E7B">
            <w:pPr>
              <w:pStyle w:val="spacer"/>
            </w:pPr>
          </w:p>
        </w:tc>
      </w:tr>
      <w:tr w:rsidR="00502B62" w:rsidRPr="001A2F85" w14:paraId="37D9B4F8" w14:textId="77777777" w:rsidTr="00BB3E7B">
        <w:trPr>
          <w:cantSplit/>
        </w:trPr>
        <w:tc>
          <w:tcPr>
            <w:tcW w:w="8168" w:type="dxa"/>
            <w:tcBorders>
              <w:top w:val="single" w:sz="4" w:space="0" w:color="auto"/>
            </w:tcBorders>
            <w:tcMar>
              <w:left w:w="0" w:type="dxa"/>
            </w:tcMar>
          </w:tcPr>
          <w:p w14:paraId="47C05069" w14:textId="77777777" w:rsidR="00502B62" w:rsidRPr="001A2F85" w:rsidRDefault="00502B62" w:rsidP="00BB3E7B">
            <w:pPr>
              <w:pStyle w:val="Caption"/>
            </w:pPr>
            <w:bookmarkStart w:id="280" w:name="_Ref462850540"/>
            <w:bookmarkStart w:id="281" w:name="_Toc463029855"/>
            <w:bookmarkStart w:id="282" w:name="_Toc466655683"/>
            <w:r w:rsidRPr="001A2F85">
              <w:rPr>
                <w:rStyle w:val="CaptionLabel"/>
              </w:rPr>
              <w:t>Figure </w:t>
            </w:r>
            <w:r w:rsidR="008C090E">
              <w:rPr>
                <w:rStyle w:val="CaptionLabel"/>
                <w:noProof/>
              </w:rPr>
              <w:t>6</w:t>
            </w:r>
            <w:r w:rsidRPr="001A2F85">
              <w:rPr>
                <w:rStyle w:val="CaptionLabel"/>
              </w:rPr>
              <w:t>.</w:t>
            </w:r>
            <w:r w:rsidR="008C090E">
              <w:rPr>
                <w:rStyle w:val="CaptionLabel"/>
                <w:noProof/>
              </w:rPr>
              <w:t>7</w:t>
            </w:r>
            <w:bookmarkEnd w:id="280"/>
            <w:r w:rsidRPr="001A2F85">
              <w:tab/>
            </w:r>
            <w:r w:rsidR="002F306D">
              <w:t xml:space="preserve">University </w:t>
            </w:r>
            <w:r w:rsidRPr="001A2F85">
              <w:t>staff survey, access and retention</w:t>
            </w:r>
            <w:bookmarkEnd w:id="281"/>
            <w:bookmarkEnd w:id="282"/>
          </w:p>
        </w:tc>
      </w:tr>
      <w:tr w:rsidR="00502B62" w:rsidRPr="001A2F85" w14:paraId="4949A5DE" w14:textId="77777777" w:rsidTr="00BB3E7B">
        <w:trPr>
          <w:cantSplit/>
          <w:trHeight w:hRule="exact" w:val="380"/>
        </w:trPr>
        <w:tc>
          <w:tcPr>
            <w:tcW w:w="8168" w:type="dxa"/>
            <w:tcBorders>
              <w:bottom w:val="single" w:sz="4" w:space="0" w:color="auto"/>
            </w:tcBorders>
          </w:tcPr>
          <w:p w14:paraId="36006C5B"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52096" behindDoc="0" locked="1" layoutInCell="1" allowOverlap="1" wp14:anchorId="4AB3BE97" wp14:editId="2B1AC4DB">
                      <wp:simplePos x="0" y="0"/>
                      <wp:positionH relativeFrom="rightMargin">
                        <wp:posOffset>-772795</wp:posOffset>
                      </wp:positionH>
                      <wp:positionV relativeFrom="page">
                        <wp:posOffset>0</wp:posOffset>
                      </wp:positionV>
                      <wp:extent cx="436880" cy="213360"/>
                      <wp:effectExtent l="0" t="0" r="1270" b="0"/>
                      <wp:wrapNone/>
                      <wp:docPr id="55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8A764F" id="Freeform 5" o:spid="_x0000_s1026" style="position:absolute;margin-left:-60.85pt;margin-top:0;width:34.4pt;height:16.8pt;z-index:25165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vY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Ma1K9h/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55F5773B" w14:textId="77777777" w:rsidTr="00BB3E7B">
        <w:trPr>
          <w:cantSplit/>
        </w:trPr>
        <w:tc>
          <w:tcPr>
            <w:tcW w:w="8168" w:type="dxa"/>
            <w:tcBorders>
              <w:top w:val="single" w:sz="4" w:space="0" w:color="auto"/>
              <w:bottom w:val="single" w:sz="4" w:space="0" w:color="auto"/>
            </w:tcBorders>
            <w:tcMar>
              <w:top w:w="10" w:type="dxa"/>
              <w:bottom w:w="10" w:type="dxa"/>
              <w:right w:w="0" w:type="dxa"/>
            </w:tcMar>
          </w:tcPr>
          <w:p w14:paraId="296D0214" w14:textId="77777777" w:rsidR="00502B62" w:rsidRPr="001A2F85" w:rsidRDefault="007F5EE9" w:rsidP="00BB3E7B">
            <w:pPr>
              <w:pStyle w:val="Figure"/>
            </w:pPr>
            <w:r>
              <w:rPr>
                <w:noProof/>
                <w:lang w:eastAsia="en-AU"/>
              </w:rPr>
              <w:drawing>
                <wp:inline distT="0" distB="0" distL="0" distR="0" wp14:anchorId="58C3705E" wp14:editId="3CFED655">
                  <wp:extent cx="5172075" cy="2152650"/>
                  <wp:effectExtent l="0" t="0" r="0" b="0"/>
                  <wp:docPr id="38"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72075" cy="2152650"/>
                          </a:xfrm>
                          <a:prstGeom prst="rect">
                            <a:avLst/>
                          </a:prstGeom>
                          <a:noFill/>
                          <a:ln>
                            <a:noFill/>
                          </a:ln>
                        </pic:spPr>
                      </pic:pic>
                    </a:graphicData>
                  </a:graphic>
                </wp:inline>
              </w:drawing>
            </w:r>
          </w:p>
        </w:tc>
      </w:tr>
      <w:tr w:rsidR="00502B62" w:rsidRPr="001A2F85" w14:paraId="1742A7B4" w14:textId="77777777" w:rsidTr="00BB3E7B">
        <w:trPr>
          <w:cantSplit/>
        </w:trPr>
        <w:tc>
          <w:tcPr>
            <w:tcW w:w="8168" w:type="dxa"/>
            <w:tcBorders>
              <w:top w:val="single" w:sz="4" w:space="0" w:color="auto"/>
              <w:bottom w:val="single" w:sz="4" w:space="0" w:color="auto"/>
            </w:tcBorders>
            <w:tcMar>
              <w:top w:w="12" w:type="dxa"/>
              <w:left w:w="0" w:type="dxa"/>
              <w:bottom w:w="113" w:type="dxa"/>
            </w:tcMar>
          </w:tcPr>
          <w:p w14:paraId="44EBF497" w14:textId="77777777" w:rsidR="00502B62" w:rsidRPr="00AD49C8" w:rsidRDefault="00502B62" w:rsidP="00BB3E7B">
            <w:pPr>
              <w:pStyle w:val="Source"/>
              <w:rPr>
                <w:i w:val="0"/>
              </w:rPr>
            </w:pPr>
            <w:r w:rsidRPr="00AD49C8">
              <w:rPr>
                <w:i w:val="0"/>
                <w:caps w:val="0"/>
              </w:rPr>
              <w:t>Note: from top to bottom n=281, 265, 260</w:t>
            </w:r>
          </w:p>
          <w:p w14:paraId="2B131CBF" w14:textId="77777777" w:rsidR="00502B62" w:rsidRPr="001A2F85" w:rsidRDefault="00502B62" w:rsidP="00BB3E7B">
            <w:pPr>
              <w:pStyle w:val="Source"/>
            </w:pPr>
            <w:r w:rsidRPr="001A2F85">
              <w:t xml:space="preserve">Source: </w:t>
            </w:r>
            <w:r>
              <w:t>staff</w:t>
            </w:r>
            <w:r w:rsidRPr="001A2F85">
              <w:t xml:space="preserve"> survey data</w:t>
            </w:r>
          </w:p>
        </w:tc>
      </w:tr>
      <w:tr w:rsidR="00502B62" w:rsidRPr="001A2F85" w14:paraId="6C7DBFCD" w14:textId="77777777" w:rsidTr="00BB3E7B">
        <w:trPr>
          <w:trHeight w:hRule="exact" w:val="160"/>
        </w:trPr>
        <w:tc>
          <w:tcPr>
            <w:tcW w:w="8168" w:type="dxa"/>
            <w:tcBorders>
              <w:top w:val="single" w:sz="4" w:space="0" w:color="auto"/>
            </w:tcBorders>
          </w:tcPr>
          <w:p w14:paraId="73284F79" w14:textId="77777777" w:rsidR="00502B62" w:rsidRPr="001A2F85" w:rsidRDefault="00502B62" w:rsidP="00BB3E7B">
            <w:pPr>
              <w:pStyle w:val="spacertbl"/>
            </w:pPr>
          </w:p>
        </w:tc>
      </w:tr>
    </w:tbl>
    <w:p w14:paraId="2F341C93" w14:textId="77777777" w:rsidR="00502B62" w:rsidRPr="001A2F85" w:rsidRDefault="00502B62" w:rsidP="00502B62">
      <w:pPr>
        <w:pStyle w:val="Heading2"/>
      </w:pPr>
      <w:bookmarkStart w:id="283" w:name="_Ref462408220"/>
      <w:bookmarkStart w:id="284" w:name="_Toc464634436"/>
      <w:bookmarkStart w:id="285" w:name="_Toc466657135"/>
      <w:r w:rsidRPr="001A2F85">
        <w:t>The impact of individual HEPPP activities at the Participation stage</w:t>
      </w:r>
      <w:bookmarkEnd w:id="283"/>
      <w:bookmarkEnd w:id="284"/>
      <w:bookmarkEnd w:id="285"/>
    </w:p>
    <w:p w14:paraId="7D390C0A" w14:textId="77777777" w:rsidR="00502B62" w:rsidRPr="001A2F85" w:rsidRDefault="00502B62" w:rsidP="00502B62">
      <w:pPr>
        <w:pStyle w:val="BodyText"/>
      </w:pPr>
      <w:r w:rsidRPr="001A2F85">
        <w:t>This section examines the impact of different types of HEPPP Participation stage activities, based on project evaluations conducted by universities and consultations with stakeholders. It also provides a number of case studies detailing specific projects and drawing out key activities.</w:t>
      </w:r>
    </w:p>
    <w:p w14:paraId="108FD745" w14:textId="77777777" w:rsidR="00502B62" w:rsidRPr="001A2F85" w:rsidRDefault="00502B62" w:rsidP="00502B62">
      <w:pPr>
        <w:pStyle w:val="Heading3"/>
      </w:pPr>
      <w:bookmarkStart w:id="286" w:name="_Ref462732703"/>
      <w:r w:rsidRPr="001A2F85">
        <w:t>Orientation programs and first year transition programs</w:t>
      </w:r>
      <w:bookmarkEnd w:id="286"/>
    </w:p>
    <w:p w14:paraId="79421A73" w14:textId="77777777" w:rsidR="00502B62" w:rsidRPr="001A2F85" w:rsidRDefault="00502B62" w:rsidP="00502B62">
      <w:pPr>
        <w:pStyle w:val="BodyText"/>
      </w:pPr>
      <w:r w:rsidRPr="001A2F85">
        <w:t xml:space="preserve">HEPPP activities are intended to assist students with adaptation to the cultural, learning and social environment of the university. The activities recognise that students may experience culture shock and will benefit from familiarisation with the university environment and available support services. </w:t>
      </w:r>
    </w:p>
    <w:p w14:paraId="77FDAA4E" w14:textId="77777777" w:rsidR="00502B62" w:rsidRPr="001A2F85" w:rsidRDefault="00502B62" w:rsidP="00502B62">
      <w:pPr>
        <w:pStyle w:val="BodyText"/>
      </w:pPr>
      <w:r w:rsidRPr="001A2F85">
        <w:t>The Critical Interventions Framework</w:t>
      </w:r>
      <w:r w:rsidR="00E5459F">
        <w:t xml:space="preserve"> Part II</w:t>
      </w:r>
      <w:r w:rsidRPr="001A2F85">
        <w:t xml:space="preserve"> identified pre-course commencement programs as an effective transition initiative. These programs target specific group(s) and are more tailored than general bridging programs. The activities and materials are linked directly to the </w:t>
      </w:r>
      <w:r w:rsidR="00E5459F" w:rsidRPr="001A2F85">
        <w:t xml:space="preserve">course </w:t>
      </w:r>
      <w:r w:rsidRPr="001A2F85">
        <w:t>material and provide students with guidance on how the course will be conducted, what types of study are appropriate and the particular learning resources available to them. These programs recognise that effective learning is supported by familiarity with academic styles and conventions and ‘learning how to learn’ within a university environment (Bennett et al</w:t>
      </w:r>
      <w:r w:rsidR="009F5C29">
        <w:t>.</w:t>
      </w:r>
      <w:r w:rsidRPr="001A2F85">
        <w:t xml:space="preserve"> 2015).</w:t>
      </w:r>
      <w:r w:rsidR="00EC6823">
        <w:t xml:space="preserve"> </w:t>
      </w:r>
    </w:p>
    <w:p w14:paraId="597B6E57" w14:textId="77777777" w:rsidR="00502B62" w:rsidRPr="001A2F85" w:rsidRDefault="00502B62" w:rsidP="00502B62">
      <w:pPr>
        <w:pStyle w:val="BodyText"/>
      </w:pPr>
      <w:r>
        <w:t xml:space="preserve">A number of universities have adopted first year transition projects. </w:t>
      </w:r>
      <w:r w:rsidR="00940E6E">
        <w:t>JCU</w:t>
      </w:r>
      <w:r>
        <w:t xml:space="preserve"> has implemented ‘Enhancing the First Year Experience’, involving the </w:t>
      </w:r>
      <w:r w:rsidRPr="001A2F85">
        <w:t>development of a coordinated approac</w:t>
      </w:r>
      <w:r>
        <w:t xml:space="preserve">h to the first year experience and </w:t>
      </w:r>
      <w:r w:rsidRPr="001A2F85">
        <w:t>supported by resource development and professional development for staff.</w:t>
      </w:r>
      <w:r>
        <w:t xml:space="preserve"> At the Faculty of Arts at </w:t>
      </w:r>
      <w:r w:rsidR="006F3B21">
        <w:t>CSU</w:t>
      </w:r>
      <w:r>
        <w:t xml:space="preserve">, a support network (‘Building the First Year Experience of LSES Students’) has been established </w:t>
      </w:r>
      <w:r w:rsidRPr="001A2F85">
        <w:t>for students to prevent isolation and poor performance in students studying with CSU</w:t>
      </w:r>
      <w:r>
        <w:t>’</w:t>
      </w:r>
      <w:r w:rsidRPr="001A2F85">
        <w:t>s School of Theology</w:t>
      </w:r>
      <w:r>
        <w:t>,</w:t>
      </w:r>
      <w:r w:rsidRPr="001A2F85">
        <w:t xml:space="preserve"> either at one of the four sites which are not located on CSU campuses or by </w:t>
      </w:r>
      <w:r w:rsidR="00E5459F">
        <w:t>d</w:t>
      </w:r>
      <w:r w:rsidRPr="001A2F85">
        <w:t xml:space="preserve">istance </w:t>
      </w:r>
      <w:r w:rsidR="00E5459F">
        <w:t>e</w:t>
      </w:r>
      <w:r w:rsidRPr="001A2F85">
        <w:t>ducation.</w:t>
      </w:r>
      <w:r>
        <w:t xml:space="preserve"> The University of Southern Queensland has implemented a program to </w:t>
      </w:r>
      <w:r w:rsidRPr="001A2F85">
        <w:t>help NESB students overcome the challenges in social integration associated with the unfamiliarity with social norms in a new community.</w:t>
      </w:r>
    </w:p>
    <w:p w14:paraId="6F44F11F" w14:textId="77777777" w:rsidR="00502B62" w:rsidRDefault="00502B62" w:rsidP="00502B62">
      <w:pPr>
        <w:pStyle w:val="BodyText"/>
      </w:pPr>
      <w:r>
        <w:t xml:space="preserve">The </w:t>
      </w:r>
      <w:r w:rsidRPr="001A2F85">
        <w:t xml:space="preserve">University of Melbourne program Student Connect aims to provide a sense of connectedness and opportunities for advising </w:t>
      </w:r>
      <w:r>
        <w:t>first year</w:t>
      </w:r>
      <w:r w:rsidRPr="001A2F85">
        <w:t xml:space="preserve"> students. All first year students receive phone calls from peer advisors to discuss transition issues and establish appointments with advisors. Advisors provide a range of expertise in transition, course planning career and developmental advice. Participants reported increased sense of connectedness and value within the university community. Satisfaction and retention</w:t>
      </w:r>
      <w:r w:rsidR="00E5459F">
        <w:t xml:space="preserve"> rates of</w:t>
      </w:r>
      <w:r w:rsidRPr="001A2F85">
        <w:t xml:space="preserve"> first year </w:t>
      </w:r>
      <w:r w:rsidR="00E5459F">
        <w:t>students have</w:t>
      </w:r>
      <w:r w:rsidR="00E5459F" w:rsidRPr="001A2F85">
        <w:t xml:space="preserve"> </w:t>
      </w:r>
      <w:r w:rsidRPr="001A2F85">
        <w:t>shown some increase (Bennett et al</w:t>
      </w:r>
      <w:r w:rsidR="009F5C29">
        <w:t>.</w:t>
      </w:r>
      <w:r w:rsidRPr="001A2F85">
        <w:t xml:space="preserve"> 2015).</w:t>
      </w:r>
      <w:r>
        <w:t xml:space="preserve"> In both 2014 and 2015, 96 per cent of those who attended at least one appointment with Student Connect reported that they felt ‘motivated’ or ‘connected’ after they met with a peer advisor.</w:t>
      </w:r>
    </w:p>
    <w:tbl>
      <w:tblPr>
        <w:tblW w:w="0" w:type="auto"/>
        <w:tblInd w:w="-446" w:type="dxa"/>
        <w:tblLayout w:type="fixed"/>
        <w:tblLook w:val="04A0" w:firstRow="1" w:lastRow="0" w:firstColumn="1" w:lastColumn="0" w:noHBand="0" w:noVBand="1"/>
      </w:tblPr>
      <w:tblGrid>
        <w:gridCol w:w="8614"/>
      </w:tblGrid>
      <w:tr w:rsidR="00502B62" w:rsidRPr="00AF3F55" w14:paraId="1C6526FC" w14:textId="77777777" w:rsidTr="00AD49C8">
        <w:trPr>
          <w:cantSplit/>
        </w:trPr>
        <w:tc>
          <w:tcPr>
            <w:tcW w:w="8614" w:type="dxa"/>
            <w:tcMar>
              <w:top w:w="160" w:type="dxa"/>
              <w:left w:w="446" w:type="dxa"/>
            </w:tcMar>
          </w:tcPr>
          <w:p w14:paraId="42E31338" w14:textId="77777777" w:rsidR="00502B62" w:rsidRPr="00AF3F55" w:rsidRDefault="00502B62" w:rsidP="00BB3E7B">
            <w:pPr>
              <w:pStyle w:val="Caption"/>
            </w:pPr>
            <w:r w:rsidRPr="001A2F85">
              <w:rPr>
                <w:rStyle w:val="CaptionLabel"/>
              </w:rPr>
              <w:t>Box </w:t>
            </w:r>
            <w:r w:rsidR="008C090E">
              <w:rPr>
                <w:rStyle w:val="CaptionLabel"/>
                <w:noProof/>
              </w:rPr>
              <w:t>6</w:t>
            </w:r>
            <w:r w:rsidRPr="001A2F85">
              <w:rPr>
                <w:rStyle w:val="CaptionLabel"/>
              </w:rPr>
              <w:t>.</w:t>
            </w:r>
            <w:r>
              <w:rPr>
                <w:rStyle w:val="CaptionLabel"/>
              </w:rPr>
              <w:t>1</w:t>
            </w:r>
            <w:r w:rsidRPr="001A2F85">
              <w:tab/>
            </w:r>
            <w:r>
              <w:t>tRACKS pRE-oRIENTATION PROGRAMS FOR Indigenous sTUDENTS, THE UNIVERSITY OF nEW eNGLAND</w:t>
            </w:r>
          </w:p>
        </w:tc>
      </w:tr>
      <w:tr w:rsidR="00502B62" w:rsidRPr="00B07121" w14:paraId="4D5D5F27" w14:textId="77777777" w:rsidTr="00AD49C8">
        <w:trPr>
          <w:cantSplit/>
          <w:trHeight w:hRule="exact" w:val="380"/>
        </w:trPr>
        <w:tc>
          <w:tcPr>
            <w:tcW w:w="8614" w:type="dxa"/>
            <w:shd w:val="clear" w:color="auto" w:fill="E4E0DD"/>
          </w:tcPr>
          <w:p w14:paraId="6F954AA4" w14:textId="77777777" w:rsidR="00502B62" w:rsidRPr="00B07121" w:rsidRDefault="00A45AB3" w:rsidP="00BB3E7B">
            <w:pPr>
              <w:pStyle w:val="spacer"/>
            </w:pPr>
            <w:r>
              <w:rPr>
                <w:noProof/>
                <w:lang w:eastAsia="en-AU"/>
              </w:rPr>
              <mc:AlternateContent>
                <mc:Choice Requires="wps">
                  <w:drawing>
                    <wp:anchor distT="0" distB="0" distL="114300" distR="114300" simplePos="0" relativeHeight="251656192" behindDoc="0" locked="1" layoutInCell="1" allowOverlap="1" wp14:anchorId="00D764B9" wp14:editId="17714D61">
                      <wp:simplePos x="0" y="0"/>
                      <wp:positionH relativeFrom="rightMargin">
                        <wp:posOffset>-772795</wp:posOffset>
                      </wp:positionH>
                      <wp:positionV relativeFrom="page">
                        <wp:posOffset>0</wp:posOffset>
                      </wp:positionV>
                      <wp:extent cx="436880" cy="213360"/>
                      <wp:effectExtent l="0" t="0" r="1270" b="0"/>
                      <wp:wrapNone/>
                      <wp:docPr id="52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B1AACA" id="Freeform 5" o:spid="_x0000_s1026" style="position:absolute;margin-left:-60.85pt;margin-top:0;width:34.4pt;height:16.8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bIFu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14:paraId="50799D1D" w14:textId="77777777" w:rsidTr="00AD49C8">
        <w:trPr>
          <w:cantSplit/>
        </w:trPr>
        <w:tc>
          <w:tcPr>
            <w:tcW w:w="8614" w:type="dxa"/>
            <w:shd w:val="clear" w:color="auto" w:fill="E4E0DD"/>
            <w:tcMar>
              <w:top w:w="276" w:type="dxa"/>
              <w:bottom w:w="184" w:type="dxa"/>
              <w:right w:w="120" w:type="dxa"/>
            </w:tcMar>
          </w:tcPr>
          <w:p w14:paraId="12183276" w14:textId="77777777" w:rsidR="00502B62" w:rsidRDefault="00502B62" w:rsidP="00AD49C8">
            <w:pPr>
              <w:pStyle w:val="BoxText"/>
            </w:pPr>
            <w:r w:rsidRPr="00AD49C8">
              <w:t xml:space="preserve">UNE </w:t>
            </w:r>
            <w:r w:rsidR="00940E6E">
              <w:t xml:space="preserve">has </w:t>
            </w:r>
            <w:r w:rsidRPr="00AD49C8">
              <w:t xml:space="preserve">used HEPPP Participation </w:t>
            </w:r>
            <w:r>
              <w:t>f</w:t>
            </w:r>
            <w:r w:rsidRPr="00AD49C8">
              <w:t xml:space="preserve">unds to support </w:t>
            </w:r>
            <w:r>
              <w:t>Indigenous</w:t>
            </w:r>
            <w:r w:rsidRPr="00AD49C8">
              <w:t xml:space="preserve"> students to participate in TRACKS – pre</w:t>
            </w:r>
            <w:r w:rsidR="00E5459F">
              <w:noBreakHyphen/>
            </w:r>
            <w:r w:rsidRPr="00AD49C8">
              <w:t xml:space="preserve">orientation programs for commencing </w:t>
            </w:r>
            <w:r>
              <w:t>Indigenous</w:t>
            </w:r>
            <w:r w:rsidRPr="00AD49C8">
              <w:t xml:space="preserve"> students. The aim of TRACKS is to enable </w:t>
            </w:r>
            <w:r>
              <w:t>Indigenous</w:t>
            </w:r>
            <w:r w:rsidRPr="00AD49C8">
              <w:t xml:space="preserve"> students to start their university career with confidence and adequate knowledge, and to start it in a culturally sup</w:t>
            </w:r>
            <w:r>
              <w:t>p</w:t>
            </w:r>
            <w:r w:rsidRPr="00AD49C8">
              <w:t xml:space="preserve">ortive environment. </w:t>
            </w:r>
          </w:p>
          <w:p w14:paraId="4554A3CC" w14:textId="77777777" w:rsidR="00E5459F" w:rsidRDefault="00502B62" w:rsidP="00AD49C8">
            <w:pPr>
              <w:pStyle w:val="BoxText"/>
            </w:pPr>
            <w:r w:rsidRPr="00AD49C8">
              <w:t xml:space="preserve">The programs were held at the Ooorala Aboriginal Centre on the UNE campus. In 2015, 41 commencing </w:t>
            </w:r>
            <w:r>
              <w:t>Indigenous</w:t>
            </w:r>
            <w:r w:rsidRPr="00AD49C8">
              <w:t xml:space="preserve"> students and 4 V</w:t>
            </w:r>
            <w:r w:rsidR="00E5459F">
              <w:t xml:space="preserve">ice </w:t>
            </w:r>
            <w:r w:rsidRPr="00AD49C8">
              <w:t>C</w:t>
            </w:r>
            <w:r w:rsidR="00E5459F">
              <w:t>hancellor</w:t>
            </w:r>
            <w:r w:rsidRPr="00AD49C8">
              <w:t>’s Scholars attended the TRACKS Pre-orientation pr</w:t>
            </w:r>
            <w:r>
              <w:t>ogram events.</w:t>
            </w:r>
            <w:r w:rsidRPr="00AD49C8">
              <w:t xml:space="preserve"> </w:t>
            </w:r>
          </w:p>
          <w:p w14:paraId="5B1C9529" w14:textId="77777777" w:rsidR="00E5459F" w:rsidRDefault="00502B62" w:rsidP="00AD49C8">
            <w:pPr>
              <w:pStyle w:val="BoxText"/>
            </w:pPr>
            <w:r w:rsidRPr="00AD49C8">
              <w:t>The program contributed positively to the increase in the success rate of commencing TRACKS students in 2015 over 2014: 53</w:t>
            </w:r>
            <w:r>
              <w:t xml:space="preserve"> per cent</w:t>
            </w:r>
            <w:r w:rsidRPr="00AD49C8">
              <w:t xml:space="preserve"> (2015) compared to 45</w:t>
            </w:r>
            <w:r>
              <w:t xml:space="preserve"> per cent</w:t>
            </w:r>
            <w:r w:rsidRPr="00AD49C8">
              <w:t xml:space="preserve"> (2014). </w:t>
            </w:r>
            <w:r>
              <w:t>Indigenous</w:t>
            </w:r>
            <w:r w:rsidRPr="00AD49C8">
              <w:t xml:space="preserve"> students’ GPA also improved from</w:t>
            </w:r>
            <w:r>
              <w:t xml:space="preserve"> </w:t>
            </w:r>
            <w:r w:rsidRPr="00AD49C8">
              <w:t xml:space="preserve">2.4 (2014) to 2.9 (2015). </w:t>
            </w:r>
          </w:p>
          <w:p w14:paraId="72932DBE" w14:textId="77777777" w:rsidR="00502B62" w:rsidRPr="00AD49C8" w:rsidRDefault="00502B62" w:rsidP="00AD49C8">
            <w:pPr>
              <w:pStyle w:val="BoxText"/>
            </w:pPr>
            <w:r w:rsidRPr="00AD49C8">
              <w:t>While overall enrolments in the TRACKS program increased from 33 to 62 students, course withdrawals decreased from 5</w:t>
            </w:r>
            <w:r>
              <w:t xml:space="preserve"> per cent</w:t>
            </w:r>
            <w:r w:rsidRPr="00AD49C8">
              <w:t xml:space="preserve"> in 2014 to 0</w:t>
            </w:r>
            <w:r>
              <w:t xml:space="preserve"> per cent</w:t>
            </w:r>
            <w:r w:rsidRPr="00AD49C8">
              <w:t xml:space="preserve"> in 2015. </w:t>
            </w:r>
            <w:r>
              <w:t>Nine</w:t>
            </w:r>
            <w:r w:rsidRPr="00AD49C8">
              <w:t xml:space="preserve"> students progressed from TRACKS to undergraduate study at the end of Trimester 2, with a further </w:t>
            </w:r>
            <w:r>
              <w:t>seven</w:t>
            </w:r>
            <w:r w:rsidRPr="00AD49C8">
              <w:t xml:space="preserve"> likely to do so in Trimesters 1 or 2, 2016.</w:t>
            </w:r>
            <w:r>
              <w:t xml:space="preserve"> </w:t>
            </w:r>
            <w:r w:rsidRPr="00AD49C8">
              <w:t>At the end of T</w:t>
            </w:r>
            <w:r>
              <w:t xml:space="preserve">rimester </w:t>
            </w:r>
            <w:r w:rsidRPr="00AD49C8">
              <w:t xml:space="preserve">2 2015, records showed that </w:t>
            </w:r>
            <w:r>
              <w:t>eight</w:t>
            </w:r>
            <w:r w:rsidRPr="00AD49C8">
              <w:t xml:space="preserve"> TRACKS students were working with an </w:t>
            </w:r>
            <w:r>
              <w:t>Indigenous</w:t>
            </w:r>
            <w:r w:rsidRPr="00AD49C8">
              <w:t xml:space="preserve"> Tutorial Assistance Scheme (ITAS) tutor.</w:t>
            </w:r>
            <w:r w:rsidR="00E5459F">
              <w:t xml:space="preserve"> </w:t>
            </w:r>
            <w:r w:rsidRPr="00AD49C8">
              <w:t xml:space="preserve">The </w:t>
            </w:r>
            <w:r>
              <w:t>’</w:t>
            </w:r>
            <w:r w:rsidRPr="00AD49C8">
              <w:t>offer to enrolment</w:t>
            </w:r>
            <w:r>
              <w:t>’</w:t>
            </w:r>
            <w:r w:rsidRPr="00AD49C8">
              <w:t xml:space="preserve"> ratio improved from 0.70 (2014) to 0.84 (2015), which compares favourably to the UNE-wide </w:t>
            </w:r>
            <w:r>
              <w:t>’</w:t>
            </w:r>
            <w:r w:rsidRPr="00AD49C8">
              <w:t>offer to enrolment</w:t>
            </w:r>
            <w:r>
              <w:t>’</w:t>
            </w:r>
            <w:r w:rsidRPr="00AD49C8">
              <w:t xml:space="preserve"> ratio of 0.46. Enrolment sessions held during the on-campus pre-orientation event contributed to this improvement.</w:t>
            </w:r>
          </w:p>
          <w:p w14:paraId="134EC8CA" w14:textId="77777777" w:rsidR="00502B62" w:rsidRDefault="00502B62">
            <w:pPr>
              <w:pStyle w:val="BoxText"/>
            </w:pPr>
            <w:r w:rsidRPr="00AD49C8">
              <w:t>The overall satisfaction rating for TRA</w:t>
            </w:r>
            <w:r>
              <w:t xml:space="preserve">CKS </w:t>
            </w:r>
            <w:r w:rsidRPr="00AD49C8">
              <w:t>units for reporting period 1 2015 was 4.0 (out of a possible 5.0).</w:t>
            </w:r>
            <w:r>
              <w:t xml:space="preserve"> </w:t>
            </w:r>
            <w:r w:rsidRPr="00AD49C8">
              <w:t>Feedback received (</w:t>
            </w:r>
            <w:r>
              <w:t>i</w:t>
            </w:r>
            <w:r w:rsidRPr="00AD49C8">
              <w:t xml:space="preserve">nformal feedback via </w:t>
            </w:r>
            <w:r>
              <w:t>e</w:t>
            </w:r>
            <w:r w:rsidRPr="00AD49C8">
              <w:t xml:space="preserve">mail and Moodle </w:t>
            </w:r>
            <w:r>
              <w:t>learning management system</w:t>
            </w:r>
            <w:r w:rsidRPr="00AD49C8">
              <w:t xml:space="preserve">) indicated </w:t>
            </w:r>
            <w:r>
              <w:t xml:space="preserve">a </w:t>
            </w:r>
            <w:r w:rsidRPr="00AD49C8">
              <w:t>high level of satisfaction with the program and support received through the Oorala Centre.</w:t>
            </w:r>
          </w:p>
        </w:tc>
      </w:tr>
      <w:tr w:rsidR="00502B62" w14:paraId="17799714" w14:textId="77777777" w:rsidTr="00AD49C8">
        <w:trPr>
          <w:cantSplit/>
        </w:trPr>
        <w:tc>
          <w:tcPr>
            <w:tcW w:w="8614" w:type="dxa"/>
            <w:tcMar>
              <w:top w:w="12" w:type="dxa"/>
              <w:left w:w="446" w:type="dxa"/>
              <w:bottom w:w="113" w:type="dxa"/>
            </w:tcMar>
          </w:tcPr>
          <w:p w14:paraId="648D300F" w14:textId="77777777" w:rsidR="00502B62" w:rsidRDefault="00502B62">
            <w:pPr>
              <w:pStyle w:val="Source"/>
            </w:pPr>
            <w:r w:rsidRPr="001A2F85">
              <w:t xml:space="preserve">Source: </w:t>
            </w:r>
            <w:r w:rsidR="00E5459F">
              <w:t>UNE</w:t>
            </w:r>
            <w:r w:rsidRPr="001A2F85">
              <w:t xml:space="preserve"> </w:t>
            </w:r>
            <w:r w:rsidR="00E5459F">
              <w:t xml:space="preserve">HEPPP </w:t>
            </w:r>
            <w:r w:rsidRPr="001A2F85">
              <w:t>Annual Report</w:t>
            </w:r>
            <w:r w:rsidR="00E5459F">
              <w:t xml:space="preserve"> </w:t>
            </w:r>
            <w:r w:rsidR="00E5459F" w:rsidRPr="001A2F85">
              <w:t>2015</w:t>
            </w:r>
            <w:r w:rsidRPr="001A2F85">
              <w:t>.</w:t>
            </w:r>
          </w:p>
        </w:tc>
      </w:tr>
    </w:tbl>
    <w:p w14:paraId="2EA595C3" w14:textId="77777777" w:rsidR="00502B62" w:rsidRPr="001A2F85" w:rsidRDefault="00502B62" w:rsidP="00502B62">
      <w:pPr>
        <w:pStyle w:val="Heading3"/>
      </w:pPr>
      <w:bookmarkStart w:id="287" w:name="_Ref465157768"/>
      <w:r w:rsidRPr="001A2F85">
        <w:t>Academic preparation/support</w:t>
      </w:r>
      <w:bookmarkEnd w:id="287"/>
    </w:p>
    <w:p w14:paraId="216F15DC" w14:textId="77777777" w:rsidR="00502B62" w:rsidRDefault="00F72359" w:rsidP="00502B62">
      <w:pPr>
        <w:pStyle w:val="BodyText"/>
      </w:pPr>
      <w:r w:rsidRPr="00F72359">
        <w:t xml:space="preserve">At the Participation stage, academic preparation and support projects are designed to fill the skill/knowledge gaps of students, with particular focus on underprepared commencing students. They aim to increase academic achievement, increase social engagement with peers through mentoring and provide individual academic skills development through specialised academic skills staff </w:t>
      </w:r>
      <w:r w:rsidR="00502B62">
        <w:t>(</w:t>
      </w:r>
      <w:r w:rsidR="00FF5807">
        <w:t xml:space="preserve">Lizzio &amp; Wilson 2013; </w:t>
      </w:r>
      <w:r w:rsidR="00502B62">
        <w:t>Tower</w:t>
      </w:r>
      <w:r w:rsidR="009F5C29">
        <w:t> </w:t>
      </w:r>
      <w:r w:rsidR="00502B62">
        <w:t>et</w:t>
      </w:r>
      <w:r w:rsidR="009F5C29">
        <w:t> </w:t>
      </w:r>
      <w:r w:rsidR="00502B62">
        <w:t>al. 2015)</w:t>
      </w:r>
      <w:r w:rsidR="00502B62" w:rsidRPr="001A2F85">
        <w:t>.</w:t>
      </w:r>
      <w:r w:rsidR="00502B62">
        <w:t xml:space="preserve"> </w:t>
      </w:r>
    </w:p>
    <w:p w14:paraId="3DA65F5B" w14:textId="77777777" w:rsidR="00502B62" w:rsidRDefault="00502B62" w:rsidP="00502B62">
      <w:pPr>
        <w:pStyle w:val="BodyText"/>
      </w:pPr>
      <w:r>
        <w:t xml:space="preserve">Many universities deliver academic preparation workshops with HEPPP funding. For example, </w:t>
      </w:r>
      <w:r w:rsidR="006F3B21">
        <w:t xml:space="preserve">over 2011-2014 </w:t>
      </w:r>
      <w:r>
        <w:t xml:space="preserve">CSU piloted and then expanded </w:t>
      </w:r>
      <w:r w:rsidRPr="008B50BD">
        <w:t>Get Ready for Science workshops</w:t>
      </w:r>
      <w:r>
        <w:t xml:space="preserve"> aimed at </w:t>
      </w:r>
      <w:r w:rsidRPr="008B50BD">
        <w:t>break</w:t>
      </w:r>
      <w:r>
        <w:t xml:space="preserve">ing </w:t>
      </w:r>
      <w:r w:rsidRPr="008B50BD">
        <w:t xml:space="preserve">down barriers and stereotypes that prevent </w:t>
      </w:r>
      <w:r>
        <w:t xml:space="preserve">some </w:t>
      </w:r>
      <w:r w:rsidRPr="008B50BD">
        <w:t>students from engaging with scie</w:t>
      </w:r>
      <w:r>
        <w:t>nce, reducing</w:t>
      </w:r>
      <w:r w:rsidRPr="008B50BD">
        <w:t xml:space="preserve"> students</w:t>
      </w:r>
      <w:r w:rsidR="00B73D67">
        <w:t>’</w:t>
      </w:r>
      <w:r w:rsidRPr="008B50BD">
        <w:t xml:space="preserve"> science-anxiety</w:t>
      </w:r>
      <w:r>
        <w:t xml:space="preserve"> and increasing</w:t>
      </w:r>
      <w:r w:rsidRPr="008B50BD">
        <w:t xml:space="preserve"> their interest in science</w:t>
      </w:r>
      <w:r>
        <w:t>. To date, nine workshops have been run across three campuses</w:t>
      </w:r>
      <w:r w:rsidR="00B73D67">
        <w:t>,</w:t>
      </w:r>
      <w:r>
        <w:t xml:space="preserve"> with 204 students participating. CSU report</w:t>
      </w:r>
      <w:r w:rsidR="006F3B21">
        <w:t>s</w:t>
      </w:r>
      <w:r>
        <w:t xml:space="preserve"> that workshop attendees received higher average marks than non-attendee</w:t>
      </w:r>
      <w:r w:rsidR="00B73D67">
        <w:t>s, that</w:t>
      </w:r>
      <w:r>
        <w:t xml:space="preserve"> low SES attendees performed significantly better in the introductory bioscience subject </w:t>
      </w:r>
      <w:r w:rsidR="00B73D67">
        <w:t xml:space="preserve">than </w:t>
      </w:r>
      <w:r>
        <w:t xml:space="preserve">non-attendees, and </w:t>
      </w:r>
      <w:r w:rsidR="00B73D67">
        <w:t xml:space="preserve">that </w:t>
      </w:r>
      <w:r>
        <w:t xml:space="preserve">workshop </w:t>
      </w:r>
      <w:r w:rsidR="00F72359" w:rsidRPr="00F72359">
        <w:t xml:space="preserve">attendees </w:t>
      </w:r>
      <w:r>
        <w:t>progresse</w:t>
      </w:r>
      <w:r w:rsidR="00B73D67">
        <w:t>d</w:t>
      </w:r>
      <w:r>
        <w:t xml:space="preserve"> through subjects at a rate 10 per cent faster than non-attendees. </w:t>
      </w:r>
    </w:p>
    <w:p w14:paraId="32A4F602" w14:textId="77777777" w:rsidR="00502B62" w:rsidRPr="001A2F85" w:rsidRDefault="00502B62" w:rsidP="00502B62">
      <w:pPr>
        <w:pStyle w:val="BodyText"/>
      </w:pPr>
      <w:r>
        <w:t>Projects focused on providing a</w:t>
      </w:r>
      <w:r w:rsidRPr="001A2F85">
        <w:t>cademic support</w:t>
      </w:r>
      <w:r>
        <w:t xml:space="preserve"> through peer </w:t>
      </w:r>
      <w:r w:rsidRPr="001A2F85">
        <w:t xml:space="preserve">assisted study sessions (PASS) </w:t>
      </w:r>
      <w:r>
        <w:t>are common under the HEPPP. The t</w:t>
      </w:r>
      <w:r w:rsidRPr="001A2F85">
        <w:t>wo key foundation stones of PASS are that the sessions are peer</w:t>
      </w:r>
      <w:r>
        <w:noBreakHyphen/>
      </w:r>
      <w:r w:rsidRPr="001A2F85">
        <w:t xml:space="preserve">led and collaborative in design. </w:t>
      </w:r>
      <w:r>
        <w:t xml:space="preserve">Sessions are often </w:t>
      </w:r>
      <w:r w:rsidRPr="00EF01F9">
        <w:t xml:space="preserve">weekly </w:t>
      </w:r>
      <w:r>
        <w:t xml:space="preserve">and are </w:t>
      </w:r>
      <w:r w:rsidRPr="00EF01F9">
        <w:t xml:space="preserve">facilitated by peer educators, who are high achieving senior students, trained to offer education services to their peers. The aim is to help students’ master subject content while gaining discipline specific study skills. PASS sessions are </w:t>
      </w:r>
      <w:r>
        <w:t xml:space="preserve">often </w:t>
      </w:r>
      <w:r w:rsidRPr="00EF01F9">
        <w:t>attached to challenging units or units perceived to be difficult by students (van der Meer &amp;</w:t>
      </w:r>
      <w:r w:rsidR="007E087B">
        <w:t> </w:t>
      </w:r>
      <w:r w:rsidRPr="00EF01F9">
        <w:t>Scott</w:t>
      </w:r>
      <w:r w:rsidR="007E087B">
        <w:t> </w:t>
      </w:r>
      <w:r w:rsidRPr="00EF01F9">
        <w:t>2013).</w:t>
      </w:r>
    </w:p>
    <w:p w14:paraId="7D7E7D4B" w14:textId="77777777" w:rsidR="00502B62" w:rsidRPr="006F1280" w:rsidRDefault="00502B62" w:rsidP="00AD49C8">
      <w:r>
        <w:t xml:space="preserve">An example of such a project is </w:t>
      </w:r>
      <w:r w:rsidR="00CB6487">
        <w:t xml:space="preserve">the </w:t>
      </w:r>
      <w:r w:rsidRPr="001A2F85">
        <w:t xml:space="preserve">Peer Assisted </w:t>
      </w:r>
      <w:r w:rsidR="00CB6487">
        <w:t xml:space="preserve">Study Sessions </w:t>
      </w:r>
      <w:r>
        <w:t>(PAS</w:t>
      </w:r>
      <w:r w:rsidR="00CB6487">
        <w:t>S</w:t>
      </w:r>
      <w:r>
        <w:t>)</w:t>
      </w:r>
      <w:r w:rsidR="00CB6487">
        <w:t xml:space="preserve"> program, which is provided by many of the Table A universities. At James Cook University,</w:t>
      </w:r>
      <w:r>
        <w:t xml:space="preserve"> PA</w:t>
      </w:r>
      <w:r w:rsidR="00CB6487">
        <w:t>S</w:t>
      </w:r>
      <w:r>
        <w:t xml:space="preserve">S is </w:t>
      </w:r>
      <w:r w:rsidR="00CB6487">
        <w:t>offered for</w:t>
      </w:r>
      <w:r>
        <w:t xml:space="preserve"> first year subjects that have historically had a high withdrawal</w:t>
      </w:r>
      <w:r w:rsidR="007E087B">
        <w:t xml:space="preserve"> or </w:t>
      </w:r>
      <w:r>
        <w:t>failure rate (32 first</w:t>
      </w:r>
      <w:r w:rsidR="00CB6487">
        <w:noBreakHyphen/>
      </w:r>
      <w:r>
        <w:t>year subjects in 2015)</w:t>
      </w:r>
      <w:r w:rsidRPr="001A2F85">
        <w:t xml:space="preserve">. </w:t>
      </w:r>
      <w:r>
        <w:t>In 2015, JCU found that the retention rate of PAS</w:t>
      </w:r>
      <w:r w:rsidR="00CB6487">
        <w:t>S</w:t>
      </w:r>
      <w:r>
        <w:t xml:space="preserve"> students was </w:t>
      </w:r>
      <w:r w:rsidR="00CB6487">
        <w:t xml:space="preserve">found to be </w:t>
      </w:r>
      <w:r>
        <w:t>82 per cent</w:t>
      </w:r>
      <w:r w:rsidR="00CB6487">
        <w:t>,</w:t>
      </w:r>
      <w:r w:rsidR="007E087B">
        <w:t xml:space="preserve"> compared with</w:t>
      </w:r>
      <w:r>
        <w:t xml:space="preserve"> 66 per cent for students who did not attend PA</w:t>
      </w:r>
      <w:r w:rsidR="00CB6487">
        <w:t>S</w:t>
      </w:r>
      <w:r>
        <w:t>S</w:t>
      </w:r>
      <w:r w:rsidR="00CB6487">
        <w:t>, and attendance was also correlated with a higher grade point average—students who attended PASS achieved an average GPA of 4.42 compared with 3.6 for those who did not attend</w:t>
      </w:r>
      <w:r>
        <w:t xml:space="preserve">. </w:t>
      </w:r>
      <w:r w:rsidR="00E5459F" w:rsidRPr="001A2F85">
        <w:t>Students’</w:t>
      </w:r>
      <w:r w:rsidRPr="001A2F85">
        <w:t xml:space="preserve"> outcomes were positively associated with increased attendance at PA</w:t>
      </w:r>
      <w:r w:rsidR="00CB6487">
        <w:t>S</w:t>
      </w:r>
      <w:r w:rsidRPr="001A2F85">
        <w:t>S</w:t>
      </w:r>
      <w:r>
        <w:t>—t</w:t>
      </w:r>
      <w:r w:rsidRPr="001A2F85">
        <w:t xml:space="preserve">hose who attended more than </w:t>
      </w:r>
      <w:r>
        <w:t>six</w:t>
      </w:r>
      <w:r w:rsidRPr="001A2F85">
        <w:t xml:space="preserve"> sessions achieved a retention rate of 74</w:t>
      </w:r>
      <w:r>
        <w:t xml:space="preserve"> per cent</w:t>
      </w:r>
      <w:r w:rsidRPr="001A2F85">
        <w:t xml:space="preserve"> compared to a retention rate of 6</w:t>
      </w:r>
      <w:r>
        <w:t>0 per cent</w:t>
      </w:r>
      <w:r w:rsidRPr="001A2F85">
        <w:t xml:space="preserve"> for those who attended </w:t>
      </w:r>
      <w:r>
        <w:t>five</w:t>
      </w:r>
      <w:r w:rsidRPr="001A2F85">
        <w:t xml:space="preserve"> or fewer sessions. It was also found that if a student attended more than 10 sessions the retention rate was approximately 91</w:t>
      </w:r>
      <w:r>
        <w:t xml:space="preserve"> per cent</w:t>
      </w:r>
      <w:r w:rsidRPr="001A2F85">
        <w:t>.</w:t>
      </w:r>
      <w:r>
        <w:t xml:space="preserve"> </w:t>
      </w:r>
      <w:r w:rsidR="00EA185D">
        <w:t>As with many similar programs (</w:t>
      </w:r>
      <w:r w:rsidR="0093484B">
        <w:t xml:space="preserve">such as discussed in </w:t>
      </w:r>
      <w:r w:rsidR="00EA185D">
        <w:t xml:space="preserve">Section </w:t>
      </w:r>
      <w:r w:rsidR="00EA185D">
        <w:fldChar w:fldCharType="begin"/>
      </w:r>
      <w:r w:rsidR="00EA185D">
        <w:instrText xml:space="preserve"> REF _Ref470105997 \r \h </w:instrText>
      </w:r>
      <w:r w:rsidR="00EA185D">
        <w:fldChar w:fldCharType="separate"/>
      </w:r>
      <w:r w:rsidR="0064083A">
        <w:t>6.2.6</w:t>
      </w:r>
      <w:r w:rsidR="00EA185D">
        <w:fldChar w:fldCharType="end"/>
      </w:r>
      <w:r w:rsidR="00EA185D">
        <w:t>), selection bias may be a factor in these figures</w:t>
      </w:r>
      <w:r w:rsidR="0093484B">
        <w:t xml:space="preserve">. Notwithstanding this, </w:t>
      </w:r>
      <w:r w:rsidR="00EA185D" w:rsidRPr="001A2F85">
        <w:t xml:space="preserve">the university reported that </w:t>
      </w:r>
      <w:r w:rsidR="00EA185D">
        <w:t>PASS</w:t>
      </w:r>
      <w:r w:rsidR="00EA185D" w:rsidRPr="001A2F85">
        <w:t xml:space="preserve"> was the second most </w:t>
      </w:r>
      <w:r w:rsidR="00EA185D">
        <w:t>impactful</w:t>
      </w:r>
      <w:r w:rsidR="00EA185D" w:rsidRPr="001A2F85">
        <w:t xml:space="preserve"> HEPPP </w:t>
      </w:r>
      <w:r w:rsidR="00EA185D">
        <w:t>project at the university</w:t>
      </w:r>
      <w:r w:rsidR="00EA185D" w:rsidRPr="001A2F85">
        <w:t xml:space="preserve">, after </w:t>
      </w:r>
      <w:r w:rsidR="00EA185D">
        <w:t xml:space="preserve">the </w:t>
      </w:r>
      <w:r w:rsidR="00EA185D" w:rsidRPr="001A2F85">
        <w:t>scholarship</w:t>
      </w:r>
      <w:r w:rsidR="00EA185D">
        <w:t xml:space="preserve"> program.</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502B62" w:rsidRPr="001A2F85" w14:paraId="3A8A9067" w14:textId="77777777" w:rsidTr="00BB3E7B">
        <w:trPr>
          <w:cantSplit/>
        </w:trPr>
        <w:tc>
          <w:tcPr>
            <w:tcW w:w="8614" w:type="dxa"/>
            <w:tcMar>
              <w:top w:w="160" w:type="dxa"/>
              <w:left w:w="446" w:type="dxa"/>
            </w:tcMar>
          </w:tcPr>
          <w:p w14:paraId="7899ACE4" w14:textId="77777777" w:rsidR="00502B62" w:rsidRPr="001A2F85" w:rsidRDefault="00502B62" w:rsidP="00BB3E7B">
            <w:pPr>
              <w:pStyle w:val="Caption"/>
            </w:pPr>
            <w:bookmarkStart w:id="288" w:name="_Ref465073077"/>
            <w:bookmarkStart w:id="289" w:name="_Toc463029929"/>
            <w:bookmarkStart w:id="290" w:name="_Toc466657022"/>
            <w:r w:rsidRPr="001A2F85">
              <w:rPr>
                <w:rStyle w:val="CaptionLabel"/>
              </w:rPr>
              <w:t>Box </w:t>
            </w:r>
            <w:r w:rsidR="008C090E">
              <w:rPr>
                <w:rStyle w:val="CaptionLabel"/>
                <w:noProof/>
              </w:rPr>
              <w:t>6</w:t>
            </w:r>
            <w:r w:rsidRPr="001A2F85">
              <w:rPr>
                <w:rStyle w:val="CaptionLabel"/>
              </w:rPr>
              <w:t>.</w:t>
            </w:r>
            <w:r w:rsidR="00D463FC">
              <w:rPr>
                <w:rStyle w:val="CaptionLabel"/>
                <w:noProof/>
              </w:rPr>
              <w:t>2</w:t>
            </w:r>
            <w:bookmarkEnd w:id="288"/>
            <w:r w:rsidRPr="001A2F85">
              <w:tab/>
              <w:t>Peer Assisted Study Sessions</w:t>
            </w:r>
            <w:bookmarkEnd w:id="289"/>
            <w:r>
              <w:t>, Western Sydney University</w:t>
            </w:r>
            <w:bookmarkEnd w:id="290"/>
          </w:p>
        </w:tc>
      </w:tr>
      <w:tr w:rsidR="00502B62" w:rsidRPr="001A2F85" w14:paraId="59EC8F0B" w14:textId="77777777" w:rsidTr="00BB3E7B">
        <w:trPr>
          <w:cantSplit/>
          <w:trHeight w:hRule="exact" w:val="380"/>
        </w:trPr>
        <w:tc>
          <w:tcPr>
            <w:tcW w:w="8614" w:type="dxa"/>
            <w:shd w:val="clear" w:color="auto" w:fill="E4E0DD"/>
          </w:tcPr>
          <w:p w14:paraId="70D296B5"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48000" behindDoc="0" locked="1" layoutInCell="1" allowOverlap="1" wp14:anchorId="3FF5AC19" wp14:editId="70B23530">
                      <wp:simplePos x="0" y="0"/>
                      <wp:positionH relativeFrom="rightMargin">
                        <wp:posOffset>-772795</wp:posOffset>
                      </wp:positionH>
                      <wp:positionV relativeFrom="page">
                        <wp:posOffset>0</wp:posOffset>
                      </wp:positionV>
                      <wp:extent cx="436880" cy="213360"/>
                      <wp:effectExtent l="0" t="0" r="1270" b="0"/>
                      <wp:wrapNone/>
                      <wp:docPr id="55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B027CD" id="Freeform 5" o:spid="_x0000_s1026" style="position:absolute;margin-left:-60.85pt;margin-top:0;width:34.4pt;height:16.8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Fo7BZ9/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536D266F" w14:textId="77777777" w:rsidTr="00BB3E7B">
        <w:tc>
          <w:tcPr>
            <w:tcW w:w="8614" w:type="dxa"/>
            <w:shd w:val="clear" w:color="auto" w:fill="E4E0DD"/>
            <w:tcMar>
              <w:top w:w="276" w:type="dxa"/>
              <w:bottom w:w="184" w:type="dxa"/>
              <w:right w:w="120" w:type="dxa"/>
            </w:tcMar>
          </w:tcPr>
          <w:p w14:paraId="63388B69" w14:textId="77777777" w:rsidR="00502B62" w:rsidRPr="001A2F85" w:rsidRDefault="00502B62" w:rsidP="00BB3E7B">
            <w:pPr>
              <w:pStyle w:val="BoxText"/>
            </w:pPr>
            <w:r>
              <w:t>WSU</w:t>
            </w:r>
            <w:r w:rsidRPr="001A2F85">
              <w:t xml:space="preserve"> has offered PASS across its faculties since 2010. </w:t>
            </w:r>
            <w:r>
              <w:t xml:space="preserve">The PASS program targets low SES students enrolled in academically challenging subjects (as informed by historical data). </w:t>
            </w:r>
            <w:r w:rsidRPr="001A2F85">
              <w:t xml:space="preserve">In 2015, </w:t>
            </w:r>
            <w:r>
              <w:t>WSU</w:t>
            </w:r>
            <w:r w:rsidRPr="001A2F85">
              <w:t xml:space="preserve"> refined its PASS offering to include PASSOnline, establishment of </w:t>
            </w:r>
            <w:r>
              <w:t xml:space="preserve">the </w:t>
            </w:r>
            <w:r w:rsidRPr="001A2F85">
              <w:t>Aboriginal and Torres Strait Islander PASS Facilitator Network, PASSWrite and Research initiatives.</w:t>
            </w:r>
          </w:p>
          <w:p w14:paraId="0B492300" w14:textId="77777777" w:rsidR="00502B62" w:rsidRDefault="00502B62" w:rsidP="00BB3E7B">
            <w:pPr>
              <w:pStyle w:val="BoxText"/>
            </w:pPr>
            <w:r>
              <w:t xml:space="preserve">In 2015, 128 students attended 661 hours of PASSWrite sessions. In this year, the average mark of attendees was reported as being 15 points higher than non-attendees. Pre and post-testing by the University indicated that participants generally improved their writing styles, which is likely to have contributed to the aforementioned outcomes. Additionally, 85 per cent of surveyed participants reported higher confidence levels with regard to applying learned reading and writing techniques in assignments. </w:t>
            </w:r>
            <w:r w:rsidRPr="001A2F85">
              <w:t>Students interviewed for this evaluation who had been involved as PASS facilitators observed that the support helped students revise and solidify their knowledge, built their capacity to structure university life and increased their confidence.</w:t>
            </w:r>
          </w:p>
          <w:p w14:paraId="0FD0610A" w14:textId="77777777" w:rsidR="00502B62" w:rsidRPr="001A2F85" w:rsidRDefault="00502B62" w:rsidP="00BB3E7B">
            <w:pPr>
              <w:pStyle w:val="BoxText"/>
            </w:pPr>
            <w:r>
              <w:t>Within the overall PASS program</w:t>
            </w:r>
            <w:r w:rsidRPr="001A2F85">
              <w:t>, the difference in GPA trend between the PASS and non-PASS cohorts increased from 0.26 to 0.92</w:t>
            </w:r>
            <w:r>
              <w:t xml:space="preserve"> b</w:t>
            </w:r>
            <w:r w:rsidRPr="001A2F85">
              <w:t>etween 2012 and 2015</w:t>
            </w:r>
            <w:r>
              <w:t xml:space="preserve">. </w:t>
            </w:r>
            <w:r w:rsidRPr="001A2F85">
              <w:t xml:space="preserve">Progression rates for the Spring 2015 PASS cohort </w:t>
            </w:r>
            <w:r>
              <w:t>were</w:t>
            </w:r>
            <w:r w:rsidRPr="001A2F85">
              <w:t xml:space="preserve"> 86.3 per cent and 67 per cent for the non-PASS cohort.</w:t>
            </w:r>
          </w:p>
          <w:p w14:paraId="48276C49" w14:textId="77777777" w:rsidR="00502B62" w:rsidRPr="001A2F85" w:rsidRDefault="00502B62" w:rsidP="00BB3E7B">
            <w:pPr>
              <w:pStyle w:val="BoxText"/>
            </w:pPr>
            <w:r w:rsidRPr="001A2F85">
              <w:t>Student Survey feedback from the Autumn 2015 cohort found that PASS is highly valued by the majority of survey respondents</w:t>
            </w:r>
            <w:r>
              <w:t>. Students regard it</w:t>
            </w:r>
            <w:r w:rsidRPr="001A2F85">
              <w:t xml:space="preserve"> as a program that cultivates knowledge about content, independent learning, social networks on campus, an enjoyable learning experience, a clearer understanding of study expectations, confidence in communication, increased motivation towards completion, improved exam preparation, and enhanced capacities to work collaboratively and more productively.</w:t>
            </w:r>
          </w:p>
          <w:p w14:paraId="2B721A71" w14:textId="77777777" w:rsidR="00502B62" w:rsidRPr="001A2F85" w:rsidRDefault="00502B62" w:rsidP="00BB3E7B">
            <w:pPr>
              <w:pStyle w:val="BoxText"/>
            </w:pPr>
            <w:r w:rsidRPr="001A2F85">
              <w:t>Survey responses from PASS and ePASS facilitators from the Autumn 2015 session indicated that these programs assisted in improvements in a range of employability indicators, including career readiness, knowledge of organisational dynamics, higher level thinking and critical thinking skills, soft skills, belonging and self-improvement.</w:t>
            </w:r>
          </w:p>
        </w:tc>
      </w:tr>
      <w:tr w:rsidR="00502B62" w:rsidRPr="001A2F85" w14:paraId="461731BD" w14:textId="77777777" w:rsidTr="00BB3E7B">
        <w:trPr>
          <w:cantSplit/>
        </w:trPr>
        <w:tc>
          <w:tcPr>
            <w:tcW w:w="8614" w:type="dxa"/>
            <w:tcMar>
              <w:top w:w="12" w:type="dxa"/>
              <w:left w:w="446" w:type="dxa"/>
              <w:bottom w:w="113" w:type="dxa"/>
            </w:tcMar>
          </w:tcPr>
          <w:p w14:paraId="1D6851CF" w14:textId="77777777" w:rsidR="00502B62" w:rsidRPr="001A2F85" w:rsidRDefault="00502B62">
            <w:pPr>
              <w:pStyle w:val="Source"/>
            </w:pPr>
            <w:r w:rsidRPr="001A2F85">
              <w:t xml:space="preserve">Source: </w:t>
            </w:r>
            <w:r w:rsidR="006A48DF">
              <w:t>WSU</w:t>
            </w:r>
            <w:r w:rsidR="00E5459F">
              <w:t xml:space="preserve"> HEPPP</w:t>
            </w:r>
            <w:r w:rsidRPr="001A2F85">
              <w:t xml:space="preserve"> Annual Report</w:t>
            </w:r>
            <w:r w:rsidR="00E5459F">
              <w:t xml:space="preserve"> 2015</w:t>
            </w:r>
          </w:p>
        </w:tc>
      </w:tr>
    </w:tbl>
    <w:p w14:paraId="02DBFAB4" w14:textId="77777777" w:rsidR="007E087B" w:rsidRDefault="007E087B" w:rsidP="00AD49C8">
      <w:r>
        <w:t xml:space="preserve">Using HEPPP funding, many universities are providing academic support through online learning tools. For example, the YourTutor </w:t>
      </w:r>
      <w:r w:rsidRPr="001A2F85">
        <w:t xml:space="preserve">online tool </w:t>
      </w:r>
      <w:r>
        <w:t xml:space="preserve">is being used by 11 </w:t>
      </w:r>
      <w:r w:rsidRPr="001A2F85">
        <w:t>universities</w:t>
      </w:r>
      <w:r>
        <w:t xml:space="preserve"> under the HEPPP to </w:t>
      </w:r>
      <w:r w:rsidRPr="001A2F85">
        <w:t xml:space="preserve">provide tutoring support to students after hours. </w:t>
      </w:r>
      <w:r>
        <w:t xml:space="preserve">The online tool </w:t>
      </w:r>
      <w:r w:rsidRPr="001A2F85">
        <w:t xml:space="preserve">supports flexibility around work schedules and family commitments, particularly enabling </w:t>
      </w:r>
      <w:r>
        <w:t>low SES</w:t>
      </w:r>
      <w:r w:rsidRPr="001A2F85">
        <w:t xml:space="preserve"> and mature age students to access academic support (Regional Universities Network, Submission 47). You</w:t>
      </w:r>
      <w:r>
        <w:t>r</w:t>
      </w:r>
      <w:r w:rsidRPr="001A2F85">
        <w:t>Tutor states that 83</w:t>
      </w:r>
      <w:r>
        <w:t xml:space="preserve"> per cent </w:t>
      </w:r>
      <w:r w:rsidRPr="001A2F85">
        <w:t>of students using the service report</w:t>
      </w:r>
      <w:r>
        <w:t>ed</w:t>
      </w:r>
      <w:r w:rsidRPr="001A2F85">
        <w:t xml:space="preserve"> improved confidence in academic study</w:t>
      </w:r>
      <w:r>
        <w:t xml:space="preserve"> </w:t>
      </w:r>
      <w:r w:rsidRPr="001A2F85">
        <w:t>(You</w:t>
      </w:r>
      <w:r>
        <w:t>r</w:t>
      </w:r>
      <w:r w:rsidRPr="001A2F85">
        <w:t>Tutor</w:t>
      </w:r>
      <w:r>
        <w:t>,</w:t>
      </w:r>
      <w:r w:rsidRPr="001A2F85">
        <w:t xml:space="preserve"> Submission</w:t>
      </w:r>
      <w:r>
        <w:t> </w:t>
      </w:r>
      <w:r w:rsidRPr="001A2F85">
        <w:t>83).</w:t>
      </w:r>
    </w:p>
    <w:p w14:paraId="4C2D731A" w14:textId="77777777" w:rsidR="00502B62" w:rsidRPr="001A2F85" w:rsidRDefault="00502B62" w:rsidP="00502B62">
      <w:pPr>
        <w:pStyle w:val="Heading3"/>
      </w:pPr>
      <w:r w:rsidRPr="001A2F85">
        <w:t>Inclusive course design/pedagogies and professional development</w:t>
      </w:r>
    </w:p>
    <w:p w14:paraId="06A590A1" w14:textId="77777777" w:rsidR="00502B62" w:rsidRDefault="00502B62" w:rsidP="00AD49C8">
      <w:pPr>
        <w:pStyle w:val="ListBullet"/>
        <w:numPr>
          <w:ilvl w:val="0"/>
          <w:numId w:val="0"/>
        </w:numPr>
      </w:pPr>
      <w:r>
        <w:t xml:space="preserve">Inclusive course design/pedagogies a strategy aimed at widening the participation of students from non-traditional backgrounds. </w:t>
      </w:r>
      <w:r w:rsidRPr="00171EA3">
        <w:t>The development of an appropriate pedagogy provides an approach that makes explicit the hidden forms of assumed knowledge that operate in higher education. For example, the approach reveals how students should not be presumed to be independent or adult learners on entry because their previous experiences of learning</w:t>
      </w:r>
      <w:r w:rsidR="00E010CB">
        <w:t>—</w:t>
      </w:r>
      <w:r w:rsidRPr="00171EA3">
        <w:t>about how to learn and perform</w:t>
      </w:r>
      <w:r w:rsidR="00E010CB">
        <w:t>—</w:t>
      </w:r>
      <w:r w:rsidRPr="00171EA3">
        <w:t xml:space="preserve">are vastly different to the ones they are presented with on entry to the university environment. </w:t>
      </w:r>
    </w:p>
    <w:p w14:paraId="18AA355A" w14:textId="77777777" w:rsidR="00502B62" w:rsidRDefault="00502B62" w:rsidP="00AD49C8">
      <w:pPr>
        <w:pStyle w:val="ListBullet"/>
        <w:numPr>
          <w:ilvl w:val="0"/>
          <w:numId w:val="0"/>
        </w:numPr>
      </w:pPr>
      <w:r>
        <w:t>The purpose of this activity is to increase academic achievement and access to education support by embedding educational support within curricula. It also builds the capacity and awareness of staff of the changing needs of students.</w:t>
      </w:r>
    </w:p>
    <w:p w14:paraId="54CD6E66" w14:textId="77777777" w:rsidR="00502B62" w:rsidRDefault="00502B62" w:rsidP="00AD49C8">
      <w:pPr>
        <w:pStyle w:val="BodyText"/>
      </w:pPr>
      <w:r>
        <w:t xml:space="preserve">For example, the Deakin University </w:t>
      </w:r>
      <w:r w:rsidRPr="00BE165C">
        <w:t xml:space="preserve">Inclusive Curriculum and Capacity Building </w:t>
      </w:r>
      <w:r>
        <w:t xml:space="preserve">project </w:t>
      </w:r>
      <w:r w:rsidRPr="00BE165C">
        <w:t>facilitated collaborative and targeted curriculum interventions</w:t>
      </w:r>
      <w:r>
        <w:t xml:space="preserve"> by funding a </w:t>
      </w:r>
      <w:r w:rsidRPr="00BE165C">
        <w:t xml:space="preserve">team </w:t>
      </w:r>
      <w:r>
        <w:t xml:space="preserve">within the university </w:t>
      </w:r>
      <w:r w:rsidRPr="00BE165C">
        <w:t>to provide advice and support on inclusive practice</w:t>
      </w:r>
      <w:r>
        <w:t xml:space="preserve"> to facilities. The result was the embedding of </w:t>
      </w:r>
      <w:r w:rsidRPr="00BE165C">
        <w:t>inclusive practice, academic li</w:t>
      </w:r>
      <w:r>
        <w:t>teracies, digital literacy and c</w:t>
      </w:r>
      <w:r w:rsidRPr="00BE165C">
        <w:t>areer development learning into curriculum in targeted courses and units</w:t>
      </w:r>
      <w:r>
        <w:t>. The most detailed student outcome evidence for this project was from the Faculty of Arts and Education</w:t>
      </w:r>
      <w:r w:rsidR="00E010CB">
        <w:t>,</w:t>
      </w:r>
      <w:r>
        <w:t xml:space="preserve"> where final grades and success rates were significantly higher after the project </w:t>
      </w:r>
      <w:r w:rsidR="00CA090C">
        <w:t xml:space="preserve">than </w:t>
      </w:r>
      <w:r>
        <w:t xml:space="preserve">for the pre-intervention 2014 cohort (final grade rose from 53 per cent to 69 per cent). </w:t>
      </w:r>
    </w:p>
    <w:p w14:paraId="68111B70" w14:textId="77777777" w:rsidR="00502B62" w:rsidRDefault="00502B62" w:rsidP="00AD49C8">
      <w:pPr>
        <w:pStyle w:val="BodyText"/>
      </w:pPr>
      <w:r>
        <w:t xml:space="preserve">Similarly </w:t>
      </w:r>
      <w:r w:rsidR="0098304D">
        <w:t>ACU</w:t>
      </w:r>
      <w:r>
        <w:t xml:space="preserve"> piloted the</w:t>
      </w:r>
      <w:r w:rsidRPr="001A2F85">
        <w:t xml:space="preserve"> Adopting Transparent Pedagogies </w:t>
      </w:r>
      <w:r>
        <w:t xml:space="preserve">project in 2015 </w:t>
      </w:r>
      <w:r w:rsidRPr="001A2F85">
        <w:t xml:space="preserve">to improve the quality of teaching and student learning in first year units for </w:t>
      </w:r>
      <w:r w:rsidR="00D91518">
        <w:t>F</w:t>
      </w:r>
      <w:r w:rsidR="00D91518" w:rsidRPr="001A2F85">
        <w:t xml:space="preserve">irst </w:t>
      </w:r>
      <w:r w:rsidRPr="001A2F85">
        <w:t xml:space="preserve">in </w:t>
      </w:r>
      <w:r w:rsidR="00D91518">
        <w:t>F</w:t>
      </w:r>
      <w:r w:rsidR="00D91518" w:rsidRPr="001A2F85">
        <w:t xml:space="preserve">amily </w:t>
      </w:r>
      <w:r w:rsidRPr="001A2F85">
        <w:t xml:space="preserve">and </w:t>
      </w:r>
      <w:r>
        <w:t xml:space="preserve">low SES </w:t>
      </w:r>
      <w:r w:rsidRPr="001A2F85">
        <w:t>students across three faculties: Education and Arts, Law and Business, and Health Sciences. To date, three interdisciplinary workshops (each four hours’ duration) have been held in Melbourne, Sydney and Brisbane</w:t>
      </w:r>
      <w:r w:rsidR="00E010CB">
        <w:t>,</w:t>
      </w:r>
      <w:r w:rsidRPr="001A2F85">
        <w:t xml:space="preserve"> with 285 staff participating (ACU</w:t>
      </w:r>
      <w:r w:rsidR="00E010CB">
        <w:t>,</w:t>
      </w:r>
      <w:r w:rsidRPr="001A2F85">
        <w:t xml:space="preserve"> Submission 126).</w:t>
      </w:r>
      <w:r>
        <w:t xml:space="preserve"> The project plans to generate q</w:t>
      </w:r>
      <w:r w:rsidRPr="002E742E">
        <w:t>uantitative and qualitative data to measure improvements in teaching and learning outcomes</w:t>
      </w:r>
      <w:r>
        <w:t xml:space="preserve">, although these data were not available to this evaluation. </w:t>
      </w:r>
    </w:p>
    <w:p w14:paraId="73569677" w14:textId="77777777" w:rsidR="00502B62" w:rsidRPr="001A2F85" w:rsidRDefault="00502B62" w:rsidP="00AD49C8">
      <w:pPr>
        <w:pStyle w:val="BodyText"/>
      </w:pPr>
      <w:r>
        <w:t xml:space="preserve">With the increased popularity of online course delivery, a number of universities are using HEPPP funding to enhance their online offerings to better meet the needs of low SES students. The University of Wollongong has implemented the </w:t>
      </w:r>
      <w:r w:rsidRPr="002E742E">
        <w:t>Designing for Diversity</w:t>
      </w:r>
      <w:r>
        <w:t xml:space="preserve"> project which aims to support</w:t>
      </w:r>
      <w:r w:rsidRPr="002E742E">
        <w:t xml:space="preserve"> students from low </w:t>
      </w:r>
      <w:r>
        <w:t xml:space="preserve">SES Indigenous </w:t>
      </w:r>
      <w:r w:rsidRPr="002E742E">
        <w:t xml:space="preserve">backgrounds </w:t>
      </w:r>
      <w:r>
        <w:t xml:space="preserve">who are learning online by developing and delivering training resources for teaching staff. The training focuses on </w:t>
      </w:r>
      <w:r w:rsidRPr="00B3160F">
        <w:t>embedding principles which align with best practice for teaching diverse students</w:t>
      </w:r>
      <w:r>
        <w:t>. There is no impact study on this project.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502B62" w:rsidRPr="001A2F85" w14:paraId="6AD7470A" w14:textId="77777777" w:rsidTr="00BB3E7B">
        <w:trPr>
          <w:cantSplit/>
        </w:trPr>
        <w:tc>
          <w:tcPr>
            <w:tcW w:w="8614" w:type="dxa"/>
            <w:tcMar>
              <w:top w:w="160" w:type="dxa"/>
              <w:left w:w="446" w:type="dxa"/>
            </w:tcMar>
          </w:tcPr>
          <w:p w14:paraId="5BD739F5" w14:textId="77777777" w:rsidR="00502B62" w:rsidRPr="001A2F85" w:rsidRDefault="00502B62" w:rsidP="00BB3E7B">
            <w:pPr>
              <w:pStyle w:val="Caption"/>
            </w:pPr>
            <w:bookmarkStart w:id="291" w:name="_Toc463029930"/>
            <w:bookmarkStart w:id="292" w:name="_Toc466657023"/>
            <w:r w:rsidRPr="001A2F85">
              <w:rPr>
                <w:rStyle w:val="CaptionLabel"/>
              </w:rPr>
              <w:t>Box </w:t>
            </w:r>
            <w:r w:rsidR="008C090E">
              <w:rPr>
                <w:rStyle w:val="CaptionLabel"/>
                <w:noProof/>
              </w:rPr>
              <w:t>6</w:t>
            </w:r>
            <w:r w:rsidRPr="001A2F85">
              <w:rPr>
                <w:rStyle w:val="CaptionLabel"/>
              </w:rPr>
              <w:t>.</w:t>
            </w:r>
            <w:r w:rsidR="00D463FC">
              <w:rPr>
                <w:rStyle w:val="CaptionLabel"/>
                <w:noProof/>
              </w:rPr>
              <w:t>3</w:t>
            </w:r>
            <w:r w:rsidRPr="001A2F85">
              <w:tab/>
              <w:t>REaching on, University of southern Queensland</w:t>
            </w:r>
            <w:bookmarkEnd w:id="291"/>
            <w:bookmarkEnd w:id="292"/>
          </w:p>
        </w:tc>
      </w:tr>
      <w:tr w:rsidR="00502B62" w:rsidRPr="001A2F85" w14:paraId="5FF979DE" w14:textId="77777777" w:rsidTr="00BB3E7B">
        <w:trPr>
          <w:cantSplit/>
          <w:trHeight w:hRule="exact" w:val="380"/>
        </w:trPr>
        <w:tc>
          <w:tcPr>
            <w:tcW w:w="8614" w:type="dxa"/>
            <w:shd w:val="clear" w:color="auto" w:fill="E4E0DD"/>
          </w:tcPr>
          <w:p w14:paraId="5FCD3F12"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49024" behindDoc="0" locked="1" layoutInCell="1" allowOverlap="1" wp14:anchorId="5031EFBA" wp14:editId="7FAF600E">
                      <wp:simplePos x="0" y="0"/>
                      <wp:positionH relativeFrom="rightMargin">
                        <wp:posOffset>-772795</wp:posOffset>
                      </wp:positionH>
                      <wp:positionV relativeFrom="page">
                        <wp:posOffset>0</wp:posOffset>
                      </wp:positionV>
                      <wp:extent cx="436880" cy="213360"/>
                      <wp:effectExtent l="0" t="0" r="1270" b="0"/>
                      <wp:wrapNone/>
                      <wp:docPr id="20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8D379A" id="Freeform 5" o:spid="_x0000_s1026" style="position:absolute;margin-left:-60.85pt;margin-top:0;width:34.4pt;height:16.8pt;z-index:251649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Q1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F2BBDV/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6A3D1CAA" w14:textId="77777777" w:rsidTr="00BB3E7B">
        <w:trPr>
          <w:cantSplit/>
        </w:trPr>
        <w:tc>
          <w:tcPr>
            <w:tcW w:w="8614" w:type="dxa"/>
            <w:shd w:val="clear" w:color="auto" w:fill="E4E0DD"/>
            <w:tcMar>
              <w:top w:w="276" w:type="dxa"/>
              <w:bottom w:w="184" w:type="dxa"/>
              <w:right w:w="120" w:type="dxa"/>
            </w:tcMar>
          </w:tcPr>
          <w:p w14:paraId="00C51BCF" w14:textId="77777777" w:rsidR="00502B62" w:rsidRPr="001A2F85" w:rsidRDefault="00502B62" w:rsidP="00BB3E7B">
            <w:pPr>
              <w:pStyle w:val="BoxText"/>
            </w:pPr>
            <w:r w:rsidRPr="001A2F85">
              <w:t>REACHingON is a course-based English proficiency enhancement program</w:t>
            </w:r>
            <w:r>
              <w:t xml:space="preserve"> in the University of Southern Queensland</w:t>
            </w:r>
            <w:r w:rsidRPr="001A2F85">
              <w:t xml:space="preserve"> that provides relevant and engaging academic material to strengthen </w:t>
            </w:r>
            <w:r>
              <w:t>low SES</w:t>
            </w:r>
            <w:r w:rsidRPr="001A2F85">
              <w:t xml:space="preserve"> students’ academic literacies.</w:t>
            </w:r>
            <w:r>
              <w:t xml:space="preserve"> HEPPP Participation funds were allocated to the program in 2013 and 2015.</w:t>
            </w:r>
            <w:r w:rsidRPr="001A2F85">
              <w:t xml:space="preserve"> It involves:</w:t>
            </w:r>
          </w:p>
          <w:p w14:paraId="24C885BB" w14:textId="77777777" w:rsidR="00502B62" w:rsidRPr="001A2F85" w:rsidRDefault="00E010CB" w:rsidP="00BB3E7B">
            <w:pPr>
              <w:pStyle w:val="BoxListBullet"/>
            </w:pPr>
            <w:r>
              <w:t>d</w:t>
            </w:r>
            <w:r w:rsidRPr="001A2F85">
              <w:t xml:space="preserve">evelopment </w:t>
            </w:r>
            <w:r w:rsidR="00502B62" w:rsidRPr="001A2F85">
              <w:t>of online REACH modules supporting academic English reading and writing skills embedded in course content based on requirements for successful completion of assignments</w:t>
            </w:r>
          </w:p>
          <w:p w14:paraId="3BBF0CE2" w14:textId="77777777" w:rsidR="00502B62" w:rsidRPr="001A2F85" w:rsidRDefault="00E010CB" w:rsidP="00BB3E7B">
            <w:pPr>
              <w:pStyle w:val="BoxListBullet"/>
            </w:pPr>
            <w:r>
              <w:t>f</w:t>
            </w:r>
            <w:r w:rsidRPr="001A2F85">
              <w:t xml:space="preserve">acilitation </w:t>
            </w:r>
            <w:r w:rsidR="00502B62" w:rsidRPr="001A2F85">
              <w:t>and communication of one hour sessions for 10 weeks in 3 first year courses</w:t>
            </w:r>
          </w:p>
          <w:p w14:paraId="2B5E170D" w14:textId="77777777" w:rsidR="00502B62" w:rsidRPr="001A2F85" w:rsidRDefault="00E010CB" w:rsidP="00BB3E7B">
            <w:pPr>
              <w:pStyle w:val="BoxListBullet"/>
            </w:pPr>
            <w:r>
              <w:t>p</w:t>
            </w:r>
            <w:r w:rsidRPr="001A2F85">
              <w:t xml:space="preserve">roduction </w:t>
            </w:r>
            <w:r w:rsidR="00502B62" w:rsidRPr="001A2F85">
              <w:t>of online video clips that were embedded in 5 selected modules in three core course</w:t>
            </w:r>
          </w:p>
          <w:p w14:paraId="53A720E4" w14:textId="77777777" w:rsidR="00502B62" w:rsidRPr="001A2F85" w:rsidRDefault="00E010CB" w:rsidP="00BB3E7B">
            <w:pPr>
              <w:pStyle w:val="BoxListBullet"/>
            </w:pPr>
            <w:r>
              <w:t>a</w:t>
            </w:r>
            <w:r w:rsidRPr="001A2F85">
              <w:t xml:space="preserve">ssessment </w:t>
            </w:r>
            <w:r w:rsidR="00502B62" w:rsidRPr="001A2F85">
              <w:t>of writing proficiency of some students in each of the 3 courses at the beginning and end of their course.</w:t>
            </w:r>
          </w:p>
          <w:p w14:paraId="4DA5BC7E" w14:textId="77777777" w:rsidR="00502B62" w:rsidRPr="001A2F85" w:rsidRDefault="00502B62">
            <w:pPr>
              <w:pStyle w:val="BoxText"/>
            </w:pPr>
            <w:r w:rsidRPr="001A2F85">
              <w:t xml:space="preserve">The program contributes to the </w:t>
            </w:r>
            <w:r w:rsidR="00735CFF">
              <w:t>u</w:t>
            </w:r>
            <w:r w:rsidR="00735CFF" w:rsidRPr="001A2F85">
              <w:t xml:space="preserve">niversity’s </w:t>
            </w:r>
            <w:r w:rsidRPr="001A2F85">
              <w:t>development and monitoring of student support, participation and performance in targeted courses with high enrolment from CALD and NESB students.</w:t>
            </w:r>
            <w:r>
              <w:t xml:space="preserve"> In 2015, the program involved 24 participants. HEPPP funds were directed towards updating REACH modules, focus group reviews of the program and research tasks (</w:t>
            </w:r>
            <w:r w:rsidR="007950D7">
              <w:t xml:space="preserve">including </w:t>
            </w:r>
            <w:r>
              <w:t>literature reviews, ethics applications).</w:t>
            </w:r>
          </w:p>
        </w:tc>
      </w:tr>
      <w:tr w:rsidR="00502B62" w:rsidRPr="001A2F85" w14:paraId="18CBAB6C" w14:textId="77777777" w:rsidTr="00BB3E7B">
        <w:trPr>
          <w:cantSplit/>
        </w:trPr>
        <w:tc>
          <w:tcPr>
            <w:tcW w:w="8614" w:type="dxa"/>
            <w:tcMar>
              <w:top w:w="12" w:type="dxa"/>
              <w:left w:w="446" w:type="dxa"/>
              <w:bottom w:w="113" w:type="dxa"/>
            </w:tcMar>
          </w:tcPr>
          <w:p w14:paraId="45819F5E" w14:textId="77777777" w:rsidR="00502B62" w:rsidRPr="001A2F85" w:rsidRDefault="00502B62" w:rsidP="00BB3E7B">
            <w:pPr>
              <w:pStyle w:val="Source"/>
            </w:pPr>
            <w:r w:rsidRPr="001A2F85">
              <w:t xml:space="preserve">Source: University of southern queensland </w:t>
            </w:r>
            <w:r w:rsidR="00735CFF">
              <w:t xml:space="preserve">HEPPP </w:t>
            </w:r>
            <w:r w:rsidRPr="001A2F85">
              <w:t>annual report 2015</w:t>
            </w:r>
          </w:p>
        </w:tc>
      </w:tr>
    </w:tbl>
    <w:p w14:paraId="587C12A5" w14:textId="77777777" w:rsidR="00502B62" w:rsidRPr="001A2F85" w:rsidRDefault="00502B62" w:rsidP="00502B62">
      <w:pPr>
        <w:pStyle w:val="Heading3"/>
      </w:pPr>
      <w:r w:rsidRPr="001A2F85">
        <w:t>Monitoring student progress</w:t>
      </w:r>
    </w:p>
    <w:p w14:paraId="2AE41790" w14:textId="77777777" w:rsidR="00502B62" w:rsidRPr="001A2F85" w:rsidRDefault="002F6068" w:rsidP="00502B62">
      <w:pPr>
        <w:pStyle w:val="BodyText"/>
      </w:pPr>
      <w:r>
        <w:t>Monitoring student progress is another activity under the Participation stage of the EIF student life cycle; it</w:t>
      </w:r>
      <w:r w:rsidR="00502B62" w:rsidRPr="001A2F85">
        <w:t xml:space="preserve"> provides early flagging and intervention in areas where students may need additional academic or social support. It focuses on identifying, as early as possible, those students who may need additional support and linking </w:t>
      </w:r>
      <w:r w:rsidR="00502B62">
        <w:t xml:space="preserve">them </w:t>
      </w:r>
      <w:r w:rsidR="00502B62" w:rsidRPr="001A2F85">
        <w:t>to the relevant support activities.</w:t>
      </w:r>
    </w:p>
    <w:p w14:paraId="0B68BE11" w14:textId="77777777" w:rsidR="00502B62" w:rsidRPr="001A2F85" w:rsidRDefault="00502B62" w:rsidP="00502B62">
      <w:pPr>
        <w:pStyle w:val="BodyText"/>
      </w:pPr>
      <w:r w:rsidRPr="001A2F85">
        <w:t xml:space="preserve">Early intervention, practised as ‘active outreach’ to students at high risk of withdrawal, </w:t>
      </w:r>
      <w:r>
        <w:t xml:space="preserve">can play an important role in </w:t>
      </w:r>
      <w:r w:rsidRPr="001A2F85">
        <w:t xml:space="preserve">maintaining student participation and </w:t>
      </w:r>
      <w:r>
        <w:t>retention</w:t>
      </w:r>
      <w:r w:rsidRPr="001A2F85">
        <w:t>. As the CIF has noted, the first two to six weeks of study are the most important, during which time students are at higher risk of withdrawing if they are not engaged and connected to their learning (Bennett et al</w:t>
      </w:r>
      <w:r w:rsidR="009F5C29">
        <w:t>.</w:t>
      </w:r>
      <w:r w:rsidRPr="001A2F85">
        <w:t xml:space="preserve"> 2015). </w:t>
      </w:r>
    </w:p>
    <w:p w14:paraId="4C5041FB" w14:textId="77777777" w:rsidR="00502B62" w:rsidRPr="001A2F85" w:rsidRDefault="00502B62" w:rsidP="00502B62">
      <w:pPr>
        <w:pStyle w:val="BodyText"/>
      </w:pPr>
      <w:r w:rsidRPr="001A2F85">
        <w:t>A number of universities have transition programs that provide active outreach to first year students over the academic year</w:t>
      </w:r>
      <w:r>
        <w:t xml:space="preserve"> (see Section </w:t>
      </w:r>
      <w:r w:rsidR="008C090E">
        <w:t>6.2.1</w:t>
      </w:r>
      <w:r>
        <w:t>) and some combine this with monitoring of student progress</w:t>
      </w:r>
      <w:r w:rsidRPr="001A2F85">
        <w:t xml:space="preserve">. </w:t>
      </w:r>
    </w:p>
    <w:p w14:paraId="3E000FAD" w14:textId="77777777" w:rsidR="00502B62" w:rsidRPr="001A2F85" w:rsidRDefault="00502B62" w:rsidP="00502B62">
      <w:pPr>
        <w:pStyle w:val="BodyText"/>
      </w:pPr>
      <w:r>
        <w:t>Universities have undertaken projects that involve d</w:t>
      </w:r>
      <w:r w:rsidRPr="001A2F85">
        <w:t>irect contact with first year students to assess progress, as well as the use of data analytics to identify specific students meeting at risk criteria and triage those to students to ensure the most appropriate level of support is provided.</w:t>
      </w:r>
    </w:p>
    <w:p w14:paraId="2366435B" w14:textId="77777777" w:rsidR="00502B62" w:rsidRDefault="00B660C4" w:rsidP="00AD49C8">
      <w:pPr>
        <w:pStyle w:val="BodyText"/>
      </w:pPr>
      <w:r>
        <w:t>QUT</w:t>
      </w:r>
      <w:r w:rsidR="00502B62">
        <w:t xml:space="preserve"> implemented the</w:t>
      </w:r>
      <w:r w:rsidR="00502B62" w:rsidRPr="001A2F85">
        <w:t xml:space="preserve"> Student Success Program</w:t>
      </w:r>
      <w:r w:rsidR="00502B62">
        <w:t xml:space="preserve"> (SSP),</w:t>
      </w:r>
      <w:r w:rsidR="00502B62" w:rsidRPr="001A2F85">
        <w:t xml:space="preserve"> </w:t>
      </w:r>
      <w:r w:rsidR="00502B62">
        <w:t>a</w:t>
      </w:r>
      <w:r w:rsidR="00502B62" w:rsidRPr="001A2F85">
        <w:t xml:space="preserve">n institute wide, general transition initiative that monitors students to identify those at-risk of attrition. </w:t>
      </w:r>
      <w:r w:rsidR="00502B62">
        <w:t>The SSP targets low SES, and Indigenous students and s</w:t>
      </w:r>
      <w:r w:rsidR="00502B62" w:rsidRPr="001A2F85">
        <w:t xml:space="preserve">tudents are contacted and offered support, advice and referrals to other services. </w:t>
      </w:r>
      <w:r w:rsidR="00502B62">
        <w:t>The SSP entails three campaigns:</w:t>
      </w:r>
      <w:r w:rsidR="00502B62" w:rsidRPr="002A3EC4">
        <w:t xml:space="preserve"> </w:t>
      </w:r>
      <w:r w:rsidR="00502B62">
        <w:t>Welcome to QUT, Learning Engagement, Academic Progression.</w:t>
      </w:r>
      <w:r w:rsidR="00502B62" w:rsidRPr="001A2F85" w:rsidDel="005266D9">
        <w:t xml:space="preserve"> </w:t>
      </w:r>
      <w:r w:rsidR="00502B62">
        <w:t xml:space="preserve">In 2015, 8,840 students were contacted across the </w:t>
      </w:r>
      <w:r w:rsidR="002F6068">
        <w:t>p</w:t>
      </w:r>
      <w:r w:rsidR="00502B62">
        <w:t>rogram’s three campaigns.</w:t>
      </w:r>
    </w:p>
    <w:p w14:paraId="2532B5EE" w14:textId="77777777" w:rsidR="00502B62" w:rsidRPr="001A2F85" w:rsidRDefault="00502B62" w:rsidP="00AD49C8">
      <w:pPr>
        <w:pStyle w:val="BodyText"/>
      </w:pPr>
      <w:r>
        <w:t>QUT data from 2014 shows that of those contacted through the Learning Engagement campaign, 86 per cent of First in Family students and 75 per cent of low SES students were still enrolled after the census date. In the same year, of those contacted through the Academic Progression campaign, 92 per cent of First in Family students and 67 per cent of low SES students were still enrolled after the census date. No comparison data are available for non-contacted students.</w:t>
      </w:r>
    </w:p>
    <w:p w14:paraId="257A23F5" w14:textId="77777777" w:rsidR="00502B62" w:rsidRPr="001A2F85" w:rsidRDefault="00502B62" w:rsidP="00AD49C8">
      <w:pPr>
        <w:pStyle w:val="BodyText"/>
      </w:pPr>
      <w:r>
        <w:t xml:space="preserve">To monitor student progress, </w:t>
      </w:r>
      <w:r w:rsidR="00940E6E">
        <w:t>WSU</w:t>
      </w:r>
      <w:r>
        <w:t xml:space="preserve"> has implemented the </w:t>
      </w:r>
      <w:r w:rsidRPr="001A2F85">
        <w:t>Transition Success</w:t>
      </w:r>
      <w:r>
        <w:t xml:space="preserve"> program</w:t>
      </w:r>
      <w:r w:rsidRPr="001A2F85">
        <w:t xml:space="preserve">. Students from targeted cohorts are phoned by existing higher education students to monitor their progress with the objective of ensuring the retention of all students, to better understand the challenges they face and offer support where necessary. Peers used a comprehensive checklist and response assessment to identify potential concerns the participant may be encountering. During the </w:t>
      </w:r>
      <w:r w:rsidR="002F6068">
        <w:t>a</w:t>
      </w:r>
      <w:r w:rsidR="002F6068" w:rsidRPr="001A2F85">
        <w:t xml:space="preserve">utumn </w:t>
      </w:r>
      <w:r w:rsidRPr="001A2F85">
        <w:t xml:space="preserve">and </w:t>
      </w:r>
      <w:r w:rsidR="002F6068">
        <w:t>s</w:t>
      </w:r>
      <w:r w:rsidR="002F6068" w:rsidRPr="001A2F85">
        <w:t>pring</w:t>
      </w:r>
      <w:r w:rsidRPr="001A2F85">
        <w:t xml:space="preserve"> campaigns</w:t>
      </w:r>
      <w:r w:rsidR="002F6068">
        <w:t xml:space="preserve"> in </w:t>
      </w:r>
      <w:r w:rsidR="002F6068" w:rsidRPr="001A2F85">
        <w:t>2015</w:t>
      </w:r>
      <w:r w:rsidRPr="001A2F85">
        <w:t xml:space="preserve">, the Transition Success team spoke to 8,724 commencing students. The retention rate for those contacted </w:t>
      </w:r>
      <w:r>
        <w:t>was 10 per </w:t>
      </w:r>
      <w:r w:rsidRPr="001A2F85">
        <w:t xml:space="preserve">cent higher in the </w:t>
      </w:r>
      <w:r w:rsidR="002F6068">
        <w:t>a</w:t>
      </w:r>
      <w:r w:rsidRPr="001A2F85">
        <w:t xml:space="preserve">utumn session. </w:t>
      </w:r>
      <w:r>
        <w:t xml:space="preserve">Students </w:t>
      </w:r>
      <w:r w:rsidR="002F6068">
        <w:t>who</w:t>
      </w:r>
      <w:r>
        <w:t xml:space="preserve"> participated were surveyed</w:t>
      </w:r>
      <w:r w:rsidR="002F6068">
        <w:t>, with</w:t>
      </w:r>
      <w:r>
        <w:t xml:space="preserve"> </w:t>
      </w:r>
      <w:r w:rsidRPr="001A2F85">
        <w:t xml:space="preserve">94.2 per cent </w:t>
      </w:r>
      <w:r w:rsidR="002F6068">
        <w:t>agreeing that</w:t>
      </w:r>
      <w:r w:rsidR="002F6068" w:rsidRPr="001A2F85">
        <w:t xml:space="preserve"> </w:t>
      </w:r>
      <w:r w:rsidRPr="001A2F85">
        <w:t xml:space="preserve">the contact was important and 65 per cent </w:t>
      </w:r>
      <w:r w:rsidR="002F6068">
        <w:t>stating</w:t>
      </w:r>
      <w:r w:rsidR="002F6068" w:rsidRPr="001A2F85">
        <w:t xml:space="preserve"> </w:t>
      </w:r>
      <w:r w:rsidRPr="001A2F85">
        <w:t xml:space="preserve">that it </w:t>
      </w:r>
      <w:r w:rsidR="002F6068">
        <w:t xml:space="preserve">had </w:t>
      </w:r>
      <w:r w:rsidRPr="001A2F85">
        <w:t xml:space="preserve">made a positive difference to their university study or </w:t>
      </w:r>
      <w:r w:rsidR="002F6068">
        <w:t xml:space="preserve">that </w:t>
      </w:r>
      <w:r w:rsidRPr="001A2F85">
        <w:t>they acted differently after the call (</w:t>
      </w:r>
      <w:r w:rsidR="00940E6E">
        <w:t>WSU,</w:t>
      </w:r>
      <w:r w:rsidRPr="001A2F85">
        <w:t xml:space="preserve"> </w:t>
      </w:r>
      <w:r w:rsidR="00940E6E" w:rsidRPr="001A2F85">
        <w:t>Submission</w:t>
      </w:r>
      <w:r w:rsidR="00940E6E">
        <w:t> </w:t>
      </w:r>
      <w:r w:rsidRPr="001A2F85">
        <w:t>82).</w:t>
      </w:r>
    </w:p>
    <w:p w14:paraId="59C24631" w14:textId="094B72C9" w:rsidR="00502B62" w:rsidRPr="001A2F85" w:rsidRDefault="00502B62" w:rsidP="00AD49C8">
      <w:pPr>
        <w:pStyle w:val="BodyText"/>
      </w:pPr>
      <w:r>
        <w:t>Using a data</w:t>
      </w:r>
      <w:r w:rsidR="008708D3">
        <w:t>-</w:t>
      </w:r>
      <w:r>
        <w:t xml:space="preserve">analytics approach, the </w:t>
      </w:r>
      <w:r w:rsidRPr="001A2F85">
        <w:t>University of Wollongong</w:t>
      </w:r>
      <w:r>
        <w:t xml:space="preserve"> </w:t>
      </w:r>
      <w:r w:rsidRPr="001A2F85">
        <w:t>monitors at</w:t>
      </w:r>
      <w:r w:rsidR="008708D3">
        <w:t>-</w:t>
      </w:r>
      <w:r w:rsidRPr="001A2F85">
        <w:t xml:space="preserve">risk students through the interrogation of learning data, </w:t>
      </w:r>
      <w:r>
        <w:t xml:space="preserve">applying this approach </w:t>
      </w:r>
      <w:r w:rsidRPr="001A2F85">
        <w:t xml:space="preserve">to large subjects with high enrolments of </w:t>
      </w:r>
      <w:r>
        <w:t>low SES</w:t>
      </w:r>
      <w:r w:rsidRPr="001A2F85">
        <w:t xml:space="preserve"> students (University of Wollongong Submission 90). </w:t>
      </w:r>
      <w:r w:rsidR="006D2347">
        <w:t>VU</w:t>
      </w:r>
      <w:r w:rsidRPr="001A2F85">
        <w:t xml:space="preserve"> reported a similar approach during interviews, with their use of an Academic Support Development approach that alerts departments to students who have not logged into the learning management system.</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502B62" w:rsidRPr="001A2F85" w14:paraId="168453E0" w14:textId="77777777" w:rsidTr="00BB3E7B">
        <w:trPr>
          <w:cantSplit/>
        </w:trPr>
        <w:tc>
          <w:tcPr>
            <w:tcW w:w="8614" w:type="dxa"/>
            <w:tcMar>
              <w:top w:w="160" w:type="dxa"/>
              <w:left w:w="446" w:type="dxa"/>
            </w:tcMar>
          </w:tcPr>
          <w:p w14:paraId="0D0BBDFD" w14:textId="77777777" w:rsidR="00502B62" w:rsidRPr="001A2F85" w:rsidRDefault="00502B62" w:rsidP="00BB3E7B">
            <w:pPr>
              <w:pStyle w:val="Caption"/>
            </w:pPr>
            <w:bookmarkStart w:id="293" w:name="_Ref466226798"/>
            <w:bookmarkStart w:id="294" w:name="_Toc463029931"/>
            <w:bookmarkStart w:id="295" w:name="_Toc466657024"/>
            <w:r w:rsidRPr="001A2F85">
              <w:rPr>
                <w:rStyle w:val="CaptionLabel"/>
              </w:rPr>
              <w:t>Box </w:t>
            </w:r>
            <w:r w:rsidR="008C090E">
              <w:rPr>
                <w:rStyle w:val="CaptionLabel"/>
                <w:noProof/>
              </w:rPr>
              <w:t>6</w:t>
            </w:r>
            <w:r w:rsidRPr="001A2F85">
              <w:rPr>
                <w:rStyle w:val="CaptionLabel"/>
              </w:rPr>
              <w:t>.</w:t>
            </w:r>
            <w:r w:rsidR="00D463FC">
              <w:rPr>
                <w:rStyle w:val="CaptionLabel"/>
                <w:noProof/>
              </w:rPr>
              <w:t>4</w:t>
            </w:r>
            <w:bookmarkEnd w:id="293"/>
            <w:r w:rsidRPr="001A2F85">
              <w:tab/>
              <w:t>Automated Wellness Engine, University of New England</w:t>
            </w:r>
            <w:bookmarkEnd w:id="294"/>
            <w:bookmarkEnd w:id="295"/>
          </w:p>
        </w:tc>
      </w:tr>
      <w:tr w:rsidR="00502B62" w:rsidRPr="001A2F85" w14:paraId="28065BED" w14:textId="77777777" w:rsidTr="00BB3E7B">
        <w:trPr>
          <w:cantSplit/>
          <w:trHeight w:hRule="exact" w:val="380"/>
        </w:trPr>
        <w:tc>
          <w:tcPr>
            <w:tcW w:w="8614" w:type="dxa"/>
            <w:shd w:val="clear" w:color="auto" w:fill="E4E0DD"/>
          </w:tcPr>
          <w:p w14:paraId="6D927E5B"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50048" behindDoc="0" locked="1" layoutInCell="1" allowOverlap="1" wp14:anchorId="2CF967CE" wp14:editId="0604EF67">
                      <wp:simplePos x="0" y="0"/>
                      <wp:positionH relativeFrom="rightMargin">
                        <wp:posOffset>-772795</wp:posOffset>
                      </wp:positionH>
                      <wp:positionV relativeFrom="page">
                        <wp:posOffset>0</wp:posOffset>
                      </wp:positionV>
                      <wp:extent cx="436880" cy="213360"/>
                      <wp:effectExtent l="0" t="0" r="1270" b="0"/>
                      <wp:wrapNone/>
                      <wp:docPr id="55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A1CE14" id="Freeform 5" o:spid="_x0000_s1026" style="position:absolute;margin-left:-60.85pt;margin-top:0;width:34.4pt;height:16.8pt;z-index:251650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Af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PeJ4B9/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5B40C3EB" w14:textId="77777777" w:rsidTr="00BB3E7B">
        <w:trPr>
          <w:cantSplit/>
        </w:trPr>
        <w:tc>
          <w:tcPr>
            <w:tcW w:w="8614" w:type="dxa"/>
            <w:shd w:val="clear" w:color="auto" w:fill="E4E0DD"/>
            <w:tcMar>
              <w:top w:w="276" w:type="dxa"/>
              <w:bottom w:w="184" w:type="dxa"/>
              <w:right w:w="120" w:type="dxa"/>
            </w:tcMar>
          </w:tcPr>
          <w:p w14:paraId="1701581C" w14:textId="77777777" w:rsidR="00502B62" w:rsidRDefault="00940E6E" w:rsidP="00BB3E7B">
            <w:pPr>
              <w:pStyle w:val="BoxText"/>
            </w:pPr>
            <w:r>
              <w:t>UNE</w:t>
            </w:r>
            <w:r w:rsidR="00502B62">
              <w:t xml:space="preserve">’s </w:t>
            </w:r>
            <w:r w:rsidR="00502B62" w:rsidRPr="001A2F85">
              <w:t>Automated Wellness Engine (AWE)</w:t>
            </w:r>
            <w:r w:rsidR="00502B62">
              <w:t xml:space="preserve">, funded under the HEPPP in 2014-2015, is a computer application that monitors individual student online interaction with the university. Besides confidentially identifying ‘at risk’ students, the app also generates daily trend reports relating to reasons for discontinuing studies, students’ overall happiness and students’ satisfaction levels within certain courses. </w:t>
            </w:r>
          </w:p>
          <w:p w14:paraId="299DE8D0" w14:textId="77777777" w:rsidR="00502B62" w:rsidRPr="001A2F85" w:rsidRDefault="00502B62" w:rsidP="00BB3E7B">
            <w:pPr>
              <w:pStyle w:val="BoxText"/>
            </w:pPr>
            <w:r w:rsidRPr="001A2F85">
              <w:t xml:space="preserve">The objective of the Stage 2 </w:t>
            </w:r>
            <w:r>
              <w:t xml:space="preserve">AWE </w:t>
            </w:r>
            <w:r w:rsidRPr="001A2F85">
              <w:t>project is the early identification of students at risk of failure or withdrawal, and the associated triage of the student at the individual level to provide the appropriate services to assist the student to succeed. The Stage 2 project incorporated changes to data sources and to increase accuracy of at</w:t>
            </w:r>
            <w:r>
              <w:noBreakHyphen/>
            </w:r>
            <w:r w:rsidRPr="001A2F85">
              <w:t>risk identification resulting from data mining analysis.</w:t>
            </w:r>
          </w:p>
          <w:p w14:paraId="29F947B5" w14:textId="77777777" w:rsidR="00502B62" w:rsidRPr="001A2F85" w:rsidRDefault="00502B62">
            <w:pPr>
              <w:pStyle w:val="BoxText"/>
            </w:pPr>
            <w:r w:rsidRPr="001A2F85">
              <w:t xml:space="preserve">The program is designed to support students who are at risk of disengaging from UNE and withdrawing from their course of study including those from low SES, </w:t>
            </w:r>
            <w:r>
              <w:t>Indigenous</w:t>
            </w:r>
            <w:r w:rsidRPr="001A2F85">
              <w:t xml:space="preserve"> and rural and remote communities.</w:t>
            </w:r>
            <w:r>
              <w:t xml:space="preserve"> </w:t>
            </w:r>
            <w:r w:rsidRPr="001A2F85">
              <w:t xml:space="preserve">From January to December 2015, the Student Support Team case managed 2,399 students who were identified by AWE Stage 2 as at-risk. This is an increase of </w:t>
            </w:r>
            <w:r w:rsidR="004679B2">
              <w:t>over 1,000</w:t>
            </w:r>
            <w:r w:rsidRPr="001A2F85">
              <w:t xml:space="preserve"> students compared</w:t>
            </w:r>
            <w:r>
              <w:t xml:space="preserve"> to</w:t>
            </w:r>
            <w:r w:rsidRPr="001A2F85">
              <w:t xml:space="preserve"> the same period in 2014 (1,296</w:t>
            </w:r>
            <w:r w:rsidR="004679B2">
              <w:t xml:space="preserve"> students</w:t>
            </w:r>
            <w:r w:rsidRPr="001A2F85">
              <w:t>).</w:t>
            </w:r>
            <w:r>
              <w:t xml:space="preserve"> Data on the impact of this case management </w:t>
            </w:r>
            <w:r w:rsidR="00835EC6">
              <w:t>are</w:t>
            </w:r>
            <w:r>
              <w:t xml:space="preserve"> not available. </w:t>
            </w:r>
          </w:p>
        </w:tc>
      </w:tr>
      <w:tr w:rsidR="00502B62" w:rsidRPr="001A2F85" w14:paraId="11C16734" w14:textId="77777777" w:rsidTr="00BB3E7B">
        <w:trPr>
          <w:cantSplit/>
        </w:trPr>
        <w:tc>
          <w:tcPr>
            <w:tcW w:w="8614" w:type="dxa"/>
            <w:tcMar>
              <w:top w:w="12" w:type="dxa"/>
              <w:left w:w="446" w:type="dxa"/>
              <w:bottom w:w="113" w:type="dxa"/>
            </w:tcMar>
          </w:tcPr>
          <w:p w14:paraId="5EA8EE0E" w14:textId="77777777" w:rsidR="00502B62" w:rsidRPr="001A2F85" w:rsidRDefault="00502B62" w:rsidP="00BB3E7B">
            <w:pPr>
              <w:pStyle w:val="Source"/>
            </w:pPr>
            <w:r w:rsidRPr="001A2F85">
              <w:t xml:space="preserve">Source: UNE </w:t>
            </w:r>
            <w:r w:rsidR="004679B2">
              <w:t xml:space="preserve">HEPPP </w:t>
            </w:r>
            <w:r w:rsidRPr="001A2F85">
              <w:t>Annual Report, 2015</w:t>
            </w:r>
          </w:p>
        </w:tc>
      </w:tr>
    </w:tbl>
    <w:p w14:paraId="43A100BE" w14:textId="77777777" w:rsidR="00502B62" w:rsidRPr="001A2F85" w:rsidRDefault="00502B62" w:rsidP="00502B62">
      <w:pPr>
        <w:pStyle w:val="Heading3"/>
      </w:pPr>
      <w:r w:rsidRPr="001A2F85">
        <w:t>Mentoring, peer support</w:t>
      </w:r>
    </w:p>
    <w:p w14:paraId="12A66479" w14:textId="77777777" w:rsidR="00502B62" w:rsidRPr="001A2F85" w:rsidRDefault="00502B62" w:rsidP="00AD49C8">
      <w:pPr>
        <w:pStyle w:val="BodyText"/>
      </w:pPr>
      <w:r>
        <w:t xml:space="preserve">At the Participation lifecycle stage, mentoring activities aim to improve </w:t>
      </w:r>
      <w:r w:rsidRPr="001A2F85">
        <w:t xml:space="preserve">academic </w:t>
      </w:r>
      <w:r>
        <w:t xml:space="preserve">engagement and </w:t>
      </w:r>
      <w:r w:rsidRPr="001A2F85">
        <w:t xml:space="preserve">achievement </w:t>
      </w:r>
      <w:r>
        <w:t>by increasing students’ knowledge of university study and improving their levels of social engagement at university.</w:t>
      </w:r>
    </w:p>
    <w:p w14:paraId="14693B92" w14:textId="77777777" w:rsidR="00502B62" w:rsidRDefault="00502B62" w:rsidP="008C090E">
      <w:pPr>
        <w:pStyle w:val="BodyText"/>
      </w:pPr>
      <w:r>
        <w:t xml:space="preserve">Mentoring is a common activity under the HEPPP with most universities implementing mentoring programs with HEPPP funding. </w:t>
      </w:r>
      <w:r w:rsidRPr="001A2F85">
        <w:t xml:space="preserve">Mentoring and peer support </w:t>
      </w:r>
      <w:r>
        <w:t xml:space="preserve">is </w:t>
      </w:r>
      <w:r w:rsidRPr="001A2F85">
        <w:t>provided in a number of forms</w:t>
      </w:r>
      <w:r w:rsidR="004679B2">
        <w:t>,</w:t>
      </w:r>
      <w:r w:rsidRPr="001A2F85">
        <w:t xml:space="preserve"> including individual face-to-face mentoring, group face-to-face mentoring, and online mentoring</w:t>
      </w:r>
      <w:r>
        <w:t xml:space="preserve"> (see </w:t>
      </w:r>
      <w:r w:rsidR="008C090E" w:rsidRPr="00AD49C8">
        <w:t>Box 6.</w:t>
      </w:r>
      <w:r w:rsidR="00D463FC">
        <w:t xml:space="preserve">5 </w:t>
      </w:r>
      <w:r>
        <w:t xml:space="preserve">for an example of </w:t>
      </w:r>
      <w:r w:rsidRPr="001A2F85">
        <w:t>group face-to-face mentoring</w:t>
      </w:r>
      <w:r>
        <w:t>)</w:t>
      </w:r>
      <w:r w:rsidRPr="001A2F85">
        <w:t>.</w:t>
      </w:r>
    </w:p>
    <w:p w14:paraId="241EF9B4" w14:textId="77777777" w:rsidR="00502B62" w:rsidRPr="001A2F85" w:rsidRDefault="00502B62" w:rsidP="00AD49C8">
      <w:pPr>
        <w:pStyle w:val="BodyText"/>
      </w:pPr>
      <w:r>
        <w:t>Generally, under the HEPPP, mentoring projects match experienced, trained students, to help new students through their first year at university. Mentoring relationships can be course-specific (matching students in the same degree or unit), cohort</w:t>
      </w:r>
      <w:r>
        <w:noBreakHyphen/>
        <w:t>specific (matching similar with similar backgrounds) or simply university-based. Mentors often provide an orientation to the campus, link students with support services, provide strategies on how to succeed, facilitate peer engagement, and maintain regular communication with their mentees.</w:t>
      </w:r>
    </w:p>
    <w:p w14:paraId="535E2191" w14:textId="77777777" w:rsidR="00502B62" w:rsidRDefault="00502B62" w:rsidP="00AD49C8">
      <w:pPr>
        <w:pStyle w:val="BodyText"/>
      </w:pPr>
      <w:r w:rsidRPr="001A2F85">
        <w:t xml:space="preserve">Interviews with university staff indicated </w:t>
      </w:r>
      <w:r>
        <w:t>m</w:t>
      </w:r>
      <w:r w:rsidRPr="001A2F85">
        <w:t xml:space="preserve">entoring programs were </w:t>
      </w:r>
      <w:r>
        <w:t>having an impact on students’ university experience and had positively impacted student outcomes</w:t>
      </w:r>
      <w:r w:rsidRPr="001A2F85">
        <w:t>.</w:t>
      </w:r>
      <w:r>
        <w:t xml:space="preserve"> But as with many other types of HEPPP activities me</w:t>
      </w:r>
      <w:r w:rsidR="0027283A">
        <w:t>asuring</w:t>
      </w:r>
      <w:r>
        <w:t xml:space="preserve"> the effectiveness of mentoring programs is challenging, in large part due to selection effects—that is, students who chose to become mentees are likely to be different and therefore have different outcomes anyway, relative to students who do not chose to become mentees.</w:t>
      </w:r>
    </w:p>
    <w:p w14:paraId="5D3A93D6" w14:textId="77777777" w:rsidR="00502B62" w:rsidRDefault="00502B62" w:rsidP="00AD49C8">
      <w:pPr>
        <w:pStyle w:val="BodyText"/>
      </w:pPr>
      <w:r>
        <w:t xml:space="preserve">At </w:t>
      </w:r>
      <w:r w:rsidR="00940E6E">
        <w:t>JCU</w:t>
      </w:r>
      <w:r w:rsidRPr="001A2F85">
        <w:t xml:space="preserve">, </w:t>
      </w:r>
      <w:r>
        <w:t xml:space="preserve">the HEPPP-supported </w:t>
      </w:r>
      <w:r w:rsidRPr="00FC6B9C">
        <w:t xml:space="preserve">Student Mentor Program </w:t>
      </w:r>
      <w:r>
        <w:t>includes mentor training focused on the needs of equity groups and the associated JCU support services for these students (including low</w:t>
      </w:r>
      <w:r w:rsidR="0027283A">
        <w:t> </w:t>
      </w:r>
      <w:r>
        <w:t>SES students, students with disability, Indigenous students, and students from rural and remote communities). JCU tracks mentees and compares their outcomes to nonparticipants to gauge the impact of the project. In 2015, mentoring program participants’ retention rate was 82 per cent relative to 62 per cent for non-participants</w:t>
      </w:r>
      <w:r w:rsidR="0027283A">
        <w:t>,</w:t>
      </w:r>
      <w:r>
        <w:t xml:space="preserve"> with participants’ GPAs averaging 4.2 compared to 3.5 for non-participants. These results are likely to be influenced by the se</w:t>
      </w:r>
      <w:r w:rsidR="0027283A">
        <w:t>le</w:t>
      </w:r>
      <w:r>
        <w:t xml:space="preserve">ction effect mentioned above. </w:t>
      </w:r>
    </w:p>
    <w:p w14:paraId="2B46629E" w14:textId="77777777" w:rsidR="00502B62" w:rsidRPr="000F648F" w:rsidRDefault="00502B62" w:rsidP="00AD49C8">
      <w:r>
        <w:t xml:space="preserve">At </w:t>
      </w:r>
      <w:r w:rsidRPr="001A2F85">
        <w:t>Macquarie University</w:t>
      </w:r>
      <w:r>
        <w:t>, the HEPPP funds the integration of mentoring into a number of cohort and course</w:t>
      </w:r>
      <w:r w:rsidR="00670718">
        <w:t>-</w:t>
      </w:r>
      <w:r>
        <w:t>specific programs, including the Mentors@Macquarie Program which coffers student</w:t>
      </w:r>
      <w:r>
        <w:noBreakHyphen/>
        <w:t>to</w:t>
      </w:r>
      <w:r>
        <w:noBreakHyphen/>
        <w:t xml:space="preserve">student mentoring and transition support to students from disadvantaged backgrounds from acceptance of offer through their first semester. To evaluate the project, </w:t>
      </w:r>
      <w:r w:rsidRPr="001A2F85">
        <w:t>Macquarie University</w:t>
      </w:r>
      <w:r>
        <w:t xml:space="preserve"> carried out interviews with 23 mentors and ten mentees and found that almost all students reported that the project helped them navigate their way into university and helped them feel comfortable at university.</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502B62" w:rsidRPr="001A2F85" w14:paraId="700AE976" w14:textId="77777777" w:rsidTr="00BB3E7B">
        <w:trPr>
          <w:cantSplit/>
        </w:trPr>
        <w:tc>
          <w:tcPr>
            <w:tcW w:w="8614" w:type="dxa"/>
            <w:tcMar>
              <w:top w:w="160" w:type="dxa"/>
              <w:left w:w="446" w:type="dxa"/>
            </w:tcMar>
          </w:tcPr>
          <w:p w14:paraId="46421420" w14:textId="77777777" w:rsidR="00502B62" w:rsidRPr="001A2F85" w:rsidRDefault="00502B62" w:rsidP="00B43B89">
            <w:pPr>
              <w:pStyle w:val="Caption"/>
            </w:pPr>
            <w:bookmarkStart w:id="296" w:name="_Ref466234741"/>
            <w:bookmarkStart w:id="297" w:name="_Toc463029932"/>
            <w:bookmarkStart w:id="298" w:name="_Toc466657025"/>
            <w:r w:rsidRPr="001A2F85">
              <w:rPr>
                <w:rStyle w:val="CaptionLabel"/>
              </w:rPr>
              <w:t>Box </w:t>
            </w:r>
            <w:r w:rsidR="008C090E">
              <w:rPr>
                <w:rStyle w:val="CaptionLabel"/>
                <w:noProof/>
              </w:rPr>
              <w:t>6</w:t>
            </w:r>
            <w:r w:rsidRPr="001A2F85">
              <w:rPr>
                <w:rStyle w:val="CaptionLabel"/>
              </w:rPr>
              <w:t>.</w:t>
            </w:r>
            <w:bookmarkEnd w:id="296"/>
            <w:r w:rsidR="00D463FC">
              <w:rPr>
                <w:rStyle w:val="CaptionLabel"/>
                <w:noProof/>
              </w:rPr>
              <w:t>5</w:t>
            </w:r>
            <w:r w:rsidRPr="001A2F85">
              <w:tab/>
            </w:r>
            <w:bookmarkEnd w:id="297"/>
            <w:r>
              <w:t>Student Futures Program (Mentoring), Federation University</w:t>
            </w:r>
            <w:bookmarkEnd w:id="298"/>
          </w:p>
        </w:tc>
      </w:tr>
      <w:tr w:rsidR="00502B62" w:rsidRPr="001A2F85" w14:paraId="5F8BB675" w14:textId="77777777" w:rsidTr="00BB3E7B">
        <w:trPr>
          <w:cantSplit/>
          <w:trHeight w:hRule="exact" w:val="380"/>
        </w:trPr>
        <w:tc>
          <w:tcPr>
            <w:tcW w:w="8614" w:type="dxa"/>
            <w:shd w:val="clear" w:color="auto" w:fill="E4E0DD"/>
          </w:tcPr>
          <w:p w14:paraId="6DAB4BE6" w14:textId="77777777" w:rsidR="00502B62" w:rsidRPr="001A2F85" w:rsidRDefault="00A45AB3" w:rsidP="00BB3E7B">
            <w:pPr>
              <w:pStyle w:val="spacer"/>
            </w:pPr>
            <w:r>
              <w:rPr>
                <w:noProof/>
                <w:lang w:eastAsia="en-AU"/>
              </w:rPr>
              <mc:AlternateContent>
                <mc:Choice Requires="wps">
                  <w:drawing>
                    <wp:anchor distT="0" distB="0" distL="114300" distR="114300" simplePos="0" relativeHeight="251651072" behindDoc="0" locked="1" layoutInCell="1" allowOverlap="1" wp14:anchorId="3FB166FB" wp14:editId="0660EEB4">
                      <wp:simplePos x="0" y="0"/>
                      <wp:positionH relativeFrom="rightMargin">
                        <wp:posOffset>-772795</wp:posOffset>
                      </wp:positionH>
                      <wp:positionV relativeFrom="page">
                        <wp:posOffset>0</wp:posOffset>
                      </wp:positionV>
                      <wp:extent cx="436880" cy="213360"/>
                      <wp:effectExtent l="0" t="0" r="1270" b="0"/>
                      <wp:wrapNone/>
                      <wp:docPr id="56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048133" id="Freeform 5" o:spid="_x0000_s1026" style="position:absolute;margin-left:-60.85pt;margin-top:0;width:34.4pt;height:16.8pt;z-index:25165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KS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GsjkpJ/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502B62" w:rsidRPr="001A2F85" w14:paraId="4AD14A4B" w14:textId="77777777" w:rsidTr="00BB3E7B">
        <w:trPr>
          <w:cantSplit/>
        </w:trPr>
        <w:tc>
          <w:tcPr>
            <w:tcW w:w="8614" w:type="dxa"/>
            <w:shd w:val="clear" w:color="auto" w:fill="E4E0DD"/>
            <w:tcMar>
              <w:top w:w="276" w:type="dxa"/>
              <w:bottom w:w="184" w:type="dxa"/>
              <w:right w:w="120" w:type="dxa"/>
            </w:tcMar>
          </w:tcPr>
          <w:p w14:paraId="0DE382BE" w14:textId="77777777" w:rsidR="00502B62" w:rsidRDefault="00502B62" w:rsidP="00AD49C8">
            <w:pPr>
              <w:keepNext/>
              <w:ind w:left="448"/>
              <w:rPr>
                <w:szCs w:val="20"/>
              </w:rPr>
            </w:pPr>
            <w:r w:rsidRPr="00035565">
              <w:rPr>
                <w:szCs w:val="20"/>
              </w:rPr>
              <w:t xml:space="preserve">Supported by HEPPP Participation funds between 2013 and 2015, Federation University’s Student Futures Program consists of four sub-programs: mentoring, Peer Assisted Student Sessions (PASS), </w:t>
            </w:r>
            <w:r w:rsidR="00670718">
              <w:rPr>
                <w:szCs w:val="20"/>
              </w:rPr>
              <w:t>Fed</w:t>
            </w:r>
            <w:r w:rsidRPr="00035565">
              <w:rPr>
                <w:szCs w:val="20"/>
              </w:rPr>
              <w:t xml:space="preserve">Ready and Academic Skills and Knowledge (ASK). </w:t>
            </w:r>
          </w:p>
          <w:p w14:paraId="6C1B7D80" w14:textId="77777777" w:rsidR="00502B62" w:rsidRPr="00503B3C" w:rsidRDefault="00502B62" w:rsidP="00AD49C8">
            <w:pPr>
              <w:keepNext/>
              <w:ind w:left="448"/>
              <w:rPr>
                <w:szCs w:val="20"/>
              </w:rPr>
            </w:pPr>
            <w:r w:rsidRPr="00035565">
              <w:rPr>
                <w:szCs w:val="20"/>
              </w:rPr>
              <w:t>The mentoring aspect of the Student Futures Program targ</w:t>
            </w:r>
            <w:r w:rsidRPr="00503B3C">
              <w:rPr>
                <w:szCs w:val="20"/>
              </w:rPr>
              <w:t>ets all commencing Federation University students</w:t>
            </w:r>
            <w:r>
              <w:rPr>
                <w:szCs w:val="20"/>
              </w:rPr>
              <w:t xml:space="preserve"> through </w:t>
            </w:r>
            <w:r w:rsidRPr="001A2F85">
              <w:t>group face-to-face mentoring</w:t>
            </w:r>
            <w:r w:rsidRPr="00503B3C">
              <w:rPr>
                <w:szCs w:val="20"/>
              </w:rPr>
              <w:t xml:space="preserve">. Commencing students are </w:t>
            </w:r>
            <w:r>
              <w:rPr>
                <w:szCs w:val="20"/>
              </w:rPr>
              <w:t xml:space="preserve">provided </w:t>
            </w:r>
            <w:r w:rsidRPr="00503B3C">
              <w:rPr>
                <w:szCs w:val="20"/>
              </w:rPr>
              <w:t xml:space="preserve">a </w:t>
            </w:r>
            <w:r>
              <w:rPr>
                <w:szCs w:val="20"/>
              </w:rPr>
              <w:t>m</w:t>
            </w:r>
            <w:r w:rsidRPr="00503B3C">
              <w:rPr>
                <w:szCs w:val="20"/>
              </w:rPr>
              <w:t>entor who is in the second or third year of a matched course. Mentors support new students in their transition, which is crucial for improving retention rates and enhancing student experience</w:t>
            </w:r>
            <w:r>
              <w:rPr>
                <w:szCs w:val="20"/>
              </w:rPr>
              <w:t>, and m</w:t>
            </w:r>
            <w:r w:rsidRPr="00503B3C">
              <w:rPr>
                <w:szCs w:val="20"/>
              </w:rPr>
              <w:t xml:space="preserve">entors are supported by Mentor Assistants, Student Academic Leaders and Mentor Coordinators. The </w:t>
            </w:r>
            <w:r w:rsidR="00670718">
              <w:rPr>
                <w:szCs w:val="20"/>
              </w:rPr>
              <w:t>u</w:t>
            </w:r>
            <w:r w:rsidRPr="00503B3C">
              <w:rPr>
                <w:szCs w:val="20"/>
              </w:rPr>
              <w:t>niversity reports that students who are actively engaged in their university experience and community are better equipped to persist in their study</w:t>
            </w:r>
            <w:r>
              <w:rPr>
                <w:szCs w:val="20"/>
              </w:rPr>
              <w:t>—t</w:t>
            </w:r>
            <w:r w:rsidRPr="00503B3C">
              <w:rPr>
                <w:szCs w:val="20"/>
              </w:rPr>
              <w:t>he critical period for fostering active engagement is the first six weeks of semester.</w:t>
            </w:r>
            <w:r w:rsidR="00670718">
              <w:rPr>
                <w:szCs w:val="20"/>
              </w:rPr>
              <w:t xml:space="preserve"> </w:t>
            </w:r>
          </w:p>
          <w:p w14:paraId="75AA8677" w14:textId="77777777" w:rsidR="00252FD1" w:rsidRDefault="00502B62" w:rsidP="00BB3E7B">
            <w:pPr>
              <w:pStyle w:val="BoxText"/>
              <w:rPr>
                <w:szCs w:val="20"/>
              </w:rPr>
            </w:pPr>
            <w:r w:rsidRPr="00503B3C">
              <w:t xml:space="preserve">In 2013, 121 second and third-year </w:t>
            </w:r>
            <w:r>
              <w:t>m</w:t>
            </w:r>
            <w:r w:rsidRPr="00503B3C">
              <w:t xml:space="preserve">entors were recruited and employed. The number of </w:t>
            </w:r>
            <w:r>
              <w:t>m</w:t>
            </w:r>
            <w:r w:rsidRPr="00503B3C">
              <w:t>entors grew to 147 in 2014. In 2014, 4</w:t>
            </w:r>
            <w:r>
              <w:t>,</w:t>
            </w:r>
            <w:r w:rsidRPr="00503B3C">
              <w:t xml:space="preserve">729 contacts </w:t>
            </w:r>
            <w:r w:rsidRPr="00FA5E69">
              <w:t>were made through the Program by mentors across the year with 88</w:t>
            </w:r>
            <w:r>
              <w:t xml:space="preserve"> per cent</w:t>
            </w:r>
            <w:r w:rsidRPr="005458B2">
              <w:t xml:space="preserve"> of mentees stating that their mentor kept in regular contact with them</w:t>
            </w:r>
            <w:r>
              <w:t xml:space="preserve"> and </w:t>
            </w:r>
            <w:r w:rsidRPr="005458B2">
              <w:t>91</w:t>
            </w:r>
            <w:r>
              <w:t xml:space="preserve"> per cent</w:t>
            </w:r>
            <w:r w:rsidRPr="005458B2">
              <w:t xml:space="preserve"> of responding students stated that their mentor showed a genuine interest in helping them. Those students who were perceived by the </w:t>
            </w:r>
            <w:r>
              <w:t>m</w:t>
            </w:r>
            <w:r w:rsidRPr="005458B2">
              <w:t>entors as being disengaged were further supported through an outbound call project coordinated through the retention taskforce.</w:t>
            </w:r>
          </w:p>
          <w:p w14:paraId="29F583E2" w14:textId="77777777" w:rsidR="00502B62" w:rsidRPr="001A2F85" w:rsidRDefault="00252FD1" w:rsidP="00BB3E7B">
            <w:pPr>
              <w:pStyle w:val="BoxText"/>
            </w:pPr>
            <w:r>
              <w:rPr>
                <w:szCs w:val="20"/>
              </w:rPr>
              <w:t>During consultations undertaken for this evaluation, the university also reported positive impacts for the students who were employed as mentors, as the program provided an employment opportunity to assist them in supporting themselves while studying.</w:t>
            </w:r>
          </w:p>
        </w:tc>
      </w:tr>
      <w:tr w:rsidR="00502B62" w:rsidRPr="001A2F85" w14:paraId="0134CFE1" w14:textId="77777777" w:rsidTr="00BB3E7B">
        <w:trPr>
          <w:cantSplit/>
        </w:trPr>
        <w:tc>
          <w:tcPr>
            <w:tcW w:w="8614" w:type="dxa"/>
            <w:tcMar>
              <w:top w:w="12" w:type="dxa"/>
              <w:left w:w="446" w:type="dxa"/>
              <w:bottom w:w="113" w:type="dxa"/>
            </w:tcMar>
          </w:tcPr>
          <w:p w14:paraId="5A1C0D3D" w14:textId="77777777" w:rsidR="00502B62" w:rsidRPr="001A2F85" w:rsidRDefault="00502B62">
            <w:pPr>
              <w:pStyle w:val="Source"/>
            </w:pPr>
            <w:r w:rsidRPr="001A2F85">
              <w:t xml:space="preserve">Source: </w:t>
            </w:r>
            <w:r w:rsidR="00252FD1">
              <w:t>Federation University HEPPP annual reports</w:t>
            </w:r>
          </w:p>
        </w:tc>
      </w:tr>
    </w:tbl>
    <w:p w14:paraId="6217A1BC" w14:textId="77777777" w:rsidR="00502B62" w:rsidRDefault="00502B62" w:rsidP="00AD49C8">
      <w:pPr>
        <w:pStyle w:val="Heading3"/>
      </w:pPr>
      <w:bookmarkStart w:id="299" w:name="_Ref470105997"/>
      <w:r>
        <w:t>Scholarships</w:t>
      </w:r>
      <w:bookmarkEnd w:id="299"/>
    </w:p>
    <w:p w14:paraId="3FA48F93" w14:textId="77777777" w:rsidR="00B519B2" w:rsidRDefault="00105662">
      <w:pPr>
        <w:pStyle w:val="ListBullet"/>
        <w:numPr>
          <w:ilvl w:val="0"/>
          <w:numId w:val="0"/>
        </w:numPr>
      </w:pPr>
      <w:r>
        <w:t>S</w:t>
      </w:r>
      <w:r w:rsidR="00502B62">
        <w:t>cholarships</w:t>
      </w:r>
      <w:r w:rsidR="00502B62" w:rsidRPr="00B832B5">
        <w:t xml:space="preserve"> </w:t>
      </w:r>
      <w:r>
        <w:t xml:space="preserve">are often used to address the concerns and capacity of students from low SES and other equity groups to meet the costs of studying at university, </w:t>
      </w:r>
      <w:r w:rsidRPr="00105662">
        <w:t>and may be used by universities at two stages of the student lifecycle—Access and Pathways, and Participation</w:t>
      </w:r>
      <w:r w:rsidR="00502B62">
        <w:t>.</w:t>
      </w:r>
      <w:r w:rsidR="00502B62" w:rsidRPr="00B832B5">
        <w:t xml:space="preserve"> </w:t>
      </w:r>
      <w:r w:rsidR="00502B62" w:rsidRPr="001A2F85">
        <w:t xml:space="preserve">At the </w:t>
      </w:r>
      <w:r w:rsidR="00502B62">
        <w:t>A</w:t>
      </w:r>
      <w:r w:rsidR="00502B62" w:rsidRPr="001A2F85">
        <w:t xml:space="preserve">ccess and </w:t>
      </w:r>
      <w:r w:rsidR="00502B62">
        <w:t>P</w:t>
      </w:r>
      <w:r w:rsidR="00502B62" w:rsidRPr="001A2F85">
        <w:t>athways lifecycle stage, scholarships are designed to raise aspiration to university study and ease the financial burden of</w:t>
      </w:r>
      <w:r w:rsidR="00502B62">
        <w:t xml:space="preserve"> entering </w:t>
      </w:r>
      <w:r w:rsidR="00502B62" w:rsidRPr="001A2F85">
        <w:t>university (</w:t>
      </w:r>
      <w:r>
        <w:t xml:space="preserve">refer Section </w:t>
      </w:r>
      <w:r w:rsidR="008C090E">
        <w:t>5.2.4</w:t>
      </w:r>
      <w:r w:rsidR="00502B62" w:rsidRPr="001A2F85">
        <w:t xml:space="preserve">). At the </w:t>
      </w:r>
      <w:r w:rsidR="00502B62">
        <w:t>P</w:t>
      </w:r>
      <w:r w:rsidR="00502B62" w:rsidRPr="001A2F85">
        <w:t>articipation lifecycle stage, the purpose of scholarships shifts to supporting continued participation in study and reducing attrition</w:t>
      </w:r>
      <w:r w:rsidR="007915D2">
        <w:t>,</w:t>
      </w:r>
      <w:r w:rsidR="00502B62" w:rsidRPr="001A2F85">
        <w:t xml:space="preserve"> or to </w:t>
      </w:r>
      <w:r w:rsidR="007915D2">
        <w:t xml:space="preserve">helping students access </w:t>
      </w:r>
      <w:r w:rsidR="00502B62" w:rsidRPr="001A2F85">
        <w:t>additional learning opportunities available outside of their program of study.</w:t>
      </w:r>
    </w:p>
    <w:p w14:paraId="2724DD62" w14:textId="77777777" w:rsidR="00502B62" w:rsidRDefault="00D1537F" w:rsidP="00AD49C8">
      <w:pPr>
        <w:pStyle w:val="ListBullet"/>
        <w:numPr>
          <w:ilvl w:val="0"/>
          <w:numId w:val="0"/>
        </w:numPr>
      </w:pPr>
      <w:r>
        <w:t>M</w:t>
      </w:r>
      <w:r w:rsidR="00502B62">
        <w:t xml:space="preserve">any universities employ </w:t>
      </w:r>
      <w:r>
        <w:t>HEPPP P</w:t>
      </w:r>
      <w:r w:rsidRPr="001A2F85">
        <w:t xml:space="preserve">articipation </w:t>
      </w:r>
      <w:r>
        <w:t xml:space="preserve">funding for </w:t>
      </w:r>
      <w:r w:rsidR="00502B62">
        <w:t xml:space="preserve">scholarships, </w:t>
      </w:r>
      <w:r>
        <w:t xml:space="preserve">whether directly </w:t>
      </w:r>
      <w:r w:rsidR="00502B62">
        <w:t xml:space="preserve">or coupling them with other </w:t>
      </w:r>
      <w:r w:rsidR="00CA090C">
        <w:t>support for students</w:t>
      </w:r>
      <w:r w:rsidR="00502B62">
        <w:t xml:space="preserve">. </w:t>
      </w:r>
      <w:r w:rsidR="00CA090C">
        <w:t>For example, t</w:t>
      </w:r>
      <w:r w:rsidR="00502B62" w:rsidRPr="001949B8">
        <w:t xml:space="preserve">he </w:t>
      </w:r>
      <w:r w:rsidR="0045623F">
        <w:t>s</w:t>
      </w:r>
      <w:r w:rsidR="00502B62" w:rsidRPr="001949B8">
        <w:t>cholarship program at Flinders University</w:t>
      </w:r>
      <w:r w:rsidR="00CA090C">
        <w:t xml:space="preserve"> is</w:t>
      </w:r>
      <w:r w:rsidR="00502B62" w:rsidRPr="001949B8">
        <w:t xml:space="preserve"> </w:t>
      </w:r>
      <w:r w:rsidR="0045623F" w:rsidRPr="001949B8">
        <w:t xml:space="preserve">designed to </w:t>
      </w:r>
      <w:r w:rsidR="0045623F">
        <w:t>alleviate financial hardship</w:t>
      </w:r>
      <w:r w:rsidR="00CA090C">
        <w:t xml:space="preserve"> and is </w:t>
      </w:r>
      <w:r w:rsidR="00CA090C" w:rsidRPr="001949B8">
        <w:t>implicitly coupled with mentoring services</w:t>
      </w:r>
      <w:r w:rsidR="00CA090C">
        <w:t xml:space="preserve"> to provide an extra source of support</w:t>
      </w:r>
      <w:r w:rsidR="0045623F">
        <w:t xml:space="preserve"> </w:t>
      </w:r>
      <w:r w:rsidR="00CA090C">
        <w:t xml:space="preserve">for recipients. </w:t>
      </w:r>
      <w:r w:rsidR="0045623F">
        <w:t>T</w:t>
      </w:r>
      <w:r w:rsidR="00502B62">
        <w:t xml:space="preserve">he </w:t>
      </w:r>
      <w:r w:rsidR="00502B62" w:rsidRPr="00D47FA1">
        <w:t xml:space="preserve">scholarships funded through </w:t>
      </w:r>
      <w:r w:rsidR="0045623F">
        <w:t xml:space="preserve">the </w:t>
      </w:r>
      <w:r w:rsidR="00502B62" w:rsidRPr="00D47FA1">
        <w:t xml:space="preserve">HEPPP </w:t>
      </w:r>
      <w:r w:rsidR="00985EC5">
        <w:t>are</w:t>
      </w:r>
      <w:r w:rsidR="00502B62" w:rsidRPr="00D47FA1">
        <w:t xml:space="preserve"> provided to commencing, full-time university students who are from a regional or rural location, are considered </w:t>
      </w:r>
      <w:r w:rsidR="00CA090C">
        <w:t xml:space="preserve">to be from a </w:t>
      </w:r>
      <w:r w:rsidR="00502B62" w:rsidRPr="00D47FA1">
        <w:t xml:space="preserve">low SES </w:t>
      </w:r>
      <w:r w:rsidR="00CA090C">
        <w:t>background</w:t>
      </w:r>
      <w:r w:rsidR="00502B62" w:rsidRPr="00D47FA1">
        <w:t xml:space="preserve"> or are </w:t>
      </w:r>
      <w:r w:rsidR="00CA090C">
        <w:t xml:space="preserve">otherwise </w:t>
      </w:r>
      <w:r w:rsidR="00502B62" w:rsidRPr="00D47FA1">
        <w:t>able to demonstrate financial disadvantage.</w:t>
      </w:r>
      <w:r w:rsidR="0045623F">
        <w:t xml:space="preserve"> </w:t>
      </w:r>
      <w:r w:rsidR="00502B62" w:rsidRPr="001949B8">
        <w:t>Flinders University</w:t>
      </w:r>
      <w:r w:rsidR="00502B62">
        <w:t xml:space="preserve"> reports that</w:t>
      </w:r>
      <w:r w:rsidR="00502B62" w:rsidRPr="001949B8">
        <w:t xml:space="preserve"> 90.7</w:t>
      </w:r>
      <w:r w:rsidR="0045623F">
        <w:t> </w:t>
      </w:r>
      <w:r w:rsidR="00502B62" w:rsidRPr="001949B8">
        <w:t xml:space="preserve">per cent of </w:t>
      </w:r>
      <w:r w:rsidR="00502B62">
        <w:t>2015 s</w:t>
      </w:r>
      <w:r w:rsidR="00502B62" w:rsidRPr="001949B8">
        <w:t>cholarship recipients continued with their studies in 2016, which marks a 3.7</w:t>
      </w:r>
      <w:r w:rsidR="0045623F">
        <w:t> </w:t>
      </w:r>
      <w:r w:rsidR="00502B62" w:rsidRPr="001949B8">
        <w:t xml:space="preserve">per cent increase from the previous year. </w:t>
      </w:r>
      <w:r w:rsidR="0045623F">
        <w:t xml:space="preserve">However, </w:t>
      </w:r>
      <w:r w:rsidR="0045623F" w:rsidRPr="001949B8">
        <w:t xml:space="preserve">the high rate of retention cannot be solely attributed to the </w:t>
      </w:r>
      <w:r w:rsidR="0045623F">
        <w:t>scholarship</w:t>
      </w:r>
      <w:r w:rsidR="00CA090C">
        <w:t>s</w:t>
      </w:r>
      <w:r w:rsidR="0045623F">
        <w:t>, as i</w:t>
      </w:r>
      <w:r w:rsidR="00502B62" w:rsidRPr="001949B8">
        <w:t xml:space="preserve">t is conceivable that </w:t>
      </w:r>
      <w:r w:rsidR="00CA090C">
        <w:t>many</w:t>
      </w:r>
      <w:r w:rsidR="00CA090C" w:rsidRPr="001949B8">
        <w:t xml:space="preserve"> </w:t>
      </w:r>
      <w:r w:rsidR="00502B62" w:rsidRPr="001949B8">
        <w:t xml:space="preserve">recipients would have also accessed </w:t>
      </w:r>
      <w:r w:rsidR="00CA090C">
        <w:t>the available</w:t>
      </w:r>
      <w:r w:rsidR="00502B62" w:rsidRPr="001949B8">
        <w:t xml:space="preserve"> mentoring services </w:t>
      </w:r>
      <w:r w:rsidR="0045623F">
        <w:t xml:space="preserve">and that </w:t>
      </w:r>
      <w:r w:rsidR="00CA090C">
        <w:t>this may also have an effect on retention rates</w:t>
      </w:r>
      <w:r w:rsidR="00502B62" w:rsidRPr="001949B8">
        <w:t>.</w:t>
      </w:r>
    </w:p>
    <w:p w14:paraId="4C4DD06B" w14:textId="77777777" w:rsidR="00502B62" w:rsidRPr="00EB49C7" w:rsidRDefault="00CA090C" w:rsidP="00AD49C8">
      <w:pPr>
        <w:pStyle w:val="BodyText"/>
      </w:pPr>
      <w:r>
        <w:t>Additionally, s</w:t>
      </w:r>
      <w:r w:rsidRPr="00D37A9A">
        <w:t xml:space="preserve">cholarships </w:t>
      </w:r>
      <w:r w:rsidR="00502B62" w:rsidRPr="00D37A9A">
        <w:t xml:space="preserve">are also often </w:t>
      </w:r>
      <w:r>
        <w:t>provided for</w:t>
      </w:r>
      <w:r w:rsidR="00502B62" w:rsidRPr="00D37A9A">
        <w:t xml:space="preserve"> extracurricular experience</w:t>
      </w:r>
      <w:r>
        <w:t xml:space="preserve">s such as exchange programs, </w:t>
      </w:r>
      <w:r w:rsidR="00502B62" w:rsidRPr="00D37A9A">
        <w:t xml:space="preserve">which enable </w:t>
      </w:r>
      <w:r>
        <w:t>the</w:t>
      </w:r>
      <w:r w:rsidRPr="00D37A9A">
        <w:t xml:space="preserve"> </w:t>
      </w:r>
      <w:r w:rsidR="00502B62" w:rsidRPr="00D37A9A">
        <w:t>recipients to develop wider non-academic ski</w:t>
      </w:r>
      <w:r w:rsidR="00502B62">
        <w:t>lls</w:t>
      </w:r>
      <w:r w:rsidR="0004562B">
        <w:t>—</w:t>
      </w:r>
      <w:r w:rsidR="00502B62">
        <w:t>for example,</w:t>
      </w:r>
      <w:r w:rsidR="00502B62" w:rsidRPr="00D37A9A">
        <w:t xml:space="preserve"> skills for the workplace, language skills,</w:t>
      </w:r>
      <w:r w:rsidR="00502B62">
        <w:t xml:space="preserve"> or</w:t>
      </w:r>
      <w:r w:rsidR="00502B62" w:rsidRPr="00D37A9A">
        <w:t xml:space="preserve"> intercultural communication skills. </w:t>
      </w:r>
      <w:r w:rsidR="00502B62">
        <w:t>Financial assistance for students on exchange programs (</w:t>
      </w:r>
      <w:r w:rsidR="008C090E" w:rsidRPr="00AD49C8">
        <w:rPr>
          <w:rStyle w:val="CaptionLabel"/>
          <w:b w:val="0"/>
        </w:rPr>
        <w:t>Box 6.5</w:t>
      </w:r>
      <w:r w:rsidR="00502B62">
        <w:t xml:space="preserve">) and placement programs are commonplace. An example of the latter is the </w:t>
      </w:r>
      <w:r w:rsidR="00502B62" w:rsidRPr="001A2F85">
        <w:t>Deakin University</w:t>
      </w:r>
      <w:r w:rsidR="00502B62">
        <w:t xml:space="preserve"> </w:t>
      </w:r>
      <w:r w:rsidR="00502B62" w:rsidRPr="001A2F85">
        <w:t xml:space="preserve">Work Integrated Learning </w:t>
      </w:r>
      <w:r w:rsidR="00502B62">
        <w:t xml:space="preserve">(WiL) </w:t>
      </w:r>
      <w:r w:rsidR="00502B62" w:rsidRPr="001A2F85">
        <w:t>and Workplace Mentoring/Support Bursaries</w:t>
      </w:r>
      <w:r w:rsidR="00502B62">
        <w:t xml:space="preserve"> which provides f</w:t>
      </w:r>
      <w:r w:rsidR="00502B62" w:rsidRPr="001A2F85">
        <w:t>inancial assistance for low SES students to support practicum placement and work experience.</w:t>
      </w:r>
      <w:r w:rsidR="00502B62">
        <w:t xml:space="preserve"> In 2015, Deakin University awarded 182 WiL Bursaries with some recipients reported that they could not have completed their placement and in some cases, their course, without the financial support. One student wrote:</w:t>
      </w:r>
    </w:p>
    <w:p w14:paraId="60416E36" w14:textId="77777777" w:rsidR="00B519B2" w:rsidRPr="00125681" w:rsidRDefault="00502B62" w:rsidP="00AD49C8">
      <w:pPr>
        <w:pStyle w:val="Quote"/>
      </w:pPr>
      <w:r w:rsidRPr="00D47FA1">
        <w:t>…it means that I could finish my</w:t>
      </w:r>
      <w:r w:rsidRPr="005B08BC">
        <w:t xml:space="preserve"> </w:t>
      </w:r>
      <w:r w:rsidRPr="00D47FA1">
        <w:t>course. I was financially stressed after 3 years at university with so many placements and loss of income. The WiL bursary enabled me to complete my degree. I will be forever grateful.</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B519B2" w:rsidRPr="00AF3F55" w14:paraId="06312A56" w14:textId="77777777" w:rsidTr="008C090E">
        <w:trPr>
          <w:cantSplit/>
        </w:trPr>
        <w:tc>
          <w:tcPr>
            <w:tcW w:w="8614" w:type="dxa"/>
            <w:tcMar>
              <w:top w:w="160" w:type="dxa"/>
              <w:left w:w="446" w:type="dxa"/>
            </w:tcMar>
          </w:tcPr>
          <w:p w14:paraId="492E098C" w14:textId="77777777" w:rsidR="00B519B2" w:rsidRPr="00AF3F55" w:rsidRDefault="00B519B2" w:rsidP="00B43B89">
            <w:pPr>
              <w:pStyle w:val="Caption"/>
            </w:pPr>
            <w:bookmarkStart w:id="300" w:name="_Ref466655484"/>
            <w:bookmarkStart w:id="301" w:name="_Toc466657026"/>
            <w:r w:rsidRPr="00AF3F55">
              <w:rPr>
                <w:rStyle w:val="CaptionLabel"/>
              </w:rPr>
              <w:t>Box</w:t>
            </w:r>
            <w:r>
              <w:rPr>
                <w:rStyle w:val="CaptionLabel"/>
              </w:rPr>
              <w:t> </w:t>
            </w:r>
            <w:r w:rsidR="008C090E">
              <w:rPr>
                <w:rStyle w:val="CaptionLabel"/>
                <w:noProof/>
              </w:rPr>
              <w:t>6</w:t>
            </w:r>
            <w:r w:rsidRPr="00AF3F55">
              <w:rPr>
                <w:rStyle w:val="CaptionLabel"/>
              </w:rPr>
              <w:t>.</w:t>
            </w:r>
            <w:bookmarkEnd w:id="300"/>
            <w:r w:rsidR="00D463FC">
              <w:rPr>
                <w:rStyle w:val="CaptionLabel"/>
                <w:noProof/>
              </w:rPr>
              <w:t>6</w:t>
            </w:r>
            <w:r>
              <w:tab/>
            </w:r>
            <w:r w:rsidRPr="001A2F85">
              <w:t>Lin Martin global scholarships</w:t>
            </w:r>
            <w:r>
              <w:t>, The University of Melbourne</w:t>
            </w:r>
            <w:bookmarkEnd w:id="301"/>
          </w:p>
        </w:tc>
      </w:tr>
      <w:tr w:rsidR="00B519B2" w:rsidRPr="00B07121" w14:paraId="3EF7B525" w14:textId="77777777" w:rsidTr="00AD49C8">
        <w:trPr>
          <w:cantSplit/>
          <w:trHeight w:hRule="exact" w:val="380"/>
        </w:trPr>
        <w:tc>
          <w:tcPr>
            <w:tcW w:w="8614" w:type="dxa"/>
            <w:shd w:val="clear" w:color="auto" w:fill="E4E0DD"/>
          </w:tcPr>
          <w:p w14:paraId="2731DCFE" w14:textId="77777777" w:rsidR="00B519B2" w:rsidRPr="00B07121" w:rsidRDefault="00A45AB3" w:rsidP="00607349">
            <w:pPr>
              <w:pStyle w:val="spacer"/>
            </w:pPr>
            <w:r>
              <w:rPr>
                <w:noProof/>
                <w:lang w:eastAsia="en-AU"/>
              </w:rPr>
              <mc:AlternateContent>
                <mc:Choice Requires="wps">
                  <w:drawing>
                    <wp:anchor distT="0" distB="0" distL="114300" distR="114300" simplePos="0" relativeHeight="251673600" behindDoc="0" locked="1" layoutInCell="1" allowOverlap="1" wp14:anchorId="0BB8AA7B" wp14:editId="4FB23047">
                      <wp:simplePos x="0" y="0"/>
                      <wp:positionH relativeFrom="rightMargin">
                        <wp:posOffset>-772795</wp:posOffset>
                      </wp:positionH>
                      <wp:positionV relativeFrom="page">
                        <wp:posOffset>0</wp:posOffset>
                      </wp:positionV>
                      <wp:extent cx="436880" cy="213360"/>
                      <wp:effectExtent l="0" t="0" r="1270" b="0"/>
                      <wp:wrapNone/>
                      <wp:docPr id="38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4300E5" id="Freeform 5" o:spid="_x0000_s1026" style="position:absolute;margin-left:-60.85pt;margin-top:0;width:34.4pt;height:16.8pt;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KzouRl/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519B2" w14:paraId="1EFD7B05" w14:textId="77777777" w:rsidTr="00AD49C8">
        <w:trPr>
          <w:cantSplit/>
        </w:trPr>
        <w:tc>
          <w:tcPr>
            <w:tcW w:w="8614" w:type="dxa"/>
            <w:shd w:val="clear" w:color="auto" w:fill="E4E0DD"/>
            <w:tcMar>
              <w:top w:w="276" w:type="dxa"/>
              <w:bottom w:w="184" w:type="dxa"/>
              <w:right w:w="120" w:type="dxa"/>
            </w:tcMar>
          </w:tcPr>
          <w:p w14:paraId="3FED211C" w14:textId="77777777" w:rsidR="00B519B2" w:rsidRPr="001A2F85" w:rsidRDefault="00B519B2" w:rsidP="00B519B2">
            <w:pPr>
              <w:pStyle w:val="BoxText"/>
            </w:pPr>
            <w:r>
              <w:t>Funded by the HEPPP Participation component between 2011 and 2015, t</w:t>
            </w:r>
            <w:r w:rsidRPr="001A2F85">
              <w:t xml:space="preserve">he Lin Martin Melbourne Global Scholarship is a travelling scholarship for students who have experienced social, educational or financial disadvantage. </w:t>
            </w:r>
            <w:r>
              <w:t>The Scholarship program is strongly linked to the University’s study abroad/exchange program. It</w:t>
            </w:r>
            <w:r w:rsidRPr="001A2F85">
              <w:t xml:space="preserve"> enable</w:t>
            </w:r>
            <w:r>
              <w:t>s</w:t>
            </w:r>
            <w:r w:rsidRPr="001A2F85">
              <w:t xml:space="preserve"> students to take part in short study programs overseas with cohort support and special events. The </w:t>
            </w:r>
            <w:r>
              <w:t>S</w:t>
            </w:r>
            <w:r w:rsidRPr="001A2F85">
              <w:t xml:space="preserve">cholarship targets students from low SES, </w:t>
            </w:r>
            <w:r w:rsidR="00CB0D48">
              <w:t xml:space="preserve">low </w:t>
            </w:r>
            <w:r w:rsidRPr="001A2F85">
              <w:t>educational and financially disadvantaged backgrounds.</w:t>
            </w:r>
          </w:p>
          <w:p w14:paraId="071C12C1" w14:textId="77777777" w:rsidR="00B519B2" w:rsidRPr="001A2F85" w:rsidRDefault="00B519B2" w:rsidP="00B519B2">
            <w:pPr>
              <w:pStyle w:val="BoxText"/>
            </w:pPr>
            <w:r w:rsidRPr="001A2F85">
              <w:t>Providing scholarships to students who are from disadvantaged backgrounds will encourage them to undertake overseas study at world class institutions which will provide them with life-changing and enduring academic, professional and personal benefits. Recipients are given the opportunity to foster language and intercultural communication skills, develop academic and professional networks, engage with a diverse range of people and develop confidence by learning to manage challenges while away from home.</w:t>
            </w:r>
          </w:p>
          <w:p w14:paraId="5B0838F3" w14:textId="77777777" w:rsidR="00B519B2" w:rsidRPr="001A2F85" w:rsidRDefault="00B519B2" w:rsidP="00B519B2">
            <w:pPr>
              <w:pStyle w:val="BoxText"/>
            </w:pPr>
            <w:r w:rsidRPr="001A2F85">
              <w:t xml:space="preserve">In 2015, the University awarded 26 </w:t>
            </w:r>
            <w:r>
              <w:t>S</w:t>
            </w:r>
            <w:r w:rsidRPr="001A2F85">
              <w:t>cholarships over two selection rounds (administrative data) with further rounds in 2016 underway.</w:t>
            </w:r>
          </w:p>
          <w:p w14:paraId="657D9D03" w14:textId="77777777" w:rsidR="00B519B2" w:rsidRDefault="00B519B2" w:rsidP="00B519B2">
            <w:pPr>
              <w:pStyle w:val="BoxText"/>
            </w:pPr>
            <w:r w:rsidRPr="001A2F85">
              <w:t>The majority of 2015 students were enrolled in the Bachelor of Arts (15), followed by the Bachelor of Commerce (3) and the Bachelor of Science (3). More than half of the successful applicants undertook overseas study as part of an Exchange agreement. Most popular destination countries were the United Kingdom (8) and the United States of America (7) followed by France (4). Other countries included India, Italy, Sweden and the Netherlands.</w:t>
            </w:r>
          </w:p>
        </w:tc>
      </w:tr>
      <w:tr w:rsidR="00B519B2" w14:paraId="2FE67A9F" w14:textId="77777777" w:rsidTr="00AD49C8">
        <w:trPr>
          <w:cantSplit/>
        </w:trPr>
        <w:tc>
          <w:tcPr>
            <w:tcW w:w="8614" w:type="dxa"/>
            <w:tcMar>
              <w:top w:w="12" w:type="dxa"/>
              <w:left w:w="446" w:type="dxa"/>
              <w:bottom w:w="113" w:type="dxa"/>
            </w:tcMar>
          </w:tcPr>
          <w:p w14:paraId="7D653D1D" w14:textId="77777777" w:rsidR="00B519B2" w:rsidRDefault="00B519B2" w:rsidP="00607349">
            <w:pPr>
              <w:pStyle w:val="Source"/>
            </w:pPr>
            <w:r>
              <w:t xml:space="preserve">Source: </w:t>
            </w:r>
            <w:r w:rsidRPr="001A2F85">
              <w:t>University of Melbourne annual report 2015</w:t>
            </w:r>
          </w:p>
        </w:tc>
      </w:tr>
    </w:tbl>
    <w:p w14:paraId="37FAED9E" w14:textId="77777777" w:rsidR="00502B62" w:rsidRDefault="00B519B2" w:rsidP="00AD49C8">
      <w:pPr>
        <w:pStyle w:val="BodyText"/>
      </w:pPr>
      <w:r>
        <w:t>Th</w:t>
      </w:r>
      <w:r w:rsidR="00502B62">
        <w:t xml:space="preserve">e most </w:t>
      </w:r>
      <w:r w:rsidR="00875A48">
        <w:t>rigorous</w:t>
      </w:r>
      <w:r w:rsidR="00502B62">
        <w:t xml:space="preserve"> university evaluation of the impact of scholarships is t</w:t>
      </w:r>
      <w:r w:rsidR="00502B62" w:rsidRPr="00D47FA1">
        <w:t xml:space="preserve">he study </w:t>
      </w:r>
      <w:r w:rsidR="00502B62">
        <w:t>‘</w:t>
      </w:r>
      <w:r w:rsidR="00502B62" w:rsidRPr="00D47FA1">
        <w:t xml:space="preserve">Moving Beyond </w:t>
      </w:r>
      <w:r w:rsidR="00875A48">
        <w:t>‘</w:t>
      </w:r>
      <w:r w:rsidR="00502B62" w:rsidRPr="00D47FA1">
        <w:t>Acts</w:t>
      </w:r>
      <w:r w:rsidR="00502B62">
        <w:t xml:space="preserve"> of Faith</w:t>
      </w:r>
      <w:r w:rsidR="00875A48">
        <w:t>’</w:t>
      </w:r>
      <w:r w:rsidR="00875A48" w:rsidRPr="00D47FA1">
        <w:t xml:space="preserve">: </w:t>
      </w:r>
      <w:r w:rsidR="00502B62" w:rsidRPr="00D47FA1">
        <w:t>Effective Scholarships for Equity Students</w:t>
      </w:r>
      <w:r w:rsidR="00502B62">
        <w:t>’</w:t>
      </w:r>
      <w:r w:rsidR="00875A48">
        <w:t>,</w:t>
      </w:r>
      <w:r w:rsidR="00502B62">
        <w:t xml:space="preserve"> which</w:t>
      </w:r>
      <w:r w:rsidR="00502B62" w:rsidRPr="00D47FA1">
        <w:t xml:space="preserve"> investigated the impact of equity sc</w:t>
      </w:r>
      <w:r w:rsidR="00502B62">
        <w:t>holarships at Deakin University,</w:t>
      </w:r>
      <w:r w:rsidR="00502B62" w:rsidRPr="00D47FA1">
        <w:t xml:space="preserve"> </w:t>
      </w:r>
      <w:r w:rsidR="00B660C4">
        <w:t xml:space="preserve">QUT </w:t>
      </w:r>
      <w:r w:rsidR="00502B62">
        <w:t>and the University of Sydney</w:t>
      </w:r>
      <w:r w:rsidR="00D01A52">
        <w:t xml:space="preserve"> (</w:t>
      </w:r>
      <w:r w:rsidR="00D01A52" w:rsidRPr="00223036">
        <w:rPr>
          <w:lang w:eastAsia="en-AU"/>
        </w:rPr>
        <w:t>Zacharias et al</w:t>
      </w:r>
      <w:r w:rsidR="009F5C29">
        <w:rPr>
          <w:lang w:eastAsia="en-AU"/>
        </w:rPr>
        <w:t>.</w:t>
      </w:r>
      <w:r w:rsidR="00D01A52" w:rsidRPr="00223036">
        <w:rPr>
          <w:lang w:eastAsia="en-AU"/>
        </w:rPr>
        <w:t xml:space="preserve"> 2016</w:t>
      </w:r>
      <w:r w:rsidR="00D01A52">
        <w:rPr>
          <w:lang w:eastAsia="en-AU"/>
        </w:rPr>
        <w:t>)</w:t>
      </w:r>
      <w:r w:rsidR="00502B62">
        <w:t>. The evaluation compares retention and success rates for scholarship holders with other students, by equity group, across the three universities</w:t>
      </w:r>
      <w:r w:rsidR="00B928A1" w:rsidRPr="00B928A1">
        <w:t xml:space="preserve"> </w:t>
      </w:r>
      <w:r w:rsidR="00B928A1">
        <w:t>in the 2013 academic year</w:t>
      </w:r>
      <w:r w:rsidR="00502B62">
        <w:t xml:space="preserve">. </w:t>
      </w:r>
    </w:p>
    <w:p w14:paraId="307AA7A8" w14:textId="77777777" w:rsidR="00502B62" w:rsidRDefault="00502B62" w:rsidP="00565877">
      <w:pPr>
        <w:pStyle w:val="BodyText"/>
      </w:pPr>
      <w:r w:rsidRPr="0084290B">
        <w:t>The study finds that scholarship recipients generally have higher retention rates, although some equity groups at some universities do not see this positive effect (</w:t>
      </w:r>
      <w:r w:rsidR="008C090E" w:rsidRPr="0084290B">
        <w:t>Table 6.1</w:t>
      </w:r>
      <w:r w:rsidRPr="0084290B">
        <w:t>).</w:t>
      </w:r>
    </w:p>
    <w:p w14:paraId="6C7EA907" w14:textId="2E7F3767" w:rsidR="00D01A52" w:rsidRDefault="00D01A52" w:rsidP="00D01A52">
      <w:pPr>
        <w:pStyle w:val="Caption"/>
        <w:spacing w:before="160"/>
      </w:pPr>
      <w:bookmarkStart w:id="302" w:name="_Ref466249941"/>
      <w:bookmarkStart w:id="303" w:name="_Toc466655757"/>
      <w:r w:rsidRPr="00FC29C8">
        <w:rPr>
          <w:rStyle w:val="CaptionLabel"/>
        </w:rPr>
        <w:t>Table</w:t>
      </w:r>
      <w:r>
        <w:rPr>
          <w:rStyle w:val="CaptionLabel"/>
        </w:rPr>
        <w:t> </w:t>
      </w:r>
      <w:r w:rsidR="008C090E">
        <w:rPr>
          <w:rStyle w:val="CaptionLabel"/>
          <w:noProof/>
        </w:rPr>
        <w:t>6</w:t>
      </w:r>
      <w:r w:rsidRPr="00FC29C8">
        <w:rPr>
          <w:rStyle w:val="CaptionLabel"/>
        </w:rPr>
        <w:t>.</w:t>
      </w:r>
      <w:r w:rsidR="008C090E">
        <w:rPr>
          <w:rStyle w:val="CaptionLabel"/>
          <w:noProof/>
        </w:rPr>
        <w:t>1</w:t>
      </w:r>
      <w:bookmarkEnd w:id="302"/>
      <w:r>
        <w:tab/>
      </w:r>
      <w:r w:rsidR="008708D3" w:rsidRPr="00D01A52">
        <w:t>DIFFERENCES</w:t>
      </w:r>
      <w:r w:rsidRPr="00D01A52">
        <w:t xml:space="preserve"> IN RETENTION RATE </w:t>
      </w:r>
      <w:r w:rsidR="00B928A1">
        <w:t>for students with and without scholarships</w:t>
      </w:r>
      <w:r w:rsidRPr="00D01A52">
        <w:t>, BY EQUITY GROUP, BY UNIVERSITY</w:t>
      </w:r>
      <w:bookmarkEnd w:id="303"/>
      <w:r w:rsidR="00B928A1">
        <w:t>, 2013</w:t>
      </w:r>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3"/>
        <w:gridCol w:w="2042"/>
        <w:gridCol w:w="2042"/>
        <w:gridCol w:w="2042"/>
        <w:gridCol w:w="2043"/>
      </w:tblGrid>
      <w:tr w:rsidR="00D01A52" w14:paraId="7EB58D91" w14:textId="77777777" w:rsidTr="00D01A52">
        <w:trPr>
          <w:cantSplit/>
          <w:tblHeader/>
        </w:trPr>
        <w:tc>
          <w:tcPr>
            <w:tcW w:w="1447" w:type="pct"/>
            <w:gridSpan w:val="2"/>
            <w:shd w:val="clear" w:color="auto" w:fill="9D57A6"/>
            <w:tcMar>
              <w:left w:w="454" w:type="dxa"/>
              <w:bottom w:w="0" w:type="dxa"/>
            </w:tcMar>
          </w:tcPr>
          <w:p w14:paraId="522758F1" w14:textId="77777777" w:rsidR="00D01A52" w:rsidRDefault="00D01A52" w:rsidP="00D01A52">
            <w:pPr>
              <w:pStyle w:val="Tablecolumnheadings"/>
            </w:pPr>
          </w:p>
        </w:tc>
        <w:tc>
          <w:tcPr>
            <w:tcW w:w="1184" w:type="pct"/>
            <w:shd w:val="clear" w:color="auto" w:fill="9D57A6"/>
            <w:tcMar>
              <w:bottom w:w="0" w:type="dxa"/>
            </w:tcMar>
            <w:vAlign w:val="center"/>
          </w:tcPr>
          <w:p w14:paraId="4A8C08DD" w14:textId="77777777" w:rsidR="00D01A52" w:rsidRDefault="00D01A52" w:rsidP="00D01A52">
            <w:pPr>
              <w:pStyle w:val="Tablecolumnheadings"/>
              <w:jc w:val="center"/>
            </w:pPr>
            <w:r w:rsidRPr="009841C5">
              <w:t>Deakin University</w:t>
            </w:r>
          </w:p>
        </w:tc>
        <w:tc>
          <w:tcPr>
            <w:tcW w:w="1184" w:type="pct"/>
            <w:shd w:val="clear" w:color="auto" w:fill="9D57A6"/>
            <w:tcMar>
              <w:bottom w:w="0" w:type="dxa"/>
            </w:tcMar>
            <w:vAlign w:val="center"/>
          </w:tcPr>
          <w:p w14:paraId="793CF507" w14:textId="77777777" w:rsidR="00D01A52" w:rsidRDefault="00D01A52" w:rsidP="00D01A52">
            <w:pPr>
              <w:pStyle w:val="Tablecolumnheadings"/>
              <w:jc w:val="center"/>
            </w:pPr>
            <w:r w:rsidRPr="009841C5">
              <w:t>QUT</w:t>
            </w:r>
          </w:p>
        </w:tc>
        <w:tc>
          <w:tcPr>
            <w:tcW w:w="1185" w:type="pct"/>
            <w:shd w:val="clear" w:color="auto" w:fill="9D57A6"/>
            <w:tcMar>
              <w:bottom w:w="0" w:type="dxa"/>
            </w:tcMar>
            <w:vAlign w:val="center"/>
          </w:tcPr>
          <w:p w14:paraId="3290F937" w14:textId="77777777" w:rsidR="00D01A52" w:rsidRDefault="00D01A52" w:rsidP="00D01A52">
            <w:pPr>
              <w:pStyle w:val="Tablecolumnheadings"/>
              <w:jc w:val="center"/>
            </w:pPr>
            <w:r w:rsidRPr="009841C5">
              <w:t>University of Sydney</w:t>
            </w:r>
          </w:p>
        </w:tc>
      </w:tr>
      <w:tr w:rsidR="00D01A52" w14:paraId="5B94287B" w14:textId="77777777" w:rsidTr="00D01A52">
        <w:tblPrEx>
          <w:tblBorders>
            <w:bottom w:val="single" w:sz="4" w:space="0" w:color="646464"/>
            <w:insideH w:val="single" w:sz="4" w:space="0" w:color="646464"/>
          </w:tblBorders>
        </w:tblPrEx>
        <w:trPr>
          <w:gridBefore w:val="1"/>
          <w:wBefore w:w="263" w:type="pct"/>
          <w:cantSplit/>
        </w:trPr>
        <w:tc>
          <w:tcPr>
            <w:tcW w:w="1184" w:type="pct"/>
            <w:tcBorders>
              <w:top w:val="nil"/>
            </w:tcBorders>
          </w:tcPr>
          <w:p w14:paraId="1604E4AC" w14:textId="77777777" w:rsidR="00D01A52" w:rsidRDefault="00D01A52" w:rsidP="00D01A52">
            <w:pPr>
              <w:pStyle w:val="Tabletext"/>
            </w:pPr>
            <w:r w:rsidRPr="000B062D">
              <w:t>Low SES students</w:t>
            </w:r>
          </w:p>
        </w:tc>
        <w:tc>
          <w:tcPr>
            <w:tcW w:w="1184" w:type="pct"/>
            <w:tcBorders>
              <w:top w:val="nil"/>
            </w:tcBorders>
            <w:vAlign w:val="center"/>
          </w:tcPr>
          <w:p w14:paraId="54C54AAA" w14:textId="77777777" w:rsidR="00D01A52" w:rsidRDefault="00D01A52" w:rsidP="00D01A52">
            <w:pPr>
              <w:pStyle w:val="Tabletext"/>
              <w:jc w:val="center"/>
            </w:pPr>
            <w:r w:rsidRPr="000B062D">
              <w:t>+7.2%</w:t>
            </w:r>
          </w:p>
        </w:tc>
        <w:tc>
          <w:tcPr>
            <w:tcW w:w="1184" w:type="pct"/>
            <w:tcBorders>
              <w:top w:val="nil"/>
            </w:tcBorders>
            <w:vAlign w:val="center"/>
          </w:tcPr>
          <w:p w14:paraId="2FCE2DBB" w14:textId="77777777" w:rsidR="00D01A52" w:rsidRDefault="00D01A52" w:rsidP="00D01A52">
            <w:pPr>
              <w:pStyle w:val="Tabletext"/>
              <w:jc w:val="center"/>
            </w:pPr>
            <w:r w:rsidRPr="000B062D">
              <w:t>+6.6%</w:t>
            </w:r>
          </w:p>
        </w:tc>
        <w:tc>
          <w:tcPr>
            <w:tcW w:w="1185" w:type="pct"/>
            <w:tcBorders>
              <w:top w:val="nil"/>
            </w:tcBorders>
            <w:vAlign w:val="center"/>
          </w:tcPr>
          <w:p w14:paraId="13BD2DD6" w14:textId="77777777" w:rsidR="00D01A52" w:rsidRDefault="00D01A52" w:rsidP="00D01A52">
            <w:pPr>
              <w:pStyle w:val="Tabletext"/>
              <w:jc w:val="center"/>
            </w:pPr>
            <w:r w:rsidRPr="000B062D">
              <w:t>+5.6%</w:t>
            </w:r>
          </w:p>
        </w:tc>
      </w:tr>
      <w:tr w:rsidR="00D01A52" w14:paraId="6C76DD07" w14:textId="77777777" w:rsidTr="00D01A52">
        <w:tblPrEx>
          <w:tblBorders>
            <w:bottom w:val="single" w:sz="4" w:space="0" w:color="646464"/>
            <w:insideH w:val="single" w:sz="4" w:space="0" w:color="646464"/>
          </w:tblBorders>
        </w:tblPrEx>
        <w:trPr>
          <w:gridBefore w:val="1"/>
          <w:wBefore w:w="263" w:type="pct"/>
          <w:cantSplit/>
        </w:trPr>
        <w:tc>
          <w:tcPr>
            <w:tcW w:w="1184" w:type="pct"/>
          </w:tcPr>
          <w:p w14:paraId="5DE1EA4C" w14:textId="77777777" w:rsidR="00D01A52" w:rsidRDefault="00D01A52" w:rsidP="00D01A52">
            <w:pPr>
              <w:pStyle w:val="Tabletext"/>
            </w:pPr>
            <w:r w:rsidRPr="000B062D">
              <w:t>Regional and remote students</w:t>
            </w:r>
          </w:p>
        </w:tc>
        <w:tc>
          <w:tcPr>
            <w:tcW w:w="1184" w:type="pct"/>
            <w:vAlign w:val="center"/>
          </w:tcPr>
          <w:p w14:paraId="3EE649DD" w14:textId="77777777" w:rsidR="00D01A52" w:rsidRDefault="00D01A52" w:rsidP="00D01A52">
            <w:pPr>
              <w:pStyle w:val="Tabletext"/>
              <w:jc w:val="center"/>
            </w:pPr>
            <w:r w:rsidRPr="000B062D">
              <w:t>+7.3%</w:t>
            </w:r>
          </w:p>
        </w:tc>
        <w:tc>
          <w:tcPr>
            <w:tcW w:w="1184" w:type="pct"/>
            <w:vAlign w:val="center"/>
          </w:tcPr>
          <w:p w14:paraId="23AC7E7A" w14:textId="77777777" w:rsidR="00D01A52" w:rsidRDefault="00D01A52" w:rsidP="00D01A52">
            <w:pPr>
              <w:pStyle w:val="Tabletext"/>
              <w:jc w:val="center"/>
            </w:pPr>
            <w:r w:rsidRPr="000B062D">
              <w:t>-2.8%</w:t>
            </w:r>
          </w:p>
        </w:tc>
        <w:tc>
          <w:tcPr>
            <w:tcW w:w="1185" w:type="pct"/>
            <w:vAlign w:val="center"/>
          </w:tcPr>
          <w:p w14:paraId="2B7CC3F8" w14:textId="77777777" w:rsidR="00D01A52" w:rsidRDefault="00D01A52" w:rsidP="00D01A52">
            <w:pPr>
              <w:pStyle w:val="Tabletext"/>
              <w:jc w:val="center"/>
            </w:pPr>
            <w:r w:rsidRPr="000B062D">
              <w:t>-3.5%</w:t>
            </w:r>
          </w:p>
        </w:tc>
      </w:tr>
      <w:tr w:rsidR="00D01A52" w14:paraId="7F661A0C" w14:textId="77777777" w:rsidTr="00D01A52">
        <w:tblPrEx>
          <w:tblBorders>
            <w:bottom w:val="single" w:sz="4" w:space="0" w:color="646464"/>
            <w:insideH w:val="single" w:sz="4" w:space="0" w:color="646464"/>
          </w:tblBorders>
        </w:tblPrEx>
        <w:trPr>
          <w:gridBefore w:val="1"/>
          <w:wBefore w:w="263" w:type="pct"/>
          <w:cantSplit/>
        </w:trPr>
        <w:tc>
          <w:tcPr>
            <w:tcW w:w="1184" w:type="pct"/>
          </w:tcPr>
          <w:p w14:paraId="270A50E0" w14:textId="77777777" w:rsidR="00D01A52" w:rsidRDefault="00D01A52" w:rsidP="00D01A52">
            <w:pPr>
              <w:pStyle w:val="Tabletext"/>
            </w:pPr>
            <w:r w:rsidRPr="000B062D">
              <w:t>Students with disability</w:t>
            </w:r>
          </w:p>
        </w:tc>
        <w:tc>
          <w:tcPr>
            <w:tcW w:w="1184" w:type="pct"/>
            <w:vAlign w:val="center"/>
          </w:tcPr>
          <w:p w14:paraId="51CD7A9D" w14:textId="77777777" w:rsidR="00D01A52" w:rsidRDefault="00D01A52" w:rsidP="00D01A52">
            <w:pPr>
              <w:pStyle w:val="Tabletext"/>
              <w:jc w:val="center"/>
            </w:pPr>
            <w:r w:rsidRPr="000B062D">
              <w:t>+1.4%</w:t>
            </w:r>
          </w:p>
        </w:tc>
        <w:tc>
          <w:tcPr>
            <w:tcW w:w="1184" w:type="pct"/>
            <w:vAlign w:val="center"/>
          </w:tcPr>
          <w:p w14:paraId="52E5BFB0" w14:textId="77777777" w:rsidR="00D01A52" w:rsidRDefault="00D01A52" w:rsidP="00D01A52">
            <w:pPr>
              <w:pStyle w:val="Tabletext"/>
              <w:jc w:val="center"/>
            </w:pPr>
            <w:r w:rsidRPr="000B062D">
              <w:t>+5.9%</w:t>
            </w:r>
          </w:p>
        </w:tc>
        <w:tc>
          <w:tcPr>
            <w:tcW w:w="1185" w:type="pct"/>
            <w:vAlign w:val="center"/>
          </w:tcPr>
          <w:p w14:paraId="52F796EE" w14:textId="77777777" w:rsidR="00D01A52" w:rsidRDefault="00D01A52" w:rsidP="00D01A52">
            <w:pPr>
              <w:pStyle w:val="Tabletext"/>
              <w:jc w:val="center"/>
            </w:pPr>
            <w:r w:rsidRPr="000B062D">
              <w:t>-4.5%</w:t>
            </w:r>
          </w:p>
        </w:tc>
      </w:tr>
      <w:tr w:rsidR="00D01A52" w14:paraId="7FC58B92" w14:textId="77777777" w:rsidTr="00D01A52">
        <w:tblPrEx>
          <w:tblBorders>
            <w:bottom w:val="single" w:sz="4" w:space="0" w:color="646464"/>
            <w:insideH w:val="single" w:sz="4" w:space="0" w:color="646464"/>
          </w:tblBorders>
        </w:tblPrEx>
        <w:trPr>
          <w:gridBefore w:val="1"/>
          <w:wBefore w:w="263" w:type="pct"/>
          <w:cantSplit/>
        </w:trPr>
        <w:tc>
          <w:tcPr>
            <w:tcW w:w="1184" w:type="pct"/>
          </w:tcPr>
          <w:p w14:paraId="0B024CA7" w14:textId="77777777" w:rsidR="00D01A52" w:rsidRDefault="00A64DC3">
            <w:pPr>
              <w:pStyle w:val="Tabletext"/>
            </w:pPr>
            <w:r>
              <w:t>Indigenous</w:t>
            </w:r>
            <w:r w:rsidRPr="000B062D">
              <w:t xml:space="preserve"> </w:t>
            </w:r>
            <w:r w:rsidR="00D01A52" w:rsidRPr="000B062D">
              <w:t>students</w:t>
            </w:r>
          </w:p>
        </w:tc>
        <w:tc>
          <w:tcPr>
            <w:tcW w:w="1184" w:type="pct"/>
            <w:vAlign w:val="center"/>
          </w:tcPr>
          <w:p w14:paraId="724353BE" w14:textId="77777777" w:rsidR="00D01A52" w:rsidRDefault="00D01A52" w:rsidP="00D01A52">
            <w:pPr>
              <w:pStyle w:val="Tabletext"/>
              <w:jc w:val="center"/>
            </w:pPr>
            <w:r w:rsidRPr="000B062D">
              <w:t>+6.0%</w:t>
            </w:r>
          </w:p>
        </w:tc>
        <w:tc>
          <w:tcPr>
            <w:tcW w:w="1184" w:type="pct"/>
            <w:vAlign w:val="center"/>
          </w:tcPr>
          <w:p w14:paraId="1BF09F41" w14:textId="77777777" w:rsidR="00D01A52" w:rsidRDefault="00D01A52" w:rsidP="00D01A52">
            <w:pPr>
              <w:pStyle w:val="Tabletext"/>
              <w:jc w:val="center"/>
            </w:pPr>
            <w:r w:rsidRPr="000B062D">
              <w:t>+0.8%</w:t>
            </w:r>
          </w:p>
        </w:tc>
        <w:tc>
          <w:tcPr>
            <w:tcW w:w="1185" w:type="pct"/>
            <w:vAlign w:val="center"/>
          </w:tcPr>
          <w:p w14:paraId="791A4492" w14:textId="77777777" w:rsidR="00D01A52" w:rsidRDefault="00D01A52" w:rsidP="00D01A52">
            <w:pPr>
              <w:pStyle w:val="Tabletext"/>
              <w:jc w:val="center"/>
            </w:pPr>
            <w:r w:rsidRPr="000B062D">
              <w:t>+9.0%</w:t>
            </w:r>
          </w:p>
        </w:tc>
      </w:tr>
      <w:tr w:rsidR="00D01A52" w14:paraId="04F1E47A" w14:textId="77777777" w:rsidTr="00D01A52">
        <w:tblPrEx>
          <w:tblBorders>
            <w:bottom w:val="single" w:sz="4" w:space="0" w:color="646464"/>
            <w:insideH w:val="single" w:sz="4" w:space="0" w:color="646464"/>
          </w:tblBorders>
        </w:tblPrEx>
        <w:trPr>
          <w:gridBefore w:val="1"/>
          <w:wBefore w:w="263" w:type="pct"/>
          <w:cantSplit/>
        </w:trPr>
        <w:tc>
          <w:tcPr>
            <w:tcW w:w="4737" w:type="pct"/>
            <w:gridSpan w:val="4"/>
          </w:tcPr>
          <w:p w14:paraId="58886E07" w14:textId="77777777" w:rsidR="00D01A52" w:rsidRDefault="00D01A52" w:rsidP="00D01A52">
            <w:pPr>
              <w:pStyle w:val="Source"/>
            </w:pPr>
            <w:r>
              <w:t xml:space="preserve">Source: </w:t>
            </w:r>
            <w:r w:rsidRPr="00223036">
              <w:rPr>
                <w:lang w:eastAsia="en-AU"/>
              </w:rPr>
              <w:t>Zacharias et al</w:t>
            </w:r>
            <w:r w:rsidR="009F5C29">
              <w:rPr>
                <w:lang w:eastAsia="en-AU"/>
              </w:rPr>
              <w:t>.</w:t>
            </w:r>
            <w:r w:rsidRPr="00223036">
              <w:rPr>
                <w:lang w:eastAsia="en-AU"/>
              </w:rPr>
              <w:t xml:space="preserve"> 2016</w:t>
            </w:r>
          </w:p>
        </w:tc>
      </w:tr>
      <w:tr w:rsidR="00D01A52" w14:paraId="24419C03" w14:textId="77777777" w:rsidTr="00D01A52">
        <w:tblPrEx>
          <w:tblBorders>
            <w:bottom w:val="single" w:sz="4" w:space="0" w:color="646464"/>
            <w:insideH w:val="single" w:sz="4" w:space="0" w:color="646464"/>
          </w:tblBorders>
        </w:tblPrEx>
        <w:trPr>
          <w:gridBefore w:val="1"/>
          <w:wBefore w:w="263" w:type="pct"/>
          <w:cantSplit/>
          <w:trHeight w:hRule="exact" w:val="120"/>
        </w:trPr>
        <w:tc>
          <w:tcPr>
            <w:tcW w:w="4737" w:type="pct"/>
            <w:gridSpan w:val="4"/>
            <w:tcBorders>
              <w:bottom w:val="nil"/>
            </w:tcBorders>
          </w:tcPr>
          <w:p w14:paraId="4ED6DF4E" w14:textId="77777777" w:rsidR="00D01A52" w:rsidRDefault="00D01A52" w:rsidP="00D01A52">
            <w:pPr>
              <w:pStyle w:val="spacertbl"/>
            </w:pPr>
          </w:p>
        </w:tc>
      </w:tr>
    </w:tbl>
    <w:p w14:paraId="040AEF6B" w14:textId="77777777" w:rsidR="00502B62" w:rsidRDefault="00502B62" w:rsidP="00502B62">
      <w:pPr>
        <w:pStyle w:val="BodyText"/>
      </w:pPr>
      <w:r>
        <w:t>The influence of scholarships on the success rates of recipients was less consistent</w:t>
      </w:r>
      <w:r w:rsidR="0021557C">
        <w:t>;</w:t>
      </w:r>
      <w:r>
        <w:t xml:space="preserve"> in particular, the impact was either negligible or negative in the QUT equity groups (</w:t>
      </w:r>
      <w:r w:rsidR="008C090E" w:rsidRPr="00AD49C8">
        <w:t>Table 6.2</w:t>
      </w:r>
      <w:r>
        <w:t>). The authors of the study believe that this may be linked to variations in the design features of the scholarships or other institutional factors which were beyond the scope of the study to explore.</w:t>
      </w:r>
    </w:p>
    <w:p w14:paraId="328F848F" w14:textId="7B86D277" w:rsidR="00D01A52" w:rsidRDefault="00D01A52" w:rsidP="00FA05FB">
      <w:pPr>
        <w:pStyle w:val="Caption"/>
        <w:spacing w:before="160"/>
      </w:pPr>
      <w:bookmarkStart w:id="304" w:name="_Ref466249949"/>
      <w:bookmarkStart w:id="305" w:name="_Toc466655758"/>
      <w:r w:rsidRPr="00FC29C8">
        <w:rPr>
          <w:rStyle w:val="CaptionLabel"/>
        </w:rPr>
        <w:t>Table</w:t>
      </w:r>
      <w:r>
        <w:rPr>
          <w:rStyle w:val="CaptionLabel"/>
        </w:rPr>
        <w:t> </w:t>
      </w:r>
      <w:r w:rsidR="008C090E">
        <w:rPr>
          <w:rStyle w:val="CaptionLabel"/>
          <w:noProof/>
        </w:rPr>
        <w:t>6</w:t>
      </w:r>
      <w:r w:rsidRPr="00FC29C8">
        <w:rPr>
          <w:rStyle w:val="CaptionLabel"/>
        </w:rPr>
        <w:t>.</w:t>
      </w:r>
      <w:bookmarkEnd w:id="304"/>
      <w:r w:rsidR="0069617A">
        <w:rPr>
          <w:rStyle w:val="CaptionLabel"/>
          <w:noProof/>
        </w:rPr>
        <w:t>2</w:t>
      </w:r>
      <w:r>
        <w:tab/>
      </w:r>
      <w:r w:rsidR="008708D3" w:rsidRPr="00D01A52">
        <w:t>DIFFERENCES</w:t>
      </w:r>
      <w:r w:rsidRPr="00D01A52">
        <w:t xml:space="preserve"> IN </w:t>
      </w:r>
      <w:r w:rsidR="00565877">
        <w:t xml:space="preserve">success </w:t>
      </w:r>
      <w:r w:rsidRPr="00D01A52">
        <w:t xml:space="preserve">RATE </w:t>
      </w:r>
      <w:r w:rsidR="00B928A1">
        <w:t>for students with and without scholarships</w:t>
      </w:r>
      <w:r w:rsidRPr="00D01A52">
        <w:t>, BY EQUITY GROUP, BY UNIVERSITY</w:t>
      </w:r>
      <w:bookmarkEnd w:id="305"/>
      <w:r w:rsidR="00B928A1">
        <w:t>, 2013</w:t>
      </w:r>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3"/>
        <w:gridCol w:w="2042"/>
        <w:gridCol w:w="2042"/>
        <w:gridCol w:w="2042"/>
        <w:gridCol w:w="2043"/>
      </w:tblGrid>
      <w:tr w:rsidR="00D01A52" w14:paraId="678163F2" w14:textId="77777777" w:rsidTr="00D01A52">
        <w:trPr>
          <w:cantSplit/>
          <w:tblHeader/>
        </w:trPr>
        <w:tc>
          <w:tcPr>
            <w:tcW w:w="1447" w:type="pct"/>
            <w:gridSpan w:val="2"/>
            <w:shd w:val="clear" w:color="auto" w:fill="9D57A6"/>
            <w:tcMar>
              <w:left w:w="454" w:type="dxa"/>
              <w:bottom w:w="0" w:type="dxa"/>
            </w:tcMar>
          </w:tcPr>
          <w:p w14:paraId="46DD2DA0" w14:textId="77777777" w:rsidR="00D01A52" w:rsidRDefault="00D01A52">
            <w:pPr>
              <w:pStyle w:val="Tablecolumnheadings"/>
            </w:pPr>
          </w:p>
        </w:tc>
        <w:tc>
          <w:tcPr>
            <w:tcW w:w="1184" w:type="pct"/>
            <w:shd w:val="clear" w:color="auto" w:fill="9D57A6"/>
            <w:tcMar>
              <w:bottom w:w="0" w:type="dxa"/>
            </w:tcMar>
            <w:vAlign w:val="center"/>
          </w:tcPr>
          <w:p w14:paraId="2E2C3E80" w14:textId="77777777" w:rsidR="00D01A52" w:rsidRDefault="00D01A52">
            <w:pPr>
              <w:pStyle w:val="Tablecolumnheadings"/>
              <w:jc w:val="center"/>
            </w:pPr>
            <w:r w:rsidRPr="009841C5">
              <w:t>Deakin University</w:t>
            </w:r>
          </w:p>
        </w:tc>
        <w:tc>
          <w:tcPr>
            <w:tcW w:w="1184" w:type="pct"/>
            <w:shd w:val="clear" w:color="auto" w:fill="9D57A6"/>
            <w:tcMar>
              <w:bottom w:w="0" w:type="dxa"/>
            </w:tcMar>
            <w:vAlign w:val="center"/>
          </w:tcPr>
          <w:p w14:paraId="72667323" w14:textId="77777777" w:rsidR="00D01A52" w:rsidRDefault="00D01A52">
            <w:pPr>
              <w:pStyle w:val="Tablecolumnheadings"/>
              <w:jc w:val="center"/>
            </w:pPr>
            <w:r w:rsidRPr="009841C5">
              <w:t>QUT</w:t>
            </w:r>
          </w:p>
        </w:tc>
        <w:tc>
          <w:tcPr>
            <w:tcW w:w="1185" w:type="pct"/>
            <w:shd w:val="clear" w:color="auto" w:fill="9D57A6"/>
            <w:tcMar>
              <w:bottom w:w="0" w:type="dxa"/>
            </w:tcMar>
            <w:vAlign w:val="center"/>
          </w:tcPr>
          <w:p w14:paraId="5F5C0039" w14:textId="77777777" w:rsidR="00D01A52" w:rsidRDefault="00D01A52">
            <w:pPr>
              <w:pStyle w:val="Tablecolumnheadings"/>
              <w:jc w:val="center"/>
            </w:pPr>
            <w:r w:rsidRPr="009841C5">
              <w:t>University of Sydney</w:t>
            </w:r>
          </w:p>
        </w:tc>
      </w:tr>
      <w:tr w:rsidR="00D01A52" w14:paraId="55F2C35D" w14:textId="77777777" w:rsidTr="00D01A52">
        <w:tblPrEx>
          <w:tblBorders>
            <w:bottom w:val="single" w:sz="4" w:space="0" w:color="646464"/>
            <w:insideH w:val="single" w:sz="4" w:space="0" w:color="646464"/>
          </w:tblBorders>
        </w:tblPrEx>
        <w:trPr>
          <w:gridBefore w:val="1"/>
          <w:wBefore w:w="263" w:type="pct"/>
          <w:cantSplit/>
        </w:trPr>
        <w:tc>
          <w:tcPr>
            <w:tcW w:w="1184" w:type="pct"/>
            <w:tcBorders>
              <w:top w:val="nil"/>
            </w:tcBorders>
          </w:tcPr>
          <w:p w14:paraId="69E42190" w14:textId="77777777" w:rsidR="00D01A52" w:rsidRDefault="00D01A52" w:rsidP="00AD49C8">
            <w:pPr>
              <w:pStyle w:val="Tabletext"/>
              <w:keepNext/>
            </w:pPr>
            <w:r w:rsidRPr="000B062D">
              <w:t>Low SES students</w:t>
            </w:r>
          </w:p>
        </w:tc>
        <w:tc>
          <w:tcPr>
            <w:tcW w:w="1184" w:type="pct"/>
            <w:tcBorders>
              <w:top w:val="nil"/>
            </w:tcBorders>
            <w:vAlign w:val="center"/>
          </w:tcPr>
          <w:p w14:paraId="6FE88BAB" w14:textId="77777777" w:rsidR="00D01A52" w:rsidRDefault="00D01A52" w:rsidP="00AD49C8">
            <w:pPr>
              <w:pStyle w:val="Tabletext"/>
              <w:keepNext/>
              <w:jc w:val="center"/>
            </w:pPr>
            <w:r>
              <w:rPr>
                <w:lang w:eastAsia="en-AU"/>
              </w:rPr>
              <w:t>+7.1%</w:t>
            </w:r>
          </w:p>
        </w:tc>
        <w:tc>
          <w:tcPr>
            <w:tcW w:w="1184" w:type="pct"/>
            <w:tcBorders>
              <w:top w:val="nil"/>
            </w:tcBorders>
            <w:vAlign w:val="center"/>
          </w:tcPr>
          <w:p w14:paraId="474310B6" w14:textId="77777777" w:rsidR="00D01A52" w:rsidRDefault="00D01A52" w:rsidP="00AD49C8">
            <w:pPr>
              <w:pStyle w:val="Tabletext"/>
              <w:keepNext/>
              <w:jc w:val="center"/>
            </w:pPr>
            <w:r>
              <w:rPr>
                <w:lang w:eastAsia="en-AU"/>
              </w:rPr>
              <w:t>+0.5%</w:t>
            </w:r>
          </w:p>
        </w:tc>
        <w:tc>
          <w:tcPr>
            <w:tcW w:w="1185" w:type="pct"/>
            <w:tcBorders>
              <w:top w:val="nil"/>
            </w:tcBorders>
            <w:vAlign w:val="center"/>
          </w:tcPr>
          <w:p w14:paraId="72E4FE0A" w14:textId="77777777" w:rsidR="00D01A52" w:rsidRDefault="00D01A52" w:rsidP="00AD49C8">
            <w:pPr>
              <w:pStyle w:val="Tabletext"/>
              <w:keepNext/>
              <w:jc w:val="center"/>
            </w:pPr>
            <w:r>
              <w:rPr>
                <w:lang w:eastAsia="en-AU"/>
              </w:rPr>
              <w:t>+6.1%</w:t>
            </w:r>
          </w:p>
        </w:tc>
      </w:tr>
      <w:tr w:rsidR="00D01A52" w14:paraId="3DED52F3" w14:textId="77777777" w:rsidTr="00D01A52">
        <w:tblPrEx>
          <w:tblBorders>
            <w:bottom w:val="single" w:sz="4" w:space="0" w:color="646464"/>
            <w:insideH w:val="single" w:sz="4" w:space="0" w:color="646464"/>
          </w:tblBorders>
        </w:tblPrEx>
        <w:trPr>
          <w:gridBefore w:val="1"/>
          <w:wBefore w:w="263" w:type="pct"/>
          <w:cantSplit/>
        </w:trPr>
        <w:tc>
          <w:tcPr>
            <w:tcW w:w="1184" w:type="pct"/>
          </w:tcPr>
          <w:p w14:paraId="5D3D98D5" w14:textId="77777777" w:rsidR="00D01A52" w:rsidRDefault="00D01A52" w:rsidP="00AD49C8">
            <w:pPr>
              <w:pStyle w:val="Tabletext"/>
              <w:keepNext/>
            </w:pPr>
            <w:r w:rsidRPr="000B062D">
              <w:t>Regional and remote students</w:t>
            </w:r>
          </w:p>
        </w:tc>
        <w:tc>
          <w:tcPr>
            <w:tcW w:w="1184" w:type="pct"/>
            <w:vAlign w:val="center"/>
          </w:tcPr>
          <w:p w14:paraId="1F1CF940" w14:textId="77777777" w:rsidR="00D01A52" w:rsidRDefault="00D01A52" w:rsidP="00AD49C8">
            <w:pPr>
              <w:pStyle w:val="Tabletext"/>
              <w:keepNext/>
              <w:jc w:val="center"/>
            </w:pPr>
            <w:r>
              <w:rPr>
                <w:lang w:eastAsia="en-AU"/>
              </w:rPr>
              <w:t>+5.0%</w:t>
            </w:r>
          </w:p>
        </w:tc>
        <w:tc>
          <w:tcPr>
            <w:tcW w:w="1184" w:type="pct"/>
            <w:vAlign w:val="center"/>
          </w:tcPr>
          <w:p w14:paraId="3592C5DF" w14:textId="77777777" w:rsidR="00D01A52" w:rsidRDefault="00D01A52" w:rsidP="00AD49C8">
            <w:pPr>
              <w:pStyle w:val="Tabletext"/>
              <w:keepNext/>
              <w:jc w:val="center"/>
            </w:pPr>
            <w:r>
              <w:rPr>
                <w:lang w:eastAsia="en-AU"/>
              </w:rPr>
              <w:t>+0.5%</w:t>
            </w:r>
          </w:p>
        </w:tc>
        <w:tc>
          <w:tcPr>
            <w:tcW w:w="1185" w:type="pct"/>
            <w:vAlign w:val="center"/>
          </w:tcPr>
          <w:p w14:paraId="5ABDC9A3" w14:textId="77777777" w:rsidR="00D01A52" w:rsidRDefault="00D01A52" w:rsidP="00AD49C8">
            <w:pPr>
              <w:pStyle w:val="Tabletext"/>
              <w:keepNext/>
              <w:jc w:val="center"/>
            </w:pPr>
            <w:r>
              <w:rPr>
                <w:lang w:eastAsia="en-AU"/>
              </w:rPr>
              <w:t>+2.9%</w:t>
            </w:r>
          </w:p>
        </w:tc>
      </w:tr>
      <w:tr w:rsidR="00D01A52" w14:paraId="3A29B16F" w14:textId="77777777" w:rsidTr="00D01A52">
        <w:tblPrEx>
          <w:tblBorders>
            <w:bottom w:val="single" w:sz="4" w:space="0" w:color="646464"/>
            <w:insideH w:val="single" w:sz="4" w:space="0" w:color="646464"/>
          </w:tblBorders>
        </w:tblPrEx>
        <w:trPr>
          <w:gridBefore w:val="1"/>
          <w:wBefore w:w="263" w:type="pct"/>
          <w:cantSplit/>
        </w:trPr>
        <w:tc>
          <w:tcPr>
            <w:tcW w:w="1184" w:type="pct"/>
          </w:tcPr>
          <w:p w14:paraId="5493FADC" w14:textId="77777777" w:rsidR="00D01A52" w:rsidRDefault="00D01A52" w:rsidP="00AD49C8">
            <w:pPr>
              <w:pStyle w:val="Tabletext"/>
              <w:keepNext/>
            </w:pPr>
            <w:r w:rsidRPr="000B062D">
              <w:t>Students with disability</w:t>
            </w:r>
          </w:p>
        </w:tc>
        <w:tc>
          <w:tcPr>
            <w:tcW w:w="1184" w:type="pct"/>
            <w:vAlign w:val="center"/>
          </w:tcPr>
          <w:p w14:paraId="4C0BA7CE" w14:textId="77777777" w:rsidR="00D01A52" w:rsidRDefault="00D01A52" w:rsidP="00AD49C8">
            <w:pPr>
              <w:pStyle w:val="Tabletext"/>
              <w:keepNext/>
              <w:jc w:val="center"/>
            </w:pPr>
            <w:r>
              <w:rPr>
                <w:lang w:eastAsia="en-AU"/>
              </w:rPr>
              <w:t>+8.6%</w:t>
            </w:r>
          </w:p>
        </w:tc>
        <w:tc>
          <w:tcPr>
            <w:tcW w:w="1184" w:type="pct"/>
            <w:vAlign w:val="center"/>
          </w:tcPr>
          <w:p w14:paraId="76317A86" w14:textId="77777777" w:rsidR="00D01A52" w:rsidRDefault="00D01A52" w:rsidP="00AD49C8">
            <w:pPr>
              <w:pStyle w:val="Tabletext"/>
              <w:keepNext/>
              <w:jc w:val="center"/>
            </w:pPr>
            <w:r>
              <w:rPr>
                <w:lang w:eastAsia="en-AU"/>
              </w:rPr>
              <w:t>-3.5%</w:t>
            </w:r>
          </w:p>
        </w:tc>
        <w:tc>
          <w:tcPr>
            <w:tcW w:w="1185" w:type="pct"/>
            <w:vAlign w:val="center"/>
          </w:tcPr>
          <w:p w14:paraId="63366E13" w14:textId="77777777" w:rsidR="00D01A52" w:rsidRDefault="00D01A52" w:rsidP="00AD49C8">
            <w:pPr>
              <w:pStyle w:val="Tabletext"/>
              <w:keepNext/>
              <w:jc w:val="center"/>
            </w:pPr>
            <w:r>
              <w:rPr>
                <w:lang w:eastAsia="en-AU"/>
              </w:rPr>
              <w:t>+1.5%</w:t>
            </w:r>
          </w:p>
        </w:tc>
      </w:tr>
      <w:tr w:rsidR="00D01A52" w14:paraId="79996FF0" w14:textId="77777777" w:rsidTr="00D01A52">
        <w:tblPrEx>
          <w:tblBorders>
            <w:bottom w:val="single" w:sz="4" w:space="0" w:color="646464"/>
            <w:insideH w:val="single" w:sz="4" w:space="0" w:color="646464"/>
          </w:tblBorders>
        </w:tblPrEx>
        <w:trPr>
          <w:gridBefore w:val="1"/>
          <w:wBefore w:w="263" w:type="pct"/>
          <w:cantSplit/>
        </w:trPr>
        <w:tc>
          <w:tcPr>
            <w:tcW w:w="1184" w:type="pct"/>
          </w:tcPr>
          <w:p w14:paraId="6C88C3B1" w14:textId="77777777" w:rsidR="00D01A52" w:rsidRDefault="00A64DC3" w:rsidP="00AD49C8">
            <w:pPr>
              <w:pStyle w:val="Tabletext"/>
              <w:keepNext/>
            </w:pPr>
            <w:r>
              <w:t>Indigenous</w:t>
            </w:r>
            <w:r w:rsidRPr="000B062D">
              <w:t xml:space="preserve"> </w:t>
            </w:r>
            <w:r w:rsidR="00D01A52" w:rsidRPr="000B062D">
              <w:t>students</w:t>
            </w:r>
          </w:p>
        </w:tc>
        <w:tc>
          <w:tcPr>
            <w:tcW w:w="1184" w:type="pct"/>
            <w:vAlign w:val="center"/>
          </w:tcPr>
          <w:p w14:paraId="55C84B5F" w14:textId="77777777" w:rsidR="00D01A52" w:rsidRDefault="00D01A52" w:rsidP="00AD49C8">
            <w:pPr>
              <w:pStyle w:val="Tabletext"/>
              <w:keepNext/>
              <w:jc w:val="center"/>
            </w:pPr>
            <w:r>
              <w:rPr>
                <w:lang w:eastAsia="en-AU"/>
              </w:rPr>
              <w:t>+4.6%</w:t>
            </w:r>
          </w:p>
        </w:tc>
        <w:tc>
          <w:tcPr>
            <w:tcW w:w="1184" w:type="pct"/>
            <w:vAlign w:val="center"/>
          </w:tcPr>
          <w:p w14:paraId="00004EE9" w14:textId="77777777" w:rsidR="00D01A52" w:rsidRDefault="00D01A52" w:rsidP="00AD49C8">
            <w:pPr>
              <w:pStyle w:val="Tabletext"/>
              <w:keepNext/>
              <w:jc w:val="center"/>
            </w:pPr>
            <w:r>
              <w:rPr>
                <w:lang w:eastAsia="en-AU"/>
              </w:rPr>
              <w:t>-6.0%</w:t>
            </w:r>
          </w:p>
        </w:tc>
        <w:tc>
          <w:tcPr>
            <w:tcW w:w="1185" w:type="pct"/>
            <w:vAlign w:val="center"/>
          </w:tcPr>
          <w:p w14:paraId="26DFFA7E" w14:textId="77777777" w:rsidR="00D01A52" w:rsidRDefault="00D01A52" w:rsidP="00AD49C8">
            <w:pPr>
              <w:pStyle w:val="Tabletext"/>
              <w:keepNext/>
              <w:jc w:val="center"/>
            </w:pPr>
            <w:r>
              <w:rPr>
                <w:lang w:eastAsia="en-AU"/>
              </w:rPr>
              <w:t>+7.5%</w:t>
            </w:r>
          </w:p>
        </w:tc>
      </w:tr>
      <w:tr w:rsidR="00D01A52" w14:paraId="5339C1CB" w14:textId="77777777" w:rsidTr="00D01A52">
        <w:tblPrEx>
          <w:tblBorders>
            <w:bottom w:val="single" w:sz="4" w:space="0" w:color="646464"/>
            <w:insideH w:val="single" w:sz="4" w:space="0" w:color="646464"/>
          </w:tblBorders>
        </w:tblPrEx>
        <w:trPr>
          <w:gridBefore w:val="1"/>
          <w:wBefore w:w="263" w:type="pct"/>
          <w:cantSplit/>
        </w:trPr>
        <w:tc>
          <w:tcPr>
            <w:tcW w:w="4737" w:type="pct"/>
            <w:gridSpan w:val="4"/>
          </w:tcPr>
          <w:p w14:paraId="0E6852B6" w14:textId="77777777" w:rsidR="00D01A52" w:rsidRDefault="00D01A52">
            <w:pPr>
              <w:pStyle w:val="Source"/>
            </w:pPr>
            <w:r>
              <w:t xml:space="preserve">Source: </w:t>
            </w:r>
            <w:r w:rsidRPr="00223036">
              <w:rPr>
                <w:lang w:eastAsia="en-AU"/>
              </w:rPr>
              <w:t>Zacharias et al</w:t>
            </w:r>
            <w:r w:rsidR="009F5C29">
              <w:rPr>
                <w:lang w:eastAsia="en-AU"/>
              </w:rPr>
              <w:t>.</w:t>
            </w:r>
            <w:r w:rsidRPr="00223036">
              <w:rPr>
                <w:lang w:eastAsia="en-AU"/>
              </w:rPr>
              <w:t xml:space="preserve"> 2016</w:t>
            </w:r>
          </w:p>
        </w:tc>
      </w:tr>
      <w:tr w:rsidR="00D01A52" w14:paraId="636469D7" w14:textId="77777777" w:rsidTr="00D01A52">
        <w:tblPrEx>
          <w:tblBorders>
            <w:bottom w:val="single" w:sz="4" w:space="0" w:color="646464"/>
            <w:insideH w:val="single" w:sz="4" w:space="0" w:color="646464"/>
          </w:tblBorders>
        </w:tblPrEx>
        <w:trPr>
          <w:gridBefore w:val="1"/>
          <w:wBefore w:w="263" w:type="pct"/>
          <w:cantSplit/>
          <w:trHeight w:hRule="exact" w:val="120"/>
        </w:trPr>
        <w:tc>
          <w:tcPr>
            <w:tcW w:w="4737" w:type="pct"/>
            <w:gridSpan w:val="4"/>
            <w:tcBorders>
              <w:bottom w:val="nil"/>
            </w:tcBorders>
          </w:tcPr>
          <w:p w14:paraId="69CC72FE" w14:textId="77777777" w:rsidR="00D01A52" w:rsidRDefault="00D01A52" w:rsidP="00AD49C8">
            <w:pPr>
              <w:pStyle w:val="spacertbl"/>
              <w:keepNext/>
            </w:pPr>
          </w:p>
        </w:tc>
      </w:tr>
    </w:tbl>
    <w:p w14:paraId="1E3D48B4" w14:textId="2CDD7EC9" w:rsidR="00502B62" w:rsidRDefault="00502B62" w:rsidP="00502B62">
      <w:pPr>
        <w:pStyle w:val="BodyText"/>
      </w:pPr>
      <w:r>
        <w:t>Overall, the study paints a mixed picture of the impact of scholarships, although methodological limitations prevent strong conclusions from the analysis. Most importantly, there are selection</w:t>
      </w:r>
      <w:r w:rsidR="008708D3">
        <w:t>-</w:t>
      </w:r>
      <w:r>
        <w:t xml:space="preserve">bias issues with the study as none of the scholarships are awarded at random within cohorts—the </w:t>
      </w:r>
      <w:r w:rsidRPr="00405774">
        <w:t>University of Sydney</w:t>
      </w:r>
      <w:r>
        <w:t xml:space="preserve"> scholarships are awarded on merit, while the other university scholarships are awarded on the basis of need</w:t>
      </w:r>
      <w:r w:rsidR="008708D3">
        <w:t>-</w:t>
      </w:r>
      <w:r>
        <w:t xml:space="preserve"> It would be reasonable to expect that the </w:t>
      </w:r>
      <w:r w:rsidRPr="00405774">
        <w:t>University of Sydney</w:t>
      </w:r>
      <w:r>
        <w:t xml:space="preserve"> scholarship recipients are more likely to succeed at university, compared to those who were not awarded scholarships, regardless of the impact of the scholarship. A similar but opposite effect could be expected </w:t>
      </w:r>
      <w:r w:rsidR="00F77957">
        <w:t xml:space="preserve">with the scholarships </w:t>
      </w:r>
      <w:r>
        <w:t>at the other two universities.</w:t>
      </w:r>
    </w:p>
    <w:p w14:paraId="301AF4F0" w14:textId="77777777" w:rsidR="00502B62" w:rsidRDefault="00502B62" w:rsidP="00502B62">
      <w:pPr>
        <w:pStyle w:val="BodyText"/>
      </w:pPr>
      <w:r>
        <w:t>These issues notwithstanding, s</w:t>
      </w:r>
      <w:r w:rsidRPr="001A2F85">
        <w:t xml:space="preserve">tudents </w:t>
      </w:r>
      <w:r>
        <w:t xml:space="preserve">in the study </w:t>
      </w:r>
      <w:r w:rsidRPr="001A2F85">
        <w:t xml:space="preserve">reported that scholarships made a significant difference, often enabling recipients to continue with their study rather than drop out and work in order to support themselves. The scholarships also supported increased social engagement as students could afford to access university activities and </w:t>
      </w:r>
      <w:r>
        <w:t xml:space="preserve">societies with membership fees. </w:t>
      </w:r>
      <w:r w:rsidRPr="001A2F85">
        <w:t>Student</w:t>
      </w:r>
      <w:r w:rsidR="0021557C">
        <w:t>s’</w:t>
      </w:r>
      <w:r w:rsidRPr="001A2F85">
        <w:t xml:space="preserve"> comments also supported staff views that scholarships are a strong retention device, observing that </w:t>
      </w:r>
      <w:r w:rsidR="0021557C">
        <w:t>the scholarships</w:t>
      </w:r>
      <w:r w:rsidRPr="001A2F85">
        <w:t xml:space="preserve"> gave them a ‘strong reason’ to stay at university and helped improve their academic results since the financial support meant more time spent </w:t>
      </w:r>
      <w:r>
        <w:t>studying and less time working (</w:t>
      </w:r>
      <w:r w:rsidR="0021557C">
        <w:t>Zacharias </w:t>
      </w:r>
      <w:r>
        <w:t>et al</w:t>
      </w:r>
      <w:r w:rsidR="009F5C29">
        <w:t>.</w:t>
      </w:r>
      <w:r>
        <w:t xml:space="preserve"> 2016).</w:t>
      </w:r>
      <w:bookmarkStart w:id="306" w:name="_Toc464634437"/>
    </w:p>
    <w:p w14:paraId="153362F9" w14:textId="77777777" w:rsidR="00502B62" w:rsidRPr="001A2F85" w:rsidRDefault="00502B62" w:rsidP="00502B62">
      <w:pPr>
        <w:pStyle w:val="Heading2"/>
      </w:pPr>
      <w:bookmarkStart w:id="307" w:name="_Toc466657136"/>
      <w:r w:rsidRPr="001A2F85">
        <w:t>The overall impact of HEPPP Participation stage activities</w:t>
      </w:r>
      <w:bookmarkEnd w:id="306"/>
      <w:bookmarkEnd w:id="307"/>
    </w:p>
    <w:p w14:paraId="6F689E61" w14:textId="77777777" w:rsidR="00502B62" w:rsidRPr="001A2F85" w:rsidRDefault="00502B62" w:rsidP="00502B62">
      <w:pPr>
        <w:pStyle w:val="BodyText"/>
      </w:pPr>
      <w:r w:rsidRPr="001A2F85">
        <w:t xml:space="preserve">There is evidence that Participation activities undertaken through the HEPPP are </w:t>
      </w:r>
      <w:r w:rsidR="00E435AD">
        <w:t>having an impact on</w:t>
      </w:r>
      <w:r w:rsidRPr="001A2F85">
        <w:t xml:space="preserve"> low SES undergraduate students’ retention and completion rates, a key objective of the program as outlined in the Guidelines.</w:t>
      </w:r>
    </w:p>
    <w:p w14:paraId="1B90EAB9" w14:textId="77777777" w:rsidR="00502B62" w:rsidRDefault="00502B62" w:rsidP="00502B62">
      <w:pPr>
        <w:pStyle w:val="BodyText"/>
      </w:pPr>
      <w:r w:rsidRPr="001A2F85">
        <w:t xml:space="preserve">HEPPP Participation projects most commonly involve academic preparation/support and activities to support transition to university for </w:t>
      </w:r>
      <w:r>
        <w:t xml:space="preserve">low SES </w:t>
      </w:r>
      <w:r w:rsidRPr="001A2F85">
        <w:t xml:space="preserve">first year students. </w:t>
      </w:r>
      <w:r>
        <w:t xml:space="preserve">The academic skills gained in this first year support </w:t>
      </w:r>
      <w:r w:rsidR="000E7069">
        <w:t xml:space="preserve">students’ </w:t>
      </w:r>
      <w:r>
        <w:t xml:space="preserve">retention into </w:t>
      </w:r>
      <w:r w:rsidR="000E7069">
        <w:t xml:space="preserve">their </w:t>
      </w:r>
      <w:r>
        <w:t xml:space="preserve">second and later years of study. </w:t>
      </w:r>
      <w:r w:rsidRPr="001A2F85">
        <w:t xml:space="preserve">The specific equity groups of low SES </w:t>
      </w:r>
      <w:r>
        <w:t>Indigenous</w:t>
      </w:r>
      <w:r w:rsidRPr="001A2F85">
        <w:t xml:space="preserve"> students and low SES students from regional/remote areas were often targeted in the projects, and most projects focused on first year/commencing university students, although continuing/later year students are also an important</w:t>
      </w:r>
      <w:r w:rsidR="007D6DB1">
        <w:t xml:space="preserve"> EIF</w:t>
      </w:r>
      <w:r w:rsidRPr="001A2F85">
        <w:t xml:space="preserve"> target group.</w:t>
      </w:r>
    </w:p>
    <w:p w14:paraId="21897BDF" w14:textId="77777777" w:rsidR="00502B62" w:rsidRDefault="00E7132F" w:rsidP="00502B62">
      <w:pPr>
        <w:pStyle w:val="BodyText"/>
      </w:pPr>
      <w:r>
        <w:t>U</w:t>
      </w:r>
      <w:r w:rsidR="00502B62">
        <w:t>niversities have reviewed student data to identify courses with high enrolments of students from priority cohorts and have introduced academic programs that complement the coursework</w:t>
      </w:r>
      <w:r>
        <w:t xml:space="preserve"> in these courses</w:t>
      </w:r>
      <w:r w:rsidR="00502B62">
        <w:t xml:space="preserve">. </w:t>
      </w:r>
      <w:r>
        <w:t>Some u</w:t>
      </w:r>
      <w:r w:rsidR="00502B62">
        <w:t>niversities provide learning support that is placed within the course (embedded) or is delivered concurrently to the coursework, and where the learning support is heavily contextualised. Universities continue to provide learning support independently of courses and available to individual students on an as-needs basis.</w:t>
      </w:r>
    </w:p>
    <w:p w14:paraId="3261EA7C" w14:textId="77777777" w:rsidR="00D816B8" w:rsidRDefault="004979A6" w:rsidP="004979A6">
      <w:pPr>
        <w:pStyle w:val="BodyText"/>
      </w:pPr>
      <w:r>
        <w:t xml:space="preserve">There is some evidence that </w:t>
      </w:r>
      <w:r w:rsidR="00E7132F">
        <w:t>some HEPPP Participation projects are not being targeted at low SES students, and instead are being delivered to all SES groups within a particular cohort. In some instances this cannot be avoided, for example with i</w:t>
      </w:r>
      <w:r w:rsidR="00E7132F" w:rsidRPr="001A2F85">
        <w:t>nclusive course design/pedagogies</w:t>
      </w:r>
      <w:r w:rsidR="00E7132F">
        <w:t xml:space="preserve"> projects, but in other types of projects this is not the case. Based on a review of HEPPP projects and consultations for this evaluation, it is clear that across a number of universities there is little or no targeting of low SES students in some</w:t>
      </w:r>
      <w:r w:rsidR="00E7132F" w:rsidRPr="00E7132F">
        <w:t xml:space="preserve"> first year transition </w:t>
      </w:r>
      <w:r w:rsidR="00E7132F">
        <w:t>projects and m</w:t>
      </w:r>
      <w:r w:rsidR="00E7132F" w:rsidRPr="00E7132F">
        <w:t>onitoring student progress</w:t>
      </w:r>
      <w:r w:rsidR="00E7132F">
        <w:t xml:space="preserve"> projects. </w:t>
      </w:r>
      <w:r w:rsidR="00D816B8">
        <w:t>This practice is also apparent in some m</w:t>
      </w:r>
      <w:r w:rsidR="00D816B8" w:rsidRPr="00D816B8">
        <w:t>entoring</w:t>
      </w:r>
      <w:r w:rsidR="00D816B8">
        <w:t xml:space="preserve"> and</w:t>
      </w:r>
      <w:r w:rsidR="00D816B8" w:rsidRPr="00D816B8">
        <w:t xml:space="preserve"> peer support</w:t>
      </w:r>
      <w:r w:rsidR="00D816B8">
        <w:t xml:space="preserve"> projects, and a</w:t>
      </w:r>
      <w:r w:rsidR="00D816B8" w:rsidRPr="001A2F85">
        <w:t>cademic preparation/support</w:t>
      </w:r>
      <w:r w:rsidR="00D816B8">
        <w:t xml:space="preserve"> projects. Universities report that some HEPPP projects are open to all students due to the practicalities of identifying low SES students, and a broadly held principle among some universities that any identification or targeting of low SES students risks stigmatising these students. </w:t>
      </w:r>
    </w:p>
    <w:p w14:paraId="716D7408" w14:textId="77777777" w:rsidR="00502B62" w:rsidRPr="001A2F85" w:rsidRDefault="00502B62" w:rsidP="00502B62">
      <w:pPr>
        <w:pStyle w:val="BodyText"/>
        <w:rPr>
          <w:lang w:eastAsia="en-AU"/>
        </w:rPr>
      </w:pPr>
      <w:r w:rsidRPr="001A2F85">
        <w:t xml:space="preserve">There have been a considerable number of evaluations carried out of by universities of HEPPP Participation stage activities. These evaluations often involve surveys of participating students which universities then use to improve the design of their HEPPP projects. Some evaluations also examine participating student academic outcomes, but these studies struggle to provide definitive impact and effect sizes for HEPPP projects dues to issues around a lack of suitable counterfactuals and small </w:t>
      </w:r>
      <w:r w:rsidRPr="00223036">
        <w:t xml:space="preserve">sample sizes (for example, </w:t>
      </w:r>
      <w:r w:rsidRPr="00223036">
        <w:rPr>
          <w:lang w:eastAsia="en-AU"/>
        </w:rPr>
        <w:t>Zacharias et al</w:t>
      </w:r>
      <w:r w:rsidR="009F5C29">
        <w:rPr>
          <w:lang w:eastAsia="en-AU"/>
        </w:rPr>
        <w:t>.</w:t>
      </w:r>
      <w:r w:rsidRPr="00223036">
        <w:rPr>
          <w:lang w:eastAsia="en-AU"/>
        </w:rPr>
        <w:t xml:space="preserve"> 2016).</w:t>
      </w:r>
    </w:p>
    <w:p w14:paraId="0F0940B5" w14:textId="77777777" w:rsidR="00502B62" w:rsidRDefault="00502B62" w:rsidP="00502B62">
      <w:pPr>
        <w:pStyle w:val="BodyText"/>
      </w:pPr>
      <w:r w:rsidRPr="001A2F85">
        <w:rPr>
          <w:lang w:eastAsia="en-AU"/>
        </w:rPr>
        <w:t xml:space="preserve">Despite this, the evaluations of HEPPP </w:t>
      </w:r>
      <w:r w:rsidRPr="001A2F85">
        <w:t>Participation stage projects indicate the universities</w:t>
      </w:r>
      <w:r w:rsidR="00132880">
        <w:t>’</w:t>
      </w:r>
      <w:r w:rsidR="00DC6371">
        <w:t xml:space="preserve"> </w:t>
      </w:r>
      <w:r w:rsidRPr="001A2F85">
        <w:t xml:space="preserve">activities in this area are likely to be having a positive impact on student retention and success, both of which lead to course completion and employability. </w:t>
      </w:r>
    </w:p>
    <w:p w14:paraId="71042582" w14:textId="77777777" w:rsidR="00502B62" w:rsidRDefault="00502B62" w:rsidP="00502B62">
      <w:pPr>
        <w:pStyle w:val="BodyText"/>
      </w:pPr>
      <w:r>
        <w:t>Academic support programs, particularly those that targeted priority cohorts in the first year and/or were contextualised for the course (such as PASS), were shown to be effective in improving student academic outcomes and retention to later years of study. Mentoring and peer support was also shown to be effective in supporting students to remain engaged in their study, particularly in those programs designed to meet the specific cultural needs of the priority cohort.</w:t>
      </w:r>
    </w:p>
    <w:p w14:paraId="471FF08D" w14:textId="77777777" w:rsidR="00502B62" w:rsidRDefault="00502B62" w:rsidP="00502B62">
      <w:pPr>
        <w:pStyle w:val="BodyText"/>
      </w:pPr>
      <w:r>
        <w:t xml:space="preserve">There has been some increase in the number of universities using the HEPPP to undertake closer and more personalised tracking of student progress, and to adopt inclusive pedagogical practices. Early evidence provided by universities indicates that the use of data analytics to identify ‘at risk’ students in conjunction with personal contact is effective in supporting students to remain in study. The smaller number of projects targeting inclusive pedagogies and the lack of associated outcomes data so far mean that that effectiveness </w:t>
      </w:r>
      <w:r w:rsidR="00C53600">
        <w:t xml:space="preserve">of these projects </w:t>
      </w:r>
      <w:r>
        <w:t>cannot yet be inferred.</w:t>
      </w:r>
    </w:p>
    <w:p w14:paraId="2F5C22AC" w14:textId="77777777" w:rsidR="00502B62" w:rsidRDefault="00502B62" w:rsidP="00502B62">
      <w:pPr>
        <w:pStyle w:val="BodyText"/>
      </w:pPr>
      <w:r>
        <w:t xml:space="preserve">Data from Participation stage scholarship programs demonstrate their effectiveness in retaining </w:t>
      </w:r>
      <w:r w:rsidR="00655909">
        <w:t>low SES</w:t>
      </w:r>
      <w:r>
        <w:t xml:space="preserve"> students in study and improving their academic outcomes. Evaluation data indicate that this is attributable to the ‘obligation to succeed’ felt by recipients, the capacity for recipients to focus on study rather than working to support themselves </w:t>
      </w:r>
      <w:r w:rsidR="00AF309A">
        <w:t xml:space="preserve">financially </w:t>
      </w:r>
      <w:r>
        <w:t>and to the associated peer support and social activities that accompany the scholarship programs.</w:t>
      </w:r>
    </w:p>
    <w:p w14:paraId="7CAAE4F7" w14:textId="77777777" w:rsidR="00502B62" w:rsidRPr="001A2F85" w:rsidRDefault="00502B62" w:rsidP="00502B62">
      <w:pPr>
        <w:pStyle w:val="BodyText"/>
      </w:pPr>
      <w:r w:rsidRPr="001A2F85">
        <w:t>The evaluations are supported by the evidence collected as part of this evaluation, including staff and students surveys, stakeholder interviews and written submissions. In totality, those consulted report increases in the participation, retention and attainment of priority cohorts arising from HEPPP activities.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502B62" w:rsidRPr="001A2F85" w14:paraId="116B7C48" w14:textId="77777777" w:rsidTr="00BB3E7B">
        <w:trPr>
          <w:cantSplit/>
        </w:trPr>
        <w:tc>
          <w:tcPr>
            <w:tcW w:w="8614" w:type="dxa"/>
            <w:tcMar>
              <w:top w:w="160" w:type="dxa"/>
              <w:left w:w="446" w:type="dxa"/>
            </w:tcMar>
          </w:tcPr>
          <w:p w14:paraId="431ED8AF" w14:textId="77777777" w:rsidR="00502B62" w:rsidRPr="001A2F85" w:rsidRDefault="00502B62" w:rsidP="00BB3E7B">
            <w:pPr>
              <w:pStyle w:val="Caption"/>
            </w:pPr>
            <w:r w:rsidRPr="001A2F85">
              <w:rPr>
                <w:rStyle w:val="CaptionLabel"/>
              </w:rPr>
              <w:t>Key Finding </w:t>
            </w:r>
            <w:r w:rsidR="008C090E">
              <w:rPr>
                <w:rStyle w:val="CaptionLabel"/>
                <w:noProof/>
              </w:rPr>
              <w:t>4</w:t>
            </w:r>
            <w:r w:rsidRPr="001A2F85">
              <w:tab/>
              <w:t>Participation</w:t>
            </w:r>
          </w:p>
        </w:tc>
      </w:tr>
      <w:tr w:rsidR="00502B62" w:rsidRPr="001A2F85" w14:paraId="64DBDA1F" w14:textId="77777777" w:rsidTr="00BB3E7B">
        <w:trPr>
          <w:cantSplit/>
        </w:trPr>
        <w:tc>
          <w:tcPr>
            <w:tcW w:w="8614" w:type="dxa"/>
            <w:shd w:val="clear" w:color="auto" w:fill="E4E0DD"/>
            <w:tcMar>
              <w:top w:w="276" w:type="dxa"/>
              <w:bottom w:w="0" w:type="dxa"/>
              <w:right w:w="120" w:type="dxa"/>
            </w:tcMar>
          </w:tcPr>
          <w:p w14:paraId="638B8D4D" w14:textId="77777777" w:rsidR="00502B62" w:rsidRPr="00C91FA0" w:rsidRDefault="00502B62" w:rsidP="00BB3E7B">
            <w:pPr>
              <w:pStyle w:val="BoxText"/>
            </w:pPr>
            <w:r w:rsidRPr="00C91FA0">
              <w:t xml:space="preserve">HEPPP Participation projects most commonly involve academic preparation/support and activities to support transition to university for first year students. </w:t>
            </w:r>
          </w:p>
          <w:p w14:paraId="7BB8B72F" w14:textId="77777777" w:rsidR="00502B62" w:rsidRPr="00C91FA0" w:rsidRDefault="00502B62" w:rsidP="00BB3E7B">
            <w:pPr>
              <w:pStyle w:val="BoxText"/>
            </w:pPr>
            <w:r w:rsidRPr="00C91FA0">
              <w:t>The specific equity groups most often targeted in Participation projects</w:t>
            </w:r>
            <w:r w:rsidR="003625C8" w:rsidRPr="00C91FA0">
              <w:t>, apart from low SES students generally,</w:t>
            </w:r>
            <w:r w:rsidRPr="00C91FA0">
              <w:t xml:space="preserve"> were low SES Indigenous students and low SES students from regional/remote areas. Most Participation projects focused on first year/commencing university students, although continuing/later year students are also an important</w:t>
            </w:r>
            <w:r w:rsidR="007D6DB1" w:rsidRPr="00C91FA0">
              <w:t xml:space="preserve"> EIF</w:t>
            </w:r>
            <w:r w:rsidRPr="00C91FA0">
              <w:t xml:space="preserve"> target group.</w:t>
            </w:r>
          </w:p>
          <w:p w14:paraId="78587BB5" w14:textId="77777777" w:rsidR="00502B62" w:rsidRPr="00C91FA0" w:rsidRDefault="00502B62" w:rsidP="00BB3E7B">
            <w:pPr>
              <w:pStyle w:val="BoxText"/>
            </w:pPr>
            <w:r w:rsidRPr="00C91FA0">
              <w:t>Based on university evaluations</w:t>
            </w:r>
            <w:r w:rsidR="00E663EF" w:rsidRPr="00C91FA0">
              <w:t xml:space="preserve"> and</w:t>
            </w:r>
            <w:r w:rsidRPr="00C91FA0">
              <w:t xml:space="preserve"> consultations for this evaluation, there is evidence that Participation activities undertaken through the HEPPP are assisting to ‘improve [low SES students’] retention and completion rates’, one of the program objectives outlined in the Guidelines.</w:t>
            </w:r>
            <w:r w:rsidR="00D816B8">
              <w:t xml:space="preserve"> There is also evidence that some HEPPP projects are not well targeted at low SES students, which could reduce the impact of the HEPPP on low SES students.</w:t>
            </w:r>
          </w:p>
          <w:p w14:paraId="758ED5D9" w14:textId="77777777" w:rsidR="00502B62" w:rsidRPr="00C91FA0" w:rsidRDefault="00502B62" w:rsidP="00BB3E7B">
            <w:pPr>
              <w:pStyle w:val="BoxText"/>
            </w:pPr>
            <w:r w:rsidRPr="00C91FA0">
              <w:t>University evaluations of HEPPP Participation stage projects indicate the universities</w:t>
            </w:r>
            <w:r w:rsidR="00AF309A" w:rsidRPr="00C91FA0">
              <w:t>’</w:t>
            </w:r>
            <w:r w:rsidRPr="00C91FA0">
              <w:t xml:space="preserve"> activities in this area are having a positive impact on student retention and success, both of which lead to course completion and employability, though they have not yet been able to quantify this.</w:t>
            </w:r>
          </w:p>
          <w:p w14:paraId="03AED2DB" w14:textId="77777777" w:rsidR="00502B62" w:rsidRPr="001A2F85" w:rsidRDefault="00502B62" w:rsidP="000A5A11">
            <w:pPr>
              <w:pStyle w:val="BoxText"/>
            </w:pPr>
            <w:r w:rsidRPr="00C91FA0">
              <w:t xml:space="preserve">University evaluation findings in relation to Participation projects are supported by </w:t>
            </w:r>
            <w:r w:rsidR="000A5A11">
              <w:t>other</w:t>
            </w:r>
            <w:r w:rsidR="000A5A11" w:rsidRPr="00C91FA0">
              <w:t xml:space="preserve"> </w:t>
            </w:r>
            <w:r w:rsidRPr="00C91FA0">
              <w:t>evidence collected as part of this evaluation, including staff and students surveys, stakeholder interviews and written submissions. Those consulted report increases in the participation, retention and completion of priority cohorts arising from HEPPP activities.</w:t>
            </w:r>
          </w:p>
        </w:tc>
      </w:tr>
      <w:tr w:rsidR="00502B62" w:rsidRPr="001A2F85" w14:paraId="33AFF7C2" w14:textId="77777777" w:rsidTr="00BB3E7B">
        <w:trPr>
          <w:cantSplit/>
          <w:trHeight w:hRule="exact" w:val="376"/>
        </w:trPr>
        <w:tc>
          <w:tcPr>
            <w:tcW w:w="8614" w:type="dxa"/>
            <w:shd w:val="clear" w:color="auto" w:fill="E4E0DD"/>
            <w:tcMar>
              <w:top w:w="0" w:type="dxa"/>
              <w:bottom w:w="0" w:type="dxa"/>
              <w:right w:w="0" w:type="dxa"/>
            </w:tcMar>
          </w:tcPr>
          <w:p w14:paraId="614BCACD" w14:textId="77777777" w:rsidR="00502B62" w:rsidRPr="001A2F85" w:rsidRDefault="00502B62" w:rsidP="00BB3E7B">
            <w:pPr>
              <w:pStyle w:val="spacer"/>
            </w:pPr>
          </w:p>
        </w:tc>
      </w:tr>
      <w:tr w:rsidR="00502B62" w:rsidRPr="001A2F85" w14:paraId="7AB176A7" w14:textId="77777777" w:rsidTr="00BB3E7B">
        <w:trPr>
          <w:cantSplit/>
          <w:trHeight w:hRule="exact" w:val="180"/>
        </w:trPr>
        <w:tc>
          <w:tcPr>
            <w:tcW w:w="8614" w:type="dxa"/>
            <w:tcMar>
              <w:top w:w="0" w:type="dxa"/>
              <w:left w:w="446" w:type="dxa"/>
              <w:bottom w:w="0" w:type="dxa"/>
            </w:tcMar>
          </w:tcPr>
          <w:p w14:paraId="00C0ACCA" w14:textId="77777777" w:rsidR="00502B62" w:rsidRPr="001A2F85" w:rsidRDefault="00A45AB3" w:rsidP="00BB3E7B">
            <w:pPr>
              <w:pStyle w:val="spacertbl"/>
            </w:pPr>
            <w:r>
              <w:rPr>
                <w:noProof/>
                <w:lang w:eastAsia="en-AU"/>
              </w:rPr>
              <mc:AlternateContent>
                <mc:Choice Requires="wps">
                  <w:drawing>
                    <wp:anchor distT="0" distB="0" distL="114300" distR="114300" simplePos="0" relativeHeight="251657216" behindDoc="0" locked="1" layoutInCell="1" allowOverlap="1" wp14:anchorId="73750FFF" wp14:editId="01F2F92D">
                      <wp:simplePos x="0" y="0"/>
                      <wp:positionH relativeFrom="rightMargin">
                        <wp:posOffset>-772795</wp:posOffset>
                      </wp:positionH>
                      <wp:positionV relativeFrom="page">
                        <wp:posOffset>-237490</wp:posOffset>
                      </wp:positionV>
                      <wp:extent cx="436880" cy="213360"/>
                      <wp:effectExtent l="0" t="0" r="1270" b="0"/>
                      <wp:wrapNone/>
                      <wp:docPr id="20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04FBD4" id="Freeform 5" o:spid="_x0000_s1026" style="position:absolute;margin-left:-60.85pt;margin-top:-18.7pt;width:34.4pt;height:16.8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2FF63911" w14:textId="77777777" w:rsidR="00090683" w:rsidRPr="001A2F85" w:rsidRDefault="00090683" w:rsidP="00090683">
      <w:pPr>
        <w:pStyle w:val="BodyText"/>
      </w:pPr>
    </w:p>
    <w:p w14:paraId="13F7FFF8" w14:textId="77777777" w:rsidR="00090683" w:rsidRPr="001A2F85" w:rsidRDefault="00090683" w:rsidP="00090683">
      <w:pPr>
        <w:pStyle w:val="BodyText"/>
        <w:sectPr w:rsidR="00090683" w:rsidRPr="001A2F85" w:rsidSect="00EA6577">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090683" w:rsidRPr="001A2F85" w14:paraId="5CCFC97A" w14:textId="77777777" w:rsidTr="000B7E9A">
        <w:trPr>
          <w:trHeight w:hRule="exact" w:val="382"/>
        </w:trPr>
        <w:tc>
          <w:tcPr>
            <w:tcW w:w="4738" w:type="dxa"/>
            <w:shd w:val="clear" w:color="auto" w:fill="9D57A6"/>
          </w:tcPr>
          <w:p w14:paraId="2C2388D0" w14:textId="77777777" w:rsidR="00090683" w:rsidRPr="001A2F85" w:rsidRDefault="00090683" w:rsidP="000B7E9A">
            <w:pPr>
              <w:pStyle w:val="tagchapterBanner"/>
            </w:pPr>
            <w:r>
              <w:rPr>
                <w:noProof/>
                <w:lang w:eastAsia="en-AU"/>
              </w:rPr>
              <mc:AlternateContent>
                <mc:Choice Requires="wps">
                  <w:drawing>
                    <wp:anchor distT="0" distB="0" distL="114300" distR="114300" simplePos="0" relativeHeight="251675648" behindDoc="0" locked="1" layoutInCell="1" allowOverlap="1" wp14:anchorId="702D79E7" wp14:editId="614DDD9B">
                      <wp:simplePos x="0" y="0"/>
                      <wp:positionH relativeFrom="page">
                        <wp:posOffset>158750</wp:posOffset>
                      </wp:positionH>
                      <wp:positionV relativeFrom="page">
                        <wp:posOffset>6350</wp:posOffset>
                      </wp:positionV>
                      <wp:extent cx="439420" cy="215265"/>
                      <wp:effectExtent l="0" t="0" r="0" b="0"/>
                      <wp:wrapNone/>
                      <wp:docPr id="14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5DB4B6" id="Freeform 5" o:spid="_x0000_s1026" style="position:absolute;margin-left:12.5pt;margin-top:.5pt;width:34.6pt;height:16.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CEgsio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6A44647C" w14:textId="77777777" w:rsidR="00090683" w:rsidRPr="001A2F85" w:rsidRDefault="00090683" w:rsidP="000B7E9A">
            <w:pPr>
              <w:pStyle w:val="spacer"/>
            </w:pPr>
          </w:p>
        </w:tc>
      </w:tr>
      <w:tr w:rsidR="00090683" w:rsidRPr="001A2F85" w14:paraId="5DD1F3E0" w14:textId="77777777" w:rsidTr="000B7E9A">
        <w:trPr>
          <w:trHeight w:hRule="exact" w:val="3665"/>
        </w:trPr>
        <w:tc>
          <w:tcPr>
            <w:tcW w:w="4738" w:type="dxa"/>
            <w:shd w:val="clear" w:color="auto" w:fill="9D57A6"/>
            <w:tcMar>
              <w:left w:w="0" w:type="dxa"/>
              <w:bottom w:w="0" w:type="dxa"/>
            </w:tcMar>
            <w:vAlign w:val="bottom"/>
          </w:tcPr>
          <w:p w14:paraId="2A7144C2" w14:textId="77777777" w:rsidR="00090683" w:rsidRPr="001A2F85" w:rsidRDefault="00090683" w:rsidP="000B7E9A">
            <w:pPr>
              <w:pStyle w:val="Heading1"/>
              <w:spacing w:line="240" w:lineRule="auto"/>
              <w:outlineLvl w:val="0"/>
            </w:pPr>
            <w:r w:rsidRPr="001A2F85">
              <w:t>Attainment and Transition Out</w:t>
            </w:r>
          </w:p>
        </w:tc>
        <w:tc>
          <w:tcPr>
            <w:tcW w:w="3430" w:type="dxa"/>
            <w:shd w:val="clear" w:color="auto" w:fill="9D57A6"/>
            <w:tcMar>
              <w:right w:w="344" w:type="dxa"/>
            </w:tcMar>
          </w:tcPr>
          <w:p w14:paraId="56678E7B" w14:textId="77777777" w:rsidR="00090683" w:rsidRPr="001A2F85" w:rsidRDefault="00090683" w:rsidP="000B7E9A">
            <w:pPr>
              <w:pStyle w:val="HeadingChapter"/>
              <w:keepNext/>
            </w:pPr>
            <w:bookmarkStart w:id="308" w:name="_Toc466657137"/>
            <w:r>
              <w:t>7</w:t>
            </w:r>
            <w:bookmarkEnd w:id="308"/>
          </w:p>
        </w:tc>
      </w:tr>
      <w:tr w:rsidR="00090683" w:rsidRPr="001A2F85" w14:paraId="7D868E01" w14:textId="77777777" w:rsidTr="000B7E9A">
        <w:trPr>
          <w:trHeight w:hRule="exact" w:val="232"/>
        </w:trPr>
        <w:tc>
          <w:tcPr>
            <w:tcW w:w="4738" w:type="dxa"/>
            <w:shd w:val="clear" w:color="auto" w:fill="9D57A6"/>
          </w:tcPr>
          <w:p w14:paraId="5A85C77E" w14:textId="77777777" w:rsidR="00090683" w:rsidRPr="001A2F85" w:rsidRDefault="00090683" w:rsidP="000B7E9A">
            <w:pPr>
              <w:pStyle w:val="Chpt-Context"/>
            </w:pPr>
          </w:p>
        </w:tc>
        <w:tc>
          <w:tcPr>
            <w:tcW w:w="3430" w:type="dxa"/>
            <w:shd w:val="clear" w:color="auto" w:fill="9D57A6"/>
          </w:tcPr>
          <w:p w14:paraId="594314EC" w14:textId="77777777" w:rsidR="00090683" w:rsidRPr="001A2F85" w:rsidRDefault="00090683" w:rsidP="000B7E9A">
            <w:pPr>
              <w:pStyle w:val="Chpt-Context"/>
            </w:pPr>
            <w:bookmarkStart w:id="309" w:name="_Toc466657138"/>
            <w:r>
              <w:rPr>
                <w:noProof/>
              </w:rPr>
              <w:t>Attainment and Transition Out</w:t>
            </w:r>
            <w:bookmarkEnd w:id="309"/>
          </w:p>
        </w:tc>
      </w:tr>
      <w:tr w:rsidR="00090683" w:rsidRPr="001A2F85" w14:paraId="43D68F5A" w14:textId="77777777" w:rsidTr="000B7E9A">
        <w:trPr>
          <w:trHeight w:hRule="exact" w:val="228"/>
        </w:trPr>
        <w:tc>
          <w:tcPr>
            <w:tcW w:w="4738" w:type="dxa"/>
            <w:tcBorders>
              <w:top w:val="single" w:sz="4" w:space="0" w:color="9D57A6"/>
            </w:tcBorders>
          </w:tcPr>
          <w:p w14:paraId="2E02A843" w14:textId="77777777" w:rsidR="00090683" w:rsidRPr="001A2F85" w:rsidRDefault="00090683" w:rsidP="000B7E9A">
            <w:pPr>
              <w:pStyle w:val="spacer"/>
            </w:pPr>
          </w:p>
        </w:tc>
        <w:tc>
          <w:tcPr>
            <w:tcW w:w="3430" w:type="dxa"/>
            <w:tcBorders>
              <w:top w:val="single" w:sz="4" w:space="0" w:color="9D57A6"/>
            </w:tcBorders>
          </w:tcPr>
          <w:p w14:paraId="36FDDB65" w14:textId="77777777" w:rsidR="00090683" w:rsidRPr="001A2F85" w:rsidRDefault="00090683" w:rsidP="000B7E9A">
            <w:pPr>
              <w:pStyle w:val="spacer"/>
            </w:pPr>
          </w:p>
        </w:tc>
      </w:tr>
    </w:tbl>
    <w:p w14:paraId="19464B7C" w14:textId="77777777" w:rsidR="00090683" w:rsidRDefault="00090683" w:rsidP="00090683">
      <w:pPr>
        <w:pStyle w:val="Introduction"/>
      </w:pPr>
      <w:r>
        <w:t>This chapter provides an analysis of the range and impact of HEPPP activities carried out by universities at the Attainment and Transition Out stage of the</w:t>
      </w:r>
      <w:r w:rsidRPr="006B6BAD">
        <w:t xml:space="preserve"> </w:t>
      </w:r>
      <w:r>
        <w:t>EIF student life cycle.</w:t>
      </w:r>
    </w:p>
    <w:p w14:paraId="38CA9B14" w14:textId="77777777" w:rsidR="00090683" w:rsidRDefault="00090683" w:rsidP="00090683">
      <w:pPr>
        <w:pStyle w:val="BodyText"/>
      </w:pPr>
      <w:r>
        <w:t>The Transition Out</w:t>
      </w:r>
      <w:r w:rsidRPr="001A2F85">
        <w:t xml:space="preserve"> stage comprises two elements</w:t>
      </w:r>
      <w:r>
        <w:t>: c</w:t>
      </w:r>
      <w:r w:rsidRPr="001A2F85">
        <w:t>ompletion activities targeting current students, with a focus careers advice and employability skills</w:t>
      </w:r>
      <w:r>
        <w:t>; and g</w:t>
      </w:r>
      <w:r w:rsidRPr="001A2F85">
        <w:t xml:space="preserve">raduate destinations targeting final year and graduate students, with a focus on </w:t>
      </w:r>
      <w:r>
        <w:t>study advice</w:t>
      </w:r>
      <w:r w:rsidRPr="001A2F85">
        <w:t xml:space="preserve"> and support for postgraduate study.</w:t>
      </w:r>
      <w:r>
        <w:t xml:space="preserve"> Universities may </w:t>
      </w:r>
      <w:r w:rsidRPr="001A2F85">
        <w:t>involve employer groups and professional associations</w:t>
      </w:r>
      <w:r>
        <w:t xml:space="preserve"> to support activities undertaken as part of this stage.</w:t>
      </w:r>
    </w:p>
    <w:p w14:paraId="4FAC2F99" w14:textId="77777777" w:rsidR="00090683" w:rsidRPr="001A2F85" w:rsidRDefault="00090683" w:rsidP="00090683">
      <w:pPr>
        <w:pStyle w:val="BodyText"/>
      </w:pPr>
      <w:r>
        <w:t xml:space="preserve">Consistent with the information available to this evaluation, </w:t>
      </w:r>
      <w:r w:rsidRPr="001A2F85">
        <w:t>Bennett et al</w:t>
      </w:r>
      <w:r>
        <w:t>.</w:t>
      </w:r>
      <w:r w:rsidRPr="001A2F85">
        <w:t xml:space="preserve"> </w:t>
      </w:r>
      <w:r>
        <w:t>(</w:t>
      </w:r>
      <w:r w:rsidRPr="001A2F85">
        <w:t>2015)</w:t>
      </w:r>
      <w:r>
        <w:t xml:space="preserve"> notes that there are </w:t>
      </w:r>
      <w:r w:rsidRPr="001A2F85">
        <w:t>few studies on equity initiatives that focus on post-graduation outcomes</w:t>
      </w:r>
      <w:r>
        <w:t>.</w:t>
      </w:r>
    </w:p>
    <w:p w14:paraId="1BAAD88D" w14:textId="77777777" w:rsidR="00090683" w:rsidRDefault="00090683" w:rsidP="00090683">
      <w:pPr>
        <w:pStyle w:val="BodyText"/>
      </w:pPr>
      <w:r>
        <w:t>The m</w:t>
      </w:r>
      <w:r w:rsidRPr="001A2F85">
        <w:t xml:space="preserve">ajor principles and aims of activities </w:t>
      </w:r>
      <w:r>
        <w:t xml:space="preserve">at this stage of the student life cycle </w:t>
      </w:r>
      <w:r w:rsidRPr="001A2F85">
        <w:t>are employability and postgraduate study.</w:t>
      </w:r>
      <w:r>
        <w:t xml:space="preserve"> P</w:t>
      </w:r>
      <w:r w:rsidRPr="001A2F85">
        <w:t xml:space="preserve">articipation </w:t>
      </w:r>
      <w:r>
        <w:t xml:space="preserve">stage </w:t>
      </w:r>
      <w:r w:rsidRPr="001A2F85">
        <w:t xml:space="preserve">activities </w:t>
      </w:r>
      <w:r>
        <w:t xml:space="preserve">also </w:t>
      </w:r>
      <w:r w:rsidRPr="001A2F85">
        <w:t xml:space="preserve">contribute to </w:t>
      </w:r>
      <w:r>
        <w:t>these goals, and based on the project inventory developed from the HEPPP annual reports, universities have placed a much greater focus on the P</w:t>
      </w:r>
      <w:r w:rsidRPr="001A2F85">
        <w:t xml:space="preserve">articipation </w:t>
      </w:r>
      <w:r>
        <w:t>stage relative to the Transition Out</w:t>
      </w:r>
      <w:r w:rsidRPr="001A2F85">
        <w:t xml:space="preserve"> stage</w:t>
      </w:r>
      <w:r>
        <w:t xml:space="preserve">. </w:t>
      </w:r>
      <w:bookmarkStart w:id="310" w:name="_Toc464634440"/>
    </w:p>
    <w:p w14:paraId="04425625" w14:textId="77777777" w:rsidR="00090683" w:rsidRPr="001A2F85" w:rsidRDefault="00090683" w:rsidP="00090683">
      <w:pPr>
        <w:pStyle w:val="Heading2"/>
      </w:pPr>
      <w:bookmarkStart w:id="311" w:name="_Toc466657139"/>
      <w:r w:rsidRPr="001A2F85">
        <w:t>Overview of HEPPP Attainment and Transition Out activities</w:t>
      </w:r>
      <w:bookmarkEnd w:id="310"/>
      <w:bookmarkEnd w:id="311"/>
    </w:p>
    <w:p w14:paraId="7FEF7067" w14:textId="77777777" w:rsidR="00090683" w:rsidRPr="001A2F85" w:rsidRDefault="00090683" w:rsidP="00090683">
      <w:pPr>
        <w:pStyle w:val="Heading3"/>
      </w:pPr>
      <w:r w:rsidRPr="001A2F85">
        <w:t>Nature and extent of activities</w:t>
      </w:r>
    </w:p>
    <w:p w14:paraId="1FB80AA5" w14:textId="77777777" w:rsidR="00090683" w:rsidRPr="001A2F85" w:rsidRDefault="00090683" w:rsidP="00090683">
      <w:pPr>
        <w:pStyle w:val="BodyText"/>
      </w:pPr>
      <w:r w:rsidRPr="001A2F85">
        <w:t>The range of Attainment and Transition Out activities includes:</w:t>
      </w:r>
    </w:p>
    <w:p w14:paraId="727D0CB8" w14:textId="77777777" w:rsidR="00090683" w:rsidRPr="001A2F85" w:rsidRDefault="00090683" w:rsidP="00090683">
      <w:pPr>
        <w:pStyle w:val="ListBullet"/>
      </w:pPr>
      <w:r>
        <w:t>c</w:t>
      </w:r>
      <w:r w:rsidRPr="001A2F85">
        <w:t xml:space="preserve">areers and employment support </w:t>
      </w:r>
      <w:r>
        <w:t xml:space="preserve">for students </w:t>
      </w:r>
      <w:r w:rsidRPr="001A2F85">
        <w:t>pre-completion, comprising work integrated learning and work placements.</w:t>
      </w:r>
    </w:p>
    <w:p w14:paraId="425DD233" w14:textId="77777777" w:rsidR="00090683" w:rsidRPr="001A2F85" w:rsidRDefault="00090683" w:rsidP="00090683">
      <w:pPr>
        <w:pStyle w:val="ListBullet"/>
      </w:pPr>
      <w:r>
        <w:t>c</w:t>
      </w:r>
      <w:r w:rsidRPr="001A2F85">
        <w:t xml:space="preserve">areers and employment </w:t>
      </w:r>
      <w:r>
        <w:t xml:space="preserve">search </w:t>
      </w:r>
      <w:r w:rsidRPr="001A2F85">
        <w:t>support, comprising careers advice and support to continue to postgraduate study including scholarship and grants for postgraduate study</w:t>
      </w:r>
      <w:r>
        <w:t xml:space="preserve"> (noting that HEPPP is not intended to support postgraduate study or to support students post-graduation).</w:t>
      </w:r>
    </w:p>
    <w:p w14:paraId="2455C2F9" w14:textId="77777777" w:rsidR="00090683" w:rsidRPr="001A2F85" w:rsidRDefault="00090683" w:rsidP="00090683">
      <w:pPr>
        <w:pStyle w:val="BodyText"/>
      </w:pPr>
      <w:r w:rsidRPr="001A2F85">
        <w:t>Each of these is discussed in further detail</w:t>
      </w:r>
      <w:r>
        <w:t xml:space="preserve"> in</w:t>
      </w:r>
      <w:r w:rsidRPr="001A2F85">
        <w:t xml:space="preserve"> Section </w:t>
      </w:r>
      <w:r>
        <w:t>7.2</w:t>
      </w:r>
      <w:r w:rsidRPr="001A2F85">
        <w:t>, including the purpose of the activity and the types and impact of relevant projects that have been undertaken through the HEPPP.</w:t>
      </w:r>
    </w:p>
    <w:p w14:paraId="09259923" w14:textId="77777777" w:rsidR="00090683" w:rsidRPr="001A2F85" w:rsidRDefault="00090683" w:rsidP="00090683">
      <w:pPr>
        <w:pStyle w:val="BodyText"/>
      </w:pPr>
      <w:r w:rsidRPr="001A2F85">
        <w:t>Careers advice was the most common activity</w:t>
      </w:r>
      <w:r>
        <w:t xml:space="preserve"> </w:t>
      </w:r>
      <w:r w:rsidRPr="001A2F85">
        <w:t xml:space="preserve">in the Attainment and Transition Out stage, included in </w:t>
      </w:r>
      <w:r>
        <w:t>over half</w:t>
      </w:r>
      <w:r w:rsidRPr="001A2F85">
        <w:t xml:space="preserve"> of </w:t>
      </w:r>
      <w:r>
        <w:t xml:space="preserve">the </w:t>
      </w:r>
      <w:r w:rsidRPr="001A2F85">
        <w:t>projects</w:t>
      </w:r>
      <w:r>
        <w:t xml:space="preserve"> at this stage (</w:t>
      </w:r>
      <w:r w:rsidRPr="00AD49C8">
        <w:t>Figure 7.1</w:t>
      </w:r>
      <w:r>
        <w:t>)</w:t>
      </w:r>
      <w:r w:rsidRPr="001A2F85">
        <w:t xml:space="preserve">. This is followed by pre-completion employment support for university students, which is included in </w:t>
      </w:r>
      <w:r>
        <w:t>over a</w:t>
      </w:r>
      <w:r w:rsidRPr="001A2F85">
        <w:t xml:space="preserve"> third of projects.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306706D7" w14:textId="77777777" w:rsidTr="000B7E9A">
        <w:trPr>
          <w:cantSplit/>
          <w:trHeight w:hRule="exact" w:val="160"/>
        </w:trPr>
        <w:tc>
          <w:tcPr>
            <w:tcW w:w="8168" w:type="dxa"/>
            <w:tcBorders>
              <w:bottom w:val="single" w:sz="4" w:space="0" w:color="auto"/>
            </w:tcBorders>
          </w:tcPr>
          <w:p w14:paraId="02707C8E" w14:textId="77777777" w:rsidR="00090683" w:rsidRPr="001A2F85" w:rsidRDefault="00090683" w:rsidP="000B7E9A">
            <w:pPr>
              <w:pStyle w:val="spacer"/>
            </w:pPr>
          </w:p>
        </w:tc>
      </w:tr>
      <w:tr w:rsidR="00090683" w:rsidRPr="001A2F85" w14:paraId="310CC1C5" w14:textId="77777777" w:rsidTr="000B7E9A">
        <w:trPr>
          <w:cantSplit/>
        </w:trPr>
        <w:tc>
          <w:tcPr>
            <w:tcW w:w="8168" w:type="dxa"/>
            <w:tcBorders>
              <w:top w:val="single" w:sz="4" w:space="0" w:color="auto"/>
            </w:tcBorders>
            <w:tcMar>
              <w:left w:w="0" w:type="dxa"/>
            </w:tcMar>
          </w:tcPr>
          <w:p w14:paraId="7B7E22DF" w14:textId="77777777" w:rsidR="00090683" w:rsidRPr="001A2F85" w:rsidRDefault="00090683" w:rsidP="000B7E9A">
            <w:pPr>
              <w:pStyle w:val="Caption"/>
            </w:pPr>
            <w:bookmarkStart w:id="312" w:name="_Ref462843356"/>
            <w:bookmarkStart w:id="313" w:name="_Toc463029856"/>
            <w:bookmarkStart w:id="314" w:name="_Toc466655684"/>
            <w:r w:rsidRPr="001A2F85">
              <w:rPr>
                <w:rStyle w:val="CaptionLabel"/>
              </w:rPr>
              <w:t>Figure </w:t>
            </w:r>
            <w:r>
              <w:rPr>
                <w:rStyle w:val="CaptionLabel"/>
                <w:noProof/>
              </w:rPr>
              <w:t>7</w:t>
            </w:r>
            <w:r w:rsidRPr="001A2F85">
              <w:rPr>
                <w:rStyle w:val="CaptionLabel"/>
              </w:rPr>
              <w:t>.</w:t>
            </w:r>
            <w:r>
              <w:rPr>
                <w:rStyle w:val="CaptionLabel"/>
                <w:noProof/>
              </w:rPr>
              <w:t>1</w:t>
            </w:r>
            <w:bookmarkEnd w:id="312"/>
            <w:r w:rsidRPr="001A2F85">
              <w:tab/>
              <w:t>Proportion of HEPPP Attainment and Transition out projects containing each activity</w:t>
            </w:r>
            <w:bookmarkEnd w:id="313"/>
            <w:bookmarkEnd w:id="314"/>
          </w:p>
        </w:tc>
      </w:tr>
      <w:tr w:rsidR="00090683" w:rsidRPr="001A2F85" w14:paraId="2CD9D8F6" w14:textId="77777777" w:rsidTr="000B7E9A">
        <w:trPr>
          <w:cantSplit/>
          <w:trHeight w:hRule="exact" w:val="380"/>
        </w:trPr>
        <w:tc>
          <w:tcPr>
            <w:tcW w:w="8168" w:type="dxa"/>
            <w:tcBorders>
              <w:bottom w:val="single" w:sz="4" w:space="0" w:color="auto"/>
            </w:tcBorders>
          </w:tcPr>
          <w:p w14:paraId="517266AD"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6128" behindDoc="0" locked="1" layoutInCell="1" allowOverlap="1" wp14:anchorId="79650362" wp14:editId="033B6E3D">
                      <wp:simplePos x="0" y="0"/>
                      <wp:positionH relativeFrom="rightMargin">
                        <wp:posOffset>-772795</wp:posOffset>
                      </wp:positionH>
                      <wp:positionV relativeFrom="page">
                        <wp:posOffset>0</wp:posOffset>
                      </wp:positionV>
                      <wp:extent cx="436880" cy="213360"/>
                      <wp:effectExtent l="0" t="0" r="1270" b="0"/>
                      <wp:wrapNone/>
                      <wp:docPr id="35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E89CC5" id="Freeform 5" o:spid="_x0000_s1026" style="position:absolute;margin-left:-60.85pt;margin-top:0;width:34.4pt;height:16.8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4bWfQ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RH4bW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0BE00ED5"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3C650E3D" w14:textId="77777777" w:rsidR="00090683" w:rsidRPr="001A2F85" w:rsidRDefault="00090683" w:rsidP="000B7E9A">
            <w:pPr>
              <w:pStyle w:val="Figure"/>
            </w:pPr>
            <w:r>
              <w:rPr>
                <w:noProof/>
                <w:lang w:eastAsia="en-AU"/>
              </w:rPr>
              <w:drawing>
                <wp:inline distT="0" distB="0" distL="0" distR="0" wp14:anchorId="2F534ED3" wp14:editId="1A00C5FF">
                  <wp:extent cx="5191125" cy="2209800"/>
                  <wp:effectExtent l="0" t="0" r="0" b="0"/>
                  <wp:docPr id="39"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rsidRPr="001A2F85" w14:paraId="399C019C"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2DA5BE99" w14:textId="77777777" w:rsidR="00090683" w:rsidRPr="001A2F85" w:rsidRDefault="00090683" w:rsidP="000B7E9A">
            <w:pPr>
              <w:pStyle w:val="Note"/>
            </w:pPr>
            <w:r w:rsidRPr="001A2F85">
              <w:t>Note: Percentages do not sum to 100 as projects can have multiple activities.</w:t>
            </w:r>
            <w:r>
              <w:t xml:space="preserve"> </w:t>
            </w:r>
            <w:r>
              <w:rPr>
                <w:lang w:val="en-US"/>
              </w:rPr>
              <w:t>See Appendix D for further disaggregation.</w:t>
            </w:r>
          </w:p>
          <w:p w14:paraId="4A8DB66B" w14:textId="77777777" w:rsidR="00090683" w:rsidRPr="001A2F85" w:rsidRDefault="00090683" w:rsidP="000B7E9A">
            <w:pPr>
              <w:pStyle w:val="Source"/>
            </w:pPr>
            <w:r w:rsidRPr="001A2F85">
              <w:t>Source: heppp annual reports</w:t>
            </w:r>
          </w:p>
        </w:tc>
      </w:tr>
      <w:tr w:rsidR="00090683" w:rsidRPr="001A2F85" w14:paraId="7EEE7075" w14:textId="77777777" w:rsidTr="000B7E9A">
        <w:trPr>
          <w:trHeight w:hRule="exact" w:val="160"/>
        </w:trPr>
        <w:tc>
          <w:tcPr>
            <w:tcW w:w="8168" w:type="dxa"/>
            <w:tcBorders>
              <w:top w:val="single" w:sz="4" w:space="0" w:color="auto"/>
            </w:tcBorders>
          </w:tcPr>
          <w:p w14:paraId="30F6963D" w14:textId="77777777" w:rsidR="00090683" w:rsidRPr="001A2F85" w:rsidRDefault="00090683" w:rsidP="000B7E9A">
            <w:pPr>
              <w:pStyle w:val="spacertbl"/>
            </w:pPr>
          </w:p>
        </w:tc>
      </w:tr>
    </w:tbl>
    <w:p w14:paraId="1C5D3197" w14:textId="77777777" w:rsidR="00090683" w:rsidRPr="001A2F85" w:rsidRDefault="00090683" w:rsidP="00090683">
      <w:pPr>
        <w:pStyle w:val="BodyText"/>
      </w:pPr>
      <w:r>
        <w:t xml:space="preserve">The majority of projects at this stage—66 per cent—were </w:t>
      </w:r>
      <w:r w:rsidRPr="001A2F85">
        <w:t xml:space="preserve">targeted at only low SES students, with 23 per cent of projects targeting low SES </w:t>
      </w:r>
      <w:r>
        <w:t>Indigenous</w:t>
      </w:r>
      <w:r w:rsidRPr="001A2F85">
        <w:t xml:space="preserve"> students</w:t>
      </w:r>
      <w:r>
        <w:t xml:space="preserve"> (</w:t>
      </w:r>
      <w:r w:rsidRPr="00AD49C8">
        <w:t>Figure 7.2</w:t>
      </w:r>
      <w:r>
        <w:t>)</w:t>
      </w:r>
      <w:r w:rsidRPr="001A2F85">
        <w:t>.</w:t>
      </w:r>
      <w:r>
        <w:t xml:space="preserve"> Fewer projects were targeted towards low SES students from regional and remote areas than at other stages of the student life cycle.</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59CD685F" w14:textId="77777777" w:rsidTr="000B7E9A">
        <w:trPr>
          <w:cantSplit/>
          <w:trHeight w:hRule="exact" w:val="160"/>
        </w:trPr>
        <w:tc>
          <w:tcPr>
            <w:tcW w:w="8168" w:type="dxa"/>
            <w:tcBorders>
              <w:bottom w:val="single" w:sz="4" w:space="0" w:color="auto"/>
            </w:tcBorders>
          </w:tcPr>
          <w:p w14:paraId="3E4435B6" w14:textId="77777777" w:rsidR="00090683" w:rsidRPr="001A2F85" w:rsidRDefault="00090683" w:rsidP="000B7E9A">
            <w:pPr>
              <w:pStyle w:val="spacer"/>
            </w:pPr>
          </w:p>
        </w:tc>
      </w:tr>
      <w:tr w:rsidR="00090683" w:rsidRPr="001A2F85" w14:paraId="3DB0816A" w14:textId="77777777" w:rsidTr="000B7E9A">
        <w:trPr>
          <w:cantSplit/>
        </w:trPr>
        <w:tc>
          <w:tcPr>
            <w:tcW w:w="8168" w:type="dxa"/>
            <w:tcBorders>
              <w:top w:val="single" w:sz="4" w:space="0" w:color="auto"/>
            </w:tcBorders>
            <w:tcMar>
              <w:left w:w="0" w:type="dxa"/>
            </w:tcMar>
          </w:tcPr>
          <w:p w14:paraId="3829FBE0" w14:textId="77777777" w:rsidR="00090683" w:rsidRPr="001A2F85" w:rsidRDefault="00090683" w:rsidP="000B7E9A">
            <w:pPr>
              <w:pStyle w:val="Caption"/>
            </w:pPr>
            <w:bookmarkStart w:id="315" w:name="_Ref462843419"/>
            <w:bookmarkStart w:id="316" w:name="_Toc463029857"/>
            <w:bookmarkStart w:id="317" w:name="_Toc466655685"/>
            <w:r w:rsidRPr="001A2F85">
              <w:rPr>
                <w:rStyle w:val="CaptionLabel"/>
              </w:rPr>
              <w:t>Figure </w:t>
            </w:r>
            <w:r>
              <w:rPr>
                <w:rStyle w:val="CaptionLabel"/>
                <w:noProof/>
              </w:rPr>
              <w:t>7</w:t>
            </w:r>
            <w:r w:rsidRPr="001A2F85">
              <w:rPr>
                <w:rStyle w:val="CaptionLabel"/>
              </w:rPr>
              <w:t>.</w:t>
            </w:r>
            <w:r>
              <w:rPr>
                <w:rStyle w:val="CaptionLabel"/>
                <w:noProof/>
              </w:rPr>
              <w:t>2</w:t>
            </w:r>
            <w:bookmarkEnd w:id="315"/>
            <w:r w:rsidRPr="001A2F85">
              <w:tab/>
              <w:t xml:space="preserve">proportion of HEPPP Attainment and Transition out projects TARGETING each </w:t>
            </w:r>
            <w:r>
              <w:t>Equity</w:t>
            </w:r>
            <w:r w:rsidRPr="001A2F85">
              <w:t xml:space="preserve"> group</w:t>
            </w:r>
            <w:bookmarkEnd w:id="316"/>
            <w:bookmarkEnd w:id="317"/>
          </w:p>
        </w:tc>
      </w:tr>
      <w:tr w:rsidR="00090683" w:rsidRPr="001A2F85" w14:paraId="34565340" w14:textId="77777777" w:rsidTr="000B7E9A">
        <w:trPr>
          <w:cantSplit/>
          <w:trHeight w:hRule="exact" w:val="380"/>
        </w:trPr>
        <w:tc>
          <w:tcPr>
            <w:tcW w:w="8168" w:type="dxa"/>
            <w:tcBorders>
              <w:bottom w:val="single" w:sz="4" w:space="0" w:color="auto"/>
            </w:tcBorders>
          </w:tcPr>
          <w:p w14:paraId="37618C76"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7152" behindDoc="0" locked="1" layoutInCell="1" allowOverlap="1" wp14:anchorId="6DD0B80E" wp14:editId="2AB88515">
                      <wp:simplePos x="0" y="0"/>
                      <wp:positionH relativeFrom="rightMargin">
                        <wp:posOffset>-772795</wp:posOffset>
                      </wp:positionH>
                      <wp:positionV relativeFrom="page">
                        <wp:posOffset>0</wp:posOffset>
                      </wp:positionV>
                      <wp:extent cx="436880" cy="213360"/>
                      <wp:effectExtent l="0" t="0" r="1270" b="0"/>
                      <wp:wrapNone/>
                      <wp:docPr id="35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1D8C0" id="Freeform 5" o:spid="_x0000_s1026" style="position:absolute;margin-left:-60.85pt;margin-top:0;width:34.4pt;height:16.8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NWfQ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8rWNW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03F7DF77"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6EC4838E" w14:textId="77777777" w:rsidR="00090683" w:rsidRPr="001A2F85" w:rsidRDefault="00090683" w:rsidP="000B7E9A">
            <w:pPr>
              <w:pStyle w:val="Figure"/>
            </w:pPr>
            <w:r>
              <w:rPr>
                <w:noProof/>
                <w:lang w:eastAsia="en-AU"/>
              </w:rPr>
              <w:drawing>
                <wp:inline distT="0" distB="0" distL="0" distR="0" wp14:anchorId="46BD4D26" wp14:editId="03D63F03">
                  <wp:extent cx="5181600" cy="1876425"/>
                  <wp:effectExtent l="0" t="0" r="0" b="0"/>
                  <wp:docPr id="40"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81600" cy="1876425"/>
                          </a:xfrm>
                          <a:prstGeom prst="rect">
                            <a:avLst/>
                          </a:prstGeom>
                          <a:noFill/>
                          <a:ln>
                            <a:noFill/>
                          </a:ln>
                        </pic:spPr>
                      </pic:pic>
                    </a:graphicData>
                  </a:graphic>
                </wp:inline>
              </w:drawing>
            </w:r>
          </w:p>
        </w:tc>
      </w:tr>
      <w:tr w:rsidR="00090683" w:rsidRPr="001A2F85" w14:paraId="463F375F"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57449BE4" w14:textId="77777777" w:rsidR="00090683" w:rsidRPr="001A2F85" w:rsidRDefault="00090683" w:rsidP="000B7E9A">
            <w:pPr>
              <w:pStyle w:val="Note"/>
            </w:pPr>
            <w:r w:rsidRPr="001A2F85">
              <w:t>Note: Percentages do not sum to 100 as projects can have multiple activities.</w:t>
            </w:r>
            <w:r>
              <w:t xml:space="preserve"> </w:t>
            </w:r>
            <w:r>
              <w:rPr>
                <w:lang w:val="en-US"/>
              </w:rPr>
              <w:t>See Appendix D for further disaggregation.</w:t>
            </w:r>
          </w:p>
          <w:p w14:paraId="7E1D547D" w14:textId="77777777" w:rsidR="00090683" w:rsidRPr="001A2F85" w:rsidRDefault="00090683" w:rsidP="000B7E9A">
            <w:pPr>
              <w:pStyle w:val="Source"/>
            </w:pPr>
            <w:r w:rsidRPr="001A2F85">
              <w:t>Source: heppp annual reports</w:t>
            </w:r>
          </w:p>
        </w:tc>
      </w:tr>
      <w:tr w:rsidR="00090683" w:rsidRPr="001A2F85" w14:paraId="5458C80A" w14:textId="77777777" w:rsidTr="000B7E9A">
        <w:trPr>
          <w:trHeight w:hRule="exact" w:val="160"/>
        </w:trPr>
        <w:tc>
          <w:tcPr>
            <w:tcW w:w="8168" w:type="dxa"/>
            <w:tcBorders>
              <w:top w:val="single" w:sz="4" w:space="0" w:color="auto"/>
            </w:tcBorders>
          </w:tcPr>
          <w:p w14:paraId="023C0A03" w14:textId="77777777" w:rsidR="00090683" w:rsidRPr="001A2F85" w:rsidRDefault="00090683" w:rsidP="000B7E9A">
            <w:pPr>
              <w:pStyle w:val="spacertbl"/>
            </w:pPr>
          </w:p>
        </w:tc>
      </w:tr>
    </w:tbl>
    <w:p w14:paraId="6CFF1541" w14:textId="77777777" w:rsidR="00090683" w:rsidRDefault="00090683" w:rsidP="00090683">
      <w:pPr>
        <w:pStyle w:val="BodyText"/>
      </w:pPr>
      <w:r>
        <w:t xml:space="preserve">As is to be expected, </w:t>
      </w:r>
      <w:r w:rsidRPr="001A2F85">
        <w:t xml:space="preserve">completing students </w:t>
      </w:r>
      <w:r>
        <w:t>we</w:t>
      </w:r>
      <w:r w:rsidRPr="001A2F85">
        <w:t xml:space="preserve">re targeted more often in Attainment and Transition Out projects </w:t>
      </w:r>
      <w:r>
        <w:t>than other EIF equity groups, in almost three quarters of projects (</w:t>
      </w:r>
      <w:r w:rsidRPr="00AD49C8">
        <w:t>Figure 7.3</w:t>
      </w:r>
      <w:r>
        <w:t xml:space="preserve">). This is </w:t>
      </w:r>
      <w:r w:rsidRPr="001A2F85">
        <w:t>followed by continuing/later year students (5</w:t>
      </w:r>
      <w:r>
        <w:t>7</w:t>
      </w:r>
      <w:r w:rsidRPr="001A2F85">
        <w:t> per cent) and commencing/first year students (34 per cent).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6079B562" w14:textId="77777777" w:rsidTr="000B7E9A">
        <w:trPr>
          <w:cantSplit/>
          <w:trHeight w:hRule="exact" w:val="160"/>
        </w:trPr>
        <w:tc>
          <w:tcPr>
            <w:tcW w:w="8168" w:type="dxa"/>
            <w:tcBorders>
              <w:bottom w:val="single" w:sz="4" w:space="0" w:color="auto"/>
            </w:tcBorders>
          </w:tcPr>
          <w:p w14:paraId="10DF457E" w14:textId="77777777" w:rsidR="00090683" w:rsidRPr="001A2F85" w:rsidRDefault="00090683" w:rsidP="000B7E9A">
            <w:pPr>
              <w:pStyle w:val="spacer"/>
            </w:pPr>
          </w:p>
        </w:tc>
      </w:tr>
      <w:tr w:rsidR="00090683" w:rsidRPr="001A2F85" w14:paraId="3264E30A" w14:textId="77777777" w:rsidTr="000B7E9A">
        <w:trPr>
          <w:cantSplit/>
        </w:trPr>
        <w:tc>
          <w:tcPr>
            <w:tcW w:w="8168" w:type="dxa"/>
            <w:tcBorders>
              <w:top w:val="single" w:sz="4" w:space="0" w:color="auto"/>
            </w:tcBorders>
            <w:tcMar>
              <w:left w:w="0" w:type="dxa"/>
            </w:tcMar>
          </w:tcPr>
          <w:p w14:paraId="38305CCC" w14:textId="77777777" w:rsidR="00090683" w:rsidRPr="001A2F85" w:rsidRDefault="00090683" w:rsidP="000B7E9A">
            <w:pPr>
              <w:pStyle w:val="Caption"/>
            </w:pPr>
            <w:bookmarkStart w:id="318" w:name="_Ref462843443"/>
            <w:bookmarkStart w:id="319" w:name="_Toc463029858"/>
            <w:bookmarkStart w:id="320" w:name="_Toc466655686"/>
            <w:r w:rsidRPr="001A2F85">
              <w:rPr>
                <w:rStyle w:val="CaptionLabel"/>
              </w:rPr>
              <w:t>Figure </w:t>
            </w:r>
            <w:r>
              <w:rPr>
                <w:rStyle w:val="CaptionLabel"/>
                <w:noProof/>
              </w:rPr>
              <w:t>7</w:t>
            </w:r>
            <w:r w:rsidRPr="001A2F85">
              <w:rPr>
                <w:rStyle w:val="CaptionLabel"/>
              </w:rPr>
              <w:t>.</w:t>
            </w:r>
            <w:r>
              <w:rPr>
                <w:rStyle w:val="CaptionLabel"/>
                <w:noProof/>
              </w:rPr>
              <w:t>3</w:t>
            </w:r>
            <w:bookmarkEnd w:id="318"/>
            <w:r w:rsidRPr="001A2F85">
              <w:tab/>
              <w:t>proportion of HEPPP Attainment and Transition out projects TARGETING each EIF target group</w:t>
            </w:r>
            <w:bookmarkEnd w:id="319"/>
            <w:bookmarkEnd w:id="320"/>
          </w:p>
        </w:tc>
      </w:tr>
      <w:tr w:rsidR="00090683" w:rsidRPr="001A2F85" w14:paraId="7872B97B" w14:textId="77777777" w:rsidTr="000B7E9A">
        <w:trPr>
          <w:cantSplit/>
          <w:trHeight w:hRule="exact" w:val="380"/>
        </w:trPr>
        <w:tc>
          <w:tcPr>
            <w:tcW w:w="8168" w:type="dxa"/>
            <w:tcBorders>
              <w:bottom w:val="single" w:sz="4" w:space="0" w:color="auto"/>
            </w:tcBorders>
          </w:tcPr>
          <w:p w14:paraId="6366C3CF"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8176" behindDoc="0" locked="1" layoutInCell="1" allowOverlap="1" wp14:anchorId="7109FF18" wp14:editId="4D3C1B66">
                      <wp:simplePos x="0" y="0"/>
                      <wp:positionH relativeFrom="rightMargin">
                        <wp:posOffset>-772795</wp:posOffset>
                      </wp:positionH>
                      <wp:positionV relativeFrom="page">
                        <wp:posOffset>0</wp:posOffset>
                      </wp:positionV>
                      <wp:extent cx="436880" cy="213360"/>
                      <wp:effectExtent l="0" t="0" r="1270" b="0"/>
                      <wp:wrapNone/>
                      <wp:docPr id="35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E14FA5" id="Freeform 5" o:spid="_x0000_s1026" style="position:absolute;margin-left:-60.85pt;margin-top:0;width:34.4pt;height:16.8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3lr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IjXeWt/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6C67E3B2"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6442A95B" w14:textId="77777777" w:rsidR="00090683" w:rsidRPr="001A2F85" w:rsidRDefault="00090683" w:rsidP="000B7E9A">
            <w:pPr>
              <w:pStyle w:val="Figure"/>
            </w:pPr>
            <w:r>
              <w:rPr>
                <w:noProof/>
                <w:lang w:eastAsia="en-AU"/>
              </w:rPr>
              <w:drawing>
                <wp:inline distT="0" distB="0" distL="0" distR="0" wp14:anchorId="4759FBB5" wp14:editId="15F3F292">
                  <wp:extent cx="5191125" cy="2209800"/>
                  <wp:effectExtent l="0" t="0" r="0" b="0"/>
                  <wp:docPr id="4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rsidRPr="001A2F85" w14:paraId="646F99B3"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6897031F" w14:textId="77777777" w:rsidR="00090683" w:rsidRPr="001A2F85" w:rsidRDefault="00090683" w:rsidP="000B7E9A">
            <w:pPr>
              <w:pStyle w:val="Note"/>
            </w:pPr>
            <w:r w:rsidRPr="001A2F85">
              <w:t xml:space="preserve">Note: Percentages do not sum to 100 as projects can </w:t>
            </w:r>
            <w:r>
              <w:t>target</w:t>
            </w:r>
            <w:r w:rsidRPr="001A2F85">
              <w:t xml:space="preserve"> multiple </w:t>
            </w:r>
            <w:r>
              <w:t>EIF</w:t>
            </w:r>
            <w:r w:rsidRPr="001A2F85">
              <w:t xml:space="preserve"> groups.</w:t>
            </w:r>
          </w:p>
          <w:p w14:paraId="045FA5FD" w14:textId="77777777" w:rsidR="00090683" w:rsidRPr="001A2F85" w:rsidRDefault="00090683" w:rsidP="000B7E9A">
            <w:pPr>
              <w:pStyle w:val="Source"/>
            </w:pPr>
            <w:r w:rsidRPr="001A2F85">
              <w:t>Source: heppp annual reports</w:t>
            </w:r>
          </w:p>
        </w:tc>
      </w:tr>
      <w:tr w:rsidR="00090683" w:rsidRPr="001A2F85" w14:paraId="43EFE518" w14:textId="77777777" w:rsidTr="000B7E9A">
        <w:trPr>
          <w:trHeight w:hRule="exact" w:val="160"/>
        </w:trPr>
        <w:tc>
          <w:tcPr>
            <w:tcW w:w="8168" w:type="dxa"/>
            <w:tcBorders>
              <w:top w:val="single" w:sz="4" w:space="0" w:color="auto"/>
            </w:tcBorders>
          </w:tcPr>
          <w:p w14:paraId="28684A1C" w14:textId="77777777" w:rsidR="00090683" w:rsidRPr="001A2F85" w:rsidRDefault="00090683" w:rsidP="000B7E9A">
            <w:pPr>
              <w:pStyle w:val="spacertbl"/>
            </w:pPr>
          </w:p>
        </w:tc>
      </w:tr>
    </w:tbl>
    <w:p w14:paraId="6534AA26" w14:textId="77777777" w:rsidR="00090683" w:rsidRPr="001A2F85" w:rsidRDefault="00090683" w:rsidP="00090683">
      <w:pPr>
        <w:pStyle w:val="Heading2"/>
      </w:pPr>
      <w:bookmarkStart w:id="321" w:name="_Toc464634441"/>
      <w:bookmarkStart w:id="322" w:name="_Ref466304169"/>
      <w:bookmarkStart w:id="323" w:name="_Ref466304171"/>
      <w:bookmarkStart w:id="324" w:name="_Toc466657140"/>
      <w:r w:rsidRPr="001A2F85">
        <w:t>The impact of individual HEPPP activities at the Attainment and Transition Out stage</w:t>
      </w:r>
      <w:bookmarkEnd w:id="321"/>
      <w:bookmarkEnd w:id="322"/>
      <w:bookmarkEnd w:id="323"/>
      <w:bookmarkEnd w:id="324"/>
    </w:p>
    <w:p w14:paraId="30706B3E" w14:textId="77777777" w:rsidR="00090683" w:rsidRPr="001A2F85" w:rsidRDefault="00090683" w:rsidP="00090683">
      <w:pPr>
        <w:pStyle w:val="BodyText"/>
      </w:pPr>
      <w:r w:rsidRPr="001A2F85">
        <w:t>The activities described in this section are primarily concerned with careers advice and the professional development of students through work-based learning. Careers advice most often comprises information activities, advice on job search and preparation strategies and connection to graduate recruitment programs. Work</w:t>
      </w:r>
      <w:r>
        <w:t>-</w:t>
      </w:r>
      <w:r w:rsidRPr="001A2F85">
        <w:t xml:space="preserve">based learning focuses on the curriculum and pedagogy, so that student learning is derived from both academic and work contexts. </w:t>
      </w:r>
    </w:p>
    <w:p w14:paraId="63CEF187" w14:textId="77777777" w:rsidR="00090683" w:rsidRPr="001A2F85" w:rsidRDefault="00090683" w:rsidP="00090683">
      <w:pPr>
        <w:pStyle w:val="Heading3"/>
      </w:pPr>
      <w:r w:rsidRPr="001A2F85">
        <w:t>Careers advice, employment support pre-completion and alternative exit programs</w:t>
      </w:r>
    </w:p>
    <w:p w14:paraId="1514B73D" w14:textId="77777777" w:rsidR="00090683" w:rsidRDefault="00090683" w:rsidP="00090683">
      <w:pPr>
        <w:pStyle w:val="BodyText"/>
      </w:pPr>
      <w:r w:rsidRPr="00C12129">
        <w:t>The purpose of these activities is to provide students with advice and perspective on potential careers, particularly in contexts where such careers have not been visible to students in their families or communities. HEPPP activities at this stage have included work placement/experience to build social capital and access to professional networks, and projects aimed to facilitate student understanding of career development. Alternative exit programs seek to ensure that early leaving students experience success in higher education through pathways or alternative awards that recognise their achievement.</w:t>
      </w:r>
    </w:p>
    <w:p w14:paraId="56C667EA" w14:textId="77777777" w:rsidR="00090683" w:rsidRDefault="00090683" w:rsidP="00090683">
      <w:pPr>
        <w:pStyle w:val="BodyText"/>
      </w:pPr>
      <w:r>
        <w:t>A number of universities have HEPPP-supported programs to encourage the employment of students on campus to provide additional income to students and to build employability skills. For example, at</w:t>
      </w:r>
      <w:r w:rsidRPr="0042717E">
        <w:t xml:space="preserve"> </w:t>
      </w:r>
      <w:r w:rsidRPr="001A2F85">
        <w:t>Curtin University of Technology</w:t>
      </w:r>
      <w:r>
        <w:t>,</w:t>
      </w:r>
      <w:r w:rsidRPr="0042717E">
        <w:t xml:space="preserve"> </w:t>
      </w:r>
      <w:r>
        <w:t xml:space="preserve">the </w:t>
      </w:r>
      <w:r w:rsidRPr="001A2F85">
        <w:t>Earn While You Learn</w:t>
      </w:r>
      <w:r>
        <w:t xml:space="preserve"> project </w:t>
      </w:r>
      <w:r w:rsidRPr="0042717E">
        <w:t xml:space="preserve">helps to source and recruit current students </w:t>
      </w:r>
      <w:r>
        <w:t xml:space="preserve">in </w:t>
      </w:r>
      <w:r w:rsidRPr="0042717E">
        <w:t xml:space="preserve">second year </w:t>
      </w:r>
      <w:r>
        <w:t>or higher</w:t>
      </w:r>
      <w:r w:rsidRPr="0042717E">
        <w:t xml:space="preserve"> into part-time</w:t>
      </w:r>
      <w:r>
        <w:t xml:space="preserve"> or casual paid work on campus, with an </w:t>
      </w:r>
      <w:r w:rsidRPr="0042717E">
        <w:t xml:space="preserve">emphasis </w:t>
      </w:r>
      <w:r>
        <w:t>on</w:t>
      </w:r>
      <w:r w:rsidRPr="0042717E">
        <w:t xml:space="preserve"> students from </w:t>
      </w:r>
      <w:r>
        <w:t>l</w:t>
      </w:r>
      <w:r w:rsidRPr="0042717E">
        <w:t>ow SES backgrounds, including Indigenous students</w:t>
      </w:r>
      <w:r>
        <w:t xml:space="preserve"> and</w:t>
      </w:r>
      <w:r w:rsidRPr="0042717E">
        <w:t xml:space="preserve"> those from regional/remote areas</w:t>
      </w:r>
      <w:r>
        <w:t>.</w:t>
      </w:r>
      <w:r w:rsidRPr="0042717E">
        <w:t xml:space="preserve"> </w:t>
      </w:r>
      <w:r>
        <w:t xml:space="preserve">In 2015 the project assisted </w:t>
      </w:r>
      <w:r w:rsidRPr="00AD49C8">
        <w:t xml:space="preserve">403 </w:t>
      </w:r>
      <w:r>
        <w:t>students find work, with 58 per cent of these from an equity group—</w:t>
      </w:r>
      <w:r w:rsidRPr="00AD49C8">
        <w:t>75</w:t>
      </w:r>
      <w:r>
        <w:t xml:space="preserve"> per cent</w:t>
      </w:r>
      <w:r w:rsidRPr="00AD49C8">
        <w:t xml:space="preserve"> of employed students surveyed said that being employed on campus impacted their decision to stay at university or return to complete further studies. </w:t>
      </w:r>
    </w:p>
    <w:p w14:paraId="148D6429" w14:textId="77777777" w:rsidR="00090683" w:rsidRPr="001A2F85" w:rsidRDefault="00090683" w:rsidP="00090683">
      <w:pPr>
        <w:pStyle w:val="BodyText"/>
      </w:pPr>
      <w:r>
        <w:t xml:space="preserve">Careers advice is also offered under the HEPPP by a number of universities. At the </w:t>
      </w:r>
      <w:r w:rsidRPr="001A2F85">
        <w:t>University of Wollongong</w:t>
      </w:r>
      <w:r>
        <w:t xml:space="preserve"> the </w:t>
      </w:r>
      <w:r w:rsidRPr="0042717E">
        <w:t>Graduate Career Counselling</w:t>
      </w:r>
      <w:r>
        <w:t xml:space="preserve"> project enhanced careers services for low SES students. This included a program called Career+, which supports students to begin career planning in their first year of study, access integrated career coaching, and experience informational interviewing and work shadowing in real workplace settings. Students reported that they were more motivated to complete their studies after participation in the project, as they now have a clear career goal in mind (University of Wollongong HEPPP Annual Report 2015).</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1A2F85" w14:paraId="619E2A5E" w14:textId="77777777" w:rsidTr="000B7E9A">
        <w:trPr>
          <w:cantSplit/>
        </w:trPr>
        <w:tc>
          <w:tcPr>
            <w:tcW w:w="8614" w:type="dxa"/>
            <w:tcMar>
              <w:top w:w="160" w:type="dxa"/>
              <w:left w:w="446" w:type="dxa"/>
            </w:tcMar>
          </w:tcPr>
          <w:p w14:paraId="0F483ECE" w14:textId="77777777" w:rsidR="00090683" w:rsidRPr="001A2F85" w:rsidRDefault="00090683" w:rsidP="000B7E9A">
            <w:pPr>
              <w:pStyle w:val="Caption"/>
            </w:pPr>
            <w:bookmarkStart w:id="325" w:name="_Toc463029934"/>
            <w:bookmarkStart w:id="326" w:name="_Toc466657027"/>
            <w:r w:rsidRPr="001A2F85">
              <w:rPr>
                <w:rStyle w:val="CaptionLabel"/>
              </w:rPr>
              <w:t>Box </w:t>
            </w:r>
            <w:r>
              <w:rPr>
                <w:rStyle w:val="CaptionLabel"/>
                <w:noProof/>
              </w:rPr>
              <w:t>7</w:t>
            </w:r>
            <w:r w:rsidRPr="001A2F85">
              <w:rPr>
                <w:rStyle w:val="CaptionLabel"/>
              </w:rPr>
              <w:t>.</w:t>
            </w:r>
            <w:r>
              <w:rPr>
                <w:rStyle w:val="CaptionLabel"/>
                <w:noProof/>
              </w:rPr>
              <w:t>1</w:t>
            </w:r>
            <w:r w:rsidRPr="001A2F85">
              <w:tab/>
              <w:t>LUCY Mentoring Program</w:t>
            </w:r>
            <w:bookmarkEnd w:id="325"/>
            <w:r>
              <w:t>, University of Technology Sydney</w:t>
            </w:r>
            <w:bookmarkEnd w:id="326"/>
          </w:p>
        </w:tc>
      </w:tr>
      <w:tr w:rsidR="00090683" w:rsidRPr="001A2F85" w14:paraId="36E26356" w14:textId="77777777" w:rsidTr="000B7E9A">
        <w:trPr>
          <w:cantSplit/>
          <w:trHeight w:hRule="exact" w:val="380"/>
        </w:trPr>
        <w:tc>
          <w:tcPr>
            <w:tcW w:w="8614" w:type="dxa"/>
            <w:shd w:val="clear" w:color="auto" w:fill="E4E0DD"/>
          </w:tcPr>
          <w:p w14:paraId="0BCC4792"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9200" behindDoc="0" locked="1" layoutInCell="1" allowOverlap="1" wp14:anchorId="23266347" wp14:editId="4AAD8EB3">
                      <wp:simplePos x="0" y="0"/>
                      <wp:positionH relativeFrom="rightMargin">
                        <wp:posOffset>-772795</wp:posOffset>
                      </wp:positionH>
                      <wp:positionV relativeFrom="page">
                        <wp:posOffset>0</wp:posOffset>
                      </wp:positionV>
                      <wp:extent cx="436880" cy="213360"/>
                      <wp:effectExtent l="0" t="0" r="1270" b="0"/>
                      <wp:wrapNone/>
                      <wp:docPr id="36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1B0236" id="Freeform 5" o:spid="_x0000_s1026" style="position:absolute;margin-left:-60.85pt;margin-top:0;width:34.4pt;height:16.8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PyJP5x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472AA670" w14:textId="77777777" w:rsidTr="000B7E9A">
        <w:trPr>
          <w:cantSplit/>
        </w:trPr>
        <w:tc>
          <w:tcPr>
            <w:tcW w:w="8614" w:type="dxa"/>
            <w:shd w:val="clear" w:color="auto" w:fill="E4E0DD"/>
            <w:tcMar>
              <w:top w:w="276" w:type="dxa"/>
              <w:bottom w:w="184" w:type="dxa"/>
              <w:right w:w="120" w:type="dxa"/>
            </w:tcMar>
          </w:tcPr>
          <w:p w14:paraId="2609B608" w14:textId="77777777" w:rsidR="00090683" w:rsidRDefault="00090683" w:rsidP="000B7E9A">
            <w:pPr>
              <w:pStyle w:val="BoxText"/>
            </w:pPr>
            <w:r w:rsidRPr="001A2F85">
              <w:t>The Lucy Mentoring Programme</w:t>
            </w:r>
            <w:r>
              <w:t>, a HEPPP-funded program at UTS,</w:t>
            </w:r>
            <w:r w:rsidRPr="001A2F85">
              <w:t xml:space="preserve"> is a work integrated learning mentoring program that targets </w:t>
            </w:r>
            <w:r>
              <w:t>female undergraduate students who can demonstrate disadvantage</w:t>
            </w:r>
            <w:r w:rsidRPr="001A2F85">
              <w:t>. The program links students with mentors in their potential field of employment ‘to help inspire and educate the students about various career options’</w:t>
            </w:r>
            <w:r>
              <w:t>.</w:t>
            </w:r>
          </w:p>
          <w:p w14:paraId="5D9917F0" w14:textId="77777777" w:rsidR="00090683" w:rsidRPr="001A2F85" w:rsidRDefault="00090683" w:rsidP="000B7E9A">
            <w:pPr>
              <w:pStyle w:val="BoxText"/>
            </w:pPr>
            <w:r>
              <w:t>Project reach in 2014 includes the participation of 46 Engineering and Information Technology students identified as disadvantaged in transitioning from study to employment with 42 students completed the program. The project achieved 230 student contacts in 2014, not including the minimum 35 hours of workplace contact with their mentors.</w:t>
            </w:r>
          </w:p>
          <w:p w14:paraId="55383385" w14:textId="77777777" w:rsidR="00090683" w:rsidRDefault="00090683" w:rsidP="000B7E9A">
            <w:pPr>
              <w:pStyle w:val="BoxText"/>
            </w:pPr>
            <w:r>
              <w:t>An evaluation of the project was undertaken and included point interviews with student mentees and industry mentors, written evaluation by students and mentors, guided student reflective journals, direct observation and informal feedback.</w:t>
            </w:r>
          </w:p>
          <w:p w14:paraId="681D4D48" w14:textId="77777777" w:rsidR="00090683" w:rsidRPr="001A2F85" w:rsidRDefault="00090683" w:rsidP="000B7E9A">
            <w:pPr>
              <w:pStyle w:val="BoxText"/>
            </w:pPr>
            <w:r>
              <w:t xml:space="preserve">The evaluation found that 58 per cent (n=25) of 2014 mentee respondents indicated that their participation in the Lucy Mentoring Program helped them secure an internship. </w:t>
            </w:r>
            <w:r w:rsidRPr="001A2F85">
              <w:t xml:space="preserve">The </w:t>
            </w:r>
            <w:r>
              <w:t xml:space="preserve">Program also </w:t>
            </w:r>
            <w:r w:rsidRPr="001A2F85">
              <w:t xml:space="preserve">improved </w:t>
            </w:r>
            <w:r>
              <w:t xml:space="preserve">mentees with </w:t>
            </w:r>
            <w:r w:rsidRPr="001A2F85">
              <w:t xml:space="preserve">industry knowledge and </w:t>
            </w:r>
            <w:r>
              <w:t xml:space="preserve">an </w:t>
            </w:r>
            <w:r w:rsidRPr="001A2F85">
              <w:t>understanding of the realities of the work environment. Career planning and development, coaching advice and building support and knowledge occurred during the mentoring experience, leading to increased confidence, awareness and knowledge about career options for students.</w:t>
            </w:r>
          </w:p>
        </w:tc>
      </w:tr>
      <w:tr w:rsidR="00090683" w:rsidRPr="001A2F85" w14:paraId="101B3251" w14:textId="77777777" w:rsidTr="000B7E9A">
        <w:trPr>
          <w:cantSplit/>
        </w:trPr>
        <w:tc>
          <w:tcPr>
            <w:tcW w:w="8614" w:type="dxa"/>
            <w:tcMar>
              <w:top w:w="12" w:type="dxa"/>
              <w:left w:w="446" w:type="dxa"/>
              <w:bottom w:w="113" w:type="dxa"/>
            </w:tcMar>
          </w:tcPr>
          <w:p w14:paraId="4A3FE403" w14:textId="77777777" w:rsidR="00090683" w:rsidRPr="001A2F85" w:rsidRDefault="00090683" w:rsidP="000B7E9A">
            <w:pPr>
              <w:pStyle w:val="Source"/>
            </w:pPr>
            <w:r w:rsidRPr="001A2F85">
              <w:t xml:space="preserve">Source: </w:t>
            </w:r>
            <w:r>
              <w:t xml:space="preserve">2014 UTS HEPPP annual report, </w:t>
            </w:r>
            <w:r w:rsidRPr="001A2F85">
              <w:t>SMITh-RUIG 2014, Bennett et al</w:t>
            </w:r>
            <w:r>
              <w:t>.</w:t>
            </w:r>
            <w:r w:rsidRPr="001A2F85">
              <w:t xml:space="preserve"> 2015</w:t>
            </w:r>
          </w:p>
        </w:tc>
      </w:tr>
    </w:tbl>
    <w:p w14:paraId="7E65FE20" w14:textId="77777777" w:rsidR="00090683" w:rsidRPr="001A2F85" w:rsidRDefault="00090683" w:rsidP="00090683">
      <w:pPr>
        <w:pStyle w:val="Heading3"/>
      </w:pPr>
      <w:bookmarkStart w:id="327" w:name="_Ref466304648"/>
      <w:r w:rsidRPr="001A2F85">
        <w:t>Work-based learning</w:t>
      </w:r>
      <w:bookmarkEnd w:id="327"/>
    </w:p>
    <w:p w14:paraId="29D31460" w14:textId="77777777" w:rsidR="00090683" w:rsidRPr="001A2F85" w:rsidRDefault="00090683" w:rsidP="00090683">
      <w:pPr>
        <w:pStyle w:val="BodyText"/>
      </w:pPr>
      <w:r>
        <w:t xml:space="preserve">The purpose of work-based learning is to increase student understanding of the world of work, the applicability of their studies to their career path and the particular characteristics of their industry. </w:t>
      </w:r>
      <w:r w:rsidRPr="001A2F85">
        <w:t xml:space="preserve">Common </w:t>
      </w:r>
      <w:r>
        <w:t xml:space="preserve">approaches to </w:t>
      </w:r>
      <w:r w:rsidRPr="001A2F85">
        <w:t xml:space="preserve">work-based learning </w:t>
      </w:r>
      <w:r>
        <w:t xml:space="preserve">under the HEPPP </w:t>
      </w:r>
      <w:r w:rsidRPr="001A2F85">
        <w:t>include mentoring and work placements, professional development of students (to build capability or awareness) and careers support.</w:t>
      </w:r>
    </w:p>
    <w:p w14:paraId="21C17F5E" w14:textId="77777777" w:rsidR="00090683" w:rsidRDefault="00090683" w:rsidP="00090683">
      <w:pPr>
        <w:pStyle w:val="BodyText"/>
      </w:pPr>
      <w:r>
        <w:t xml:space="preserve">Southern Cross University developed and implemented a work placement program using HEPPP funding for low SES students and Indigenous students </w:t>
      </w:r>
      <w:r w:rsidRPr="00DA7D9C">
        <w:t xml:space="preserve">enrolled in either the Associate Degree in Law or Bachelor of Legal and Justice Studies. </w:t>
      </w:r>
      <w:r>
        <w:t>Enrolments were determined by reference to postcode and identified cultural group and all students were from regional/rural NSW and Victoria, such regions identified as having lower than average wages and salaries, and higher unemployment rates.</w:t>
      </w:r>
      <w:r w:rsidRPr="00DA7D9C">
        <w:t xml:space="preserve"> </w:t>
      </w:r>
      <w:r>
        <w:t>Specialised learning materials were developed and teaching delivery was been modified to suit the cohort.</w:t>
      </w:r>
    </w:p>
    <w:p w14:paraId="1740007C" w14:textId="77777777" w:rsidR="00090683" w:rsidRDefault="00090683" w:rsidP="00090683">
      <w:pPr>
        <w:pStyle w:val="BodyText"/>
      </w:pPr>
      <w:r>
        <w:t xml:space="preserve">As part of its HEPPP-funded Graduate Employability Program, Deakin University runs the Work Placement Program (WPP), which assists students from low SES backgrounds to undertake meaningful, project focused, paid work within a professional organisation. The goal of the WPP is to develop students’ understanding and practice of appropriate workplace behaviours, and provide an opportunity for a </w:t>
      </w:r>
      <w:r w:rsidRPr="00585024">
        <w:t>résumé building activit</w:t>
      </w:r>
      <w:r>
        <w:t>y,</w:t>
      </w:r>
      <w:r w:rsidRPr="00585024">
        <w:t xml:space="preserve"> which can provide an edge in the graduate recruitment process</w:t>
      </w:r>
      <w:r>
        <w:t>. The WPP also offers a pre-placement workshop designed to provide career development and information to maximise the benefits of the placement.</w:t>
      </w:r>
    </w:p>
    <w:p w14:paraId="0D5F4587" w14:textId="77777777" w:rsidR="00090683" w:rsidRPr="006F1280" w:rsidRDefault="00090683" w:rsidP="00090683">
      <w:r>
        <w:t>In 2015, 39 participants each undertook 116 hour placements across different disciplines and industry sectors, with 25 host organisations. Most students (79 per cent) surveyed about the program reported that it was ‘extremely helpful’, and the benefits realised included the acquisition of relevant skills, knowledge and experience, increased understanding of employer expectations, networking opportunities and a likely smoother transition from university to employment.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1A2F85" w14:paraId="2D28E076" w14:textId="77777777" w:rsidTr="000B7E9A">
        <w:trPr>
          <w:cantSplit/>
        </w:trPr>
        <w:tc>
          <w:tcPr>
            <w:tcW w:w="8614" w:type="dxa"/>
            <w:tcMar>
              <w:top w:w="160" w:type="dxa"/>
              <w:left w:w="446" w:type="dxa"/>
            </w:tcMar>
          </w:tcPr>
          <w:p w14:paraId="1AFB1387" w14:textId="77777777" w:rsidR="00090683" w:rsidRPr="001A2F85" w:rsidRDefault="00090683" w:rsidP="000B7E9A">
            <w:pPr>
              <w:pStyle w:val="Caption"/>
            </w:pPr>
            <w:bookmarkStart w:id="328" w:name="_Ref466246928"/>
            <w:bookmarkStart w:id="329" w:name="_Toc463029935"/>
            <w:bookmarkStart w:id="330" w:name="_Toc466657028"/>
            <w:r w:rsidRPr="001A2F85">
              <w:rPr>
                <w:rStyle w:val="CaptionLabel"/>
              </w:rPr>
              <w:t>Box </w:t>
            </w:r>
            <w:r>
              <w:rPr>
                <w:rStyle w:val="CaptionLabel"/>
                <w:noProof/>
              </w:rPr>
              <w:t>7</w:t>
            </w:r>
            <w:r w:rsidRPr="001A2F85">
              <w:rPr>
                <w:rStyle w:val="CaptionLabel"/>
              </w:rPr>
              <w:t>.</w:t>
            </w:r>
            <w:r>
              <w:rPr>
                <w:rStyle w:val="CaptionLabel"/>
                <w:noProof/>
              </w:rPr>
              <w:t>2</w:t>
            </w:r>
            <w:bookmarkEnd w:id="328"/>
            <w:r w:rsidRPr="001A2F85">
              <w:tab/>
            </w:r>
            <w:bookmarkEnd w:id="329"/>
            <w:r>
              <w:t>Work-integrated Learning, Curtin University</w:t>
            </w:r>
            <w:bookmarkEnd w:id="330"/>
          </w:p>
        </w:tc>
      </w:tr>
      <w:tr w:rsidR="00090683" w:rsidRPr="001A2F85" w14:paraId="3BEAC756" w14:textId="77777777" w:rsidTr="000B7E9A">
        <w:trPr>
          <w:cantSplit/>
          <w:trHeight w:hRule="exact" w:val="380"/>
        </w:trPr>
        <w:tc>
          <w:tcPr>
            <w:tcW w:w="8614" w:type="dxa"/>
            <w:shd w:val="clear" w:color="auto" w:fill="E4E0DD"/>
          </w:tcPr>
          <w:p w14:paraId="1437CE1C"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700224" behindDoc="0" locked="1" layoutInCell="1" allowOverlap="1" wp14:anchorId="38F28501" wp14:editId="7F4843B0">
                      <wp:simplePos x="0" y="0"/>
                      <wp:positionH relativeFrom="rightMargin">
                        <wp:posOffset>-772795</wp:posOffset>
                      </wp:positionH>
                      <wp:positionV relativeFrom="page">
                        <wp:posOffset>0</wp:posOffset>
                      </wp:positionV>
                      <wp:extent cx="436880" cy="213360"/>
                      <wp:effectExtent l="0" t="0" r="1270" b="0"/>
                      <wp:wrapNone/>
                      <wp:docPr id="19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36E136" id="Freeform 5" o:spid="_x0000_s1026" style="position:absolute;margin-left:-60.85pt;margin-top:0;width:34.4pt;height:16.8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WykXF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32CA5151" w14:textId="77777777" w:rsidTr="000B7E9A">
        <w:trPr>
          <w:cantSplit/>
        </w:trPr>
        <w:tc>
          <w:tcPr>
            <w:tcW w:w="8614" w:type="dxa"/>
            <w:shd w:val="clear" w:color="auto" w:fill="E4E0DD"/>
            <w:tcMar>
              <w:top w:w="276" w:type="dxa"/>
              <w:bottom w:w="184" w:type="dxa"/>
              <w:right w:w="120" w:type="dxa"/>
            </w:tcMar>
          </w:tcPr>
          <w:p w14:paraId="38EE0CCD" w14:textId="77777777" w:rsidR="00090683" w:rsidRDefault="00090683" w:rsidP="000B7E9A">
            <w:pPr>
              <w:pStyle w:val="BoxText"/>
            </w:pPr>
            <w:r>
              <w:t>The Work-Integrated Learning (WIL) program at Curtin University, co-funded by the HEPPP, is embedded in the curriculum and is designed to:</w:t>
            </w:r>
          </w:p>
          <w:p w14:paraId="1F6DF728" w14:textId="77777777" w:rsidR="00090683" w:rsidRDefault="00090683" w:rsidP="000B7E9A">
            <w:pPr>
              <w:pStyle w:val="BoxListBullet"/>
            </w:pPr>
            <w:r>
              <w:t>contribute to the enhancement of students’ work-ready skills</w:t>
            </w:r>
          </w:p>
          <w:p w14:paraId="58AF7579" w14:textId="77777777" w:rsidR="00090683" w:rsidRDefault="00090683" w:rsidP="000B7E9A">
            <w:pPr>
              <w:pStyle w:val="BoxListBullet"/>
            </w:pPr>
            <w:r>
              <w:t>expose students to new and innovative ways of teaching and learning</w:t>
            </w:r>
          </w:p>
          <w:p w14:paraId="5E3A88C8" w14:textId="77777777" w:rsidR="00090683" w:rsidRDefault="00090683" w:rsidP="000B7E9A">
            <w:pPr>
              <w:pStyle w:val="BoxListBullet"/>
            </w:pPr>
            <w:r>
              <w:t>involve industry, business, government and community in curriculum design, assessment, feedback and research</w:t>
            </w:r>
          </w:p>
          <w:p w14:paraId="069E5B18" w14:textId="77777777" w:rsidR="00090683" w:rsidRDefault="00090683" w:rsidP="000B7E9A">
            <w:pPr>
              <w:pStyle w:val="BoxListBullet"/>
            </w:pPr>
            <w:r>
              <w:t>provide students with the opportunity to link with industry, business, government and community organisations.</w:t>
            </w:r>
          </w:p>
          <w:p w14:paraId="0419538E" w14:textId="77777777" w:rsidR="00090683" w:rsidRDefault="00090683" w:rsidP="000B7E9A">
            <w:pPr>
              <w:pStyle w:val="BoxText"/>
            </w:pPr>
            <w:r>
              <w:t>Curtin University is working to ensure that its WIL program is inclusive and recognises that student backgrounds and experiences affect their capacity to access WIL and maximise its benefits.</w:t>
            </w:r>
          </w:p>
          <w:p w14:paraId="5AA72C07" w14:textId="77777777" w:rsidR="00090683" w:rsidRDefault="00090683" w:rsidP="000B7E9A">
            <w:pPr>
              <w:pStyle w:val="BoxText"/>
            </w:pPr>
            <w:r>
              <w:t>To this end, Curtin University commits to recognising and valuing diversity among its students and adopt a holistic approach taking into account all aspects of student lives and circumstances. This begins with recognising that there are a range of barriers to access and participation:</w:t>
            </w:r>
          </w:p>
          <w:p w14:paraId="5A50E048" w14:textId="77777777" w:rsidR="00090683" w:rsidRDefault="00090683" w:rsidP="000B7E9A">
            <w:pPr>
              <w:pStyle w:val="BoxListBullet"/>
            </w:pPr>
            <w:r>
              <w:t>student-centred (personal circumstances attributes, skills and experience)</w:t>
            </w:r>
          </w:p>
          <w:p w14:paraId="6BB91EE4" w14:textId="77777777" w:rsidR="00090683" w:rsidRDefault="00090683" w:rsidP="000B7E9A">
            <w:pPr>
              <w:pStyle w:val="BoxListBullet"/>
            </w:pPr>
            <w:r>
              <w:t>stakeholder views (differing views on the value and purpose of WIL, expectations that students should ‘fit in’)</w:t>
            </w:r>
          </w:p>
          <w:p w14:paraId="37E310E2" w14:textId="77777777" w:rsidR="00090683" w:rsidRDefault="00090683" w:rsidP="000B7E9A">
            <w:pPr>
              <w:pStyle w:val="BoxListBullet"/>
            </w:pPr>
            <w:r>
              <w:t>practice of WIL (modes/models of delivery, cost to students, placement length, shortage of placements, partner preferences and selection criteria).</w:t>
            </w:r>
          </w:p>
          <w:p w14:paraId="1D0B71EA" w14:textId="77777777" w:rsidR="00090683" w:rsidRDefault="00090683" w:rsidP="000B7E9A">
            <w:pPr>
              <w:pStyle w:val="BoxText"/>
            </w:pPr>
            <w:r>
              <w:t>A Curtin University-led research collaboration is investigating inclusive WIL practices, and program design. To date it has identified the following enablers of access and participation in WIL:</w:t>
            </w:r>
          </w:p>
          <w:p w14:paraId="5B1DE03E" w14:textId="77777777" w:rsidR="00090683" w:rsidRDefault="00090683" w:rsidP="000B7E9A">
            <w:pPr>
              <w:pStyle w:val="BoxListBullet"/>
            </w:pPr>
            <w:r>
              <w:t>capacity building of students (before, during and after experience), partners and host/workplace supervisors</w:t>
            </w:r>
          </w:p>
          <w:p w14:paraId="24309A3E" w14:textId="77777777" w:rsidR="00090683" w:rsidRDefault="00090683" w:rsidP="000B7E9A">
            <w:pPr>
              <w:pStyle w:val="BoxListBullet"/>
            </w:pPr>
            <w:r>
              <w:t>institutional commitment through policies, curriculum, structures, support, resourcing that engages with difference</w:t>
            </w:r>
          </w:p>
          <w:p w14:paraId="779A0FB1" w14:textId="77777777" w:rsidR="00090683" w:rsidRDefault="00090683" w:rsidP="000B7E9A">
            <w:pPr>
              <w:pStyle w:val="BoxListBullet"/>
            </w:pPr>
            <w:r>
              <w:t>curriculum design that helps students work through the issues</w:t>
            </w:r>
          </w:p>
          <w:p w14:paraId="6C58EAF7" w14:textId="77777777" w:rsidR="00090683" w:rsidRDefault="00090683" w:rsidP="000B7E9A">
            <w:pPr>
              <w:pStyle w:val="BoxListBullet"/>
            </w:pPr>
            <w:r>
              <w:t>alternative models/mode such as simulations, virtual placements or live case-studies</w:t>
            </w:r>
          </w:p>
          <w:p w14:paraId="2A3AF4B3" w14:textId="77777777" w:rsidR="00090683" w:rsidRPr="001A2F85" w:rsidRDefault="00090683" w:rsidP="000B7E9A">
            <w:pPr>
              <w:pStyle w:val="BoxListBullet"/>
            </w:pPr>
            <w:r>
              <w:t>flexibility through attention to timing, sequencing and form of assessment.</w:t>
            </w:r>
          </w:p>
        </w:tc>
      </w:tr>
      <w:tr w:rsidR="00090683" w:rsidRPr="001A2F85" w14:paraId="55AA6C86" w14:textId="77777777" w:rsidTr="000B7E9A">
        <w:trPr>
          <w:cantSplit/>
        </w:trPr>
        <w:tc>
          <w:tcPr>
            <w:tcW w:w="8614" w:type="dxa"/>
            <w:tcMar>
              <w:top w:w="12" w:type="dxa"/>
              <w:left w:w="446" w:type="dxa"/>
              <w:bottom w:w="113" w:type="dxa"/>
            </w:tcMar>
          </w:tcPr>
          <w:p w14:paraId="169E658C" w14:textId="77777777" w:rsidR="00090683" w:rsidRPr="001A2F85" w:rsidRDefault="00090683" w:rsidP="000B7E9A">
            <w:pPr>
              <w:pStyle w:val="Source"/>
            </w:pPr>
            <w:r w:rsidRPr="00370850">
              <w:t>Source: Winchester-Seeto 2014 “</w:t>
            </w:r>
          </w:p>
        </w:tc>
      </w:tr>
    </w:tbl>
    <w:p w14:paraId="06122128" w14:textId="77777777" w:rsidR="00090683" w:rsidRPr="001A2F85" w:rsidRDefault="00090683" w:rsidP="00090683">
      <w:pPr>
        <w:pStyle w:val="Heading2"/>
      </w:pPr>
      <w:bookmarkStart w:id="331" w:name="_Toc464634442"/>
      <w:bookmarkStart w:id="332" w:name="_Toc466657141"/>
      <w:r w:rsidRPr="001A2F85">
        <w:t>The overall impact of HEPPP Attainment and Transition Out activities</w:t>
      </w:r>
      <w:bookmarkEnd w:id="331"/>
      <w:bookmarkEnd w:id="332"/>
    </w:p>
    <w:p w14:paraId="008EB228" w14:textId="77777777" w:rsidR="00090683" w:rsidRPr="001A2F85" w:rsidRDefault="00090683" w:rsidP="00090683">
      <w:pPr>
        <w:pStyle w:val="BodyText"/>
      </w:pPr>
      <w:r w:rsidRPr="001A2F85">
        <w:t xml:space="preserve">Attainment and Transition Out stage activities are a small part of the HEPPP. Attainment activities are not normally distinguished from Participation stage activities (examined in Chapter 6) and Transition Out activities </w:t>
      </w:r>
      <w:r>
        <w:t xml:space="preserve">focused on post-graduation support </w:t>
      </w:r>
      <w:r w:rsidRPr="001A2F85">
        <w:t xml:space="preserve">are not within the scope of the HEPPP, which focuses on outreach and at-university activities and outcomes. </w:t>
      </w:r>
    </w:p>
    <w:p w14:paraId="7D556BF7" w14:textId="77777777" w:rsidR="00090683" w:rsidRPr="001A2F85" w:rsidRDefault="00090683" w:rsidP="00090683">
      <w:pPr>
        <w:pStyle w:val="BodyText"/>
      </w:pPr>
      <w:r w:rsidRPr="001A2F85">
        <w:t>Work</w:t>
      </w:r>
      <w:r>
        <w:t>-</w:t>
      </w:r>
      <w:r w:rsidRPr="001A2F85">
        <w:t xml:space="preserve">based learning programs are becoming more widely adopted by Australian universities but their impact on </w:t>
      </w:r>
      <w:r>
        <w:t>low SES students</w:t>
      </w:r>
      <w:r w:rsidRPr="001A2F85">
        <w:t xml:space="preserve"> has not been evaluated. The two projects discussed at Section </w:t>
      </w:r>
      <w:r>
        <w:t xml:space="preserve">7.2.2 </w:t>
      </w:r>
      <w:r w:rsidRPr="001A2F85">
        <w:t>address the gaps in priority cohorts’ knowledge of the work environment and support the development of their professional skills and networks. This approach is consistent with Participation activities that seek to develop students’ understanding of university life and their capacity to participate fully in academic and social activities.</w:t>
      </w:r>
    </w:p>
    <w:p w14:paraId="511BCEDA" w14:textId="77777777" w:rsidR="00090683" w:rsidRPr="001A2F85" w:rsidRDefault="00090683" w:rsidP="00090683">
      <w:pPr>
        <w:pStyle w:val="BodyText"/>
      </w:pPr>
      <w:r w:rsidRPr="001A2F85">
        <w:t xml:space="preserve">The Lucy Mentoring Program also echoes the successful approach of Participation </w:t>
      </w:r>
      <w:r>
        <w:t xml:space="preserve">stage mentoring </w:t>
      </w:r>
      <w:r w:rsidRPr="001A2F85">
        <w:t>activities. Rather than a peer or ‘near pe</w:t>
      </w:r>
      <w:r>
        <w:t>e</w:t>
      </w:r>
      <w:r w:rsidRPr="001A2F85">
        <w:t xml:space="preserve">r’ approach, career development mentoring utilises experienced mentors as a guide to the world of work. Further research is needed to understand whether this type of mentoring is as successful for Attainment and Transition Out activities as it is for Participation </w:t>
      </w:r>
      <w:r>
        <w:t xml:space="preserve">stage </w:t>
      </w:r>
      <w:r w:rsidRPr="001A2F85">
        <w:t>activities.</w:t>
      </w:r>
    </w:p>
    <w:p w14:paraId="32DB6AC5" w14:textId="77777777" w:rsidR="00090683" w:rsidRPr="001A2F85" w:rsidRDefault="00090683" w:rsidP="00090683">
      <w:pPr>
        <w:pStyle w:val="BodyText"/>
      </w:pPr>
      <w:r w:rsidRPr="001A2F85">
        <w:t>More broadly, Bennett et al</w:t>
      </w:r>
      <w:r>
        <w:t>.</w:t>
      </w:r>
      <w:r w:rsidRPr="001A2F85">
        <w:t xml:space="preserve"> (2015) observe that there is very little published research in Australia regarding evaluated equity programs focusing on graduate employment and outcomes.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1A2F85" w14:paraId="44BE88FB" w14:textId="77777777" w:rsidTr="000B7E9A">
        <w:trPr>
          <w:cantSplit/>
        </w:trPr>
        <w:tc>
          <w:tcPr>
            <w:tcW w:w="8614" w:type="dxa"/>
            <w:tcMar>
              <w:top w:w="160" w:type="dxa"/>
              <w:left w:w="446" w:type="dxa"/>
            </w:tcMar>
          </w:tcPr>
          <w:p w14:paraId="269BDEC9" w14:textId="77777777" w:rsidR="00090683" w:rsidRPr="001A2F85" w:rsidRDefault="00090683" w:rsidP="000B7E9A">
            <w:pPr>
              <w:pStyle w:val="Caption"/>
            </w:pPr>
            <w:r w:rsidRPr="001A2F85">
              <w:rPr>
                <w:rStyle w:val="CaptionLabel"/>
              </w:rPr>
              <w:t>Key Finding </w:t>
            </w:r>
            <w:r>
              <w:rPr>
                <w:rStyle w:val="CaptionLabel"/>
                <w:noProof/>
              </w:rPr>
              <w:t>5</w:t>
            </w:r>
            <w:r w:rsidRPr="001A2F85">
              <w:tab/>
              <w:t>Attainment and Transition Out</w:t>
            </w:r>
          </w:p>
        </w:tc>
      </w:tr>
      <w:tr w:rsidR="00090683" w:rsidRPr="001A2F85" w14:paraId="3F6245FF" w14:textId="77777777" w:rsidTr="000B7E9A">
        <w:trPr>
          <w:cantSplit/>
        </w:trPr>
        <w:tc>
          <w:tcPr>
            <w:tcW w:w="8614" w:type="dxa"/>
            <w:shd w:val="clear" w:color="auto" w:fill="E4E0DD"/>
            <w:tcMar>
              <w:top w:w="276" w:type="dxa"/>
              <w:bottom w:w="0" w:type="dxa"/>
              <w:right w:w="120" w:type="dxa"/>
            </w:tcMar>
          </w:tcPr>
          <w:p w14:paraId="5C99D55B" w14:textId="77777777" w:rsidR="00090683" w:rsidRPr="001A2F85" w:rsidRDefault="00090683" w:rsidP="000B7E9A">
            <w:pPr>
              <w:pStyle w:val="BoxText"/>
            </w:pPr>
            <w:r w:rsidRPr="001A2F85">
              <w:t>HEPPP activities have placed a greater focus on Participation stage projects as a means of achieving increased attainment among priority cohorts (based on evidence collected from university HEPPP annual reports).</w:t>
            </w:r>
          </w:p>
          <w:p w14:paraId="149AEB8A" w14:textId="77777777" w:rsidR="00090683" w:rsidRPr="001A2F85" w:rsidRDefault="00090683" w:rsidP="000B7E9A">
            <w:pPr>
              <w:pStyle w:val="BoxText"/>
            </w:pPr>
            <w:r w:rsidRPr="001A2F85">
              <w:t>Transition Out activities have focused on career guidance and work</w:t>
            </w:r>
            <w:r w:rsidRPr="001A2F85">
              <w:noBreakHyphen/>
              <w:t>based learning during study, with few activities or research focusing on the transition between study and employment, consistent with the objectives of the HEPPP.</w:t>
            </w:r>
          </w:p>
          <w:p w14:paraId="164ABAB1" w14:textId="77777777" w:rsidR="00090683" w:rsidRPr="001A2F85" w:rsidRDefault="00090683" w:rsidP="000B7E9A">
            <w:pPr>
              <w:pStyle w:val="BoxText"/>
            </w:pPr>
            <w:r w:rsidRPr="001A2F85">
              <w:t>In the limited cases where HEPPP activity could be classified as taking place at this student life cycle stage (around 1 per cent</w:t>
            </w:r>
            <w:r>
              <w:t xml:space="preserve"> of HEPPP funding is spent at this stage</w:t>
            </w:r>
            <w:r w:rsidRPr="001A2F85">
              <w:t xml:space="preserve">), careers advice is the predominant activity undertaken by universities, with a smaller proportion focusing on pre-completion employment support. </w:t>
            </w:r>
          </w:p>
          <w:p w14:paraId="4BE8DC8F" w14:textId="77777777" w:rsidR="00090683" w:rsidRPr="001A2F85" w:rsidRDefault="00090683" w:rsidP="000B7E9A">
            <w:pPr>
              <w:pStyle w:val="BoxText"/>
            </w:pPr>
            <w:r w:rsidRPr="001A2F85">
              <w:t>There are limited data on the impact of these activities, so any assessment will require additional specific research.</w:t>
            </w:r>
          </w:p>
        </w:tc>
      </w:tr>
      <w:tr w:rsidR="00090683" w:rsidRPr="001A2F85" w14:paraId="5CB7DBE8" w14:textId="77777777" w:rsidTr="000B7E9A">
        <w:trPr>
          <w:cantSplit/>
          <w:trHeight w:hRule="exact" w:val="376"/>
        </w:trPr>
        <w:tc>
          <w:tcPr>
            <w:tcW w:w="8614" w:type="dxa"/>
            <w:shd w:val="clear" w:color="auto" w:fill="E4E0DD"/>
            <w:tcMar>
              <w:top w:w="0" w:type="dxa"/>
              <w:bottom w:w="0" w:type="dxa"/>
              <w:right w:w="0" w:type="dxa"/>
            </w:tcMar>
          </w:tcPr>
          <w:p w14:paraId="38241EA1" w14:textId="77777777" w:rsidR="00090683" w:rsidRPr="001A2F85" w:rsidRDefault="00090683" w:rsidP="000B7E9A">
            <w:pPr>
              <w:pStyle w:val="spacer"/>
            </w:pPr>
          </w:p>
        </w:tc>
      </w:tr>
      <w:tr w:rsidR="00090683" w:rsidRPr="001A2F85" w14:paraId="7B434B46" w14:textId="77777777" w:rsidTr="000B7E9A">
        <w:trPr>
          <w:cantSplit/>
          <w:trHeight w:hRule="exact" w:val="180"/>
        </w:trPr>
        <w:tc>
          <w:tcPr>
            <w:tcW w:w="8614" w:type="dxa"/>
            <w:tcMar>
              <w:top w:w="0" w:type="dxa"/>
              <w:left w:w="446" w:type="dxa"/>
              <w:bottom w:w="0" w:type="dxa"/>
            </w:tcMar>
          </w:tcPr>
          <w:p w14:paraId="147C2FD2" w14:textId="77777777" w:rsidR="00090683" w:rsidRPr="001A2F85" w:rsidRDefault="00090683" w:rsidP="000B7E9A">
            <w:pPr>
              <w:pStyle w:val="spacertbl"/>
            </w:pPr>
            <w:r>
              <w:rPr>
                <w:noProof/>
                <w:lang w:eastAsia="en-AU"/>
              </w:rPr>
              <mc:AlternateContent>
                <mc:Choice Requires="wps">
                  <w:drawing>
                    <wp:anchor distT="0" distB="0" distL="114300" distR="114300" simplePos="0" relativeHeight="251701248" behindDoc="0" locked="1" layoutInCell="1" allowOverlap="1" wp14:anchorId="582D034C" wp14:editId="1259AEE7">
                      <wp:simplePos x="0" y="0"/>
                      <wp:positionH relativeFrom="rightMargin">
                        <wp:posOffset>-772795</wp:posOffset>
                      </wp:positionH>
                      <wp:positionV relativeFrom="page">
                        <wp:posOffset>-237490</wp:posOffset>
                      </wp:positionV>
                      <wp:extent cx="436880" cy="213360"/>
                      <wp:effectExtent l="0" t="0" r="1270" b="0"/>
                      <wp:wrapNone/>
                      <wp:docPr id="36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900D51" id="Freeform 5" o:spid="_x0000_s1026" style="position:absolute;margin-left:-60.85pt;margin-top:-18.7pt;width:34.4pt;height:16.8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v1rOHHsDAADC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FABC147" w14:textId="77777777" w:rsidR="00090683" w:rsidRPr="001A2F85" w:rsidRDefault="00090683" w:rsidP="00090683">
      <w:pPr>
        <w:pStyle w:val="BodyText"/>
      </w:pPr>
    </w:p>
    <w:p w14:paraId="5B229C94" w14:textId="77777777" w:rsidR="00090683" w:rsidRPr="001A2F85" w:rsidRDefault="00090683" w:rsidP="00090683">
      <w:pPr>
        <w:pStyle w:val="BodyText"/>
      </w:pPr>
    </w:p>
    <w:p w14:paraId="59DDC729" w14:textId="77777777" w:rsidR="00090683" w:rsidRPr="001A2F85" w:rsidRDefault="00090683" w:rsidP="00090683">
      <w:pPr>
        <w:pStyle w:val="BodyText"/>
        <w:sectPr w:rsidR="00090683" w:rsidRPr="001A2F85" w:rsidSect="00EA6577">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090683" w:rsidRPr="001A2F85" w14:paraId="75619A8C" w14:textId="77777777" w:rsidTr="000B7E9A">
        <w:trPr>
          <w:trHeight w:hRule="exact" w:val="382"/>
        </w:trPr>
        <w:tc>
          <w:tcPr>
            <w:tcW w:w="4738" w:type="dxa"/>
            <w:shd w:val="clear" w:color="auto" w:fill="9D57A6"/>
          </w:tcPr>
          <w:p w14:paraId="2C2E513A" w14:textId="77777777" w:rsidR="00090683" w:rsidRPr="001A2F85" w:rsidRDefault="00090683" w:rsidP="000B7E9A">
            <w:pPr>
              <w:pStyle w:val="tagchapterBanner"/>
            </w:pPr>
            <w:r>
              <w:rPr>
                <w:noProof/>
                <w:lang w:eastAsia="en-AU"/>
              </w:rPr>
              <mc:AlternateContent>
                <mc:Choice Requires="wps">
                  <w:drawing>
                    <wp:anchor distT="0" distB="0" distL="114300" distR="114300" simplePos="0" relativeHeight="251676672" behindDoc="0" locked="1" layoutInCell="1" allowOverlap="1" wp14:anchorId="41A21944" wp14:editId="1597800E">
                      <wp:simplePos x="0" y="0"/>
                      <wp:positionH relativeFrom="page">
                        <wp:posOffset>158750</wp:posOffset>
                      </wp:positionH>
                      <wp:positionV relativeFrom="page">
                        <wp:posOffset>6350</wp:posOffset>
                      </wp:positionV>
                      <wp:extent cx="439420" cy="215265"/>
                      <wp:effectExtent l="0" t="0" r="0" b="0"/>
                      <wp:wrapNone/>
                      <wp:docPr id="25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21D91D" id="Freeform 5" o:spid="_x0000_s1026" style="position:absolute;margin-left:12.5pt;margin-top:.5pt;width:34.6pt;height:16.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BToANx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07EEF60A" w14:textId="77777777" w:rsidR="00090683" w:rsidRPr="001A2F85" w:rsidRDefault="00090683" w:rsidP="000B7E9A">
            <w:pPr>
              <w:pStyle w:val="spacer"/>
            </w:pPr>
          </w:p>
        </w:tc>
      </w:tr>
      <w:tr w:rsidR="00090683" w:rsidRPr="001A2F85" w14:paraId="64166AB2" w14:textId="77777777" w:rsidTr="000B7E9A">
        <w:trPr>
          <w:trHeight w:hRule="exact" w:val="3665"/>
        </w:trPr>
        <w:tc>
          <w:tcPr>
            <w:tcW w:w="4738" w:type="dxa"/>
            <w:shd w:val="clear" w:color="auto" w:fill="9D57A6"/>
            <w:tcMar>
              <w:left w:w="0" w:type="dxa"/>
              <w:bottom w:w="0" w:type="dxa"/>
            </w:tcMar>
            <w:vAlign w:val="bottom"/>
          </w:tcPr>
          <w:p w14:paraId="3C72E08D" w14:textId="77777777" w:rsidR="00090683" w:rsidRPr="001A2F85" w:rsidRDefault="00090683" w:rsidP="000B7E9A">
            <w:pPr>
              <w:pStyle w:val="Heading1"/>
              <w:outlineLvl w:val="0"/>
            </w:pPr>
            <w:r w:rsidRPr="001A2F85">
              <w:t>Research and other activities</w:t>
            </w:r>
          </w:p>
        </w:tc>
        <w:tc>
          <w:tcPr>
            <w:tcW w:w="3430" w:type="dxa"/>
            <w:shd w:val="clear" w:color="auto" w:fill="9D57A6"/>
            <w:tcMar>
              <w:right w:w="344" w:type="dxa"/>
            </w:tcMar>
          </w:tcPr>
          <w:p w14:paraId="1E1D4616" w14:textId="77777777" w:rsidR="00090683" w:rsidRPr="001A2F85" w:rsidRDefault="00090683" w:rsidP="000B7E9A">
            <w:pPr>
              <w:pStyle w:val="HeadingChapter"/>
              <w:keepNext/>
            </w:pPr>
            <w:bookmarkStart w:id="333" w:name="_Toc466657142"/>
            <w:r>
              <w:t>8</w:t>
            </w:r>
            <w:bookmarkEnd w:id="333"/>
          </w:p>
        </w:tc>
      </w:tr>
      <w:tr w:rsidR="00090683" w:rsidRPr="001A2F85" w14:paraId="30038771" w14:textId="77777777" w:rsidTr="000B7E9A">
        <w:trPr>
          <w:trHeight w:hRule="exact" w:val="232"/>
        </w:trPr>
        <w:tc>
          <w:tcPr>
            <w:tcW w:w="4738" w:type="dxa"/>
            <w:shd w:val="clear" w:color="auto" w:fill="9D57A6"/>
          </w:tcPr>
          <w:p w14:paraId="4B080B0D" w14:textId="77777777" w:rsidR="00090683" w:rsidRPr="001A2F85" w:rsidRDefault="00090683" w:rsidP="000B7E9A">
            <w:pPr>
              <w:pStyle w:val="Chpt-Context"/>
            </w:pPr>
          </w:p>
        </w:tc>
        <w:tc>
          <w:tcPr>
            <w:tcW w:w="3430" w:type="dxa"/>
            <w:shd w:val="clear" w:color="auto" w:fill="9D57A6"/>
          </w:tcPr>
          <w:p w14:paraId="0E9CCA24" w14:textId="77777777" w:rsidR="00090683" w:rsidRPr="001A2F85" w:rsidRDefault="00090683" w:rsidP="000B7E9A">
            <w:pPr>
              <w:pStyle w:val="Chpt-Context"/>
            </w:pPr>
            <w:bookmarkStart w:id="334" w:name="_Toc466657143"/>
            <w:r>
              <w:rPr>
                <w:noProof/>
              </w:rPr>
              <w:t>Research and other activities</w:t>
            </w:r>
            <w:bookmarkEnd w:id="334"/>
          </w:p>
        </w:tc>
      </w:tr>
      <w:tr w:rsidR="00090683" w:rsidRPr="001A2F85" w14:paraId="604D733F" w14:textId="77777777" w:rsidTr="000B7E9A">
        <w:trPr>
          <w:trHeight w:hRule="exact" w:val="228"/>
        </w:trPr>
        <w:tc>
          <w:tcPr>
            <w:tcW w:w="4738" w:type="dxa"/>
            <w:tcBorders>
              <w:top w:val="single" w:sz="4" w:space="0" w:color="9D57A6"/>
            </w:tcBorders>
          </w:tcPr>
          <w:p w14:paraId="126FD504" w14:textId="77777777" w:rsidR="00090683" w:rsidRPr="001A2F85" w:rsidRDefault="00090683" w:rsidP="000B7E9A">
            <w:pPr>
              <w:pStyle w:val="spacer"/>
            </w:pPr>
          </w:p>
        </w:tc>
        <w:tc>
          <w:tcPr>
            <w:tcW w:w="3430" w:type="dxa"/>
            <w:tcBorders>
              <w:top w:val="single" w:sz="4" w:space="0" w:color="9D57A6"/>
            </w:tcBorders>
          </w:tcPr>
          <w:p w14:paraId="674BC18F" w14:textId="77777777" w:rsidR="00090683" w:rsidRPr="001A2F85" w:rsidRDefault="00090683" w:rsidP="000B7E9A">
            <w:pPr>
              <w:pStyle w:val="spacer"/>
            </w:pPr>
          </w:p>
        </w:tc>
      </w:tr>
    </w:tbl>
    <w:p w14:paraId="164B3219" w14:textId="77777777" w:rsidR="00090683" w:rsidRDefault="00090683" w:rsidP="00090683">
      <w:pPr>
        <w:pStyle w:val="Introduction"/>
      </w:pPr>
      <w:bookmarkStart w:id="335" w:name="_Ref465848054"/>
      <w:r>
        <w:t>This chapter provides an analysis of the research and other activities undertaken by universities through the National Priorities Pool component of the HEPPP.</w:t>
      </w:r>
    </w:p>
    <w:p w14:paraId="5DCDA65F" w14:textId="77777777" w:rsidR="00090683" w:rsidRPr="001A2F85" w:rsidRDefault="00090683" w:rsidP="00090683">
      <w:pPr>
        <w:pStyle w:val="Heading2"/>
      </w:pPr>
      <w:bookmarkStart w:id="336" w:name="_Toc466657144"/>
      <w:r w:rsidRPr="001A2F85">
        <w:t xml:space="preserve">Overview of the </w:t>
      </w:r>
      <w:r>
        <w:t>National Priorities Pool</w:t>
      </w:r>
      <w:bookmarkEnd w:id="335"/>
      <w:bookmarkEnd w:id="336"/>
    </w:p>
    <w:p w14:paraId="35747AAE" w14:textId="77777777" w:rsidR="00090683" w:rsidRDefault="00090683" w:rsidP="00090683">
      <w:pPr>
        <w:pStyle w:val="BodyText"/>
      </w:pPr>
      <w:r w:rsidRPr="001A2F85">
        <w:t>This chapter examines the activities funded through the National Priorities Pool (NPP) component of</w:t>
      </w:r>
      <w:r>
        <w:t xml:space="preserve"> </w:t>
      </w:r>
      <w:r w:rsidRPr="001A2F85">
        <w:t>the HEPPP</w:t>
      </w:r>
      <w:r>
        <w:t>.</w:t>
      </w:r>
      <w:r w:rsidRPr="001A2F85">
        <w:t xml:space="preserve"> </w:t>
      </w:r>
      <w:r>
        <w:t>The NPP was established in 2014 with the objective:</w:t>
      </w:r>
    </w:p>
    <w:p w14:paraId="50933BD4" w14:textId="77777777" w:rsidR="00090683" w:rsidRDefault="00090683" w:rsidP="00090683">
      <w:pPr>
        <w:pStyle w:val="Quote"/>
      </w:pPr>
      <w:r w:rsidRPr="00140FEE">
        <w:t>to inform more effective implementation of the HEPPP, both by updating the policy basis for the programme and enhancing on-ground delivery at the national level and within individual institutions. It supports projects that develop evidence, trial innovative ideas, build capacity and reform systems to maximise opportunity and outcomes for low SES people in higher education.</w:t>
      </w:r>
    </w:p>
    <w:p w14:paraId="3B6B0CF5" w14:textId="77777777" w:rsidR="00090683" w:rsidRPr="00950D76" w:rsidRDefault="00090683" w:rsidP="00090683">
      <w:pPr>
        <w:pStyle w:val="QuoteSource"/>
      </w:pPr>
      <w:r>
        <w:t>National Priorities Pool Investment Plan – 2016</w:t>
      </w:r>
    </w:p>
    <w:p w14:paraId="14DCDDC9" w14:textId="77777777" w:rsidR="00090683" w:rsidRDefault="00090683" w:rsidP="00090683">
      <w:r>
        <w:t xml:space="preserve">NPP funding is provided to universities on a project basis, guided by an annual investment plan that is approved by the Minister and which outlines the Minister’s priorities for spending the allocated NPP funds for that year (refer Chapter 2). </w:t>
      </w:r>
    </w:p>
    <w:p w14:paraId="78352622" w14:textId="77777777" w:rsidR="00090683" w:rsidRDefault="00090683" w:rsidP="00090683">
      <w:pPr>
        <w:pStyle w:val="BodyText"/>
      </w:pPr>
      <w:r>
        <w:t xml:space="preserve">Two types of project are funded through the NPP – projects commissioned by the </w:t>
      </w:r>
      <w:r w:rsidRPr="001A2F85">
        <w:t xml:space="preserve">Australian </w:t>
      </w:r>
      <w:r>
        <w:t xml:space="preserve">Government to </w:t>
      </w:r>
      <w:r w:rsidRPr="001A2F85">
        <w:t xml:space="preserve">meet specified Government </w:t>
      </w:r>
      <w:r>
        <w:t xml:space="preserve">needs and </w:t>
      </w:r>
      <w:r w:rsidRPr="001A2F85">
        <w:t>goals</w:t>
      </w:r>
      <w:r>
        <w:t xml:space="preserve"> and projects proposed by universities</w:t>
      </w:r>
      <w:r w:rsidRPr="000D7D79">
        <w:t xml:space="preserve"> </w:t>
      </w:r>
      <w:r w:rsidRPr="001A2F85">
        <w:t>in line with the NPP annual investment plan priorities</w:t>
      </w:r>
      <w:r>
        <w:t>.</w:t>
      </w:r>
      <w:r w:rsidRPr="00806DDF">
        <w:t xml:space="preserve"> </w:t>
      </w:r>
      <w:r>
        <w:t>Commissioned projects are often designed to investigate more complex or overarching equity policy issues.</w:t>
      </w:r>
    </w:p>
    <w:p w14:paraId="2A04D672" w14:textId="77777777" w:rsidR="00090683" w:rsidRDefault="00090683" w:rsidP="00090683">
      <w:pPr>
        <w:pStyle w:val="BodyText"/>
      </w:pPr>
      <w:r>
        <w:t>Three priority areas have been identified in the investment plans to date:</w:t>
      </w:r>
    </w:p>
    <w:p w14:paraId="16A3A311" w14:textId="77777777" w:rsidR="00090683" w:rsidRDefault="00090683" w:rsidP="00090683">
      <w:pPr>
        <w:pStyle w:val="ListBullet"/>
      </w:pPr>
      <w:r>
        <w:t xml:space="preserve">building the evidence base—‘to </w:t>
      </w:r>
      <w:r w:rsidRPr="007D438B">
        <w:t>gather the evidence on which future policy development will be based</w:t>
      </w:r>
      <w:r>
        <w:t xml:space="preserve">… to </w:t>
      </w:r>
      <w:r w:rsidRPr="007D438B">
        <w:t xml:space="preserve">explore opportunities for improvement in current practice and achievement, and investigate </w:t>
      </w:r>
      <w:r>
        <w:t>developments in approaches to increasing access, participation and success in higher education’</w:t>
      </w:r>
      <w:r w:rsidRPr="007D438B">
        <w:t>.</w:t>
      </w:r>
    </w:p>
    <w:p w14:paraId="1EB379E0" w14:textId="77777777" w:rsidR="00090683" w:rsidRDefault="00090683" w:rsidP="00090683">
      <w:pPr>
        <w:pStyle w:val="ListBullet"/>
      </w:pPr>
      <w:r>
        <w:t>fostering innovation—to ‘promote innovation within current program delivery by trialling new ideas and practices’ and to ‘ target new barriers to higher education, address current gaps in program delivery and assist universities to expand activity to new areas’</w:t>
      </w:r>
    </w:p>
    <w:p w14:paraId="665750C7" w14:textId="77777777" w:rsidR="00090683" w:rsidRDefault="00090683" w:rsidP="00090683">
      <w:pPr>
        <w:pStyle w:val="ListBullet"/>
      </w:pPr>
      <w:r>
        <w:t>more effective program implementation—to ‘promote cooperation between policy-makers and the higher education sector, and encourage information-sharing and collaboration among equity practitioners and improve current practice in program delivery.’</w:t>
      </w:r>
    </w:p>
    <w:p w14:paraId="3EC2CA4B" w14:textId="77777777" w:rsidR="00090683" w:rsidRPr="001A2F85" w:rsidRDefault="00090683" w:rsidP="00090683">
      <w:pPr>
        <w:pStyle w:val="BodyText"/>
      </w:pPr>
      <w:bookmarkStart w:id="337" w:name="_Ref465845052"/>
      <w:r>
        <w:t>I</w:t>
      </w:r>
      <w:r w:rsidRPr="001A2F85">
        <w:t>n 2016 the Department</w:t>
      </w:r>
      <w:r>
        <w:t xml:space="preserve"> ran a university proposed project funding round that </w:t>
      </w:r>
      <w:r w:rsidRPr="001A2F85">
        <w:t xml:space="preserve">invited universities to also submit </w:t>
      </w:r>
      <w:r>
        <w:t>proposals</w:t>
      </w:r>
      <w:r w:rsidRPr="001A2F85">
        <w:t xml:space="preserve"> for projects that targeted low SES people from regional and remote Australia. Projects with a low</w:t>
      </w:r>
      <w:r>
        <w:t xml:space="preserve"> </w:t>
      </w:r>
      <w:r w:rsidRPr="001A2F85">
        <w:t>SES regional and remote focus that addressed the priority funding areas were to examine and/or test mechanisms for addressing the continuing under</w:t>
      </w:r>
      <w:r>
        <w:noBreakHyphen/>
      </w:r>
      <w:r w:rsidRPr="001A2F85">
        <w:t>representation of low SES students from regional and remote areas in higher education.</w:t>
      </w:r>
      <w:r w:rsidRPr="00657607">
        <w:t xml:space="preserve"> </w:t>
      </w:r>
    </w:p>
    <w:p w14:paraId="51D77D94" w14:textId="77777777" w:rsidR="00090683" w:rsidRPr="001A2F85" w:rsidRDefault="00090683" w:rsidP="00090683">
      <w:pPr>
        <w:pStyle w:val="Heading3"/>
      </w:pPr>
      <w:r>
        <w:t>Application and selection process</w:t>
      </w:r>
      <w:bookmarkEnd w:id="337"/>
    </w:p>
    <w:p w14:paraId="52F98AE7" w14:textId="77777777" w:rsidR="00090683" w:rsidRPr="001A2F85" w:rsidRDefault="00090683" w:rsidP="00090683">
      <w:pPr>
        <w:pStyle w:val="BodyText"/>
      </w:pPr>
      <w:r w:rsidRPr="001A2F85">
        <w:t xml:space="preserve">Expressions of Interest </w:t>
      </w:r>
      <w:r>
        <w:t xml:space="preserve">processes are run for </w:t>
      </w:r>
      <w:r w:rsidRPr="001A2F85">
        <w:t>NPP projects proposed by universities</w:t>
      </w:r>
      <w:r w:rsidRPr="001A2F85" w:rsidDel="000D7D79">
        <w:t xml:space="preserve"> </w:t>
      </w:r>
      <w:r>
        <w:t xml:space="preserve">and may also be run for those </w:t>
      </w:r>
      <w:r w:rsidRPr="001A2F85">
        <w:t>commissioned by the Department</w:t>
      </w:r>
      <w:r>
        <w:t>.</w:t>
      </w:r>
      <w:r w:rsidRPr="001A2F85">
        <w:t xml:space="preserve"> </w:t>
      </w:r>
    </w:p>
    <w:p w14:paraId="4A52AE96" w14:textId="77777777" w:rsidR="00090683" w:rsidRPr="001A2F85" w:rsidRDefault="00090683" w:rsidP="00090683">
      <w:pPr>
        <w:pStyle w:val="BodyText"/>
      </w:pPr>
      <w:r w:rsidRPr="001A2F85">
        <w:t xml:space="preserve">All projects are required to produce outcomes that could be applied nationally and/or be adopted by other universities. </w:t>
      </w:r>
    </w:p>
    <w:p w14:paraId="61009532" w14:textId="77777777" w:rsidR="00090683" w:rsidRPr="001A2F85" w:rsidRDefault="00090683" w:rsidP="00090683">
      <w:pPr>
        <w:pStyle w:val="Heading4"/>
      </w:pPr>
      <w:r w:rsidRPr="001A2F85">
        <w:t>Commissioned projects</w:t>
      </w:r>
    </w:p>
    <w:p w14:paraId="6E687DCC" w14:textId="77777777" w:rsidR="00090683" w:rsidRPr="001A2F85" w:rsidRDefault="00090683" w:rsidP="00090683">
      <w:pPr>
        <w:pStyle w:val="BodyText"/>
      </w:pPr>
      <w:r w:rsidRPr="001A2F85">
        <w:t>In 2014, the areas in which Expressions of Interest were sought by the Department were:</w:t>
      </w:r>
    </w:p>
    <w:p w14:paraId="39AEE4C2" w14:textId="77777777" w:rsidR="00090683" w:rsidRPr="001A2F85" w:rsidRDefault="00090683" w:rsidP="00090683">
      <w:pPr>
        <w:pStyle w:val="ListBullet"/>
      </w:pPr>
      <w:r w:rsidRPr="001A2F85">
        <w:t>Widening Participation – Longitudinal Study</w:t>
      </w:r>
    </w:p>
    <w:p w14:paraId="058AC4D1" w14:textId="77777777" w:rsidR="00090683" w:rsidRPr="001A2F85" w:rsidRDefault="00090683" w:rsidP="00090683">
      <w:pPr>
        <w:pStyle w:val="ListBullet"/>
      </w:pPr>
      <w:r w:rsidRPr="001A2F85">
        <w:t>Social marketing campaign to low SES communities</w:t>
      </w:r>
    </w:p>
    <w:p w14:paraId="37AD2D57" w14:textId="77777777" w:rsidR="00090683" w:rsidRDefault="00090683" w:rsidP="00090683">
      <w:pPr>
        <w:pStyle w:val="ListBullet"/>
      </w:pPr>
      <w:r w:rsidRPr="001A2F85">
        <w:t>Enabling courses for low SES student groups</w:t>
      </w:r>
    </w:p>
    <w:p w14:paraId="09B12AEA" w14:textId="77777777" w:rsidR="00090683" w:rsidRPr="001A2F85" w:rsidRDefault="00090683" w:rsidP="00090683">
      <w:pPr>
        <w:pStyle w:val="ListBullet"/>
      </w:pPr>
      <w:r>
        <w:t xml:space="preserve">Critical Interventions Framework Part II. </w:t>
      </w:r>
    </w:p>
    <w:p w14:paraId="6CC81159" w14:textId="77777777" w:rsidR="00090683" w:rsidRPr="001A2F85" w:rsidRDefault="00090683" w:rsidP="00090683">
      <w:pPr>
        <w:pStyle w:val="BodyText"/>
      </w:pPr>
      <w:r>
        <w:t xml:space="preserve">In addition, an </w:t>
      </w:r>
      <w:r w:rsidRPr="001A2F85">
        <w:t>Expressions of Interest</w:t>
      </w:r>
      <w:r>
        <w:t xml:space="preserve"> round with multiple recipients was held to fund s</w:t>
      </w:r>
      <w:r w:rsidRPr="00CF287F">
        <w:t xml:space="preserve">oftware solutions </w:t>
      </w:r>
      <w:r w:rsidRPr="006217AF">
        <w:t xml:space="preserve">for universities </w:t>
      </w:r>
      <w:r w:rsidRPr="004800A9">
        <w:t>to identify and support low-SES students</w:t>
      </w:r>
      <w:r w:rsidRPr="008F1866">
        <w:t xml:space="preserve"> </w:t>
      </w:r>
      <w:r w:rsidRPr="001A2F85">
        <w:t xml:space="preserve">to assist </w:t>
      </w:r>
      <w:r>
        <w:t>u</w:t>
      </w:r>
      <w:r w:rsidRPr="001A2F85">
        <w:t xml:space="preserve">niversities with equity </w:t>
      </w:r>
      <w:r>
        <w:t>i</w:t>
      </w:r>
      <w:r w:rsidRPr="001A2F85">
        <w:t>nitiatives.</w:t>
      </w:r>
    </w:p>
    <w:p w14:paraId="524E61F7" w14:textId="77777777" w:rsidR="00090683" w:rsidRDefault="00090683" w:rsidP="00090683">
      <w:pPr>
        <w:pStyle w:val="BodyText"/>
      </w:pPr>
      <w:r>
        <w:t>Expressions of Interest were invited for two commissioned projects in 2015:</w:t>
      </w:r>
    </w:p>
    <w:p w14:paraId="24112A75" w14:textId="77777777" w:rsidR="00090683" w:rsidRDefault="00090683" w:rsidP="00090683">
      <w:pPr>
        <w:pStyle w:val="ListBullet"/>
      </w:pPr>
      <w:r>
        <w:t>a review of the six identified equity groups (this project was not awarded in 2015 and Expressions of Interest were again sought in 2016)</w:t>
      </w:r>
    </w:p>
    <w:p w14:paraId="4196894B" w14:textId="77777777" w:rsidR="00090683" w:rsidRDefault="00090683" w:rsidP="00090683">
      <w:pPr>
        <w:pStyle w:val="ListBullet"/>
      </w:pPr>
      <w:r>
        <w:t>Accelerating Indigenous Higher Education, a project intended to explore approaches to improving Indigenous outcomes in STEM (science, technology, engineering and mathematics) disciplines, increase the Indigenous academic workforce and improve whole of university approaches to higher education.</w:t>
      </w:r>
    </w:p>
    <w:p w14:paraId="471DE454" w14:textId="77777777" w:rsidR="00090683" w:rsidRDefault="00090683" w:rsidP="00090683">
      <w:pPr>
        <w:pStyle w:val="BodyText"/>
      </w:pPr>
      <w:r>
        <w:t>Additionally, the Curtin University contract to run the National Centre for Student Equity in Higher Education was extended in 2015.</w:t>
      </w:r>
      <w:r w:rsidRPr="00515DF5">
        <w:t xml:space="preserve"> </w:t>
      </w:r>
    </w:p>
    <w:p w14:paraId="60CD3B70" w14:textId="77777777" w:rsidR="00090683" w:rsidRPr="001A2F85" w:rsidRDefault="00090683" w:rsidP="00090683">
      <w:pPr>
        <w:pStyle w:val="Heading4"/>
      </w:pPr>
      <w:r w:rsidRPr="001A2F85">
        <w:t>University proposed projects</w:t>
      </w:r>
    </w:p>
    <w:p w14:paraId="3C6E181F" w14:textId="77777777" w:rsidR="00090683" w:rsidRDefault="00090683" w:rsidP="00090683">
      <w:pPr>
        <w:rPr>
          <w:rStyle w:val="CaptionLabel"/>
          <w:b w:val="0"/>
        </w:rPr>
      </w:pPr>
      <w:bookmarkStart w:id="338" w:name="_Ref462920746"/>
      <w:r w:rsidRPr="00F77BCF">
        <w:rPr>
          <w:rStyle w:val="CaptionLabel"/>
          <w:b w:val="0"/>
        </w:rPr>
        <w:t>Under the NPP, universities are invited to propose projects which address one or more of the annual investment plan priorities</w:t>
      </w:r>
      <w:r>
        <w:rPr>
          <w:rStyle w:val="CaptionLabel"/>
          <w:b w:val="0"/>
        </w:rPr>
        <w:t>,</w:t>
      </w:r>
      <w:r w:rsidRPr="00F77BCF">
        <w:rPr>
          <w:rStyle w:val="CaptionLabel"/>
          <w:b w:val="0"/>
        </w:rPr>
        <w:t xml:space="preserve"> by providing an Expression of Interest to the Department. Data on the number of applications and the priority areas they addressed </w:t>
      </w:r>
      <w:r>
        <w:rPr>
          <w:rStyle w:val="CaptionLabel"/>
          <w:b w:val="0"/>
        </w:rPr>
        <w:t>are</w:t>
      </w:r>
      <w:r w:rsidRPr="00F77BCF">
        <w:rPr>
          <w:rStyle w:val="CaptionLabel"/>
          <w:b w:val="0"/>
        </w:rPr>
        <w:t xml:space="preserve"> provided in </w:t>
      </w:r>
      <w:r w:rsidRPr="00AD49C8">
        <w:t>Table 8.1</w:t>
      </w:r>
      <w:r w:rsidRPr="00F77BCF">
        <w:rPr>
          <w:rStyle w:val="CaptionLabel"/>
          <w:b w:val="0"/>
        </w:rPr>
        <w:t xml:space="preserve"> below for the 2014 and 2015 application rounds. The number of funded projects was the same in both years, although there were significantly more applications from universities in 2015. There were 22 projects which were not categorised by priority funding area in 2015, as they did not meet the selection criteria for the assessment process.</w:t>
      </w:r>
    </w:p>
    <w:p w14:paraId="66A02E55" w14:textId="77777777" w:rsidR="00090683" w:rsidRDefault="00090683" w:rsidP="00090683">
      <w:pPr>
        <w:pStyle w:val="Caption"/>
        <w:spacing w:before="160"/>
        <w:ind w:left="-1753" w:firstLine="0"/>
      </w:pPr>
      <w:r w:rsidRPr="00FC29C8">
        <w:rPr>
          <w:rStyle w:val="CaptionLabel"/>
        </w:rPr>
        <w:t>Table</w:t>
      </w:r>
      <w:r>
        <w:rPr>
          <w:rStyle w:val="CaptionLabel"/>
        </w:rPr>
        <w:t> </w:t>
      </w:r>
      <w:r>
        <w:rPr>
          <w:rStyle w:val="CaptionLabel"/>
          <w:noProof/>
        </w:rPr>
        <w:t>8</w:t>
      </w:r>
      <w:r w:rsidRPr="00FC29C8">
        <w:rPr>
          <w:rStyle w:val="CaptionLabel"/>
        </w:rPr>
        <w:t>.</w:t>
      </w:r>
      <w:r>
        <w:rPr>
          <w:rStyle w:val="CaptionLabel"/>
          <w:noProof/>
        </w:rPr>
        <w:t>1</w:t>
      </w:r>
      <w:r>
        <w:tab/>
        <w:t xml:space="preserve"> NPP application data for university proposed projects, 2014 and 2015</w:t>
      </w:r>
    </w:p>
    <w:tbl>
      <w:tblPr>
        <w:tblW w:w="10375" w:type="dxa"/>
        <w:tblInd w:w="-2127" w:type="dxa"/>
        <w:tblLayout w:type="fixed"/>
        <w:tblCellMar>
          <w:left w:w="0" w:type="dxa"/>
          <w:bottom w:w="40" w:type="dxa"/>
          <w:right w:w="0" w:type="dxa"/>
        </w:tblCellMar>
        <w:tblLook w:val="0000" w:firstRow="0" w:lastRow="0" w:firstColumn="0" w:lastColumn="0" w:noHBand="0" w:noVBand="0"/>
      </w:tblPr>
      <w:tblGrid>
        <w:gridCol w:w="455"/>
        <w:gridCol w:w="2606"/>
        <w:gridCol w:w="1218"/>
        <w:gridCol w:w="1218"/>
        <w:gridCol w:w="1220"/>
        <w:gridCol w:w="1218"/>
        <w:gridCol w:w="1218"/>
        <w:gridCol w:w="1222"/>
      </w:tblGrid>
      <w:tr w:rsidR="00090683" w14:paraId="380A52C1" w14:textId="77777777" w:rsidTr="000F477D">
        <w:trPr>
          <w:cantSplit/>
          <w:tblHeader/>
        </w:trPr>
        <w:tc>
          <w:tcPr>
            <w:tcW w:w="1475" w:type="pct"/>
            <w:gridSpan w:val="2"/>
            <w:shd w:val="clear" w:color="auto" w:fill="9D57A6"/>
            <w:tcMar>
              <w:left w:w="454" w:type="dxa"/>
              <w:bottom w:w="0" w:type="dxa"/>
            </w:tcMar>
          </w:tcPr>
          <w:p w14:paraId="2A1E6140" w14:textId="77777777" w:rsidR="00090683" w:rsidRDefault="00090683" w:rsidP="000B7E9A">
            <w:pPr>
              <w:pStyle w:val="Tablecolumnheadings"/>
            </w:pPr>
          </w:p>
        </w:tc>
        <w:tc>
          <w:tcPr>
            <w:tcW w:w="1762" w:type="pct"/>
            <w:gridSpan w:val="3"/>
            <w:shd w:val="clear" w:color="auto" w:fill="9D57A6"/>
            <w:tcMar>
              <w:bottom w:w="0" w:type="dxa"/>
            </w:tcMar>
          </w:tcPr>
          <w:p w14:paraId="6A859D14" w14:textId="77777777" w:rsidR="00090683" w:rsidRDefault="00090683" w:rsidP="000B7E9A">
            <w:pPr>
              <w:pStyle w:val="Tablecolumnheadings"/>
              <w:jc w:val="center"/>
            </w:pPr>
            <w:r>
              <w:t>2014</w:t>
            </w:r>
          </w:p>
        </w:tc>
        <w:tc>
          <w:tcPr>
            <w:tcW w:w="1763" w:type="pct"/>
            <w:gridSpan w:val="3"/>
            <w:shd w:val="clear" w:color="auto" w:fill="9D57A6"/>
            <w:tcMar>
              <w:bottom w:w="0" w:type="dxa"/>
            </w:tcMar>
          </w:tcPr>
          <w:p w14:paraId="22E7F763" w14:textId="77777777" w:rsidR="00090683" w:rsidRDefault="00090683" w:rsidP="000B7E9A">
            <w:pPr>
              <w:pStyle w:val="Tablecolumnheadings"/>
              <w:jc w:val="center"/>
            </w:pPr>
            <w:r>
              <w:t>2015</w:t>
            </w:r>
          </w:p>
        </w:tc>
      </w:tr>
      <w:tr w:rsidR="00090683" w14:paraId="04788940" w14:textId="77777777" w:rsidTr="000F477D">
        <w:trPr>
          <w:cantSplit/>
          <w:tblHeader/>
        </w:trPr>
        <w:tc>
          <w:tcPr>
            <w:tcW w:w="1475" w:type="pct"/>
            <w:gridSpan w:val="2"/>
            <w:shd w:val="clear" w:color="auto" w:fill="9D57A6"/>
            <w:tcMar>
              <w:left w:w="454" w:type="dxa"/>
              <w:bottom w:w="0" w:type="dxa"/>
            </w:tcMar>
          </w:tcPr>
          <w:p w14:paraId="7F157C05" w14:textId="77777777" w:rsidR="00090683" w:rsidRDefault="00090683" w:rsidP="000B7E9A">
            <w:pPr>
              <w:pStyle w:val="Tablecolumnheadings"/>
            </w:pPr>
          </w:p>
        </w:tc>
        <w:tc>
          <w:tcPr>
            <w:tcW w:w="587" w:type="pct"/>
            <w:shd w:val="clear" w:color="auto" w:fill="9D57A6"/>
            <w:tcMar>
              <w:bottom w:w="0" w:type="dxa"/>
            </w:tcMar>
          </w:tcPr>
          <w:p w14:paraId="7643B7B6" w14:textId="77777777" w:rsidR="00090683" w:rsidRDefault="00090683" w:rsidP="000B7E9A">
            <w:pPr>
              <w:pStyle w:val="Tablecolumnheadings"/>
              <w:jc w:val="center"/>
            </w:pPr>
            <w:r>
              <w:t>Total number</w:t>
            </w:r>
          </w:p>
        </w:tc>
        <w:tc>
          <w:tcPr>
            <w:tcW w:w="587" w:type="pct"/>
            <w:shd w:val="clear" w:color="auto" w:fill="9D57A6"/>
            <w:tcMar>
              <w:bottom w:w="0" w:type="dxa"/>
            </w:tcMar>
          </w:tcPr>
          <w:p w14:paraId="1EEBB08A" w14:textId="77777777" w:rsidR="00090683" w:rsidRDefault="00090683" w:rsidP="000B7E9A">
            <w:pPr>
              <w:pStyle w:val="Tablecolumnheadings"/>
              <w:jc w:val="center"/>
            </w:pPr>
            <w:r>
              <w:t>Number approved</w:t>
            </w:r>
          </w:p>
        </w:tc>
        <w:tc>
          <w:tcPr>
            <w:tcW w:w="588" w:type="pct"/>
            <w:shd w:val="clear" w:color="auto" w:fill="9D57A6"/>
            <w:tcMar>
              <w:bottom w:w="0" w:type="dxa"/>
            </w:tcMar>
          </w:tcPr>
          <w:p w14:paraId="52E05581" w14:textId="77777777" w:rsidR="00090683" w:rsidRDefault="00090683" w:rsidP="000B7E9A">
            <w:pPr>
              <w:pStyle w:val="Tablecolumnheadings"/>
              <w:jc w:val="center"/>
            </w:pPr>
            <w:r>
              <w:t>Success rate</w:t>
            </w:r>
          </w:p>
        </w:tc>
        <w:tc>
          <w:tcPr>
            <w:tcW w:w="587" w:type="pct"/>
            <w:shd w:val="clear" w:color="auto" w:fill="9D57A6"/>
            <w:tcMar>
              <w:bottom w:w="0" w:type="dxa"/>
            </w:tcMar>
          </w:tcPr>
          <w:p w14:paraId="033D189F" w14:textId="77777777" w:rsidR="00090683" w:rsidRDefault="00090683" w:rsidP="000B7E9A">
            <w:pPr>
              <w:pStyle w:val="Tablecolumnheadings"/>
              <w:jc w:val="center"/>
            </w:pPr>
            <w:r>
              <w:t xml:space="preserve">Total number </w:t>
            </w:r>
          </w:p>
        </w:tc>
        <w:tc>
          <w:tcPr>
            <w:tcW w:w="587" w:type="pct"/>
            <w:shd w:val="clear" w:color="auto" w:fill="9D57A6"/>
            <w:tcMar>
              <w:bottom w:w="0" w:type="dxa"/>
            </w:tcMar>
          </w:tcPr>
          <w:p w14:paraId="59E64EAC" w14:textId="77777777" w:rsidR="00090683" w:rsidRDefault="00090683" w:rsidP="000B7E9A">
            <w:pPr>
              <w:pStyle w:val="Tablecolumnheadings"/>
              <w:jc w:val="center"/>
            </w:pPr>
            <w:r>
              <w:t>Number approved</w:t>
            </w:r>
          </w:p>
        </w:tc>
        <w:tc>
          <w:tcPr>
            <w:tcW w:w="589" w:type="pct"/>
            <w:shd w:val="clear" w:color="auto" w:fill="9D57A6"/>
            <w:tcMar>
              <w:bottom w:w="0" w:type="dxa"/>
            </w:tcMar>
          </w:tcPr>
          <w:p w14:paraId="7364FE31" w14:textId="77777777" w:rsidR="00090683" w:rsidRDefault="00090683" w:rsidP="000B7E9A">
            <w:pPr>
              <w:pStyle w:val="Tablecolumnheadings"/>
              <w:jc w:val="center"/>
            </w:pPr>
            <w:r>
              <w:t>Success rate</w:t>
            </w:r>
          </w:p>
        </w:tc>
      </w:tr>
      <w:tr w:rsidR="00090683" w14:paraId="52891239" w14:textId="77777777" w:rsidTr="000F477D">
        <w:tblPrEx>
          <w:tblBorders>
            <w:bottom w:val="single" w:sz="4" w:space="0" w:color="646464"/>
            <w:insideH w:val="single" w:sz="4" w:space="0" w:color="646464"/>
          </w:tblBorders>
        </w:tblPrEx>
        <w:trPr>
          <w:gridBefore w:val="1"/>
          <w:wBefore w:w="219" w:type="pct"/>
          <w:cantSplit/>
        </w:trPr>
        <w:tc>
          <w:tcPr>
            <w:tcW w:w="1256" w:type="pct"/>
            <w:tcBorders>
              <w:top w:val="nil"/>
            </w:tcBorders>
          </w:tcPr>
          <w:p w14:paraId="1F362203" w14:textId="77777777" w:rsidR="00090683" w:rsidRDefault="00090683" w:rsidP="000B7E9A">
            <w:pPr>
              <w:pStyle w:val="Tabletext"/>
              <w:keepNext/>
            </w:pPr>
            <w:r>
              <w:t>All applications</w:t>
            </w:r>
          </w:p>
        </w:tc>
        <w:tc>
          <w:tcPr>
            <w:tcW w:w="587" w:type="pct"/>
            <w:tcBorders>
              <w:top w:val="nil"/>
            </w:tcBorders>
          </w:tcPr>
          <w:p w14:paraId="7AC384AF" w14:textId="77777777" w:rsidR="00090683" w:rsidRDefault="00090683" w:rsidP="000B7E9A">
            <w:pPr>
              <w:pStyle w:val="Tabletext"/>
              <w:keepNext/>
              <w:jc w:val="center"/>
            </w:pPr>
            <w:r>
              <w:t>38</w:t>
            </w:r>
          </w:p>
        </w:tc>
        <w:tc>
          <w:tcPr>
            <w:tcW w:w="587" w:type="pct"/>
            <w:tcBorders>
              <w:top w:val="nil"/>
            </w:tcBorders>
          </w:tcPr>
          <w:p w14:paraId="39C6253C" w14:textId="77777777" w:rsidR="00090683" w:rsidRDefault="00090683" w:rsidP="000B7E9A">
            <w:pPr>
              <w:pStyle w:val="Tabletext"/>
              <w:keepNext/>
              <w:jc w:val="center"/>
            </w:pPr>
            <w:r>
              <w:t>22</w:t>
            </w:r>
          </w:p>
        </w:tc>
        <w:tc>
          <w:tcPr>
            <w:tcW w:w="588" w:type="pct"/>
            <w:tcBorders>
              <w:top w:val="nil"/>
            </w:tcBorders>
          </w:tcPr>
          <w:p w14:paraId="018F4BC9" w14:textId="77777777" w:rsidR="00090683" w:rsidRDefault="00090683" w:rsidP="000B7E9A">
            <w:pPr>
              <w:pStyle w:val="Tabletext"/>
              <w:keepNext/>
              <w:jc w:val="center"/>
            </w:pPr>
            <w:r>
              <w:t>58 per cent</w:t>
            </w:r>
          </w:p>
        </w:tc>
        <w:tc>
          <w:tcPr>
            <w:tcW w:w="587" w:type="pct"/>
            <w:tcBorders>
              <w:top w:val="nil"/>
            </w:tcBorders>
          </w:tcPr>
          <w:p w14:paraId="715B2174" w14:textId="77777777" w:rsidR="00090683" w:rsidRDefault="00090683" w:rsidP="000B7E9A">
            <w:pPr>
              <w:pStyle w:val="Tabletext"/>
              <w:keepNext/>
              <w:jc w:val="center"/>
            </w:pPr>
            <w:r>
              <w:t>62</w:t>
            </w:r>
          </w:p>
        </w:tc>
        <w:tc>
          <w:tcPr>
            <w:tcW w:w="587" w:type="pct"/>
            <w:tcBorders>
              <w:top w:val="nil"/>
            </w:tcBorders>
          </w:tcPr>
          <w:p w14:paraId="501F4B43" w14:textId="77777777" w:rsidR="00090683" w:rsidRDefault="00090683" w:rsidP="000B7E9A">
            <w:pPr>
              <w:pStyle w:val="Tabletext"/>
              <w:keepNext/>
              <w:jc w:val="center"/>
            </w:pPr>
            <w:r>
              <w:t>22</w:t>
            </w:r>
          </w:p>
        </w:tc>
        <w:tc>
          <w:tcPr>
            <w:tcW w:w="589" w:type="pct"/>
            <w:tcBorders>
              <w:top w:val="nil"/>
            </w:tcBorders>
          </w:tcPr>
          <w:p w14:paraId="5B9732EA" w14:textId="77777777" w:rsidR="00090683" w:rsidRDefault="00090683" w:rsidP="000B7E9A">
            <w:pPr>
              <w:pStyle w:val="Tabletext"/>
              <w:keepNext/>
              <w:jc w:val="center"/>
            </w:pPr>
            <w:r>
              <w:t>39 per cent</w:t>
            </w:r>
          </w:p>
        </w:tc>
      </w:tr>
      <w:tr w:rsidR="00090683" w14:paraId="0F20A615" w14:textId="77777777" w:rsidTr="000F477D">
        <w:tblPrEx>
          <w:tblBorders>
            <w:bottom w:val="single" w:sz="4" w:space="0" w:color="646464"/>
            <w:insideH w:val="single" w:sz="4" w:space="0" w:color="646464"/>
          </w:tblBorders>
        </w:tblPrEx>
        <w:trPr>
          <w:gridBefore w:val="1"/>
          <w:wBefore w:w="219" w:type="pct"/>
          <w:cantSplit/>
        </w:trPr>
        <w:tc>
          <w:tcPr>
            <w:tcW w:w="4781" w:type="pct"/>
            <w:gridSpan w:val="7"/>
            <w:shd w:val="clear" w:color="auto" w:fill="E6E6E6"/>
          </w:tcPr>
          <w:p w14:paraId="6F8CFF07" w14:textId="77777777" w:rsidR="00090683" w:rsidRDefault="00090683" w:rsidP="000B7E9A">
            <w:pPr>
              <w:pStyle w:val="Tabletext"/>
              <w:keepNext/>
            </w:pPr>
            <w:r>
              <w:t>By priority funding area:</w:t>
            </w:r>
          </w:p>
        </w:tc>
      </w:tr>
      <w:tr w:rsidR="00090683" w14:paraId="20658749" w14:textId="77777777" w:rsidTr="000F477D">
        <w:tblPrEx>
          <w:tblBorders>
            <w:bottom w:val="single" w:sz="4" w:space="0" w:color="646464"/>
            <w:insideH w:val="single" w:sz="4" w:space="0" w:color="646464"/>
          </w:tblBorders>
        </w:tblPrEx>
        <w:trPr>
          <w:gridBefore w:val="1"/>
          <w:wBefore w:w="219" w:type="pct"/>
          <w:cantSplit/>
        </w:trPr>
        <w:tc>
          <w:tcPr>
            <w:tcW w:w="1256" w:type="pct"/>
          </w:tcPr>
          <w:p w14:paraId="729034E4" w14:textId="77777777" w:rsidR="00090683" w:rsidRDefault="00090683" w:rsidP="000B7E9A">
            <w:pPr>
              <w:pStyle w:val="Tabletext"/>
              <w:keepNext/>
            </w:pPr>
            <w:r>
              <w:t>Building the evidence base</w:t>
            </w:r>
          </w:p>
        </w:tc>
        <w:tc>
          <w:tcPr>
            <w:tcW w:w="587" w:type="pct"/>
          </w:tcPr>
          <w:p w14:paraId="2149F0B0" w14:textId="77777777" w:rsidR="00090683" w:rsidRDefault="00090683" w:rsidP="000B7E9A">
            <w:pPr>
              <w:pStyle w:val="Tabletext"/>
              <w:keepNext/>
              <w:jc w:val="center"/>
            </w:pPr>
            <w:r>
              <w:t>16</w:t>
            </w:r>
          </w:p>
        </w:tc>
        <w:tc>
          <w:tcPr>
            <w:tcW w:w="587" w:type="pct"/>
          </w:tcPr>
          <w:p w14:paraId="2CA34C1B" w14:textId="77777777" w:rsidR="00090683" w:rsidRDefault="00090683" w:rsidP="000B7E9A">
            <w:pPr>
              <w:pStyle w:val="Tabletext"/>
              <w:keepNext/>
              <w:jc w:val="center"/>
            </w:pPr>
            <w:r>
              <w:t>10</w:t>
            </w:r>
          </w:p>
        </w:tc>
        <w:tc>
          <w:tcPr>
            <w:tcW w:w="588" w:type="pct"/>
          </w:tcPr>
          <w:p w14:paraId="0FAB7C2E" w14:textId="77777777" w:rsidR="00090683" w:rsidRDefault="00090683" w:rsidP="000B7E9A">
            <w:pPr>
              <w:pStyle w:val="Tabletext"/>
              <w:keepNext/>
              <w:jc w:val="center"/>
            </w:pPr>
            <w:r>
              <w:t>63 per cent</w:t>
            </w:r>
          </w:p>
        </w:tc>
        <w:tc>
          <w:tcPr>
            <w:tcW w:w="587" w:type="pct"/>
          </w:tcPr>
          <w:p w14:paraId="40C7B86B" w14:textId="77777777" w:rsidR="00090683" w:rsidRDefault="00090683" w:rsidP="000B7E9A">
            <w:pPr>
              <w:pStyle w:val="Tabletext"/>
              <w:keepNext/>
              <w:jc w:val="center"/>
            </w:pPr>
            <w:r>
              <w:t>19</w:t>
            </w:r>
          </w:p>
        </w:tc>
        <w:tc>
          <w:tcPr>
            <w:tcW w:w="587" w:type="pct"/>
          </w:tcPr>
          <w:p w14:paraId="48FAB431" w14:textId="77777777" w:rsidR="00090683" w:rsidRDefault="00090683" w:rsidP="000B7E9A">
            <w:pPr>
              <w:pStyle w:val="Tabletext"/>
              <w:keepNext/>
              <w:jc w:val="center"/>
            </w:pPr>
            <w:r>
              <w:t>15</w:t>
            </w:r>
          </w:p>
        </w:tc>
        <w:tc>
          <w:tcPr>
            <w:tcW w:w="589" w:type="pct"/>
          </w:tcPr>
          <w:p w14:paraId="54DF950A" w14:textId="77777777" w:rsidR="00090683" w:rsidRDefault="00090683" w:rsidP="000B7E9A">
            <w:pPr>
              <w:pStyle w:val="Tabletext"/>
              <w:keepNext/>
              <w:jc w:val="center"/>
            </w:pPr>
            <w:r>
              <w:t>79 per cent</w:t>
            </w:r>
          </w:p>
        </w:tc>
      </w:tr>
      <w:tr w:rsidR="00090683" w14:paraId="6E5161F3" w14:textId="77777777" w:rsidTr="000F477D">
        <w:tblPrEx>
          <w:tblBorders>
            <w:bottom w:val="single" w:sz="4" w:space="0" w:color="646464"/>
            <w:insideH w:val="single" w:sz="4" w:space="0" w:color="646464"/>
          </w:tblBorders>
        </w:tblPrEx>
        <w:trPr>
          <w:gridBefore w:val="1"/>
          <w:wBefore w:w="219" w:type="pct"/>
          <w:cantSplit/>
        </w:trPr>
        <w:tc>
          <w:tcPr>
            <w:tcW w:w="1256" w:type="pct"/>
          </w:tcPr>
          <w:p w14:paraId="7203CF83" w14:textId="77777777" w:rsidR="00090683" w:rsidRDefault="00090683" w:rsidP="000B7E9A">
            <w:pPr>
              <w:pStyle w:val="Tabletext"/>
              <w:keepNext/>
            </w:pPr>
            <w:r>
              <w:t>Fostering innovation</w:t>
            </w:r>
          </w:p>
        </w:tc>
        <w:tc>
          <w:tcPr>
            <w:tcW w:w="587" w:type="pct"/>
          </w:tcPr>
          <w:p w14:paraId="173CC62F" w14:textId="77777777" w:rsidR="00090683" w:rsidRDefault="00090683" w:rsidP="000B7E9A">
            <w:pPr>
              <w:pStyle w:val="Tabletext"/>
              <w:keepNext/>
              <w:jc w:val="center"/>
            </w:pPr>
            <w:r>
              <w:t>18</w:t>
            </w:r>
          </w:p>
        </w:tc>
        <w:tc>
          <w:tcPr>
            <w:tcW w:w="587" w:type="pct"/>
          </w:tcPr>
          <w:p w14:paraId="118BBAA4" w14:textId="77777777" w:rsidR="00090683" w:rsidRDefault="00090683" w:rsidP="000B7E9A">
            <w:pPr>
              <w:pStyle w:val="Tabletext"/>
              <w:keepNext/>
              <w:jc w:val="center"/>
            </w:pPr>
            <w:r>
              <w:t>10</w:t>
            </w:r>
          </w:p>
        </w:tc>
        <w:tc>
          <w:tcPr>
            <w:tcW w:w="588" w:type="pct"/>
          </w:tcPr>
          <w:p w14:paraId="3883D695" w14:textId="77777777" w:rsidR="00090683" w:rsidRDefault="00090683" w:rsidP="000B7E9A">
            <w:pPr>
              <w:pStyle w:val="Tabletext"/>
              <w:keepNext/>
              <w:jc w:val="center"/>
            </w:pPr>
            <w:r>
              <w:t>56 per cent</w:t>
            </w:r>
          </w:p>
        </w:tc>
        <w:tc>
          <w:tcPr>
            <w:tcW w:w="587" w:type="pct"/>
          </w:tcPr>
          <w:p w14:paraId="34CBE407" w14:textId="77777777" w:rsidR="00090683" w:rsidRDefault="00090683" w:rsidP="000B7E9A">
            <w:pPr>
              <w:pStyle w:val="Tabletext"/>
              <w:keepNext/>
              <w:jc w:val="center"/>
            </w:pPr>
            <w:r>
              <w:t>18</w:t>
            </w:r>
          </w:p>
        </w:tc>
        <w:tc>
          <w:tcPr>
            <w:tcW w:w="587" w:type="pct"/>
          </w:tcPr>
          <w:p w14:paraId="0CF7A87A" w14:textId="77777777" w:rsidR="00090683" w:rsidRDefault="00090683" w:rsidP="000B7E9A">
            <w:pPr>
              <w:pStyle w:val="Tabletext"/>
              <w:keepNext/>
              <w:jc w:val="center"/>
            </w:pPr>
            <w:r>
              <w:t>9</w:t>
            </w:r>
          </w:p>
        </w:tc>
        <w:tc>
          <w:tcPr>
            <w:tcW w:w="589" w:type="pct"/>
          </w:tcPr>
          <w:p w14:paraId="1407122F" w14:textId="77777777" w:rsidR="00090683" w:rsidRDefault="00090683" w:rsidP="000B7E9A">
            <w:pPr>
              <w:pStyle w:val="Tabletext"/>
              <w:keepNext/>
              <w:jc w:val="center"/>
            </w:pPr>
            <w:r>
              <w:t>50 per cent</w:t>
            </w:r>
          </w:p>
        </w:tc>
      </w:tr>
      <w:tr w:rsidR="00090683" w14:paraId="6E7E6AB7" w14:textId="77777777" w:rsidTr="000F477D">
        <w:tblPrEx>
          <w:tblBorders>
            <w:bottom w:val="single" w:sz="4" w:space="0" w:color="646464"/>
            <w:insideH w:val="single" w:sz="4" w:space="0" w:color="646464"/>
          </w:tblBorders>
        </w:tblPrEx>
        <w:trPr>
          <w:gridBefore w:val="1"/>
          <w:wBefore w:w="219" w:type="pct"/>
          <w:cantSplit/>
        </w:trPr>
        <w:tc>
          <w:tcPr>
            <w:tcW w:w="1256" w:type="pct"/>
          </w:tcPr>
          <w:p w14:paraId="43278F0E" w14:textId="77777777" w:rsidR="00090683" w:rsidRDefault="00090683" w:rsidP="000B7E9A">
            <w:pPr>
              <w:pStyle w:val="Tabletext"/>
              <w:keepNext/>
            </w:pPr>
            <w:r>
              <w:t>More effective implementation</w:t>
            </w:r>
          </w:p>
        </w:tc>
        <w:tc>
          <w:tcPr>
            <w:tcW w:w="587" w:type="pct"/>
          </w:tcPr>
          <w:p w14:paraId="5FA7D597" w14:textId="77777777" w:rsidR="00090683" w:rsidRDefault="00090683" w:rsidP="000B7E9A">
            <w:pPr>
              <w:pStyle w:val="Tabletext"/>
              <w:keepNext/>
              <w:jc w:val="center"/>
            </w:pPr>
            <w:r>
              <w:t>4</w:t>
            </w:r>
          </w:p>
        </w:tc>
        <w:tc>
          <w:tcPr>
            <w:tcW w:w="587" w:type="pct"/>
          </w:tcPr>
          <w:p w14:paraId="44B9E2F6" w14:textId="77777777" w:rsidR="00090683" w:rsidRDefault="00090683" w:rsidP="000B7E9A">
            <w:pPr>
              <w:pStyle w:val="Tabletext"/>
              <w:keepNext/>
              <w:jc w:val="center"/>
            </w:pPr>
            <w:r>
              <w:t>2</w:t>
            </w:r>
          </w:p>
        </w:tc>
        <w:tc>
          <w:tcPr>
            <w:tcW w:w="588" w:type="pct"/>
          </w:tcPr>
          <w:p w14:paraId="2A44E0CB" w14:textId="77777777" w:rsidR="00090683" w:rsidRDefault="00090683" w:rsidP="000B7E9A">
            <w:pPr>
              <w:pStyle w:val="Tabletext"/>
              <w:keepNext/>
              <w:jc w:val="center"/>
            </w:pPr>
            <w:r>
              <w:t>50 per cent</w:t>
            </w:r>
          </w:p>
        </w:tc>
        <w:tc>
          <w:tcPr>
            <w:tcW w:w="587" w:type="pct"/>
          </w:tcPr>
          <w:p w14:paraId="2F709507" w14:textId="77777777" w:rsidR="00090683" w:rsidRDefault="00090683" w:rsidP="000B7E9A">
            <w:pPr>
              <w:pStyle w:val="Tabletext"/>
              <w:keepNext/>
              <w:jc w:val="center"/>
            </w:pPr>
            <w:r>
              <w:t>7</w:t>
            </w:r>
          </w:p>
        </w:tc>
        <w:tc>
          <w:tcPr>
            <w:tcW w:w="587" w:type="pct"/>
          </w:tcPr>
          <w:p w14:paraId="0D11F9C0" w14:textId="77777777" w:rsidR="00090683" w:rsidRDefault="00090683" w:rsidP="000B7E9A">
            <w:pPr>
              <w:pStyle w:val="Tabletext"/>
              <w:keepNext/>
              <w:jc w:val="center"/>
            </w:pPr>
            <w:r>
              <w:t>4</w:t>
            </w:r>
          </w:p>
        </w:tc>
        <w:tc>
          <w:tcPr>
            <w:tcW w:w="589" w:type="pct"/>
          </w:tcPr>
          <w:p w14:paraId="05A6E3D1" w14:textId="77777777" w:rsidR="00090683" w:rsidRDefault="00090683" w:rsidP="000B7E9A">
            <w:pPr>
              <w:pStyle w:val="Tabletext"/>
              <w:keepNext/>
              <w:jc w:val="center"/>
            </w:pPr>
            <w:r>
              <w:t>57 per cent</w:t>
            </w:r>
          </w:p>
        </w:tc>
      </w:tr>
      <w:tr w:rsidR="00090683" w14:paraId="50C4D781" w14:textId="77777777" w:rsidTr="000F477D">
        <w:tblPrEx>
          <w:tblBorders>
            <w:bottom w:val="single" w:sz="4" w:space="0" w:color="646464"/>
            <w:insideH w:val="single" w:sz="4" w:space="0" w:color="646464"/>
          </w:tblBorders>
        </w:tblPrEx>
        <w:trPr>
          <w:gridBefore w:val="1"/>
          <w:wBefore w:w="219" w:type="pct"/>
          <w:cantSplit/>
        </w:trPr>
        <w:tc>
          <w:tcPr>
            <w:tcW w:w="1256" w:type="pct"/>
          </w:tcPr>
          <w:p w14:paraId="02D0EB9D" w14:textId="77777777" w:rsidR="00090683" w:rsidRDefault="00090683" w:rsidP="000B7E9A">
            <w:pPr>
              <w:pStyle w:val="Tabletext"/>
              <w:keepNext/>
            </w:pPr>
            <w:r>
              <w:t>Uncategorised</w:t>
            </w:r>
          </w:p>
        </w:tc>
        <w:tc>
          <w:tcPr>
            <w:tcW w:w="587" w:type="pct"/>
          </w:tcPr>
          <w:p w14:paraId="23EBA6B3" w14:textId="77777777" w:rsidR="00090683" w:rsidRDefault="00090683" w:rsidP="000B7E9A">
            <w:pPr>
              <w:pStyle w:val="Tabletext"/>
              <w:keepNext/>
              <w:jc w:val="center"/>
            </w:pPr>
            <w:r>
              <w:t>0</w:t>
            </w:r>
          </w:p>
        </w:tc>
        <w:tc>
          <w:tcPr>
            <w:tcW w:w="587" w:type="pct"/>
          </w:tcPr>
          <w:p w14:paraId="2266F181" w14:textId="77777777" w:rsidR="00090683" w:rsidRDefault="00090683" w:rsidP="000B7E9A">
            <w:pPr>
              <w:pStyle w:val="Tabletext"/>
              <w:keepNext/>
              <w:jc w:val="center"/>
            </w:pPr>
            <w:r>
              <w:t>0</w:t>
            </w:r>
          </w:p>
        </w:tc>
        <w:tc>
          <w:tcPr>
            <w:tcW w:w="588" w:type="pct"/>
          </w:tcPr>
          <w:p w14:paraId="624BAF7D" w14:textId="77777777" w:rsidR="00090683" w:rsidRDefault="00090683" w:rsidP="000B7E9A">
            <w:pPr>
              <w:pStyle w:val="Tabletext"/>
              <w:keepNext/>
              <w:jc w:val="center"/>
            </w:pPr>
            <w:r>
              <w:t>0 per cent</w:t>
            </w:r>
          </w:p>
        </w:tc>
        <w:tc>
          <w:tcPr>
            <w:tcW w:w="587" w:type="pct"/>
          </w:tcPr>
          <w:p w14:paraId="0C982F25" w14:textId="77777777" w:rsidR="00090683" w:rsidRDefault="00090683" w:rsidP="000B7E9A">
            <w:pPr>
              <w:pStyle w:val="Tabletext"/>
              <w:keepNext/>
              <w:jc w:val="center"/>
            </w:pPr>
            <w:r>
              <w:t>22</w:t>
            </w:r>
          </w:p>
        </w:tc>
        <w:tc>
          <w:tcPr>
            <w:tcW w:w="587" w:type="pct"/>
          </w:tcPr>
          <w:p w14:paraId="45556506" w14:textId="77777777" w:rsidR="00090683" w:rsidRDefault="00090683" w:rsidP="000B7E9A">
            <w:pPr>
              <w:pStyle w:val="Tabletext"/>
              <w:keepNext/>
              <w:jc w:val="center"/>
            </w:pPr>
            <w:r>
              <w:t>0</w:t>
            </w:r>
          </w:p>
        </w:tc>
        <w:tc>
          <w:tcPr>
            <w:tcW w:w="589" w:type="pct"/>
          </w:tcPr>
          <w:p w14:paraId="78117510" w14:textId="77777777" w:rsidR="00090683" w:rsidRDefault="00090683" w:rsidP="000B7E9A">
            <w:pPr>
              <w:pStyle w:val="Tabletext"/>
              <w:keepNext/>
              <w:jc w:val="center"/>
            </w:pPr>
            <w:r>
              <w:t>0 per cent</w:t>
            </w:r>
          </w:p>
        </w:tc>
      </w:tr>
      <w:tr w:rsidR="00090683" w14:paraId="2C1804B5" w14:textId="77777777" w:rsidTr="000F477D">
        <w:tblPrEx>
          <w:tblBorders>
            <w:bottom w:val="single" w:sz="4" w:space="0" w:color="646464"/>
            <w:insideH w:val="single" w:sz="4" w:space="0" w:color="646464"/>
          </w:tblBorders>
        </w:tblPrEx>
        <w:trPr>
          <w:gridBefore w:val="1"/>
          <w:wBefore w:w="219" w:type="pct"/>
          <w:cantSplit/>
        </w:trPr>
        <w:tc>
          <w:tcPr>
            <w:tcW w:w="4781" w:type="pct"/>
            <w:gridSpan w:val="7"/>
          </w:tcPr>
          <w:p w14:paraId="2A8C50E6" w14:textId="77777777" w:rsidR="00090683" w:rsidRPr="00F77BCF" w:rsidRDefault="00090683" w:rsidP="000B7E9A">
            <w:pPr>
              <w:pStyle w:val="Note"/>
            </w:pPr>
            <w:r w:rsidRPr="00F020BA">
              <w:t xml:space="preserve">Note: </w:t>
            </w:r>
            <w:r w:rsidRPr="00AD49C8">
              <w:rPr>
                <w:spacing w:val="-3"/>
              </w:rPr>
              <w:t xml:space="preserve">Number of </w:t>
            </w:r>
            <w:r w:rsidRPr="00F77BCF">
              <w:t>applications</w:t>
            </w:r>
            <w:r w:rsidRPr="00AD49C8">
              <w:rPr>
                <w:spacing w:val="-3"/>
              </w:rPr>
              <w:t xml:space="preserve"> by priority funding area does not sum to total number of applications </w:t>
            </w:r>
            <w:r w:rsidRPr="00F77BCF">
              <w:t xml:space="preserve">for 2015 </w:t>
            </w:r>
            <w:r w:rsidRPr="00AD49C8">
              <w:rPr>
                <w:spacing w:val="-3"/>
              </w:rPr>
              <w:t xml:space="preserve">as applications </w:t>
            </w:r>
            <w:r>
              <w:t>a</w:t>
            </w:r>
            <w:r w:rsidRPr="00F77BCF">
              <w:t>re categorised under</w:t>
            </w:r>
            <w:r w:rsidRPr="00AD49C8">
              <w:rPr>
                <w:spacing w:val="-3"/>
              </w:rPr>
              <w:t xml:space="preserve"> multiple priority areas.</w:t>
            </w:r>
          </w:p>
          <w:p w14:paraId="640843A5" w14:textId="77777777" w:rsidR="00090683" w:rsidRDefault="00090683" w:rsidP="000B7E9A">
            <w:pPr>
              <w:pStyle w:val="Source"/>
            </w:pPr>
            <w:r>
              <w:t>Source: ACIL Allen analysis of Department documentation</w:t>
            </w:r>
          </w:p>
        </w:tc>
      </w:tr>
      <w:tr w:rsidR="00090683" w14:paraId="3B54AA13" w14:textId="77777777" w:rsidTr="000F477D">
        <w:tblPrEx>
          <w:tblBorders>
            <w:bottom w:val="single" w:sz="4" w:space="0" w:color="646464"/>
            <w:insideH w:val="single" w:sz="4" w:space="0" w:color="646464"/>
          </w:tblBorders>
        </w:tblPrEx>
        <w:trPr>
          <w:gridBefore w:val="1"/>
          <w:wBefore w:w="219" w:type="pct"/>
          <w:cantSplit/>
          <w:trHeight w:hRule="exact" w:val="120"/>
        </w:trPr>
        <w:tc>
          <w:tcPr>
            <w:tcW w:w="4781" w:type="pct"/>
            <w:gridSpan w:val="7"/>
            <w:tcBorders>
              <w:bottom w:val="nil"/>
            </w:tcBorders>
          </w:tcPr>
          <w:p w14:paraId="30795F95" w14:textId="77777777" w:rsidR="00090683" w:rsidRDefault="00090683" w:rsidP="000B7E9A">
            <w:pPr>
              <w:pStyle w:val="spacertbl"/>
            </w:pPr>
          </w:p>
        </w:tc>
      </w:tr>
    </w:tbl>
    <w:p w14:paraId="3A0D77AA" w14:textId="77777777" w:rsidR="00090683" w:rsidRDefault="00090683" w:rsidP="00090683">
      <w:pPr>
        <w:pStyle w:val="BodyText"/>
      </w:pPr>
      <w:r>
        <w:t>Analysis of the university proposed projects (approved applications) in 2014 and 2015 shows that 57 per cent of projects were targeted at the ‘building the evidence base’ priority area with 43 per cent of projects involved in the ‘fostering innovation’ area. ‘More effective program implementation’ was the least common priority area, addressed in 14 per cent of projects (</w:t>
      </w:r>
      <w:r w:rsidRPr="00AD49C8">
        <w:t>Figure 8.1</w:t>
      </w:r>
      <w:r>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AA4DEE" w14:paraId="76119DC9" w14:textId="77777777" w:rsidTr="000B7E9A">
        <w:trPr>
          <w:cantSplit/>
          <w:trHeight w:hRule="exact" w:val="160"/>
        </w:trPr>
        <w:tc>
          <w:tcPr>
            <w:tcW w:w="8168" w:type="dxa"/>
            <w:tcBorders>
              <w:bottom w:val="single" w:sz="4" w:space="0" w:color="auto"/>
            </w:tcBorders>
          </w:tcPr>
          <w:p w14:paraId="31B489A7" w14:textId="77777777" w:rsidR="00090683" w:rsidRPr="00AA4DEE" w:rsidRDefault="00090683" w:rsidP="000B7E9A">
            <w:pPr>
              <w:pStyle w:val="spacer"/>
            </w:pPr>
          </w:p>
        </w:tc>
      </w:tr>
      <w:tr w:rsidR="00090683" w:rsidRPr="00897E60" w14:paraId="3889DF48" w14:textId="77777777" w:rsidTr="000B7E9A">
        <w:trPr>
          <w:cantSplit/>
        </w:trPr>
        <w:tc>
          <w:tcPr>
            <w:tcW w:w="8168" w:type="dxa"/>
            <w:tcBorders>
              <w:top w:val="single" w:sz="4" w:space="0" w:color="auto"/>
            </w:tcBorders>
            <w:tcMar>
              <w:left w:w="0" w:type="dxa"/>
            </w:tcMar>
          </w:tcPr>
          <w:p w14:paraId="1CDF2B39" w14:textId="77777777" w:rsidR="00090683" w:rsidRPr="00897E60" w:rsidRDefault="00090683" w:rsidP="000B7E9A">
            <w:pPr>
              <w:pStyle w:val="Caption"/>
            </w:pPr>
            <w:bookmarkStart w:id="339" w:name="_Ref465159779"/>
            <w:bookmarkStart w:id="340" w:name="_Toc466655687"/>
            <w:r w:rsidRPr="00897E60">
              <w:rPr>
                <w:rStyle w:val="CaptionLabel"/>
              </w:rPr>
              <w:t>Figure</w:t>
            </w:r>
            <w:r>
              <w:rPr>
                <w:rStyle w:val="CaptionLabel"/>
              </w:rPr>
              <w:t> </w:t>
            </w:r>
            <w:r>
              <w:rPr>
                <w:rStyle w:val="CaptionLabel"/>
                <w:noProof/>
              </w:rPr>
              <w:t>8</w:t>
            </w:r>
            <w:r w:rsidRPr="00897E60">
              <w:rPr>
                <w:rStyle w:val="CaptionLabel"/>
              </w:rPr>
              <w:t>.</w:t>
            </w:r>
            <w:r>
              <w:rPr>
                <w:rStyle w:val="CaptionLabel"/>
                <w:noProof/>
              </w:rPr>
              <w:t>1</w:t>
            </w:r>
            <w:bookmarkEnd w:id="339"/>
            <w:r>
              <w:tab/>
              <w:t>University proposed projects by priority funding areas, 2014 and 2015</w:t>
            </w:r>
            <w:bookmarkEnd w:id="340"/>
          </w:p>
        </w:tc>
      </w:tr>
      <w:tr w:rsidR="00090683" w:rsidRPr="00AA4DEE" w14:paraId="03237EB8" w14:textId="77777777" w:rsidTr="000B7E9A">
        <w:trPr>
          <w:cantSplit/>
          <w:trHeight w:hRule="exact" w:val="380"/>
        </w:trPr>
        <w:tc>
          <w:tcPr>
            <w:tcW w:w="8168" w:type="dxa"/>
            <w:tcBorders>
              <w:bottom w:val="single" w:sz="4" w:space="0" w:color="auto"/>
            </w:tcBorders>
          </w:tcPr>
          <w:p w14:paraId="1C47A221"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681792" behindDoc="0" locked="1" layoutInCell="1" allowOverlap="1" wp14:anchorId="39244FC4" wp14:editId="70184C09">
                      <wp:simplePos x="0" y="0"/>
                      <wp:positionH relativeFrom="rightMargin">
                        <wp:posOffset>-772795</wp:posOffset>
                      </wp:positionH>
                      <wp:positionV relativeFrom="page">
                        <wp:posOffset>0</wp:posOffset>
                      </wp:positionV>
                      <wp:extent cx="436880" cy="213360"/>
                      <wp:effectExtent l="0" t="0" r="1270" b="0"/>
                      <wp:wrapNone/>
                      <wp:docPr id="85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7A0759" id="Freeform 5" o:spid="_x0000_s1026" style="position:absolute;margin-left:-60.85pt;margin-top:0;width:34.4pt;height:16.8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Wg+kD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1FD75968"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03C10B33" w14:textId="77777777" w:rsidR="00090683" w:rsidRPr="00AA4DEE" w:rsidRDefault="00090683" w:rsidP="000B7E9A">
            <w:pPr>
              <w:pStyle w:val="Figure"/>
            </w:pPr>
            <w:r w:rsidRPr="00106A58">
              <w:rPr>
                <w:noProof/>
                <w:lang w:eastAsia="en-AU"/>
              </w:rPr>
              <w:drawing>
                <wp:inline distT="0" distB="0" distL="0" distR="0" wp14:anchorId="579F8DFA" wp14:editId="6F29E2E3">
                  <wp:extent cx="5172075" cy="219456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72075" cy="2194560"/>
                          </a:xfrm>
                          <a:prstGeom prst="rect">
                            <a:avLst/>
                          </a:prstGeom>
                          <a:noFill/>
                          <a:ln>
                            <a:noFill/>
                          </a:ln>
                        </pic:spPr>
                      </pic:pic>
                    </a:graphicData>
                  </a:graphic>
                </wp:inline>
              </w:drawing>
            </w:r>
          </w:p>
        </w:tc>
      </w:tr>
      <w:tr w:rsidR="00090683" w:rsidRPr="00AA4DEE" w14:paraId="0D60484B"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238DA5E4" w14:textId="77777777" w:rsidR="00090683" w:rsidRPr="00AA4DEE" w:rsidRDefault="00090683" w:rsidP="000B7E9A">
            <w:pPr>
              <w:pStyle w:val="Note"/>
            </w:pPr>
            <w:r w:rsidRPr="00AA4DEE">
              <w:t xml:space="preserve">Note: </w:t>
            </w:r>
            <w:r>
              <w:t>Percentages for 2015 do not sum to 100 as projects are categorised under multiple priority areas. There were 22 projects in each year.</w:t>
            </w:r>
          </w:p>
          <w:p w14:paraId="0C21F27C" w14:textId="77777777" w:rsidR="00090683" w:rsidRPr="00AA4DEE" w:rsidRDefault="00090683" w:rsidP="000B7E9A">
            <w:pPr>
              <w:pStyle w:val="Source"/>
            </w:pPr>
            <w:r w:rsidRPr="00AA4DEE">
              <w:t xml:space="preserve">Source: </w:t>
            </w:r>
            <w:r>
              <w:t xml:space="preserve">ACIL Allen analysis of department documentation </w:t>
            </w:r>
          </w:p>
        </w:tc>
      </w:tr>
      <w:tr w:rsidR="00090683" w14:paraId="4E8A4F52" w14:textId="77777777" w:rsidTr="000B7E9A">
        <w:trPr>
          <w:trHeight w:hRule="exact" w:val="160"/>
        </w:trPr>
        <w:tc>
          <w:tcPr>
            <w:tcW w:w="8168" w:type="dxa"/>
            <w:tcBorders>
              <w:top w:val="single" w:sz="4" w:space="0" w:color="auto"/>
            </w:tcBorders>
          </w:tcPr>
          <w:p w14:paraId="41C21AC8" w14:textId="77777777" w:rsidR="00090683" w:rsidRDefault="00090683" w:rsidP="000B7E9A">
            <w:pPr>
              <w:pStyle w:val="spacertbl"/>
            </w:pPr>
          </w:p>
        </w:tc>
      </w:tr>
    </w:tbl>
    <w:bookmarkEnd w:id="338"/>
    <w:p w14:paraId="2B11EB16" w14:textId="77777777" w:rsidR="00090683" w:rsidRDefault="00090683" w:rsidP="00090683">
      <w:pPr>
        <w:pStyle w:val="Heading3"/>
      </w:pPr>
      <w:r>
        <w:t>NPP project implementation</w:t>
      </w:r>
    </w:p>
    <w:p w14:paraId="69746CDA" w14:textId="77777777" w:rsidR="00090683" w:rsidRDefault="00090683" w:rsidP="00090683">
      <w:pPr>
        <w:pStyle w:val="BodyText"/>
      </w:pPr>
      <w:r>
        <w:t>Sixty five NPP projects were funded in 2014 and 2015—23 commissioned and 42 university proposed</w:t>
      </w:r>
      <w:r w:rsidRPr="00E341C8">
        <w:t xml:space="preserve"> </w:t>
      </w:r>
      <w:r>
        <w:t>projects (</w:t>
      </w:r>
      <w:r w:rsidRPr="00AD49C8">
        <w:t>Table 8.</w:t>
      </w:r>
      <w:r>
        <w:t>2). Roughly the same number of university proposed projects were funded in each year, though there were only two commissioned projects funded in 2015, compared with 21 in 2014.</w:t>
      </w:r>
      <w:r w:rsidRPr="00A17EDD">
        <w:t xml:space="preserve"> </w:t>
      </w:r>
      <w:r>
        <w:t>In total, a</w:t>
      </w:r>
      <w:r w:rsidRPr="001A2F85">
        <w:t>round $</w:t>
      </w:r>
      <w:r>
        <w:t>7.2</w:t>
      </w:r>
      <w:r w:rsidRPr="001A2F85">
        <w:t xml:space="preserve"> million was committed to university proposed projects and $</w:t>
      </w:r>
      <w:r>
        <w:t>9</w:t>
      </w:r>
      <w:r w:rsidRPr="001A2F85">
        <w:t>.</w:t>
      </w:r>
      <w:r>
        <w:t>2 </w:t>
      </w:r>
      <w:r w:rsidRPr="001A2F85">
        <w:t>m</w:t>
      </w:r>
      <w:r>
        <w:t>illion to commissioned projects.</w:t>
      </w:r>
    </w:p>
    <w:p w14:paraId="3280DA70" w14:textId="77777777" w:rsidR="00090683" w:rsidRDefault="00090683" w:rsidP="00090683">
      <w:pPr>
        <w:pStyle w:val="BodyText"/>
      </w:pPr>
      <w:r>
        <w:t>The table also shows the number of final reports that have been submitted to the Department for NPP projects. When final reports have not been submitted, it is assumed that the projects are not yet completed. The final reports have been analysed and are discussed throughout the chapter.</w:t>
      </w:r>
      <w:r>
        <w:rPr>
          <w:rStyle w:val="FootnoteReference"/>
        </w:rPr>
        <w:footnoteReference w:id="29"/>
      </w:r>
      <w:r>
        <w:t xml:space="preserve"> </w:t>
      </w:r>
    </w:p>
    <w:p w14:paraId="1448BC1A" w14:textId="77777777" w:rsidR="00090683" w:rsidRDefault="00090683" w:rsidP="00090683">
      <w:pPr>
        <w:pStyle w:val="Caption"/>
        <w:spacing w:before="160"/>
        <w:ind w:left="-2268" w:firstLine="515"/>
      </w:pPr>
      <w:bookmarkStart w:id="341" w:name="_Ref465844661"/>
      <w:bookmarkStart w:id="342" w:name="_Toc466655761"/>
      <w:r w:rsidRPr="00FC29C8">
        <w:rPr>
          <w:rStyle w:val="CaptionLabel"/>
        </w:rPr>
        <w:t>Table</w:t>
      </w:r>
      <w:r>
        <w:rPr>
          <w:rStyle w:val="CaptionLabel"/>
        </w:rPr>
        <w:t> </w:t>
      </w:r>
      <w:r>
        <w:rPr>
          <w:rStyle w:val="CaptionLabel"/>
          <w:noProof/>
        </w:rPr>
        <w:t>8</w:t>
      </w:r>
      <w:r w:rsidRPr="00FC29C8">
        <w:rPr>
          <w:rStyle w:val="CaptionLabel"/>
        </w:rPr>
        <w:t>.</w:t>
      </w:r>
      <w:r>
        <w:rPr>
          <w:rStyle w:val="CaptionLabel"/>
          <w:noProof/>
        </w:rPr>
        <w:t>2</w:t>
      </w:r>
      <w:bookmarkEnd w:id="341"/>
      <w:r>
        <w:tab/>
        <w:t>Overview of NPP projects in 2014 and 2015</w:t>
      </w:r>
      <w:bookmarkEnd w:id="342"/>
    </w:p>
    <w:tbl>
      <w:tblPr>
        <w:tblW w:w="10429" w:type="dxa"/>
        <w:tblInd w:w="-2207" w:type="dxa"/>
        <w:tblLayout w:type="fixed"/>
        <w:tblCellMar>
          <w:left w:w="0" w:type="dxa"/>
          <w:bottom w:w="40" w:type="dxa"/>
          <w:right w:w="0" w:type="dxa"/>
        </w:tblCellMar>
        <w:tblLook w:val="0000" w:firstRow="0" w:lastRow="0" w:firstColumn="0" w:lastColumn="0" w:noHBand="0" w:noVBand="0"/>
      </w:tblPr>
      <w:tblGrid>
        <w:gridCol w:w="340"/>
        <w:gridCol w:w="2321"/>
        <w:gridCol w:w="1942"/>
        <w:gridCol w:w="1942"/>
        <w:gridCol w:w="1942"/>
        <w:gridCol w:w="1942"/>
      </w:tblGrid>
      <w:tr w:rsidR="000F477D" w14:paraId="08D9DFA0" w14:textId="77777777" w:rsidTr="000F477D">
        <w:trPr>
          <w:cantSplit/>
          <w:tblHeader/>
        </w:trPr>
        <w:tc>
          <w:tcPr>
            <w:tcW w:w="1276" w:type="pct"/>
            <w:gridSpan w:val="2"/>
            <w:vMerge w:val="restart"/>
            <w:shd w:val="clear" w:color="auto" w:fill="9D57A6"/>
            <w:tcMar>
              <w:left w:w="454" w:type="dxa"/>
              <w:bottom w:w="0" w:type="dxa"/>
            </w:tcMar>
          </w:tcPr>
          <w:p w14:paraId="4564FAE0" w14:textId="77777777" w:rsidR="000F477D" w:rsidRDefault="000F477D" w:rsidP="000B7E9A">
            <w:pPr>
              <w:pStyle w:val="Tablecolumnheadings"/>
            </w:pPr>
          </w:p>
        </w:tc>
        <w:tc>
          <w:tcPr>
            <w:tcW w:w="1862" w:type="pct"/>
            <w:gridSpan w:val="2"/>
            <w:shd w:val="clear" w:color="auto" w:fill="9D57A6"/>
            <w:tcMar>
              <w:bottom w:w="0" w:type="dxa"/>
            </w:tcMar>
          </w:tcPr>
          <w:p w14:paraId="4DF93D83" w14:textId="33A0EB88" w:rsidR="000F477D" w:rsidRDefault="000F477D" w:rsidP="000B7E9A">
            <w:pPr>
              <w:pStyle w:val="Tablecolumnheadings"/>
              <w:jc w:val="center"/>
            </w:pPr>
            <w:r>
              <w:t>2014</w:t>
            </w:r>
          </w:p>
        </w:tc>
        <w:tc>
          <w:tcPr>
            <w:tcW w:w="1862" w:type="pct"/>
            <w:gridSpan w:val="2"/>
            <w:shd w:val="clear" w:color="auto" w:fill="9D57A6"/>
            <w:tcMar>
              <w:bottom w:w="0" w:type="dxa"/>
            </w:tcMar>
          </w:tcPr>
          <w:p w14:paraId="6DB9B822" w14:textId="3E17EE5F" w:rsidR="000F477D" w:rsidRDefault="000F477D" w:rsidP="000B7E9A">
            <w:pPr>
              <w:pStyle w:val="Tablecolumnheadings"/>
              <w:jc w:val="center"/>
            </w:pPr>
            <w:r>
              <w:t>2015</w:t>
            </w:r>
          </w:p>
        </w:tc>
      </w:tr>
      <w:tr w:rsidR="00090683" w14:paraId="5E69861C" w14:textId="77777777" w:rsidTr="000F477D">
        <w:trPr>
          <w:cantSplit/>
          <w:tblHeader/>
        </w:trPr>
        <w:tc>
          <w:tcPr>
            <w:tcW w:w="1276" w:type="pct"/>
            <w:gridSpan w:val="2"/>
            <w:vMerge/>
            <w:shd w:val="clear" w:color="auto" w:fill="9D57A6"/>
            <w:tcMar>
              <w:left w:w="454" w:type="dxa"/>
              <w:bottom w:w="0" w:type="dxa"/>
            </w:tcMar>
          </w:tcPr>
          <w:p w14:paraId="2964A690" w14:textId="77777777" w:rsidR="00090683" w:rsidRDefault="00090683" w:rsidP="000B7E9A">
            <w:pPr>
              <w:pStyle w:val="Tablecolumnheadings"/>
            </w:pPr>
          </w:p>
        </w:tc>
        <w:tc>
          <w:tcPr>
            <w:tcW w:w="931" w:type="pct"/>
            <w:shd w:val="clear" w:color="auto" w:fill="9D57A6"/>
            <w:tcMar>
              <w:bottom w:w="0" w:type="dxa"/>
            </w:tcMar>
          </w:tcPr>
          <w:p w14:paraId="1556A6F3" w14:textId="77777777" w:rsidR="00090683" w:rsidRPr="004C5A38" w:rsidRDefault="00090683" w:rsidP="000B7E9A">
            <w:pPr>
              <w:pStyle w:val="Tablecolumnheadings"/>
              <w:jc w:val="center"/>
              <w:rPr>
                <w:vertAlign w:val="superscript"/>
              </w:rPr>
            </w:pPr>
            <w:r>
              <w:t>Commissioned</w:t>
            </w:r>
          </w:p>
        </w:tc>
        <w:tc>
          <w:tcPr>
            <w:tcW w:w="931" w:type="pct"/>
            <w:shd w:val="clear" w:color="auto" w:fill="9D57A6"/>
            <w:tcMar>
              <w:bottom w:w="0" w:type="dxa"/>
            </w:tcMar>
          </w:tcPr>
          <w:p w14:paraId="384F7A71" w14:textId="77777777" w:rsidR="00090683" w:rsidRDefault="00090683" w:rsidP="000B7E9A">
            <w:pPr>
              <w:pStyle w:val="Tablecolumnheadings"/>
              <w:jc w:val="center"/>
            </w:pPr>
            <w:r>
              <w:t>University proposed</w:t>
            </w:r>
          </w:p>
        </w:tc>
        <w:tc>
          <w:tcPr>
            <w:tcW w:w="931" w:type="pct"/>
            <w:shd w:val="clear" w:color="auto" w:fill="9D57A6"/>
            <w:tcMar>
              <w:bottom w:w="0" w:type="dxa"/>
            </w:tcMar>
          </w:tcPr>
          <w:p w14:paraId="5C190370" w14:textId="77777777" w:rsidR="00090683" w:rsidRDefault="00090683" w:rsidP="000B7E9A">
            <w:pPr>
              <w:pStyle w:val="Tablecolumnheadings"/>
              <w:jc w:val="center"/>
            </w:pPr>
            <w:r>
              <w:t>Commissioned</w:t>
            </w:r>
          </w:p>
        </w:tc>
        <w:tc>
          <w:tcPr>
            <w:tcW w:w="931" w:type="pct"/>
            <w:shd w:val="clear" w:color="auto" w:fill="9D57A6"/>
            <w:tcMar>
              <w:bottom w:w="0" w:type="dxa"/>
            </w:tcMar>
          </w:tcPr>
          <w:p w14:paraId="46A5B6FB" w14:textId="77777777" w:rsidR="00090683" w:rsidRDefault="00090683" w:rsidP="000B7E9A">
            <w:pPr>
              <w:pStyle w:val="Tablecolumnheadings"/>
              <w:jc w:val="center"/>
            </w:pPr>
            <w:r>
              <w:t>University proposed</w:t>
            </w:r>
          </w:p>
        </w:tc>
      </w:tr>
      <w:tr w:rsidR="00090683" w14:paraId="227A80FD" w14:textId="77777777" w:rsidTr="000F477D">
        <w:tblPrEx>
          <w:tblBorders>
            <w:bottom w:val="single" w:sz="4" w:space="0" w:color="646464"/>
            <w:insideH w:val="single" w:sz="4" w:space="0" w:color="646464"/>
          </w:tblBorders>
        </w:tblPrEx>
        <w:trPr>
          <w:gridBefore w:val="1"/>
          <w:wBefore w:w="163" w:type="pct"/>
          <w:cantSplit/>
        </w:trPr>
        <w:tc>
          <w:tcPr>
            <w:tcW w:w="1113" w:type="pct"/>
            <w:tcBorders>
              <w:top w:val="nil"/>
            </w:tcBorders>
          </w:tcPr>
          <w:p w14:paraId="114AD297" w14:textId="77777777" w:rsidR="00090683" w:rsidRDefault="00090683" w:rsidP="000B7E9A">
            <w:pPr>
              <w:pStyle w:val="Tabletext"/>
              <w:keepNext/>
            </w:pPr>
            <w:r>
              <w:t>Number of projects funded</w:t>
            </w:r>
          </w:p>
        </w:tc>
        <w:tc>
          <w:tcPr>
            <w:tcW w:w="931" w:type="pct"/>
            <w:tcBorders>
              <w:top w:val="nil"/>
            </w:tcBorders>
            <w:vAlign w:val="center"/>
          </w:tcPr>
          <w:p w14:paraId="7E7DAC57" w14:textId="77777777" w:rsidR="00090683" w:rsidRDefault="00090683" w:rsidP="000B7E9A">
            <w:pPr>
              <w:pStyle w:val="Tabletext"/>
              <w:keepNext/>
              <w:jc w:val="center"/>
            </w:pPr>
            <w:r>
              <w:t>21</w:t>
            </w:r>
          </w:p>
        </w:tc>
        <w:tc>
          <w:tcPr>
            <w:tcW w:w="931" w:type="pct"/>
            <w:tcBorders>
              <w:top w:val="nil"/>
            </w:tcBorders>
            <w:vAlign w:val="center"/>
          </w:tcPr>
          <w:p w14:paraId="36497C5E" w14:textId="77777777" w:rsidR="00090683" w:rsidRDefault="00090683" w:rsidP="000B7E9A">
            <w:pPr>
              <w:pStyle w:val="Tabletext"/>
              <w:keepNext/>
              <w:jc w:val="center"/>
            </w:pPr>
            <w:r>
              <w:t>21</w:t>
            </w:r>
          </w:p>
        </w:tc>
        <w:tc>
          <w:tcPr>
            <w:tcW w:w="931" w:type="pct"/>
            <w:tcBorders>
              <w:top w:val="nil"/>
            </w:tcBorders>
            <w:vAlign w:val="center"/>
          </w:tcPr>
          <w:p w14:paraId="3C34F83E" w14:textId="77777777" w:rsidR="00090683" w:rsidRDefault="00090683" w:rsidP="000B7E9A">
            <w:pPr>
              <w:pStyle w:val="Tabletext"/>
              <w:keepNext/>
              <w:jc w:val="center"/>
            </w:pPr>
            <w:r>
              <w:t>2</w:t>
            </w:r>
          </w:p>
        </w:tc>
        <w:tc>
          <w:tcPr>
            <w:tcW w:w="931" w:type="pct"/>
            <w:tcBorders>
              <w:top w:val="nil"/>
            </w:tcBorders>
            <w:vAlign w:val="center"/>
          </w:tcPr>
          <w:p w14:paraId="5724310C" w14:textId="77777777" w:rsidR="00090683" w:rsidRDefault="00090683" w:rsidP="000B7E9A">
            <w:pPr>
              <w:pStyle w:val="Tabletext"/>
              <w:keepNext/>
              <w:jc w:val="center"/>
            </w:pPr>
            <w:r>
              <w:t>21</w:t>
            </w:r>
          </w:p>
        </w:tc>
      </w:tr>
      <w:tr w:rsidR="00090683" w14:paraId="7BCAD4A5" w14:textId="77777777" w:rsidTr="000F477D">
        <w:tblPrEx>
          <w:tblBorders>
            <w:bottom w:val="single" w:sz="4" w:space="0" w:color="646464"/>
            <w:insideH w:val="single" w:sz="4" w:space="0" w:color="646464"/>
          </w:tblBorders>
        </w:tblPrEx>
        <w:trPr>
          <w:gridBefore w:val="1"/>
          <w:wBefore w:w="163" w:type="pct"/>
          <w:cantSplit/>
        </w:trPr>
        <w:tc>
          <w:tcPr>
            <w:tcW w:w="1113" w:type="pct"/>
          </w:tcPr>
          <w:p w14:paraId="50B32567" w14:textId="77777777" w:rsidR="00090683" w:rsidRDefault="00090683" w:rsidP="000B7E9A">
            <w:pPr>
              <w:pStyle w:val="Tabletext"/>
              <w:keepNext/>
            </w:pPr>
            <w:r>
              <w:t>Number of projects reporting</w:t>
            </w:r>
          </w:p>
        </w:tc>
        <w:tc>
          <w:tcPr>
            <w:tcW w:w="931" w:type="pct"/>
            <w:vAlign w:val="center"/>
          </w:tcPr>
          <w:p w14:paraId="03AEC2CE" w14:textId="77777777" w:rsidR="00090683" w:rsidRDefault="00090683" w:rsidP="000B7E9A">
            <w:pPr>
              <w:pStyle w:val="Tabletext"/>
              <w:keepNext/>
              <w:jc w:val="center"/>
            </w:pPr>
            <w:r>
              <w:t>14</w:t>
            </w:r>
            <w:r>
              <w:rPr>
                <w:vertAlign w:val="superscript"/>
              </w:rPr>
              <w:t>a</w:t>
            </w:r>
          </w:p>
        </w:tc>
        <w:tc>
          <w:tcPr>
            <w:tcW w:w="931" w:type="pct"/>
            <w:vAlign w:val="center"/>
          </w:tcPr>
          <w:p w14:paraId="6273F8E7" w14:textId="77777777" w:rsidR="00090683" w:rsidRDefault="00090683" w:rsidP="000B7E9A">
            <w:pPr>
              <w:pStyle w:val="Tabletext"/>
              <w:keepNext/>
              <w:jc w:val="center"/>
            </w:pPr>
            <w:r>
              <w:t>16</w:t>
            </w:r>
          </w:p>
        </w:tc>
        <w:tc>
          <w:tcPr>
            <w:tcW w:w="931" w:type="pct"/>
            <w:vAlign w:val="center"/>
          </w:tcPr>
          <w:p w14:paraId="1620AC3C" w14:textId="77777777" w:rsidR="00090683" w:rsidRDefault="00090683" w:rsidP="000B7E9A">
            <w:pPr>
              <w:pStyle w:val="Tabletext"/>
              <w:keepNext/>
              <w:jc w:val="center"/>
            </w:pPr>
            <w:r>
              <w:t>0</w:t>
            </w:r>
          </w:p>
        </w:tc>
        <w:tc>
          <w:tcPr>
            <w:tcW w:w="931" w:type="pct"/>
            <w:vAlign w:val="center"/>
          </w:tcPr>
          <w:p w14:paraId="7E7C2600" w14:textId="77777777" w:rsidR="00090683" w:rsidRDefault="00090683" w:rsidP="000B7E9A">
            <w:pPr>
              <w:pStyle w:val="Tabletext"/>
              <w:keepNext/>
              <w:jc w:val="center"/>
            </w:pPr>
            <w:r>
              <w:t>0</w:t>
            </w:r>
          </w:p>
        </w:tc>
      </w:tr>
      <w:tr w:rsidR="00090683" w14:paraId="432F12E2" w14:textId="77777777" w:rsidTr="000F477D">
        <w:tblPrEx>
          <w:tblBorders>
            <w:bottom w:val="single" w:sz="4" w:space="0" w:color="646464"/>
            <w:insideH w:val="single" w:sz="4" w:space="0" w:color="646464"/>
          </w:tblBorders>
        </w:tblPrEx>
        <w:trPr>
          <w:gridBefore w:val="1"/>
          <w:wBefore w:w="163" w:type="pct"/>
          <w:cantSplit/>
        </w:trPr>
        <w:tc>
          <w:tcPr>
            <w:tcW w:w="1113" w:type="pct"/>
          </w:tcPr>
          <w:p w14:paraId="2F4CA784" w14:textId="77777777" w:rsidR="00090683" w:rsidRDefault="00090683" w:rsidP="000B7E9A">
            <w:pPr>
              <w:pStyle w:val="Tabletext"/>
              <w:keepNext/>
            </w:pPr>
            <w:r>
              <w:t>Total funding provided</w:t>
            </w:r>
          </w:p>
        </w:tc>
        <w:tc>
          <w:tcPr>
            <w:tcW w:w="931" w:type="pct"/>
            <w:vAlign w:val="center"/>
          </w:tcPr>
          <w:p w14:paraId="2AC34A3F" w14:textId="77777777" w:rsidR="00090683" w:rsidRPr="00AD49C8" w:rsidRDefault="00090683" w:rsidP="000B7E9A">
            <w:pPr>
              <w:keepNext/>
              <w:spacing w:after="0" w:line="240" w:lineRule="auto"/>
              <w:jc w:val="center"/>
              <w:rPr>
                <w:color w:val="000000"/>
                <w:szCs w:val="20"/>
                <w:lang w:val="en-GB"/>
              </w:rPr>
            </w:pPr>
            <w:r>
              <w:rPr>
                <w:color w:val="000000"/>
                <w:sz w:val="20"/>
                <w:szCs w:val="20"/>
              </w:rPr>
              <w:t>$5,638,761</w:t>
            </w:r>
          </w:p>
        </w:tc>
        <w:tc>
          <w:tcPr>
            <w:tcW w:w="931" w:type="pct"/>
            <w:vAlign w:val="center"/>
          </w:tcPr>
          <w:p w14:paraId="21041DD1" w14:textId="77777777" w:rsidR="00090683" w:rsidRPr="00AD49C8" w:rsidRDefault="00090683" w:rsidP="000B7E9A">
            <w:pPr>
              <w:keepNext/>
              <w:spacing w:after="0" w:line="240" w:lineRule="auto"/>
              <w:jc w:val="center"/>
              <w:rPr>
                <w:color w:val="000000"/>
                <w:szCs w:val="20"/>
                <w:lang w:val="en-GB"/>
              </w:rPr>
            </w:pPr>
            <w:r>
              <w:rPr>
                <w:color w:val="000000"/>
                <w:sz w:val="20"/>
                <w:szCs w:val="20"/>
              </w:rPr>
              <w:t>$4,684,779</w:t>
            </w:r>
          </w:p>
        </w:tc>
        <w:tc>
          <w:tcPr>
            <w:tcW w:w="931" w:type="pct"/>
            <w:vAlign w:val="center"/>
          </w:tcPr>
          <w:p w14:paraId="35F8A6FB" w14:textId="77777777" w:rsidR="00090683" w:rsidRPr="00AD49C8" w:rsidRDefault="00090683" w:rsidP="000B7E9A">
            <w:pPr>
              <w:keepNext/>
              <w:spacing w:after="0" w:line="240" w:lineRule="auto"/>
              <w:jc w:val="center"/>
              <w:rPr>
                <w:color w:val="000000"/>
                <w:szCs w:val="20"/>
                <w:lang w:val="en-GB"/>
              </w:rPr>
            </w:pPr>
            <w:r>
              <w:rPr>
                <w:color w:val="000000"/>
                <w:sz w:val="20"/>
                <w:szCs w:val="20"/>
              </w:rPr>
              <w:t>$3,635,000</w:t>
            </w:r>
          </w:p>
        </w:tc>
        <w:tc>
          <w:tcPr>
            <w:tcW w:w="931" w:type="pct"/>
            <w:vAlign w:val="center"/>
          </w:tcPr>
          <w:p w14:paraId="1F2AACAC" w14:textId="77777777" w:rsidR="00090683" w:rsidRPr="00AD49C8" w:rsidRDefault="00090683" w:rsidP="000B7E9A">
            <w:pPr>
              <w:keepNext/>
              <w:spacing w:after="0" w:line="240" w:lineRule="auto"/>
              <w:jc w:val="center"/>
              <w:rPr>
                <w:color w:val="000000"/>
                <w:szCs w:val="20"/>
                <w:lang w:val="en-GB"/>
              </w:rPr>
            </w:pPr>
            <w:r>
              <w:rPr>
                <w:color w:val="000000"/>
                <w:sz w:val="20"/>
                <w:szCs w:val="20"/>
              </w:rPr>
              <w:t>$2,444,525</w:t>
            </w:r>
          </w:p>
        </w:tc>
      </w:tr>
      <w:tr w:rsidR="00090683" w14:paraId="111327C0" w14:textId="77777777" w:rsidTr="000F477D">
        <w:tblPrEx>
          <w:tblBorders>
            <w:bottom w:val="single" w:sz="4" w:space="0" w:color="646464"/>
            <w:insideH w:val="single" w:sz="4" w:space="0" w:color="646464"/>
          </w:tblBorders>
        </w:tblPrEx>
        <w:trPr>
          <w:gridBefore w:val="1"/>
          <w:wBefore w:w="163" w:type="pct"/>
          <w:cantSplit/>
        </w:trPr>
        <w:tc>
          <w:tcPr>
            <w:tcW w:w="4837" w:type="pct"/>
            <w:gridSpan w:val="5"/>
          </w:tcPr>
          <w:p w14:paraId="7FF43E1E" w14:textId="77777777" w:rsidR="00090683" w:rsidRDefault="00090683" w:rsidP="000B7E9A">
            <w:pPr>
              <w:pStyle w:val="Note"/>
            </w:pPr>
            <w:r>
              <w:rPr>
                <w:vertAlign w:val="superscript"/>
              </w:rPr>
              <w:t>a </w:t>
            </w:r>
            <w:r>
              <w:t>Reports from one project, ‘The Aspiration Initiative’ at University of Canberra were provided as Partnership documentation, as this was a Partnership project.</w:t>
            </w:r>
          </w:p>
          <w:p w14:paraId="57FFF2D1" w14:textId="77777777" w:rsidR="00090683" w:rsidRDefault="00090683" w:rsidP="000B7E9A">
            <w:pPr>
              <w:pStyle w:val="Source"/>
            </w:pPr>
            <w:r>
              <w:t>Source: Department documentation and NPP final reports</w:t>
            </w:r>
          </w:p>
        </w:tc>
      </w:tr>
      <w:tr w:rsidR="00090683" w14:paraId="48219D86" w14:textId="77777777" w:rsidTr="000F477D">
        <w:tblPrEx>
          <w:tblBorders>
            <w:bottom w:val="single" w:sz="4" w:space="0" w:color="646464"/>
            <w:insideH w:val="single" w:sz="4" w:space="0" w:color="646464"/>
          </w:tblBorders>
        </w:tblPrEx>
        <w:trPr>
          <w:gridBefore w:val="1"/>
          <w:wBefore w:w="163" w:type="pct"/>
          <w:cantSplit/>
          <w:trHeight w:hRule="exact" w:val="120"/>
        </w:trPr>
        <w:tc>
          <w:tcPr>
            <w:tcW w:w="4837" w:type="pct"/>
            <w:gridSpan w:val="5"/>
            <w:tcBorders>
              <w:bottom w:val="nil"/>
            </w:tcBorders>
          </w:tcPr>
          <w:p w14:paraId="26E8B2D7" w14:textId="77777777" w:rsidR="00090683" w:rsidRDefault="00090683" w:rsidP="000B7E9A">
            <w:pPr>
              <w:pStyle w:val="spacertbl"/>
            </w:pPr>
          </w:p>
        </w:tc>
      </w:tr>
    </w:tbl>
    <w:p w14:paraId="4CA4F917" w14:textId="77777777" w:rsidR="00090683" w:rsidRDefault="00090683" w:rsidP="00090683">
      <w:pPr>
        <w:pStyle w:val="Heading4"/>
      </w:pPr>
      <w:bookmarkStart w:id="343" w:name="_Ref465845039"/>
      <w:r>
        <w:t>Project reporting</w:t>
      </w:r>
    </w:p>
    <w:p w14:paraId="6FF4D845" w14:textId="77777777" w:rsidR="00090683" w:rsidRDefault="00090683" w:rsidP="00090683">
      <w:pPr>
        <w:pStyle w:val="BodyText"/>
      </w:pPr>
      <w:r w:rsidRPr="001A2F85">
        <w:t xml:space="preserve">Successful applicants </w:t>
      </w:r>
      <w:r>
        <w:t>in 2014 and 2015 were</w:t>
      </w:r>
      <w:r w:rsidRPr="001A2F85">
        <w:t xml:space="preserve"> required to provide </w:t>
      </w:r>
      <w:r>
        <w:t xml:space="preserve">a </w:t>
      </w:r>
      <w:r w:rsidRPr="001A2F85">
        <w:t>final report</w:t>
      </w:r>
      <w:r>
        <w:t xml:space="preserve"> to the Department, which included an audited acquittal report</w:t>
      </w:r>
      <w:r w:rsidRPr="001A2F85">
        <w:t xml:space="preserve"> </w:t>
      </w:r>
      <w:r>
        <w:t>as well as discussion of</w:t>
      </w:r>
      <w:r w:rsidRPr="001A2F85">
        <w:t xml:space="preserve"> whether the project objectives ha</w:t>
      </w:r>
      <w:r>
        <w:t>d</w:t>
      </w:r>
      <w:r w:rsidRPr="001A2F85">
        <w:t xml:space="preserve"> been achieved. In many cases, the final reports </w:t>
      </w:r>
      <w:r>
        <w:t xml:space="preserve">are to some extent </w:t>
      </w:r>
      <w:r w:rsidRPr="001A2F85">
        <w:t>an evaluation of the project and, as such, have been examined as an important input to this evaluation.</w:t>
      </w:r>
    </w:p>
    <w:p w14:paraId="1F19C502" w14:textId="77777777" w:rsidR="00090683" w:rsidRDefault="00090683" w:rsidP="00090683">
      <w:pPr>
        <w:pStyle w:val="Heading3"/>
      </w:pPr>
      <w:r w:rsidRPr="001A2F85">
        <w:t>Structure for review</w:t>
      </w:r>
      <w:r>
        <w:t xml:space="preserve"> of</w:t>
      </w:r>
      <w:r w:rsidRPr="001A2F85">
        <w:t xml:space="preserve"> the NPP projects</w:t>
      </w:r>
      <w:bookmarkEnd w:id="343"/>
    </w:p>
    <w:p w14:paraId="3AA78D9B" w14:textId="77777777" w:rsidR="00090683" w:rsidRDefault="00090683" w:rsidP="00090683">
      <w:pPr>
        <w:pStyle w:val="BodyText"/>
      </w:pPr>
      <w:r>
        <w:t xml:space="preserve">As the NPP was only initiated in 2014, it is too early to determine the extent to which projects funded under the NPP have supported more effective implementation of the HEPPP nationally and at an institutional level or have informed broader equity practice within universities. However, analysis of the outcomes and reach of the projects is conducted below with the evidence available. Analysis for this chapter has been undertaken using the NPP final reports, other documentation from the Department, such as funding information, and insights from universities gathered in interviews and through the written submission process. </w:t>
      </w:r>
    </w:p>
    <w:p w14:paraId="48F04FC5" w14:textId="77777777" w:rsidR="00090683" w:rsidRDefault="00090683" w:rsidP="00090683">
      <w:pPr>
        <w:pStyle w:val="BodyText"/>
      </w:pPr>
      <w:r>
        <w:t>The outcomes of the projects are analysed below, with case studies illustrating the range of project topics and trials. Project reach is also examined in Section 8.4—including stakeholder and community engagement, and number of journal/other publication submissions and presentations resulting from the project. This information is provided in the final reports that project teams are required to provide to the Department. In most cases it is too early to tell whether the submitted articles will be accepted or published, and so it is not possible to use the common method for determining research impact of examining the citations the articles receive. Therefore the number of submissions and presentations is used to consider the extent to which project findings have been relevant to and shared at the national sector level.</w:t>
      </w:r>
    </w:p>
    <w:p w14:paraId="463117F3" w14:textId="77777777" w:rsidR="00090683" w:rsidRPr="0076462C" w:rsidRDefault="00090683" w:rsidP="00090683">
      <w:pPr>
        <w:pStyle w:val="Heading4"/>
      </w:pPr>
      <w:r>
        <w:t>Project categorisation</w:t>
      </w:r>
    </w:p>
    <w:p w14:paraId="6470A7E2" w14:textId="77777777" w:rsidR="00090683" w:rsidRPr="001A2F85" w:rsidRDefault="00090683" w:rsidP="00090683">
      <w:pPr>
        <w:pStyle w:val="BodyText"/>
      </w:pPr>
      <w:r w:rsidRPr="001A2F85">
        <w:t xml:space="preserve">Given the similarities between the </w:t>
      </w:r>
      <w:r>
        <w:t xml:space="preserve">commissioned/university proposed </w:t>
      </w:r>
      <w:r w:rsidRPr="001A2F85">
        <w:t xml:space="preserve">categories, </w:t>
      </w:r>
      <w:r>
        <w:t>NPP projects</w:t>
      </w:r>
      <w:r w:rsidRPr="001A2F85">
        <w:t xml:space="preserve"> have been evaluated according to the following two groupings:</w:t>
      </w:r>
    </w:p>
    <w:p w14:paraId="50E56470" w14:textId="77777777" w:rsidR="00090683" w:rsidRPr="001A2F85" w:rsidRDefault="00090683" w:rsidP="00090683">
      <w:pPr>
        <w:pStyle w:val="ListBullet"/>
      </w:pPr>
      <w:r w:rsidRPr="00AD49C8">
        <w:rPr>
          <w:i/>
        </w:rPr>
        <w:t>NPP research projects</w:t>
      </w:r>
      <w:r w:rsidRPr="001A2F85">
        <w:t>—including commissioned research projects and university proposed projects aimed at ‘building the evidence base’</w:t>
      </w:r>
    </w:p>
    <w:p w14:paraId="0B4B06A4" w14:textId="77777777" w:rsidR="00090683" w:rsidRDefault="00090683" w:rsidP="00090683">
      <w:pPr>
        <w:pStyle w:val="ListBullet"/>
      </w:pPr>
      <w:r w:rsidRPr="00AD49C8">
        <w:rPr>
          <w:i/>
        </w:rPr>
        <w:t>NPP trial projects</w:t>
      </w:r>
      <w:r w:rsidRPr="001A2F85">
        <w:t>—including commissioned IT and trial projects, and university proposed projects aimed at ‘more effective program implementation’ and ‘fostering innovation’.</w:t>
      </w:r>
    </w:p>
    <w:p w14:paraId="584A6EE9" w14:textId="77777777" w:rsidR="00090683" w:rsidRDefault="00090683" w:rsidP="00090683">
      <w:pPr>
        <w:pStyle w:val="BodyText"/>
      </w:pPr>
      <w:r>
        <w:t>The split between research and trial projects is relatively even, at 49 per cent and 45 per cent respectively (</w:t>
      </w:r>
      <w:r w:rsidRPr="00AD49C8">
        <w:t>Figure 8.2</w:t>
      </w:r>
      <w:r>
        <w:t>). Fifteen per cent of total projects were intended to develop ‘IT solutions’.</w:t>
      </w:r>
      <w:r>
        <w:rPr>
          <w:rStyle w:val="FootnoteReference"/>
        </w:rPr>
        <w:footnoteReference w:id="30"/>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AA4DEE" w14:paraId="6999DFD4" w14:textId="77777777" w:rsidTr="000B7E9A">
        <w:trPr>
          <w:cantSplit/>
          <w:trHeight w:hRule="exact" w:val="160"/>
        </w:trPr>
        <w:tc>
          <w:tcPr>
            <w:tcW w:w="8168" w:type="dxa"/>
            <w:tcBorders>
              <w:bottom w:val="single" w:sz="4" w:space="0" w:color="auto"/>
            </w:tcBorders>
          </w:tcPr>
          <w:p w14:paraId="3A8DB65D" w14:textId="77777777" w:rsidR="00090683" w:rsidRPr="00AA4DEE" w:rsidRDefault="00090683" w:rsidP="000B7E9A">
            <w:pPr>
              <w:pStyle w:val="spacer"/>
            </w:pPr>
          </w:p>
        </w:tc>
      </w:tr>
      <w:tr w:rsidR="00090683" w:rsidRPr="00897E60" w14:paraId="037184E0" w14:textId="77777777" w:rsidTr="000B7E9A">
        <w:trPr>
          <w:cantSplit/>
        </w:trPr>
        <w:tc>
          <w:tcPr>
            <w:tcW w:w="8168" w:type="dxa"/>
            <w:tcBorders>
              <w:top w:val="single" w:sz="4" w:space="0" w:color="auto"/>
            </w:tcBorders>
            <w:tcMar>
              <w:left w:w="0" w:type="dxa"/>
            </w:tcMar>
          </w:tcPr>
          <w:p w14:paraId="4F2CC43F" w14:textId="77777777" w:rsidR="00090683" w:rsidRPr="00950D76" w:rsidRDefault="00090683" w:rsidP="000B7E9A">
            <w:pPr>
              <w:keepNext/>
              <w:spacing w:after="0" w:line="240" w:lineRule="auto"/>
              <w:rPr>
                <w:rFonts w:ascii="Times New Roman" w:hAnsi="Times New Roman"/>
                <w:sz w:val="24"/>
                <w:szCs w:val="24"/>
                <w:lang w:val="en-GB" w:eastAsia="en-GB"/>
              </w:rPr>
            </w:pPr>
            <w:bookmarkStart w:id="344" w:name="_Ref465162577"/>
            <w:bookmarkStart w:id="345" w:name="_Toc466655688"/>
            <w:r w:rsidRPr="00950D76">
              <w:rPr>
                <w:rStyle w:val="CaptionLabel"/>
                <w:iCs/>
                <w:caps/>
                <w:color w:val="000100"/>
                <w:szCs w:val="18"/>
              </w:rPr>
              <w:t>Figure </w:t>
            </w:r>
            <w:r>
              <w:rPr>
                <w:rStyle w:val="CaptionLabel"/>
                <w:iCs/>
                <w:caps/>
                <w:noProof/>
                <w:color w:val="000100"/>
                <w:szCs w:val="18"/>
              </w:rPr>
              <w:t>8</w:t>
            </w:r>
            <w:r w:rsidRPr="00950D76">
              <w:rPr>
                <w:rStyle w:val="CaptionLabel"/>
                <w:iCs/>
                <w:caps/>
                <w:color w:val="000100"/>
                <w:szCs w:val="18"/>
              </w:rPr>
              <w:t>.</w:t>
            </w:r>
            <w:r>
              <w:rPr>
                <w:rStyle w:val="CaptionLabel"/>
                <w:iCs/>
                <w:caps/>
                <w:noProof/>
                <w:color w:val="000100"/>
                <w:szCs w:val="18"/>
              </w:rPr>
              <w:t>2</w:t>
            </w:r>
            <w:bookmarkEnd w:id="344"/>
            <w:r>
              <w:tab/>
            </w:r>
            <w:r w:rsidRPr="00950D76">
              <w:rPr>
                <w:iCs/>
                <w:caps/>
                <w:color w:val="000100"/>
                <w:szCs w:val="18"/>
              </w:rPr>
              <w:t xml:space="preserve">NPP </w:t>
            </w:r>
            <w:r>
              <w:rPr>
                <w:iCs/>
                <w:caps/>
                <w:color w:val="000100"/>
                <w:szCs w:val="18"/>
              </w:rPr>
              <w:t>Proj</w:t>
            </w:r>
            <w:r w:rsidRPr="00950D76">
              <w:rPr>
                <w:iCs/>
                <w:caps/>
                <w:color w:val="000100"/>
                <w:szCs w:val="18"/>
              </w:rPr>
              <w:t>e</w:t>
            </w:r>
            <w:r>
              <w:rPr>
                <w:iCs/>
                <w:caps/>
                <w:color w:val="000100"/>
                <w:szCs w:val="18"/>
              </w:rPr>
              <w:t>cts by type (research, Trial or IT solutions)</w:t>
            </w:r>
            <w:bookmarkEnd w:id="345"/>
          </w:p>
        </w:tc>
      </w:tr>
      <w:tr w:rsidR="00090683" w:rsidRPr="00AA4DEE" w14:paraId="55D449F2" w14:textId="77777777" w:rsidTr="000B7E9A">
        <w:trPr>
          <w:cantSplit/>
          <w:trHeight w:hRule="exact" w:val="380"/>
        </w:trPr>
        <w:tc>
          <w:tcPr>
            <w:tcW w:w="8168" w:type="dxa"/>
            <w:tcBorders>
              <w:bottom w:val="single" w:sz="4" w:space="0" w:color="auto"/>
            </w:tcBorders>
          </w:tcPr>
          <w:p w14:paraId="35032CA3"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680768" behindDoc="0" locked="1" layoutInCell="1" allowOverlap="1" wp14:anchorId="3F1EE4E5" wp14:editId="34F214C7">
                      <wp:simplePos x="0" y="0"/>
                      <wp:positionH relativeFrom="rightMargin">
                        <wp:posOffset>-772795</wp:posOffset>
                      </wp:positionH>
                      <wp:positionV relativeFrom="page">
                        <wp:posOffset>0</wp:posOffset>
                      </wp:positionV>
                      <wp:extent cx="436880" cy="213360"/>
                      <wp:effectExtent l="0" t="0" r="1270" b="0"/>
                      <wp:wrapNone/>
                      <wp:docPr id="85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7823AD" id="Freeform 5" o:spid="_x0000_s1026" style="position:absolute;margin-left:-60.85pt;margin-top:0;width:34.4pt;height:16.8pt;z-index:25168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IvnzP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5DBE96CE"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4C25B5DC" w14:textId="77777777" w:rsidR="00090683" w:rsidRPr="00AA4DEE" w:rsidRDefault="00090683" w:rsidP="000B7E9A">
            <w:pPr>
              <w:pStyle w:val="Figure"/>
            </w:pPr>
            <w:r>
              <w:rPr>
                <w:noProof/>
                <w:lang w:eastAsia="en-AU"/>
              </w:rPr>
              <w:drawing>
                <wp:inline distT="0" distB="0" distL="0" distR="0" wp14:anchorId="73617C02" wp14:editId="4613E8F0">
                  <wp:extent cx="5133975" cy="2209800"/>
                  <wp:effectExtent l="0" t="0" r="0" b="0"/>
                  <wp:docPr id="43"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33975" cy="2209800"/>
                          </a:xfrm>
                          <a:prstGeom prst="rect">
                            <a:avLst/>
                          </a:prstGeom>
                          <a:noFill/>
                          <a:ln>
                            <a:noFill/>
                          </a:ln>
                        </pic:spPr>
                      </pic:pic>
                    </a:graphicData>
                  </a:graphic>
                </wp:inline>
              </w:drawing>
            </w:r>
          </w:p>
        </w:tc>
      </w:tr>
      <w:tr w:rsidR="00090683" w:rsidRPr="00AA4DEE" w14:paraId="5A605C6F"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73AC4D86" w14:textId="77777777" w:rsidR="00090683" w:rsidRPr="00AA4DEE" w:rsidRDefault="00090683" w:rsidP="000B7E9A">
            <w:pPr>
              <w:pStyle w:val="Note"/>
            </w:pPr>
            <w:r w:rsidRPr="00AA4DEE">
              <w:t xml:space="preserve">Note: </w:t>
            </w:r>
            <w:r w:rsidRPr="001A2F85">
              <w:t xml:space="preserve">Percentages do not sum to 100 as projects </w:t>
            </w:r>
            <w:r>
              <w:t xml:space="preserve">may be in </w:t>
            </w:r>
            <w:r w:rsidRPr="001A2F85">
              <w:t xml:space="preserve">multiple </w:t>
            </w:r>
            <w:r>
              <w:t>categories (if they address multiple priority areas)</w:t>
            </w:r>
            <w:r w:rsidRPr="001A2F85">
              <w:t>.</w:t>
            </w:r>
            <w:r>
              <w:t xml:space="preserve"> This is the case for six of the 65 projects.</w:t>
            </w:r>
          </w:p>
          <w:p w14:paraId="34271513" w14:textId="77777777" w:rsidR="00090683" w:rsidRPr="00AA4DEE" w:rsidRDefault="00090683" w:rsidP="000B7E9A">
            <w:pPr>
              <w:pStyle w:val="Source"/>
            </w:pPr>
            <w:r w:rsidRPr="00AA4DEE">
              <w:t xml:space="preserve">Source: </w:t>
            </w:r>
            <w:r>
              <w:t>ACIL Allen analysis of Department documentation</w:t>
            </w:r>
          </w:p>
        </w:tc>
      </w:tr>
      <w:tr w:rsidR="00090683" w14:paraId="11F38E60" w14:textId="77777777" w:rsidTr="000B7E9A">
        <w:trPr>
          <w:trHeight w:hRule="exact" w:val="160"/>
        </w:trPr>
        <w:tc>
          <w:tcPr>
            <w:tcW w:w="8168" w:type="dxa"/>
            <w:tcBorders>
              <w:top w:val="single" w:sz="4" w:space="0" w:color="auto"/>
            </w:tcBorders>
          </w:tcPr>
          <w:p w14:paraId="3DC6E2B2" w14:textId="77777777" w:rsidR="00090683" w:rsidRDefault="00090683" w:rsidP="000B7E9A">
            <w:pPr>
              <w:pStyle w:val="spacertbl"/>
              <w:keepNext/>
            </w:pPr>
          </w:p>
        </w:tc>
      </w:tr>
    </w:tbl>
    <w:p w14:paraId="47A9A5D5" w14:textId="77777777" w:rsidR="00090683" w:rsidRPr="001A2F85" w:rsidRDefault="00090683" w:rsidP="00090683">
      <w:pPr>
        <w:pStyle w:val="Heading2"/>
      </w:pPr>
      <w:bookmarkStart w:id="346" w:name="_Toc466024968"/>
      <w:bookmarkStart w:id="347" w:name="_Toc466281100"/>
      <w:bookmarkStart w:id="348" w:name="_Toc466293751"/>
      <w:bookmarkStart w:id="349" w:name="_Toc466295706"/>
      <w:bookmarkStart w:id="350" w:name="_Toc466297146"/>
      <w:bookmarkStart w:id="351" w:name="_Toc466304902"/>
      <w:bookmarkStart w:id="352" w:name="_Ref465180479"/>
      <w:bookmarkStart w:id="353" w:name="_Toc466657145"/>
      <w:bookmarkEnd w:id="346"/>
      <w:bookmarkEnd w:id="347"/>
      <w:bookmarkEnd w:id="348"/>
      <w:bookmarkEnd w:id="349"/>
      <w:bookmarkEnd w:id="350"/>
      <w:bookmarkEnd w:id="351"/>
      <w:r w:rsidRPr="001A2F85">
        <w:t>NPP research projects</w:t>
      </w:r>
      <w:bookmarkEnd w:id="352"/>
      <w:bookmarkEnd w:id="353"/>
    </w:p>
    <w:p w14:paraId="524BB59E" w14:textId="77777777" w:rsidR="00090683" w:rsidRPr="001A2F85" w:rsidRDefault="00090683" w:rsidP="00090683">
      <w:pPr>
        <w:pStyle w:val="BodyText"/>
      </w:pPr>
      <w:r w:rsidRPr="001A2F85">
        <w:t>Under the NPP, there have been 2</w:t>
      </w:r>
      <w:r>
        <w:t>9</w:t>
      </w:r>
      <w:r w:rsidRPr="001A2F85">
        <w:t xml:space="preserve"> projects conducted which focus on research and building the evidence base for higher education equity practice.</w:t>
      </w:r>
      <w:r>
        <w:rPr>
          <w:rStyle w:val="FootnoteReference"/>
        </w:rPr>
        <w:footnoteReference w:id="31"/>
      </w:r>
      <w:r>
        <w:t xml:space="preserve"> </w:t>
      </w:r>
      <w:r w:rsidRPr="001A2F85">
        <w:t xml:space="preserve">Two thirds of these projects are centred on research on low SES people only, </w:t>
      </w:r>
      <w:r>
        <w:t>and</w:t>
      </w:r>
      <w:r w:rsidRPr="001A2F85">
        <w:t xml:space="preserve"> </w:t>
      </w:r>
      <w:r>
        <w:t xml:space="preserve">six projects </w:t>
      </w:r>
      <w:r w:rsidRPr="001A2F85">
        <w:t xml:space="preserve">are focused on low SES people from Indigenous backgrounds and </w:t>
      </w:r>
      <w:r>
        <w:t>three projects</w:t>
      </w:r>
      <w:r w:rsidRPr="001A2F85" w:rsidDel="0012459F">
        <w:t xml:space="preserve"> </w:t>
      </w:r>
      <w:r w:rsidRPr="001A2F85">
        <w:t>on low SES people from regional and remote areas</w:t>
      </w:r>
      <w:r>
        <w:t>)</w:t>
      </w:r>
      <w:r w:rsidRPr="001A2F85">
        <w:t>.</w:t>
      </w:r>
      <w:r>
        <w:rPr>
          <w:rStyle w:val="FootnoteReference"/>
        </w:rPr>
        <w:footnoteReference w:id="32"/>
      </w:r>
      <w:r w:rsidRPr="001A2F85">
        <w:t xml:space="preserve"> </w:t>
      </w:r>
    </w:p>
    <w:p w14:paraId="3D83550D" w14:textId="77777777" w:rsidR="00090683" w:rsidRPr="00F807E2" w:rsidRDefault="00090683" w:rsidP="00090683">
      <w:r w:rsidRPr="001A2F85">
        <w:t xml:space="preserve">Nearly all of the NPP research projects have reached completion according to their original plans. </w:t>
      </w:r>
      <w:r w:rsidRPr="00F807E2">
        <w:t>Much of the work undertaken has been, or is planned to be, presented at conferences and some projects have been the subject of articles submitted to refereed journals.</w:t>
      </w:r>
    </w:p>
    <w:p w14:paraId="7262A7B7" w14:textId="77777777" w:rsidR="00090683" w:rsidRPr="006640EC" w:rsidRDefault="00090683" w:rsidP="00090683">
      <w:pPr>
        <w:pStyle w:val="Heading3"/>
      </w:pPr>
      <w:r>
        <w:t>Research projects</w:t>
      </w:r>
    </w:p>
    <w:p w14:paraId="4DC90912" w14:textId="77777777" w:rsidR="00090683" w:rsidRDefault="00090683" w:rsidP="00090683">
      <w:pPr>
        <w:pStyle w:val="BodyText"/>
      </w:pPr>
      <w:r w:rsidRPr="00F807E2">
        <w:t>A wide range of research has been conducted through the NPP—</w:t>
      </w:r>
      <w:r>
        <w:t>six</w:t>
      </w:r>
      <w:r w:rsidRPr="00F807E2">
        <w:t xml:space="preserve"> projects are detailed below</w:t>
      </w:r>
      <w:r>
        <w:t xml:space="preserve"> which give an indication of this breadth, and to demonstrate how the findings of the research have been communicated to the sector and other stakeholders. </w:t>
      </w:r>
    </w:p>
    <w:p w14:paraId="346DDF77" w14:textId="77777777" w:rsidR="00090683" w:rsidRPr="00B13BB9" w:rsidRDefault="00090683" w:rsidP="00090683">
      <w:pPr>
        <w:pStyle w:val="Heading4"/>
      </w:pPr>
      <w:r w:rsidRPr="003711E2">
        <w:t xml:space="preserve">Critical Interventions Framework Part II project </w:t>
      </w:r>
    </w:p>
    <w:p w14:paraId="7622AF98" w14:textId="77777777" w:rsidR="00090683" w:rsidRDefault="00090683" w:rsidP="00090683">
      <w:pPr>
        <w:pStyle w:val="BodyText"/>
      </w:pPr>
      <w:r w:rsidRPr="000822FE">
        <w:t>Another key piece of</w:t>
      </w:r>
      <w:r>
        <w:t xml:space="preserve"> commissioned</w:t>
      </w:r>
      <w:r w:rsidRPr="000822FE">
        <w:t xml:space="preserve"> NPP-funded research is the report from the </w:t>
      </w:r>
      <w:r w:rsidRPr="00AD49C8">
        <w:t xml:space="preserve">Critical Interventions Framework Part II project. This project was commissioned through the </w:t>
      </w:r>
      <w:r w:rsidRPr="000822FE">
        <w:t>NPP in 2014, and the final report was</w:t>
      </w:r>
      <w:r w:rsidRPr="001A2F85">
        <w:t xml:space="preserve"> published in December 2015. The project team conducted a review of evidence of impact of a wide range of equity initiatives in Australian higher education, and produced the </w:t>
      </w:r>
      <w:r>
        <w:t>EIF</w:t>
      </w:r>
      <w:r w:rsidRPr="001A2F85">
        <w:t xml:space="preserve"> which has influenced the structure</w:t>
      </w:r>
      <w:r>
        <w:t xml:space="preserve"> of </w:t>
      </w:r>
      <w:r w:rsidRPr="001A2F85">
        <w:t>this report.</w:t>
      </w:r>
      <w:r>
        <w:t xml:space="preserve"> </w:t>
      </w:r>
    </w:p>
    <w:p w14:paraId="2BB7527B" w14:textId="77777777" w:rsidR="00090683" w:rsidRPr="001A2F85" w:rsidRDefault="00090683" w:rsidP="00090683">
      <w:pPr>
        <w:pStyle w:val="BodyText"/>
      </w:pPr>
      <w:r>
        <w:t>Two conference papers resulted from this project in December 2015, for the Australian Association for Research in Education and for the UK Society for Research in Higher Education. This project built on an earlier report from the Centre for the Study of Higher Education at the University of Melbourne, ‘A Critical Interventions Framework for advancing equity in Australian higher education,’ which was</w:t>
      </w:r>
      <w:r w:rsidRPr="00E92FAF">
        <w:t xml:space="preserve"> </w:t>
      </w:r>
      <w:r>
        <w:t>commissioned by the Department.</w:t>
      </w:r>
    </w:p>
    <w:p w14:paraId="32E400B1" w14:textId="77777777" w:rsidR="00090683" w:rsidRPr="00DC05C2" w:rsidRDefault="00090683" w:rsidP="00090683">
      <w:pPr>
        <w:pStyle w:val="Heading4"/>
      </w:pPr>
      <w:r w:rsidRPr="003711E2">
        <w:t>Pathways to higher education: the efficacy of enabling and sub-bachelor pathways for disadvantaged students</w:t>
      </w:r>
    </w:p>
    <w:p w14:paraId="6FFB4F21" w14:textId="77777777" w:rsidR="00090683" w:rsidRPr="001A2F85" w:rsidRDefault="00090683" w:rsidP="00090683">
      <w:pPr>
        <w:pStyle w:val="BodyText"/>
        <w:keepNext/>
      </w:pPr>
      <w:r w:rsidRPr="001A2F85">
        <w:t>Th</w:t>
      </w:r>
      <w:r>
        <w:t>e ‘</w:t>
      </w:r>
      <w:r w:rsidRPr="003711E2">
        <w:t>Pathways to higher education</w:t>
      </w:r>
      <w:r>
        <w:t>’</w:t>
      </w:r>
      <w:r w:rsidRPr="001A2F85">
        <w:t xml:space="preserve"> </w:t>
      </w:r>
      <w:r>
        <w:t xml:space="preserve">project was commissioned by the Department in 2014. The project </w:t>
      </w:r>
      <w:r w:rsidRPr="001A2F85">
        <w:t>reviewed current enabling programs and examined</w:t>
      </w:r>
      <w:r>
        <w:t xml:space="preserve"> </w:t>
      </w:r>
      <w:r w:rsidRPr="001A2F85">
        <w:t xml:space="preserve">the extent to which current enabling courses </w:t>
      </w:r>
      <w:r>
        <w:t>were</w:t>
      </w:r>
      <w:r w:rsidRPr="001A2F85">
        <w:t xml:space="preserve"> an effective means of increasing access to, participation and success in undergraduate courses for domestic students from disadvantaged groups</w:t>
      </w:r>
      <w:r>
        <w:t xml:space="preserve">. </w:t>
      </w:r>
    </w:p>
    <w:p w14:paraId="1717941C" w14:textId="77777777" w:rsidR="00090683" w:rsidRPr="001A2F85" w:rsidRDefault="00090683" w:rsidP="00090683">
      <w:pPr>
        <w:pStyle w:val="BodyText"/>
      </w:pPr>
      <w:r w:rsidRPr="001A2F85">
        <w:t>The report provided evidence for the effectiveness of enabling programs in ensuring the success and retention of equity group students who enrolled at university.</w:t>
      </w:r>
      <w:r>
        <w:t xml:space="preserve"> As well as the final report, available publicly on the NCSEHE website, the project resulted in </w:t>
      </w:r>
      <w:r w:rsidRPr="0084109D">
        <w:t>a number of additional publications</w:t>
      </w:r>
      <w:r>
        <w:t>—three conference papers, two book chapters, and an online article for the Australian Association for Research in Education. Papers were presented to three conferences in 2015.</w:t>
      </w:r>
      <w:r>
        <w:rPr>
          <w:rStyle w:val="FootnoteReference"/>
        </w:rPr>
        <w:footnoteReference w:id="33"/>
      </w:r>
      <w:r>
        <w:t xml:space="preserve"> The project’s final report for the Department notes that the research team is continuing to prepare papers for publication.</w:t>
      </w:r>
    </w:p>
    <w:p w14:paraId="7E99B808" w14:textId="77777777" w:rsidR="00090683" w:rsidRPr="001A2F85" w:rsidRDefault="00090683" w:rsidP="00090683">
      <w:pPr>
        <w:pStyle w:val="Heading4"/>
      </w:pPr>
      <w:r w:rsidRPr="001A2F85">
        <w:t>The National Centre for Student Equity in Higher Education</w:t>
      </w:r>
    </w:p>
    <w:p w14:paraId="6A35FE25" w14:textId="77777777" w:rsidR="00090683" w:rsidRDefault="00090683" w:rsidP="00090683">
      <w:pPr>
        <w:pStyle w:val="BodyText"/>
      </w:pPr>
      <w:r w:rsidRPr="001A2F85">
        <w:t xml:space="preserve">The National Centre for Student Equity in Higher Education (NCSEHE) is currently funded under the NPP </w:t>
      </w:r>
      <w:r>
        <w:t>‘</w:t>
      </w:r>
      <w:r w:rsidRPr="001A2F85">
        <w:t>to inform public policy design and implementation and institutional practice, to improve higher education participation and success for marginalised and disadvantaged people</w:t>
      </w:r>
      <w:r>
        <w:t>’ (NCSEHE 2015)</w:t>
      </w:r>
      <w:r w:rsidRPr="001A2F85">
        <w:t>.</w:t>
      </w:r>
      <w:r>
        <w:t xml:space="preserve"> </w:t>
      </w:r>
    </w:p>
    <w:p w14:paraId="3463B95E" w14:textId="77777777" w:rsidR="00090683" w:rsidRDefault="00090683" w:rsidP="00090683">
      <w:pPr>
        <w:pStyle w:val="BodyText"/>
      </w:pPr>
      <w:r>
        <w:t xml:space="preserve">The NCSEHE was established in </w:t>
      </w:r>
      <w:r w:rsidRPr="00D729EB">
        <w:t>2008</w:t>
      </w:r>
      <w:r>
        <w:t xml:space="preserve"> and</w:t>
      </w:r>
      <w:r w:rsidRPr="00D729EB">
        <w:t xml:space="preserve"> </w:t>
      </w:r>
      <w:r>
        <w:t xml:space="preserve">initially </w:t>
      </w:r>
      <w:r w:rsidRPr="00D729EB">
        <w:t>based at the University of South Australia</w:t>
      </w:r>
      <w:r>
        <w:t>. The Department initially provided $630,000 to establish the Centre, and $590,000 annually towards running costs. In 2013 the Department held a competitive Expression of Interest process to determine the next host university, which was won by</w:t>
      </w:r>
      <w:r w:rsidRPr="00D729EB">
        <w:t xml:space="preserve"> Curtin</w:t>
      </w:r>
      <w:r>
        <w:t> </w:t>
      </w:r>
      <w:r w:rsidRPr="00D729EB">
        <w:t>University</w:t>
      </w:r>
      <w:r>
        <w:t xml:space="preserve"> for the period until June 2019. In 2015, the NCSEHE received a $3.6 million grant through the NPP.</w:t>
      </w:r>
    </w:p>
    <w:p w14:paraId="70CB2283" w14:textId="77777777" w:rsidR="00090683" w:rsidRDefault="00090683" w:rsidP="00090683">
      <w:pPr>
        <w:pStyle w:val="BodyText"/>
      </w:pPr>
      <w:r>
        <w:t>Since 2014, the NCSEHE has funded an annual grants program for research projects. In 2014 and 2015, 12 projects were funded through the program, with 10 projects in 2016. The topics addressed in projects through the grants program are wide ranging, and often address issues for different equity groups.</w:t>
      </w:r>
      <w:r w:rsidRPr="004C7F63">
        <w:t xml:space="preserve"> </w:t>
      </w:r>
      <w:r>
        <w:t>More information can be found at the NCSEHE website (</w:t>
      </w:r>
      <w:r w:rsidRPr="007041F7">
        <w:t>https://www.ncsehe.edu.au/grants</w:t>
      </w:r>
      <w:r>
        <w:t xml:space="preserve">). </w:t>
      </w:r>
    </w:p>
    <w:p w14:paraId="3BF7F3DA" w14:textId="77777777" w:rsidR="00090683" w:rsidRDefault="00090683" w:rsidP="00090683">
      <w:pPr>
        <w:pStyle w:val="BodyText"/>
      </w:pPr>
      <w:r w:rsidRPr="00515DF5">
        <w:t xml:space="preserve">The NCSEHE also manages the Equity Fellows Programme, which </w:t>
      </w:r>
      <w:r>
        <w:t xml:space="preserve">was commissioned </w:t>
      </w:r>
      <w:r w:rsidRPr="00515DF5">
        <w:t xml:space="preserve">by the </w:t>
      </w:r>
      <w:r>
        <w:t>Government</w:t>
      </w:r>
      <w:r w:rsidRPr="00515DF5">
        <w:t xml:space="preserve"> under the NPP. </w:t>
      </w:r>
      <w:r w:rsidRPr="004C7F63">
        <w:t xml:space="preserve">The aim of the </w:t>
      </w:r>
      <w:r w:rsidRPr="00515DF5">
        <w:t xml:space="preserve">Equity Fellows </w:t>
      </w:r>
      <w:r w:rsidRPr="004C7F63">
        <w:t>Programme is ‘to support Fellows to undertake strategic, high-impact, high</w:t>
      </w:r>
      <w:r w:rsidRPr="004C7F63">
        <w:rPr>
          <w:rFonts w:ascii="Cambria Math" w:hAnsi="Cambria Math" w:cs="Cambria Math"/>
        </w:rPr>
        <w:t>‐</w:t>
      </w:r>
      <w:r w:rsidRPr="004C7F63">
        <w:t>profile leadership projects targeted, sector-wide, at improving the access, participation and success in higher education of students from disadvantaged backgrounds’ (NCSEHE 2016 )</w:t>
      </w:r>
    </w:p>
    <w:p w14:paraId="3252BA34" w14:textId="77777777" w:rsidR="00090683" w:rsidRPr="00EA729D" w:rsidRDefault="00090683" w:rsidP="00090683">
      <w:pPr>
        <w:pStyle w:val="BodyText"/>
      </w:pPr>
      <w:r w:rsidRPr="00D729EB">
        <w:t>The NCSEHE is currently the subject of a separate review.</w:t>
      </w:r>
      <w:r w:rsidDel="007041F7">
        <w:t xml:space="preserve"> </w:t>
      </w:r>
      <w:bookmarkStart w:id="354" w:name="_Toc466024970"/>
      <w:bookmarkStart w:id="355" w:name="_Toc466281102"/>
      <w:bookmarkStart w:id="356" w:name="_Toc466293753"/>
      <w:bookmarkStart w:id="357" w:name="_Toc466295708"/>
      <w:bookmarkStart w:id="358" w:name="_Toc466297148"/>
      <w:bookmarkStart w:id="359" w:name="_Toc466304904"/>
      <w:bookmarkStart w:id="360" w:name="_Toc466657146"/>
      <w:bookmarkEnd w:id="354"/>
      <w:bookmarkEnd w:id="355"/>
      <w:bookmarkEnd w:id="356"/>
      <w:bookmarkEnd w:id="357"/>
      <w:bookmarkEnd w:id="358"/>
      <w:bookmarkEnd w:id="359"/>
    </w:p>
    <w:tbl>
      <w:tblPr>
        <w:tblStyle w:val="TableGrid"/>
        <w:tblW w:w="86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AF3F55" w14:paraId="5BB9F2F6" w14:textId="77777777" w:rsidTr="000F477D">
        <w:trPr>
          <w:cantSplit/>
        </w:trPr>
        <w:tc>
          <w:tcPr>
            <w:tcW w:w="8614" w:type="dxa"/>
            <w:tcMar>
              <w:top w:w="160" w:type="dxa"/>
              <w:left w:w="446" w:type="dxa"/>
            </w:tcMar>
          </w:tcPr>
          <w:p w14:paraId="2ABE25B9" w14:textId="77777777" w:rsidR="00090683" w:rsidRPr="00AF3F55" w:rsidRDefault="00090683" w:rsidP="000B7E9A">
            <w:pPr>
              <w:pStyle w:val="Caption"/>
            </w:pPr>
            <w:bookmarkStart w:id="361" w:name="_Ref465179480"/>
            <w:bookmarkStart w:id="362" w:name="_Ref465179478"/>
            <w:bookmarkStart w:id="363" w:name="_Toc466657030"/>
            <w:r w:rsidRPr="00AF3F55">
              <w:rPr>
                <w:rStyle w:val="CaptionLabel"/>
              </w:rPr>
              <w:t>Box</w:t>
            </w:r>
            <w:r>
              <w:rPr>
                <w:rStyle w:val="CaptionLabel"/>
              </w:rPr>
              <w:t> </w:t>
            </w:r>
            <w:r>
              <w:rPr>
                <w:rStyle w:val="CaptionLabel"/>
                <w:noProof/>
              </w:rPr>
              <w:t>8</w:t>
            </w:r>
            <w:r w:rsidRPr="00AF3F55">
              <w:rPr>
                <w:rStyle w:val="CaptionLabel"/>
              </w:rPr>
              <w:t>.</w:t>
            </w:r>
            <w:r>
              <w:rPr>
                <w:rStyle w:val="CaptionLabel"/>
              </w:rPr>
              <w:t>1</w:t>
            </w:r>
            <w:bookmarkEnd w:id="361"/>
            <w:r>
              <w:tab/>
            </w:r>
            <w:r w:rsidRPr="005A6013">
              <w:t>A Longitudinal Study of the Relations Between Students’ Socioeconomic Status, Social Integration at University, and Mental Health</w:t>
            </w:r>
            <w:r>
              <w:t>, University of Newcastle</w:t>
            </w:r>
            <w:bookmarkEnd w:id="362"/>
            <w:bookmarkEnd w:id="363"/>
          </w:p>
        </w:tc>
      </w:tr>
      <w:tr w:rsidR="00090683" w:rsidRPr="00B07121" w14:paraId="3A1C473A" w14:textId="77777777" w:rsidTr="000F477D">
        <w:trPr>
          <w:cantSplit/>
          <w:trHeight w:hRule="exact" w:val="380"/>
        </w:trPr>
        <w:tc>
          <w:tcPr>
            <w:tcW w:w="8614" w:type="dxa"/>
            <w:shd w:val="clear" w:color="auto" w:fill="E4E0DD"/>
          </w:tcPr>
          <w:p w14:paraId="07AAAF85" w14:textId="77777777" w:rsidR="00090683" w:rsidRPr="00B07121" w:rsidRDefault="00090683" w:rsidP="000B7E9A">
            <w:pPr>
              <w:pStyle w:val="spacer"/>
            </w:pPr>
            <w:r>
              <w:rPr>
                <w:noProof/>
                <w:lang w:eastAsia="en-AU"/>
              </w:rPr>
              <mc:AlternateContent>
                <mc:Choice Requires="wps">
                  <w:drawing>
                    <wp:anchor distT="0" distB="0" distL="114300" distR="114300" simplePos="0" relativeHeight="251674624" behindDoc="0" locked="1" layoutInCell="1" allowOverlap="1" wp14:anchorId="7C29F6CA" wp14:editId="04DC2671">
                      <wp:simplePos x="0" y="0"/>
                      <wp:positionH relativeFrom="rightMargin">
                        <wp:posOffset>-772795</wp:posOffset>
                      </wp:positionH>
                      <wp:positionV relativeFrom="page">
                        <wp:posOffset>0</wp:posOffset>
                      </wp:positionV>
                      <wp:extent cx="436880" cy="213360"/>
                      <wp:effectExtent l="0" t="0" r="1270" b="0"/>
                      <wp:wrapNone/>
                      <wp:docPr id="85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5EFDD2" id="Freeform 5" o:spid="_x0000_s1026" style="position:absolute;margin-left:-60.85pt;margin-top:0;width:34.4pt;height:16.8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L533Xl/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5C1B5224" w14:textId="77777777" w:rsidTr="000F477D">
        <w:trPr>
          <w:cantSplit/>
        </w:trPr>
        <w:tc>
          <w:tcPr>
            <w:tcW w:w="8614" w:type="dxa"/>
            <w:shd w:val="clear" w:color="auto" w:fill="E4E0DD"/>
            <w:tcMar>
              <w:top w:w="276" w:type="dxa"/>
              <w:bottom w:w="184" w:type="dxa"/>
              <w:right w:w="120" w:type="dxa"/>
            </w:tcMar>
          </w:tcPr>
          <w:p w14:paraId="69E5419A" w14:textId="77777777" w:rsidR="00090683" w:rsidRDefault="00090683" w:rsidP="000B7E9A">
            <w:pPr>
              <w:pStyle w:val="BoxText"/>
            </w:pPr>
            <w:r>
              <w:t>In 2015 ‘A Longitudinal Study of the Relations Between Students’ Socioeconomic Status, Social Integration at University, and Mental Health’ was supported by NPP funds to the value of $67,000 (through the 2014 university projects round). The aim of the research project was to explore the relationship between university students’ SES, their social integration and mental health. The overall aim of the project was to inform policies aimed at reducing students’ mental health problems, improving student satisfaction and reducing student attrition.</w:t>
            </w:r>
          </w:p>
          <w:p w14:paraId="1B12A05E" w14:textId="77777777" w:rsidR="00090683" w:rsidRDefault="00090683" w:rsidP="000B7E9A">
            <w:pPr>
              <w:pStyle w:val="BoxText"/>
            </w:pPr>
            <w:r>
              <w:t>Two waves of data were collected from students from University of Newcastle in 2015, one in Semester 1 and one in Semester 2. Working with a sample size of 1,063 students, the study found that subjective social class was negatively related to depression levels and positively to levels of life satisfaction. Rubin and Wilkinson conclude:</w:t>
            </w:r>
          </w:p>
          <w:p w14:paraId="349EED72" w14:textId="77777777" w:rsidR="00090683" w:rsidRDefault="00090683" w:rsidP="000B7E9A">
            <w:pPr>
              <w:pStyle w:val="BoxQuote"/>
            </w:pPr>
            <w:r>
              <w:t>This means that subjective social class predicted the amount of social contact that students had with other students at university, which in turn predicted their levels of depression and satisfaction with life. These relations were tested longitudinally, meaning that we can infer that social contact is the mechanism through which social class and mental health are linked. Therefore, social class determines the level of social contact that students have at university, and social contact, or lack thereof, determines the level of mental health that students experience.</w:t>
            </w:r>
          </w:p>
          <w:p w14:paraId="50080A33" w14:textId="77777777" w:rsidR="00090683" w:rsidRDefault="00090683" w:rsidP="000B7E9A">
            <w:pPr>
              <w:pStyle w:val="BoxText"/>
            </w:pPr>
            <w:r>
              <w:t>The results were presented at two conferences in 2015, the Australian Association for Research in Education Conference (Fremantle, WA) and the 14th Australian Psychological Society Psychology of Relationships Interest Group Conference (Melbourne, Vic).</w:t>
            </w:r>
          </w:p>
          <w:p w14:paraId="5F7C33EC" w14:textId="77777777" w:rsidR="00090683" w:rsidRDefault="00090683" w:rsidP="000B7E9A">
            <w:pPr>
              <w:pStyle w:val="BoxText"/>
            </w:pPr>
            <w:r>
              <w:t>More data (Wave 3) is currently being collected to enhance the existing research, and one of the research assistants involved with the project has now commenced a PhD in the area.</w:t>
            </w:r>
          </w:p>
          <w:p w14:paraId="3AE0C611" w14:textId="77777777" w:rsidR="00090683" w:rsidRDefault="00090683" w:rsidP="000B7E9A">
            <w:pPr>
              <w:pStyle w:val="BoxText"/>
            </w:pPr>
            <w:r>
              <w:t>Rubin and Wilkinson foresee their research informing universities in the development and integration of programs that aim to improve low SES students’ social contact at university. These could include programs relating to students’ commute to university, subsidised access to convenient accommodation and access to on-campus childcare.</w:t>
            </w:r>
          </w:p>
        </w:tc>
      </w:tr>
      <w:tr w:rsidR="00090683" w14:paraId="526C20BF" w14:textId="77777777" w:rsidTr="000F477D">
        <w:trPr>
          <w:cantSplit/>
        </w:trPr>
        <w:tc>
          <w:tcPr>
            <w:tcW w:w="8614" w:type="dxa"/>
            <w:tcMar>
              <w:top w:w="12" w:type="dxa"/>
              <w:left w:w="446" w:type="dxa"/>
              <w:bottom w:w="113" w:type="dxa"/>
            </w:tcMar>
          </w:tcPr>
          <w:p w14:paraId="1F2B125C" w14:textId="77777777" w:rsidR="00090683" w:rsidRDefault="00090683" w:rsidP="000B7E9A">
            <w:pPr>
              <w:pStyle w:val="Source"/>
            </w:pPr>
            <w:r>
              <w:t xml:space="preserve">Source: UNIVERsity of </w:t>
            </w:r>
            <w:r w:rsidRPr="00344D62">
              <w:t>newcastle NPP</w:t>
            </w:r>
            <w:r w:rsidRPr="00AD49C8">
              <w:t xml:space="preserve"> </w:t>
            </w:r>
            <w:r w:rsidRPr="00344D62">
              <w:t>final report 2015</w:t>
            </w:r>
          </w:p>
        </w:tc>
      </w:tr>
    </w:tbl>
    <w:p w14:paraId="19312A9D" w14:textId="77777777" w:rsidR="00090683" w:rsidRPr="00B13BB9" w:rsidRDefault="00090683" w:rsidP="00090683">
      <w:pPr>
        <w:pStyle w:val="Heading4"/>
      </w:pPr>
      <w:r w:rsidRPr="003711E2">
        <w:t xml:space="preserve">A picture of success </w:t>
      </w:r>
    </w:p>
    <w:p w14:paraId="0E3C79BE" w14:textId="4855AD1A" w:rsidR="00090683" w:rsidRDefault="00090683" w:rsidP="00090683">
      <w:pPr>
        <w:pStyle w:val="BodyText"/>
      </w:pPr>
      <w:r>
        <w:t>The 2</w:t>
      </w:r>
      <w:r w:rsidRPr="001A2F85">
        <w:t xml:space="preserve">014 </w:t>
      </w:r>
      <w:r>
        <w:t>university-proposed project,</w:t>
      </w:r>
      <w:r w:rsidRPr="001A2F85">
        <w:t xml:space="preserve"> ‘A picture of success’</w:t>
      </w:r>
      <w:r>
        <w:t>,</w:t>
      </w:r>
      <w:r w:rsidRPr="001A2F85">
        <w:t xml:space="preserve"> built an evidence base of outcomes and ‘success’ of low SES students at </w:t>
      </w:r>
      <w:r>
        <w:t>the university</w:t>
      </w:r>
      <w:r w:rsidRPr="00344D62">
        <w:t xml:space="preserve">. The results showed that ‘support initiatives contribute in multiple and diverse ways to low SES student success’ (UNSW </w:t>
      </w:r>
      <w:r w:rsidRPr="00AD49C8">
        <w:t xml:space="preserve">NPP Final Report </w:t>
      </w:r>
      <w:r w:rsidRPr="00344D62">
        <w:t>2016).</w:t>
      </w:r>
      <w:r w:rsidRPr="001A2F85">
        <w:t xml:space="preserve"> The project also looked at low SES interactions with student services, co-curricular activities and support initiatives, using data analytics to investigate correlations between these factors</w:t>
      </w:r>
      <w:r>
        <w:t xml:space="preserve"> and how they influenced students’ success</w:t>
      </w:r>
      <w:r w:rsidRPr="001A2F85">
        <w:t>.</w:t>
      </w:r>
      <w:r>
        <w:t xml:space="preserve"> In total, the project involved 789 student contacts. </w:t>
      </w:r>
    </w:p>
    <w:p w14:paraId="4117240C" w14:textId="77777777" w:rsidR="00090683" w:rsidRDefault="00090683" w:rsidP="00090683">
      <w:pPr>
        <w:pStyle w:val="BodyText"/>
      </w:pPr>
      <w:r w:rsidRPr="00CB0303">
        <w:t>An article stemming from the project was submitted to the peer</w:t>
      </w:r>
      <w:r w:rsidRPr="00CB0303">
        <w:noBreakHyphen/>
        <w:t xml:space="preserve">refereed </w:t>
      </w:r>
      <w:r w:rsidRPr="00CF287F">
        <w:t xml:space="preserve">Journal of the Australia and New Zealand Student Services Association </w:t>
      </w:r>
      <w:r w:rsidRPr="00CB0303">
        <w:t>in 2016. Additionally, two conference presentations regarding the project were made in 2015.</w:t>
      </w:r>
      <w:r w:rsidRPr="00CF287F">
        <w:footnoteReference w:id="34"/>
      </w:r>
    </w:p>
    <w:p w14:paraId="2FCEB8C7" w14:textId="77777777" w:rsidR="00090683" w:rsidRPr="00EC488F" w:rsidRDefault="00090683" w:rsidP="00090683">
      <w:pPr>
        <w:pStyle w:val="Heading4"/>
      </w:pPr>
      <w:r w:rsidRPr="00EC488F">
        <w:t>Scoping the Widening Participation Longitudinal Study</w:t>
      </w:r>
    </w:p>
    <w:p w14:paraId="28936AA8" w14:textId="77777777" w:rsidR="00090683" w:rsidRDefault="00090683" w:rsidP="00090683">
      <w:pPr>
        <w:pStyle w:val="BodyText"/>
      </w:pPr>
      <w:r>
        <w:t>The 2014 commissioned NPP project ‘</w:t>
      </w:r>
      <w:r w:rsidRPr="00EC488F">
        <w:t>Scoping the Widening Participation Longitudinal Study</w:t>
      </w:r>
      <w:r>
        <w:t xml:space="preserve">’ developed </w:t>
      </w:r>
      <w:r w:rsidRPr="00AA7A58">
        <w:t>design specifications and indicative costings</w:t>
      </w:r>
      <w:r>
        <w:t xml:space="preserve"> for a l</w:t>
      </w:r>
      <w:r w:rsidRPr="00EC488F">
        <w:t>ongitudinal</w:t>
      </w:r>
      <w:r>
        <w:t xml:space="preserve"> study of </w:t>
      </w:r>
      <w:r w:rsidRPr="00AA7A58">
        <w:t>equity groups</w:t>
      </w:r>
      <w:r>
        <w:t xml:space="preserve"> in higher education. The project, completed in May 2016, developed strategies to collect data for the purpose of </w:t>
      </w:r>
      <w:r w:rsidRPr="00AA7A58">
        <w:t>analysing barriers to participation in higher education</w:t>
      </w:r>
      <w:r>
        <w:t xml:space="preserve">, investigating </w:t>
      </w:r>
      <w:r w:rsidRPr="00AA7A58">
        <w:t>influences on students’ aspirations and ability to access higher education</w:t>
      </w:r>
      <w:r>
        <w:t xml:space="preserve"> and </w:t>
      </w:r>
      <w:r w:rsidRPr="00AA7A58">
        <w:t>assessing the effectiveness of equity interventions</w:t>
      </w:r>
      <w:r>
        <w:t>.</w:t>
      </w:r>
    </w:p>
    <w:p w14:paraId="3A6F89FF" w14:textId="77777777" w:rsidR="00090683" w:rsidRDefault="00090683" w:rsidP="00090683">
      <w:pPr>
        <w:pStyle w:val="BodyText"/>
      </w:pPr>
      <w:r>
        <w:t>T</w:t>
      </w:r>
      <w:r w:rsidRPr="00AA7A58">
        <w:t xml:space="preserve">he </w:t>
      </w:r>
      <w:r>
        <w:t xml:space="preserve">project recommenced an </w:t>
      </w:r>
      <w:r w:rsidRPr="00AA7A58">
        <w:t>accelerated cross-sequential longitudinal study covering three cohorts: primary school, secondary school, and higher education</w:t>
      </w:r>
      <w:r>
        <w:t>—</w:t>
      </w:r>
      <w:r w:rsidRPr="000F54F0">
        <w:t xml:space="preserve">equity interventions targeting higher education are delivered </w:t>
      </w:r>
      <w:r>
        <w:t xml:space="preserve">across all cohorts. </w:t>
      </w:r>
    </w:p>
    <w:p w14:paraId="640DC2BE" w14:textId="77777777" w:rsidR="00090683" w:rsidRPr="00CB0303" w:rsidRDefault="00090683" w:rsidP="00090683">
      <w:pPr>
        <w:pStyle w:val="BodyText"/>
      </w:pPr>
      <w:r>
        <w:t xml:space="preserve">In order to delivery this study, the project recommended a </w:t>
      </w:r>
      <w:r w:rsidRPr="00AA7A58">
        <w:t xml:space="preserve">targeted new survey data collection with secondary school and higher education cohorts that explicitly addresses </w:t>
      </w:r>
      <w:r>
        <w:t xml:space="preserve">equity </w:t>
      </w:r>
      <w:r w:rsidRPr="00AA7A58">
        <w:t xml:space="preserve">interventions. </w:t>
      </w:r>
      <w:r>
        <w:t xml:space="preserve">The sample would be up to </w:t>
      </w:r>
      <w:r w:rsidRPr="00AA7A58">
        <w:t xml:space="preserve">1000 respondents from the five </w:t>
      </w:r>
      <w:r>
        <w:t xml:space="preserve">equity groups. This survey would be combined with </w:t>
      </w:r>
      <w:r w:rsidRPr="000F54F0">
        <w:t>administrative data</w:t>
      </w:r>
      <w:r>
        <w:t xml:space="preserve"> (including school assessment data) and </w:t>
      </w:r>
      <w:r w:rsidRPr="000F54F0">
        <w:t>existing longitudinal survey data</w:t>
      </w:r>
      <w:r>
        <w:t xml:space="preserve"> to </w:t>
      </w:r>
      <w:r w:rsidRPr="000F54F0">
        <w:t>measuring the effects of equity interventions that address disadvantage in higher education</w:t>
      </w:r>
      <w:r>
        <w:t xml:space="preserve">. </w:t>
      </w:r>
    </w:p>
    <w:p w14:paraId="7EF4DB52" w14:textId="77777777" w:rsidR="00090683" w:rsidRDefault="00090683" w:rsidP="00090683">
      <w:pPr>
        <w:pStyle w:val="Heading3"/>
      </w:pPr>
      <w:r>
        <w:t>Discussion</w:t>
      </w:r>
    </w:p>
    <w:p w14:paraId="128ED300" w14:textId="77777777" w:rsidR="00090683" w:rsidRPr="00C63871" w:rsidRDefault="00090683" w:rsidP="00090683">
      <w:pPr>
        <w:pStyle w:val="BodyText"/>
      </w:pPr>
      <w:r w:rsidRPr="00C63871">
        <w:t xml:space="preserve">The NPP has had only two years of implementation. The research projects detailed above, and the other research projects funded under the NPP, have provided useful insights into programs aimed at increasing equity in higher education and, while projects outcomes have been disseminated in various ways, it is too early to determine the extent to which they have informed on-ground practice. </w:t>
      </w:r>
    </w:p>
    <w:p w14:paraId="0C41645F" w14:textId="77777777" w:rsidR="00090683" w:rsidRPr="00C63871" w:rsidRDefault="00090683" w:rsidP="00090683">
      <w:pPr>
        <w:pStyle w:val="BodyText"/>
      </w:pPr>
      <w:r w:rsidRPr="00C63871">
        <w:t xml:space="preserve">But the research published to date has not provided moderate or strong evidence on the effectiveness of higher education equity interventions that could assist universities in how they should allocate HEPPP funding between different potential interventions (which stakeholders discussed in interviews for this evaluation). </w:t>
      </w:r>
    </w:p>
    <w:p w14:paraId="43B43AEC" w14:textId="77777777" w:rsidR="00090683" w:rsidRPr="00C63871" w:rsidRDefault="00090683" w:rsidP="00090683">
      <w:pPr>
        <w:pStyle w:val="BodyText"/>
      </w:pPr>
      <w:r w:rsidRPr="00C63871">
        <w:t xml:space="preserve">The challenge of producing this evidence led to the commissioning of a 2014 NPP project to scope a longitudinal study. The project team examined options for the design of a longitudinal survey to measure the effectiveness of intervention programs designed to help equity groups access higher education. The ‘Scoping the Widening Participation Longitudinal Study’ notes that </w:t>
      </w:r>
    </w:p>
    <w:p w14:paraId="7445423A" w14:textId="77777777" w:rsidR="00090683" w:rsidRPr="00C63871" w:rsidRDefault="00090683" w:rsidP="00090683">
      <w:pPr>
        <w:pStyle w:val="Quote"/>
      </w:pPr>
      <w:r w:rsidRPr="00C63871">
        <w:t>The effectiveness of these [equity] interventions is difficult to measure. Interventions are facilitated by a range of providers in multiple contexts and their impact is not well understood, making it difficult to evaluate their effectiveness and make evidence-based decisions on future program implementation.</w:t>
      </w:r>
    </w:p>
    <w:p w14:paraId="200AAAC0" w14:textId="77777777" w:rsidR="00090683" w:rsidRPr="00C63871" w:rsidRDefault="00090683" w:rsidP="00090683">
      <w:pPr>
        <w:pStyle w:val="BodyText"/>
      </w:pPr>
      <w:r w:rsidRPr="00C63871">
        <w:t xml:space="preserve">The scoping study proposed linking data from existing longitudinal surveys and administrative records, and targeted new surveys of secondary school and university students to explicitly collect data on equity interventions. </w:t>
      </w:r>
    </w:p>
    <w:p w14:paraId="54454F02" w14:textId="77777777" w:rsidR="00090683" w:rsidRDefault="00090683" w:rsidP="00090683">
      <w:pPr>
        <w:pStyle w:val="BodyText"/>
      </w:pPr>
      <w:r w:rsidRPr="00C63871">
        <w:t>The scoping study was finalised in May 2016, with its recommendations currently being considered by the Department. Collection of longitudinal data on equity interventions would support the development of a more robust evidence base to inform university practice under the HEPPP, including choosing and designing equity inventions.</w:t>
      </w:r>
    </w:p>
    <w:p w14:paraId="01F4CF9B" w14:textId="77777777" w:rsidR="00090683" w:rsidRPr="001A2F85" w:rsidRDefault="00090683" w:rsidP="00090683">
      <w:pPr>
        <w:pStyle w:val="Heading2"/>
      </w:pPr>
      <w:r w:rsidRPr="001A2F85">
        <w:t>NPP trial projects</w:t>
      </w:r>
      <w:bookmarkEnd w:id="360"/>
      <w:r>
        <w:t xml:space="preserve"> and </w:t>
      </w:r>
      <w:r w:rsidRPr="001A2F85">
        <w:t>IT-based solutions projects</w:t>
      </w:r>
    </w:p>
    <w:p w14:paraId="27CD128D" w14:textId="77777777" w:rsidR="00090683" w:rsidRDefault="00090683" w:rsidP="00090683">
      <w:pPr>
        <w:pStyle w:val="BodyText"/>
      </w:pPr>
      <w:r>
        <w:t>Sixteen</w:t>
      </w:r>
      <w:r w:rsidRPr="001A2F85">
        <w:t xml:space="preserve"> trial and </w:t>
      </w:r>
      <w:r>
        <w:t xml:space="preserve">14 </w:t>
      </w:r>
      <w:r w:rsidRPr="001A2F85">
        <w:t>IT-based solutions projects have been undertaken through the NPP to date</w:t>
      </w:r>
      <w:r>
        <w:t xml:space="preserve">. </w:t>
      </w:r>
    </w:p>
    <w:p w14:paraId="014D6945" w14:textId="77777777" w:rsidR="00090683" w:rsidRDefault="00090683" w:rsidP="00090683">
      <w:pPr>
        <w:pStyle w:val="BodyText"/>
      </w:pPr>
      <w:r>
        <w:t>Of the trial projects, 11 were intended to ‘foster innovation’ and five to promote ‘more effective program implementation’. There were six additional projects that also addressed the priority funding area ‘building the evidence base’ (Table 8.3)</w:t>
      </w:r>
      <w:r>
        <w:rPr>
          <w:rStyle w:val="FootnoteReference"/>
        </w:rPr>
        <w:footnoteReference w:id="35"/>
      </w:r>
      <w:r>
        <w:t>. The</w:t>
      </w:r>
      <w:r w:rsidRPr="001A2F85">
        <w:t xml:space="preserve"> IT</w:t>
      </w:r>
      <w:r>
        <w:t xml:space="preserve">-based </w:t>
      </w:r>
      <w:r w:rsidRPr="001A2F85">
        <w:t xml:space="preserve">solutions </w:t>
      </w:r>
      <w:r>
        <w:t>projects aimed to assist universities to help students from disadvantaged backgrounds to access, participate and succeed at university or develop and use geocoding software to better measure student disadvantage.</w:t>
      </w:r>
    </w:p>
    <w:p w14:paraId="11CC2F78" w14:textId="77777777" w:rsidR="00090683" w:rsidRDefault="00090683" w:rsidP="00090683">
      <w:pPr>
        <w:pStyle w:val="BodyText"/>
      </w:pPr>
      <w:r w:rsidRPr="001A2F85">
        <w:t xml:space="preserve">The trial and IT-based solutions projects adopted a range of different approaches, addressing student and university needs. While some of these projects encountered challenges, these were largely overcome, with the projects reporting useful outcomes. Surveys were conducted for some of these projects to gauge student reaction to these initiatives and were in the main positive. </w:t>
      </w:r>
    </w:p>
    <w:p w14:paraId="6145D94C" w14:textId="77777777" w:rsidR="00090683" w:rsidRDefault="00090683" w:rsidP="00090683">
      <w:pPr>
        <w:pStyle w:val="Caption"/>
        <w:spacing w:before="160"/>
      </w:pPr>
      <w:bookmarkStart w:id="364" w:name="_Toc431908633"/>
      <w:r w:rsidRPr="00FC29C8">
        <w:rPr>
          <w:rStyle w:val="CaptionLabel"/>
        </w:rPr>
        <w:t>Table</w:t>
      </w:r>
      <w:r>
        <w:rPr>
          <w:rStyle w:val="CaptionLabel"/>
        </w:rPr>
        <w:t> </w:t>
      </w:r>
      <w:r w:rsidRPr="00FC29C8">
        <w:rPr>
          <w:rStyle w:val="CaptionLabel"/>
        </w:rPr>
        <w:fldChar w:fldCharType="begin"/>
      </w:r>
      <w:r w:rsidRPr="00FC29C8">
        <w:rPr>
          <w:rStyle w:val="CaptionLabel"/>
        </w:rPr>
        <w:instrText xml:space="preserve"> STYLEREF 1 \s </w:instrText>
      </w:r>
      <w:r w:rsidRPr="00FC29C8">
        <w:rPr>
          <w:rStyle w:val="CaptionLabel"/>
        </w:rPr>
        <w:fldChar w:fldCharType="separate"/>
      </w:r>
      <w:r w:rsidR="0064083A">
        <w:rPr>
          <w:rStyle w:val="CaptionLabel"/>
          <w:noProof/>
        </w:rPr>
        <w:t>8</w:t>
      </w:r>
      <w:r w:rsidRPr="00FC29C8">
        <w:rPr>
          <w:rStyle w:val="CaptionLabel"/>
        </w:rPr>
        <w:fldChar w:fldCharType="end"/>
      </w:r>
      <w:r w:rsidRPr="00FC29C8">
        <w:rPr>
          <w:rStyle w:val="CaptionLabel"/>
        </w:rPr>
        <w:t>.</w:t>
      </w:r>
      <w:r>
        <w:rPr>
          <w:rStyle w:val="CaptionLabel"/>
        </w:rPr>
        <w:t>3</w:t>
      </w:r>
      <w:r>
        <w:tab/>
      </w:r>
      <w:bookmarkEnd w:id="364"/>
      <w:r w:rsidRPr="001A2F85">
        <w:t>NPP trial projects</w:t>
      </w:r>
      <w:r>
        <w:t xml:space="preserve"> and </w:t>
      </w:r>
      <w:r w:rsidRPr="001A2F85">
        <w:t>IT-based solutions projects</w:t>
      </w:r>
    </w:p>
    <w:tbl>
      <w:tblPr>
        <w:tblW w:w="8534" w:type="dxa"/>
        <w:tblInd w:w="-454" w:type="dxa"/>
        <w:tblLayout w:type="fixed"/>
        <w:tblCellMar>
          <w:left w:w="0" w:type="dxa"/>
          <w:bottom w:w="40" w:type="dxa"/>
          <w:right w:w="0" w:type="dxa"/>
        </w:tblCellMar>
        <w:tblLook w:val="0000" w:firstRow="0" w:lastRow="0" w:firstColumn="0" w:lastColumn="0" w:noHBand="0" w:noVBand="0"/>
        <w:tblDescription w:val="table_Std"/>
      </w:tblPr>
      <w:tblGrid>
        <w:gridCol w:w="453"/>
        <w:gridCol w:w="2128"/>
        <w:gridCol w:w="2041"/>
        <w:gridCol w:w="2041"/>
        <w:gridCol w:w="1871"/>
      </w:tblGrid>
      <w:tr w:rsidR="00090683" w14:paraId="0351D7B5" w14:textId="77777777" w:rsidTr="000B7E9A">
        <w:trPr>
          <w:cantSplit/>
          <w:tblHeader/>
        </w:trPr>
        <w:tc>
          <w:tcPr>
            <w:tcW w:w="1512" w:type="pct"/>
            <w:gridSpan w:val="2"/>
            <w:shd w:val="clear" w:color="auto" w:fill="9D57A6"/>
            <w:tcMar>
              <w:left w:w="454" w:type="dxa"/>
              <w:bottom w:w="0" w:type="dxa"/>
            </w:tcMar>
          </w:tcPr>
          <w:p w14:paraId="4FAE219F" w14:textId="77777777" w:rsidR="00090683" w:rsidRDefault="00090683" w:rsidP="000B7E9A">
            <w:pPr>
              <w:pStyle w:val="Tablecolumnheadings"/>
              <w:tabs>
                <w:tab w:val="left" w:pos="1125"/>
              </w:tabs>
            </w:pPr>
          </w:p>
        </w:tc>
        <w:tc>
          <w:tcPr>
            <w:tcW w:w="1196" w:type="pct"/>
            <w:shd w:val="clear" w:color="auto" w:fill="9D57A6"/>
            <w:tcMar>
              <w:bottom w:w="0" w:type="dxa"/>
            </w:tcMar>
          </w:tcPr>
          <w:p w14:paraId="664CAD39" w14:textId="77777777" w:rsidR="00090683" w:rsidRDefault="00090683" w:rsidP="000B7E9A">
            <w:pPr>
              <w:pStyle w:val="Tablecolumnheadings"/>
            </w:pPr>
          </w:p>
        </w:tc>
        <w:tc>
          <w:tcPr>
            <w:tcW w:w="1196" w:type="pct"/>
            <w:shd w:val="clear" w:color="auto" w:fill="9D57A6"/>
            <w:tcMar>
              <w:bottom w:w="0" w:type="dxa"/>
            </w:tcMar>
          </w:tcPr>
          <w:p w14:paraId="269E4318" w14:textId="77777777" w:rsidR="00090683" w:rsidRDefault="00090683" w:rsidP="000B7E9A">
            <w:pPr>
              <w:pStyle w:val="Tablecolumnheadings"/>
            </w:pPr>
          </w:p>
        </w:tc>
        <w:tc>
          <w:tcPr>
            <w:tcW w:w="1096" w:type="pct"/>
            <w:shd w:val="clear" w:color="auto" w:fill="9D57A6"/>
            <w:tcMar>
              <w:bottom w:w="0" w:type="dxa"/>
            </w:tcMar>
          </w:tcPr>
          <w:p w14:paraId="2080ABF7" w14:textId="77777777" w:rsidR="00090683" w:rsidRDefault="00090683" w:rsidP="000B7E9A">
            <w:pPr>
              <w:pStyle w:val="Tablecolumnheadings"/>
            </w:pPr>
          </w:p>
        </w:tc>
      </w:tr>
      <w:tr w:rsidR="00090683" w14:paraId="7CE266A1" w14:textId="77777777" w:rsidTr="000B7E9A">
        <w:tblPrEx>
          <w:tblBorders>
            <w:bottom w:val="single" w:sz="4" w:space="0" w:color="646464"/>
            <w:insideH w:val="single" w:sz="4" w:space="0" w:color="646464"/>
          </w:tblBorders>
        </w:tblPrEx>
        <w:trPr>
          <w:gridBefore w:val="1"/>
          <w:wBefore w:w="265" w:type="pct"/>
          <w:cantSplit/>
        </w:trPr>
        <w:tc>
          <w:tcPr>
            <w:tcW w:w="1247" w:type="pct"/>
            <w:tcBorders>
              <w:top w:val="nil"/>
            </w:tcBorders>
            <w:shd w:val="clear" w:color="auto" w:fill="BFBFBF" w:themeFill="background1" w:themeFillShade="BF"/>
          </w:tcPr>
          <w:p w14:paraId="75CCFE56" w14:textId="77777777" w:rsidR="00090683" w:rsidRDefault="00090683" w:rsidP="000B7E9A">
            <w:pPr>
              <w:pStyle w:val="Tabletext"/>
            </w:pPr>
          </w:p>
        </w:tc>
        <w:tc>
          <w:tcPr>
            <w:tcW w:w="1196" w:type="pct"/>
            <w:tcBorders>
              <w:top w:val="nil"/>
            </w:tcBorders>
            <w:shd w:val="clear" w:color="auto" w:fill="BFBFBF" w:themeFill="background1" w:themeFillShade="BF"/>
          </w:tcPr>
          <w:p w14:paraId="5446234D" w14:textId="77777777" w:rsidR="00090683" w:rsidRDefault="00090683" w:rsidP="000B7E9A">
            <w:pPr>
              <w:pStyle w:val="Tabletext"/>
            </w:pPr>
            <w:r w:rsidRPr="004C1657">
              <w:t>Building the evidence base</w:t>
            </w:r>
          </w:p>
        </w:tc>
        <w:tc>
          <w:tcPr>
            <w:tcW w:w="1196" w:type="pct"/>
            <w:tcBorders>
              <w:top w:val="nil"/>
            </w:tcBorders>
            <w:shd w:val="clear" w:color="auto" w:fill="BFBFBF" w:themeFill="background1" w:themeFillShade="BF"/>
          </w:tcPr>
          <w:p w14:paraId="21C52DB2" w14:textId="77777777" w:rsidR="00090683" w:rsidRDefault="00090683" w:rsidP="000B7E9A">
            <w:pPr>
              <w:pStyle w:val="Tabletext"/>
            </w:pPr>
            <w:r w:rsidRPr="004C1657">
              <w:t>Fostering innovation</w:t>
            </w:r>
          </w:p>
        </w:tc>
        <w:tc>
          <w:tcPr>
            <w:tcW w:w="1096" w:type="pct"/>
            <w:tcBorders>
              <w:top w:val="nil"/>
            </w:tcBorders>
            <w:shd w:val="clear" w:color="auto" w:fill="BFBFBF" w:themeFill="background1" w:themeFillShade="BF"/>
          </w:tcPr>
          <w:p w14:paraId="2476CEA5" w14:textId="77777777" w:rsidR="00090683" w:rsidRDefault="00090683" w:rsidP="000B7E9A">
            <w:pPr>
              <w:pStyle w:val="Tabletext"/>
            </w:pPr>
            <w:r w:rsidRPr="004C1657">
              <w:t>More effective implementation</w:t>
            </w:r>
          </w:p>
        </w:tc>
      </w:tr>
      <w:tr w:rsidR="00090683" w14:paraId="0DCFC918" w14:textId="77777777" w:rsidTr="000B7E9A">
        <w:tblPrEx>
          <w:tblBorders>
            <w:bottom w:val="single" w:sz="4" w:space="0" w:color="646464"/>
            <w:insideH w:val="single" w:sz="4" w:space="0" w:color="646464"/>
          </w:tblBorders>
        </w:tblPrEx>
        <w:trPr>
          <w:gridBefore w:val="1"/>
          <w:wBefore w:w="265" w:type="pct"/>
          <w:cantSplit/>
        </w:trPr>
        <w:tc>
          <w:tcPr>
            <w:tcW w:w="1247" w:type="pct"/>
            <w:shd w:val="clear" w:color="auto" w:fill="auto"/>
          </w:tcPr>
          <w:p w14:paraId="148834C3" w14:textId="77777777" w:rsidR="00090683" w:rsidRDefault="00090683" w:rsidP="000B7E9A">
            <w:pPr>
              <w:pStyle w:val="Tabletext"/>
            </w:pPr>
            <w:r>
              <w:t>Trial projects</w:t>
            </w:r>
          </w:p>
        </w:tc>
        <w:tc>
          <w:tcPr>
            <w:tcW w:w="1196" w:type="pct"/>
            <w:shd w:val="clear" w:color="auto" w:fill="auto"/>
            <w:vAlign w:val="center"/>
          </w:tcPr>
          <w:p w14:paraId="485CE37F" w14:textId="77777777" w:rsidR="00090683" w:rsidRDefault="00090683" w:rsidP="000B7E9A">
            <w:pPr>
              <w:pStyle w:val="Tabletext"/>
              <w:jc w:val="center"/>
            </w:pPr>
            <w:r>
              <w:t>6</w:t>
            </w:r>
          </w:p>
        </w:tc>
        <w:tc>
          <w:tcPr>
            <w:tcW w:w="1196" w:type="pct"/>
            <w:shd w:val="clear" w:color="auto" w:fill="auto"/>
            <w:vAlign w:val="center"/>
          </w:tcPr>
          <w:p w14:paraId="2E9063FE" w14:textId="77777777" w:rsidR="00090683" w:rsidRDefault="00090683" w:rsidP="000B7E9A">
            <w:pPr>
              <w:pStyle w:val="Tabletext"/>
              <w:jc w:val="center"/>
            </w:pPr>
            <w:r>
              <w:t>11</w:t>
            </w:r>
          </w:p>
        </w:tc>
        <w:tc>
          <w:tcPr>
            <w:tcW w:w="1096" w:type="pct"/>
            <w:shd w:val="clear" w:color="auto" w:fill="auto"/>
            <w:vAlign w:val="center"/>
          </w:tcPr>
          <w:p w14:paraId="7458CD7A" w14:textId="77777777" w:rsidR="00090683" w:rsidRDefault="00090683" w:rsidP="000B7E9A">
            <w:pPr>
              <w:pStyle w:val="Tabletext"/>
              <w:jc w:val="center"/>
            </w:pPr>
            <w:r>
              <w:t>5</w:t>
            </w:r>
          </w:p>
        </w:tc>
      </w:tr>
      <w:tr w:rsidR="00090683" w14:paraId="00FA57DA" w14:textId="77777777" w:rsidTr="000B7E9A">
        <w:tblPrEx>
          <w:tblBorders>
            <w:bottom w:val="single" w:sz="4" w:space="0" w:color="646464"/>
            <w:insideH w:val="single" w:sz="4" w:space="0" w:color="646464"/>
          </w:tblBorders>
        </w:tblPrEx>
        <w:trPr>
          <w:gridBefore w:val="1"/>
          <w:wBefore w:w="265" w:type="pct"/>
          <w:cantSplit/>
        </w:trPr>
        <w:tc>
          <w:tcPr>
            <w:tcW w:w="1247" w:type="pct"/>
            <w:shd w:val="clear" w:color="auto" w:fill="BFBFBF" w:themeFill="background1" w:themeFillShade="BF"/>
          </w:tcPr>
          <w:p w14:paraId="77625649" w14:textId="77777777" w:rsidR="00090683" w:rsidRDefault="00090683" w:rsidP="000B7E9A">
            <w:pPr>
              <w:pStyle w:val="Tabletext"/>
            </w:pPr>
          </w:p>
        </w:tc>
        <w:tc>
          <w:tcPr>
            <w:tcW w:w="3488" w:type="pct"/>
            <w:gridSpan w:val="3"/>
            <w:shd w:val="clear" w:color="auto" w:fill="BFBFBF" w:themeFill="background1" w:themeFillShade="BF"/>
            <w:vAlign w:val="center"/>
          </w:tcPr>
          <w:p w14:paraId="1295340B" w14:textId="77777777" w:rsidR="00090683" w:rsidRDefault="00090683" w:rsidP="000B7E9A">
            <w:pPr>
              <w:pStyle w:val="Tabletext"/>
              <w:jc w:val="center"/>
            </w:pPr>
            <w:r>
              <w:t>Number of IT-based solutions projects</w:t>
            </w:r>
          </w:p>
        </w:tc>
      </w:tr>
      <w:tr w:rsidR="00090683" w14:paraId="373E3759" w14:textId="77777777" w:rsidTr="000B7E9A">
        <w:tblPrEx>
          <w:tblBorders>
            <w:bottom w:val="single" w:sz="4" w:space="0" w:color="646464"/>
            <w:insideH w:val="single" w:sz="4" w:space="0" w:color="646464"/>
          </w:tblBorders>
        </w:tblPrEx>
        <w:trPr>
          <w:gridBefore w:val="1"/>
          <w:wBefore w:w="265" w:type="pct"/>
          <w:cantSplit/>
        </w:trPr>
        <w:tc>
          <w:tcPr>
            <w:tcW w:w="1247" w:type="pct"/>
            <w:shd w:val="clear" w:color="auto" w:fill="auto"/>
          </w:tcPr>
          <w:p w14:paraId="1F08EF1C" w14:textId="77777777" w:rsidR="00090683" w:rsidRDefault="00090683" w:rsidP="000B7E9A">
            <w:pPr>
              <w:pStyle w:val="Tabletext"/>
            </w:pPr>
            <w:r>
              <w:t>IT-based solutions projects</w:t>
            </w:r>
          </w:p>
        </w:tc>
        <w:tc>
          <w:tcPr>
            <w:tcW w:w="1196" w:type="pct"/>
            <w:shd w:val="clear" w:color="auto" w:fill="auto"/>
          </w:tcPr>
          <w:p w14:paraId="34C9BF65" w14:textId="77777777" w:rsidR="00090683" w:rsidRDefault="00090683" w:rsidP="000B7E9A">
            <w:pPr>
              <w:pStyle w:val="Tabletext"/>
            </w:pPr>
          </w:p>
        </w:tc>
        <w:tc>
          <w:tcPr>
            <w:tcW w:w="1196" w:type="pct"/>
            <w:shd w:val="clear" w:color="auto" w:fill="auto"/>
            <w:vAlign w:val="center"/>
          </w:tcPr>
          <w:p w14:paraId="3AC049D7" w14:textId="77777777" w:rsidR="00090683" w:rsidRDefault="00090683" w:rsidP="000B7E9A">
            <w:pPr>
              <w:pStyle w:val="Tabletext"/>
              <w:jc w:val="center"/>
            </w:pPr>
            <w:r>
              <w:t>14</w:t>
            </w:r>
          </w:p>
        </w:tc>
        <w:tc>
          <w:tcPr>
            <w:tcW w:w="1096" w:type="pct"/>
            <w:shd w:val="clear" w:color="auto" w:fill="auto"/>
          </w:tcPr>
          <w:p w14:paraId="7DDD8B84" w14:textId="77777777" w:rsidR="00090683" w:rsidRDefault="00090683" w:rsidP="000B7E9A">
            <w:pPr>
              <w:pStyle w:val="Tabletext"/>
            </w:pPr>
          </w:p>
        </w:tc>
      </w:tr>
      <w:tr w:rsidR="00090683" w14:paraId="600DC499" w14:textId="77777777" w:rsidTr="000B7E9A">
        <w:tblPrEx>
          <w:tblBorders>
            <w:bottom w:val="single" w:sz="4" w:space="0" w:color="646464"/>
            <w:insideH w:val="single" w:sz="4" w:space="0" w:color="646464"/>
          </w:tblBorders>
        </w:tblPrEx>
        <w:trPr>
          <w:gridBefore w:val="1"/>
          <w:wBefore w:w="265" w:type="pct"/>
          <w:cantSplit/>
        </w:trPr>
        <w:tc>
          <w:tcPr>
            <w:tcW w:w="4735" w:type="pct"/>
            <w:gridSpan w:val="4"/>
            <w:tcBorders>
              <w:bottom w:val="single" w:sz="4" w:space="0" w:color="646464"/>
            </w:tcBorders>
            <w:shd w:val="clear" w:color="auto" w:fill="auto"/>
          </w:tcPr>
          <w:p w14:paraId="68DE167D" w14:textId="77777777" w:rsidR="00090683" w:rsidRPr="00F020BA" w:rsidRDefault="00090683" w:rsidP="000B7E9A">
            <w:pPr>
              <w:pStyle w:val="Note"/>
            </w:pPr>
            <w:r w:rsidRPr="00F020BA">
              <w:t xml:space="preserve">Note: </w:t>
            </w:r>
            <w:r>
              <w:t>IT-based solutions projects are not categorised under ‘priority funding areas.’</w:t>
            </w:r>
          </w:p>
          <w:p w14:paraId="2B11AC5A" w14:textId="77777777" w:rsidR="00090683" w:rsidRDefault="00090683" w:rsidP="000B7E9A">
            <w:pPr>
              <w:pStyle w:val="Source"/>
            </w:pPr>
            <w:r>
              <w:t>Source: ACIL Allen analysis of Department documentation</w:t>
            </w:r>
          </w:p>
        </w:tc>
      </w:tr>
      <w:tr w:rsidR="00090683" w14:paraId="172C0FC8" w14:textId="77777777" w:rsidTr="000B7E9A">
        <w:tblPrEx>
          <w:tblBorders>
            <w:bottom w:val="single" w:sz="4" w:space="0" w:color="646464"/>
            <w:insideH w:val="single" w:sz="4" w:space="0" w:color="646464"/>
          </w:tblBorders>
        </w:tblPrEx>
        <w:trPr>
          <w:gridBefore w:val="1"/>
          <w:wBefore w:w="265" w:type="pct"/>
          <w:cantSplit/>
          <w:trHeight w:hRule="exact" w:val="120"/>
        </w:trPr>
        <w:tc>
          <w:tcPr>
            <w:tcW w:w="4735" w:type="pct"/>
            <w:gridSpan w:val="4"/>
            <w:tcBorders>
              <w:top w:val="single" w:sz="4" w:space="0" w:color="646464"/>
              <w:bottom w:val="nil"/>
            </w:tcBorders>
            <w:shd w:val="clear" w:color="auto" w:fill="auto"/>
          </w:tcPr>
          <w:p w14:paraId="0B3BFB80" w14:textId="77777777" w:rsidR="00090683" w:rsidRDefault="00090683" w:rsidP="000B7E9A">
            <w:pPr>
              <w:pStyle w:val="spacertbl"/>
            </w:pPr>
          </w:p>
        </w:tc>
      </w:tr>
    </w:tbl>
    <w:p w14:paraId="10661A91" w14:textId="77777777" w:rsidR="00090683" w:rsidRDefault="00090683" w:rsidP="00090683">
      <w:pPr>
        <w:pStyle w:val="Heading3"/>
      </w:pPr>
      <w:r>
        <w:t>T</w:t>
      </w:r>
      <w:r w:rsidRPr="001A2F85">
        <w:t>rial projects</w:t>
      </w:r>
      <w:r>
        <w:t xml:space="preserve"> and </w:t>
      </w:r>
      <w:r w:rsidRPr="001A2F85">
        <w:t>IT-based solutions projects</w:t>
      </w:r>
    </w:p>
    <w:p w14:paraId="3815D4EA" w14:textId="77777777" w:rsidR="00090683" w:rsidRDefault="00090683" w:rsidP="00090683">
      <w:pPr>
        <w:pStyle w:val="BodyText"/>
      </w:pPr>
      <w:r>
        <w:t>Five projects are discussed below; selected as they provide an indication as to the scope of the NPP projects in this area, and provide lessons for potential future projects.</w:t>
      </w:r>
    </w:p>
    <w:p w14:paraId="3895DD3D" w14:textId="77777777" w:rsidR="00090683" w:rsidRPr="001A2F85" w:rsidRDefault="00090683" w:rsidP="00090683">
      <w:pPr>
        <w:pStyle w:val="Heading4"/>
      </w:pPr>
      <w:r w:rsidRPr="001A2F85">
        <w:t>Collabor8 – Women in Engineering &amp; IT Program</w:t>
      </w:r>
    </w:p>
    <w:p w14:paraId="68554AE5" w14:textId="77777777" w:rsidR="00090683" w:rsidRDefault="00090683" w:rsidP="00090683">
      <w:pPr>
        <w:pStyle w:val="BodyText"/>
      </w:pPr>
      <w:r w:rsidRPr="001A2F85">
        <w:t xml:space="preserve">The </w:t>
      </w:r>
      <w:r>
        <w:t xml:space="preserve">2014 university proposed project </w:t>
      </w:r>
      <w:r w:rsidRPr="001A2F85">
        <w:t xml:space="preserve">‘Collabor8 – Women in Engineering &amp; IT Program’ worked with </w:t>
      </w:r>
      <w:r>
        <w:t xml:space="preserve">405 </w:t>
      </w:r>
      <w:r w:rsidRPr="001A2F85">
        <w:t xml:space="preserve">female Year 8 </w:t>
      </w:r>
      <w:r>
        <w:t>and</w:t>
      </w:r>
      <w:r w:rsidRPr="001A2F85">
        <w:t xml:space="preserve"> 9 students and their teachers from </w:t>
      </w:r>
      <w:r>
        <w:t>seven</w:t>
      </w:r>
      <w:r w:rsidRPr="001A2F85">
        <w:t xml:space="preserve"> </w:t>
      </w:r>
      <w:r>
        <w:t xml:space="preserve">low SES </w:t>
      </w:r>
      <w:r w:rsidRPr="001A2F85">
        <w:t xml:space="preserve">partner schools during </w:t>
      </w:r>
      <w:r>
        <w:t>its</w:t>
      </w:r>
      <w:r w:rsidRPr="001A2F85">
        <w:t xml:space="preserve"> pilot year </w:t>
      </w:r>
      <w:r>
        <w:t xml:space="preserve">in </w:t>
      </w:r>
      <w:r w:rsidRPr="001A2F85">
        <w:t>2015</w:t>
      </w:r>
      <w:r>
        <w:t>. This involved delivering four ‘touch point’ sessions over the school year, designed to broaden the students’ awareness of engineering and IT</w:t>
      </w:r>
      <w:r w:rsidRPr="001A2F85">
        <w:t xml:space="preserve">. </w:t>
      </w:r>
    </w:p>
    <w:p w14:paraId="2B2715F3" w14:textId="77777777" w:rsidR="00090683" w:rsidRDefault="00090683" w:rsidP="00090683">
      <w:pPr>
        <w:pStyle w:val="BodyText"/>
      </w:pPr>
      <w:r>
        <w:t xml:space="preserve">An evaluation of the project recommended continuing the project past the pilot year and conducting follow-up research to measure any longitudinal effects. A conference paper on this project was accepted for the 26th Annual Conference of the Australasian Association for Engineering Education in 2015, with an additional abstract accepted for the </w:t>
      </w:r>
      <w:r w:rsidRPr="00977EDA">
        <w:t>European Society for Engineering Education Annual Conference 2016</w:t>
      </w:r>
      <w:r>
        <w:t>. UTS was ‘highly commended’ for the program and its other outreach activities in Engineering Australia’s 2016 Gender Diversity Awards.</w:t>
      </w:r>
    </w:p>
    <w:p w14:paraId="1581CE31" w14:textId="77777777" w:rsidR="00090683" w:rsidRPr="001A2F85" w:rsidRDefault="00090683" w:rsidP="00090683">
      <w:pPr>
        <w:pStyle w:val="Heading4"/>
      </w:pPr>
      <w:r>
        <w:t xml:space="preserve">The Literacy App </w:t>
      </w:r>
    </w:p>
    <w:p w14:paraId="2FCFE925" w14:textId="77777777" w:rsidR="00090683" w:rsidRDefault="00090683" w:rsidP="00090683">
      <w:pPr>
        <w:pStyle w:val="BodyText"/>
      </w:pPr>
      <w:r>
        <w:t xml:space="preserve">The 2014 university proposed project </w:t>
      </w:r>
      <w:r w:rsidRPr="001A2F85">
        <w:t>‘The Literacy App’</w:t>
      </w:r>
      <w:r>
        <w:t xml:space="preserve"> </w:t>
      </w:r>
      <w:r w:rsidRPr="001A2F85">
        <w:t>project designed, tested and delivered a free mobile software application to improve the literacy of undergraduate students, particularly those from low SES backgrounds. The project has provided information about the use of a mobile learning tool for improving literacy of low SES undergraduates, a data analytics framework for mobile learning apps and a practice guide for university educators on how to use the App.</w:t>
      </w:r>
      <w:r>
        <w:t xml:space="preserve"> </w:t>
      </w:r>
    </w:p>
    <w:p w14:paraId="563004E2" w14:textId="77777777" w:rsidR="00090683" w:rsidRDefault="00090683" w:rsidP="00090683">
      <w:pPr>
        <w:pStyle w:val="BodyText"/>
      </w:pPr>
      <w:r>
        <w:t>The final report for the project indicates that by December 2015, three papers and one report had been published, with an additional paper submitted and two in progress. Four conference presentations were made, and one website and four apps were developed for the project.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AF3F55" w14:paraId="090DFF48" w14:textId="77777777" w:rsidTr="000B7E9A">
        <w:trPr>
          <w:cantSplit/>
        </w:trPr>
        <w:tc>
          <w:tcPr>
            <w:tcW w:w="8614" w:type="dxa"/>
            <w:tcMar>
              <w:top w:w="160" w:type="dxa"/>
              <w:left w:w="446" w:type="dxa"/>
            </w:tcMar>
          </w:tcPr>
          <w:p w14:paraId="0B384725" w14:textId="77777777" w:rsidR="00090683" w:rsidRPr="00AF3F55" w:rsidRDefault="00090683" w:rsidP="000B7E9A">
            <w:pPr>
              <w:pStyle w:val="Caption"/>
            </w:pPr>
            <w:bookmarkStart w:id="365" w:name="_Ref465256015"/>
            <w:bookmarkStart w:id="366" w:name="_Toc466657033"/>
            <w:r w:rsidRPr="00AF3F55">
              <w:rPr>
                <w:rStyle w:val="CaptionLabel"/>
              </w:rPr>
              <w:t>Box</w:t>
            </w:r>
            <w:r>
              <w:rPr>
                <w:rStyle w:val="CaptionLabel"/>
              </w:rPr>
              <w:t> </w:t>
            </w:r>
            <w:r>
              <w:rPr>
                <w:rStyle w:val="CaptionLabel"/>
                <w:noProof/>
              </w:rPr>
              <w:t>8</w:t>
            </w:r>
            <w:r w:rsidRPr="00AF3F55">
              <w:rPr>
                <w:rStyle w:val="CaptionLabel"/>
              </w:rPr>
              <w:t>.</w:t>
            </w:r>
            <w:bookmarkEnd w:id="365"/>
            <w:r>
              <w:rPr>
                <w:rStyle w:val="CaptionLabel"/>
                <w:noProof/>
              </w:rPr>
              <w:t>2</w:t>
            </w:r>
            <w:r>
              <w:tab/>
              <w:t>Meeting great expectations trial</w:t>
            </w:r>
            <w:bookmarkEnd w:id="366"/>
          </w:p>
        </w:tc>
      </w:tr>
      <w:tr w:rsidR="00090683" w:rsidRPr="00B07121" w14:paraId="217318EA" w14:textId="77777777" w:rsidTr="000B7E9A">
        <w:trPr>
          <w:cantSplit/>
          <w:trHeight w:hRule="exact" w:val="380"/>
        </w:trPr>
        <w:tc>
          <w:tcPr>
            <w:tcW w:w="8614" w:type="dxa"/>
            <w:shd w:val="clear" w:color="auto" w:fill="E4E0DD"/>
          </w:tcPr>
          <w:p w14:paraId="79072067" w14:textId="77777777" w:rsidR="00090683" w:rsidRPr="00B07121" w:rsidRDefault="00090683" w:rsidP="000B7E9A">
            <w:pPr>
              <w:pStyle w:val="spacer"/>
            </w:pPr>
            <w:r>
              <w:rPr>
                <w:noProof/>
                <w:lang w:eastAsia="en-AU"/>
              </w:rPr>
              <mc:AlternateContent>
                <mc:Choice Requires="wps">
                  <w:drawing>
                    <wp:anchor distT="0" distB="0" distL="114300" distR="114300" simplePos="0" relativeHeight="251679744" behindDoc="0" locked="1" layoutInCell="1" allowOverlap="1" wp14:anchorId="6980EE07" wp14:editId="0CBB7C12">
                      <wp:simplePos x="0" y="0"/>
                      <wp:positionH relativeFrom="rightMargin">
                        <wp:posOffset>-772795</wp:posOffset>
                      </wp:positionH>
                      <wp:positionV relativeFrom="page">
                        <wp:posOffset>0</wp:posOffset>
                      </wp:positionV>
                      <wp:extent cx="436880" cy="213360"/>
                      <wp:effectExtent l="0" t="0" r="1270" b="0"/>
                      <wp:wrapNone/>
                      <wp:docPr id="85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0FAF1A" id="Freeform 5" o:spid="_x0000_s1026" style="position:absolute;margin-left:-60.85pt;margin-top:0;width:34.4pt;height:16.8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PIQmsp/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69956EF8" w14:textId="77777777" w:rsidTr="000B7E9A">
        <w:trPr>
          <w:cantSplit/>
        </w:trPr>
        <w:tc>
          <w:tcPr>
            <w:tcW w:w="8614" w:type="dxa"/>
            <w:shd w:val="clear" w:color="auto" w:fill="E4E0DD"/>
            <w:tcMar>
              <w:top w:w="276" w:type="dxa"/>
              <w:bottom w:w="184" w:type="dxa"/>
              <w:right w:w="120" w:type="dxa"/>
            </w:tcMar>
          </w:tcPr>
          <w:p w14:paraId="578F8879" w14:textId="77777777" w:rsidR="00090683" w:rsidRDefault="00090683" w:rsidP="000B7E9A">
            <w:pPr>
              <w:pStyle w:val="BoxText"/>
            </w:pPr>
            <w:r>
              <w:t>The ‘Meeting Great Expectations’ is a university proposed NPP trial project aimed at understanding the needs of equity group students before they commence university. The rationale behind the project is that managing expectations during the pre-enrolment and enrolment stages can improve the self</w:t>
            </w:r>
            <w:r>
              <w:noBreakHyphen/>
              <w:t>awareness of students who have low expectations of themselves. In light of feedback, transitioning students are able to identify and adjust their own expectations of themselves and become aware of what is required to succeed at university.</w:t>
            </w:r>
          </w:p>
          <w:p w14:paraId="38735E07" w14:textId="77777777" w:rsidR="00090683" w:rsidRDefault="00090683" w:rsidP="000B7E9A">
            <w:pPr>
              <w:pStyle w:val="BoxText"/>
            </w:pPr>
            <w:r>
              <w:t>The Student Readiness and Expectations survey (REX survey) was created to gain an understanding of equity students’ degrees of readiness for tertiary study. Survey data was collected on VU students’ level of academic experience and preparedness, their work/life balance, and level of English proficiency. Survey data were coupled with follow-up conversations to better provide recommendations to students in accordance with their level of ‘readiness’. Students who are identified to be at risk of disengaging are subsequently contacted by Student Transition Mentors, provided with referrals as appropriate, and followed up as part of the university’s Student Link program. This is recorded and will be used to assess whether there are better outcomes for equity group students who participated in the survey.</w:t>
            </w:r>
          </w:p>
          <w:p w14:paraId="3CEB04BD" w14:textId="77777777" w:rsidR="00090683" w:rsidRDefault="00090683" w:rsidP="000B7E9A">
            <w:pPr>
              <w:pStyle w:val="BoxText"/>
            </w:pPr>
            <w:r>
              <w:t>The pilot of the survey was implemented in February 2015. However, due to technical and human resources difficulties, the survey was completely re-tested in 2016. Approximately 1,000 students have been contacted over three iterations of the survey. The university was able to collect 569 valid responses during the first semester of 2016. Although 25 per cent of VU students are from low SES backgrounds, the proportion of the 569 respondents from equity groups was yet to be determined at the time of final project reporting. The project team intended to undertake an evaluation of the trial after student equity group identification was complete.</w:t>
            </w:r>
          </w:p>
          <w:p w14:paraId="1F21AA78" w14:textId="77777777" w:rsidR="00090683" w:rsidRDefault="00090683" w:rsidP="000B7E9A">
            <w:pPr>
              <w:pStyle w:val="BoxText"/>
            </w:pPr>
            <w:r>
              <w:t xml:space="preserve">VU is currently working to improve the sample size of the survey by targeting students who are already participating in readiness workshops such as the VU Ready 1 program, an introduction to the university’s IT systems. Results from the trial were presented as a poster at the 2015 </w:t>
            </w:r>
            <w:r w:rsidRPr="007A4C4A">
              <w:t>Students,</w:t>
            </w:r>
            <w:r>
              <w:t xml:space="preserve"> </w:t>
            </w:r>
            <w:r w:rsidRPr="007A4C4A">
              <w:t>Transitions, Achievement, Retention &amp; Success</w:t>
            </w:r>
            <w:r>
              <w:t xml:space="preserve"> (STARS) conference, under the title ‘Meeting Great Expectations: Reframing the Provision of Undergraduate Support Services to Commencing Undergraduates’.</w:t>
            </w:r>
          </w:p>
        </w:tc>
      </w:tr>
      <w:tr w:rsidR="00090683" w14:paraId="375F0912" w14:textId="77777777" w:rsidTr="000B7E9A">
        <w:trPr>
          <w:cantSplit/>
        </w:trPr>
        <w:tc>
          <w:tcPr>
            <w:tcW w:w="8614" w:type="dxa"/>
            <w:tcMar>
              <w:top w:w="12" w:type="dxa"/>
              <w:left w:w="446" w:type="dxa"/>
              <w:bottom w:w="113" w:type="dxa"/>
            </w:tcMar>
          </w:tcPr>
          <w:p w14:paraId="24CF14D6" w14:textId="77777777" w:rsidR="00090683" w:rsidRDefault="00090683" w:rsidP="000B7E9A">
            <w:pPr>
              <w:pStyle w:val="Source"/>
            </w:pPr>
            <w:r>
              <w:t>Source:  VU</w:t>
            </w:r>
            <w:r w:rsidRPr="00213093">
              <w:t xml:space="preserve"> NPP repor</w:t>
            </w:r>
            <w:r w:rsidRPr="00AD49C8">
              <w:t>T 2016</w:t>
            </w:r>
          </w:p>
        </w:tc>
      </w:tr>
    </w:tbl>
    <w:p w14:paraId="53EBBB46" w14:textId="77777777" w:rsidR="00090683" w:rsidRDefault="00090683" w:rsidP="00090683">
      <w:pPr>
        <w:pStyle w:val="Heading3"/>
      </w:pPr>
      <w:bookmarkStart w:id="367" w:name="_Toc466024972"/>
      <w:bookmarkStart w:id="368" w:name="_Toc466252272"/>
      <w:bookmarkStart w:id="369" w:name="_Toc466252386"/>
      <w:bookmarkStart w:id="370" w:name="_Toc466252608"/>
      <w:bookmarkStart w:id="371" w:name="_Toc466252697"/>
      <w:bookmarkStart w:id="372" w:name="_Toc466281104"/>
      <w:bookmarkStart w:id="373" w:name="_Toc466293755"/>
      <w:bookmarkStart w:id="374" w:name="_Toc466295710"/>
      <w:bookmarkStart w:id="375" w:name="_Toc466297150"/>
      <w:bookmarkStart w:id="376" w:name="_Toc466304906"/>
      <w:bookmarkStart w:id="377" w:name="_Toc466655600"/>
      <w:bookmarkStart w:id="378" w:name="_Ref465842208"/>
      <w:bookmarkStart w:id="379" w:name="_Toc466657147"/>
      <w:bookmarkEnd w:id="367"/>
      <w:bookmarkEnd w:id="368"/>
      <w:bookmarkEnd w:id="369"/>
      <w:bookmarkEnd w:id="370"/>
      <w:bookmarkEnd w:id="371"/>
      <w:bookmarkEnd w:id="372"/>
      <w:bookmarkEnd w:id="373"/>
      <w:bookmarkEnd w:id="374"/>
      <w:bookmarkEnd w:id="375"/>
      <w:bookmarkEnd w:id="376"/>
      <w:bookmarkEnd w:id="377"/>
      <w:r>
        <w:t>Discussion</w:t>
      </w:r>
    </w:p>
    <w:p w14:paraId="157C4E10" w14:textId="77777777" w:rsidR="00090683" w:rsidRDefault="00090683" w:rsidP="00090683">
      <w:pPr>
        <w:pStyle w:val="BodyText"/>
      </w:pPr>
      <w:r>
        <w:t xml:space="preserve">The trial projects detailed above and other trial projects for which reports are available appear to have provided universities with a good opportunity to test new approaches and technology. As is to be expected when trialling new approaches, not all approaches proved appropriate or successful. </w:t>
      </w:r>
    </w:p>
    <w:p w14:paraId="5CCB8949" w14:textId="77777777" w:rsidR="00090683" w:rsidRDefault="00090683" w:rsidP="00090683">
      <w:pPr>
        <w:pStyle w:val="BodyText"/>
      </w:pPr>
      <w:r>
        <w:t>In some cases, trial projects were not able to show, with a strong degree of confidence, whether an intervention was successful, usually due to a lack of counterfactual. The use of quasi-experimental</w:t>
      </w:r>
      <w:r>
        <w:rPr>
          <w:rStyle w:val="FootnoteReference"/>
        </w:rPr>
        <w:footnoteReference w:id="36"/>
      </w:r>
      <w:r>
        <w:t xml:space="preserve"> or randomised controlled experimental approaches would likely allow a greater share of projects to better determine the impact of new approaches on key student outcomes. While such projects could take place in a single year, there is also the potential for a wider range of impacts to be measured if projects are multiyear. </w:t>
      </w:r>
    </w:p>
    <w:p w14:paraId="075EAEAF" w14:textId="77777777" w:rsidR="00090683" w:rsidRPr="001A2F85" w:rsidRDefault="00090683" w:rsidP="00090683">
      <w:pPr>
        <w:pStyle w:val="Heading2"/>
      </w:pPr>
      <w:r>
        <w:t>Reach of NPP projects</w:t>
      </w:r>
      <w:bookmarkEnd w:id="378"/>
      <w:bookmarkEnd w:id="379"/>
    </w:p>
    <w:p w14:paraId="56601809" w14:textId="77777777" w:rsidR="00090683" w:rsidRDefault="00090683" w:rsidP="00090683">
      <w:pPr>
        <w:pStyle w:val="BodyText"/>
      </w:pPr>
      <w:r>
        <w:rPr>
          <w:rFonts w:eastAsiaTheme="majorEastAsia"/>
        </w:rPr>
        <w:t xml:space="preserve">Twenty nine </w:t>
      </w:r>
      <w:r>
        <w:t xml:space="preserve">final project reports were available and analysed in the course of this evaluation (refer </w:t>
      </w:r>
      <w:r>
        <w:rPr>
          <w:rFonts w:eastAsiaTheme="majorEastAsia"/>
        </w:rPr>
        <w:t>Section 8.1</w:t>
      </w:r>
      <w:r>
        <w:t>). The template for these reports included details of any journal submissions, conference presentations and stakeholder engagement undertaken for the project. As such, these reports provide a picture of the reach of both research and trial NPP projects, discussed below.</w:t>
      </w:r>
    </w:p>
    <w:p w14:paraId="3F86EE68" w14:textId="77777777" w:rsidR="00090683" w:rsidRDefault="00090683" w:rsidP="00090683">
      <w:pPr>
        <w:pStyle w:val="Heading4"/>
      </w:pPr>
      <w:r>
        <w:t>Stakeholder engagement</w:t>
      </w:r>
    </w:p>
    <w:p w14:paraId="3674DD27" w14:textId="77777777" w:rsidR="00090683" w:rsidRDefault="00090683" w:rsidP="00090683">
      <w:pPr>
        <w:pStyle w:val="BodyText"/>
      </w:pPr>
      <w:r>
        <w:t xml:space="preserve">Almost two thirds of NPP projects involved contact with students, many through surveys or interviews. For the 18 projects that involved student contact, half involved contact with more than 1,000 students. Only four of the 18 projects involved contact with less than 100 students. This shows that many projects were designed to have large numbers of student contacts, such as through the collection of survey data. </w:t>
      </w:r>
    </w:p>
    <w:p w14:paraId="3C55050C" w14:textId="77777777" w:rsidR="00090683" w:rsidRDefault="00090683" w:rsidP="00090683">
      <w:pPr>
        <w:pStyle w:val="BodyText"/>
        <w:rPr>
          <w:rStyle w:val="CaptionLabel"/>
          <w:b w:val="0"/>
        </w:rPr>
      </w:pPr>
      <w:r>
        <w:rPr>
          <w:rStyle w:val="CaptionLabel"/>
          <w:b w:val="0"/>
        </w:rPr>
        <w:t>Close to 20 per cent of projects involved engagement with schools and community organisations (</w:t>
      </w:r>
      <w:r w:rsidRPr="00AD49C8">
        <w:t>Table 8.5</w:t>
      </w:r>
      <w:r>
        <w:rPr>
          <w:rStyle w:val="CaptionLabel"/>
          <w:b w:val="0"/>
        </w:rPr>
        <w:t>). Each of these projects engaged with more than one school or organisation—between three and 70 schools, and between two and 15 community organisations. Two of the 29 projects reported engagement with universities.</w:t>
      </w:r>
    </w:p>
    <w:p w14:paraId="24AF7C12" w14:textId="77777777" w:rsidR="00090683" w:rsidRDefault="00090683" w:rsidP="00090683">
      <w:pPr>
        <w:pStyle w:val="Heading4"/>
        <w:rPr>
          <w:rFonts w:eastAsia="Times New Roman"/>
          <w:b w:val="0"/>
          <w:color w:val="auto"/>
        </w:rPr>
      </w:pPr>
      <w:r>
        <w:t>Knowledge-sharing</w:t>
      </w:r>
      <w:bookmarkStart w:id="380" w:name="_Ref465266737"/>
    </w:p>
    <w:bookmarkEnd w:id="380"/>
    <w:p w14:paraId="7B3788CA" w14:textId="77777777" w:rsidR="00090683" w:rsidRDefault="00090683" w:rsidP="00090683">
      <w:pPr>
        <w:pStyle w:val="BodyText"/>
      </w:pPr>
      <w:r>
        <w:t>The sharing of information about or from the NPP projects through journal submissions or conference presentations was common, and featured more commonly than stakeholder engagement in many cases. In total more than 50 journal submissions and 80 conference presentations were undertaken for these NPP projects.</w:t>
      </w:r>
    </w:p>
    <w:p w14:paraId="1C87ADD0" w14:textId="77777777" w:rsidR="00090683" w:rsidRPr="00F93F40" w:rsidRDefault="00090683" w:rsidP="00090683">
      <w:pPr>
        <w:pStyle w:val="BodyText"/>
      </w:pPr>
      <w:r>
        <w:t>Although data are only available for journal submissions, rather than acceptances or publications (often because of the time lag between submission and publication in journals), researchers submitted at least one article to a journal in about half of all projects (</w:t>
      </w:r>
      <w:r w:rsidRPr="00AD49C8">
        <w:t>Table 8.</w:t>
      </w:r>
      <w:r>
        <w:t>4).</w:t>
      </w:r>
      <w:r>
        <w:rPr>
          <w:rStyle w:val="FootnoteReference"/>
        </w:rPr>
        <w:footnoteReference w:id="37"/>
      </w:r>
      <w:r>
        <w:t xml:space="preserve"> Additionally, conference presentations were given for 62 per cent of projects. For more than half of these (11 of 18 projects), two or more presentations were made. </w:t>
      </w:r>
    </w:p>
    <w:p w14:paraId="1C23C4EE" w14:textId="77777777" w:rsidR="00090683" w:rsidRDefault="00090683" w:rsidP="00090683">
      <w:pPr>
        <w:pStyle w:val="Caption"/>
        <w:spacing w:before="160"/>
      </w:pPr>
      <w:bookmarkStart w:id="381" w:name="_Ref465244023"/>
      <w:bookmarkStart w:id="382" w:name="_Toc466655765"/>
      <w:r w:rsidRPr="00FC29C8">
        <w:rPr>
          <w:rStyle w:val="CaptionLabel"/>
        </w:rPr>
        <w:t>Table</w:t>
      </w:r>
      <w:r>
        <w:rPr>
          <w:rStyle w:val="CaptionLabel"/>
        </w:rPr>
        <w:t> </w:t>
      </w:r>
      <w:r>
        <w:rPr>
          <w:rStyle w:val="CaptionLabel"/>
          <w:noProof/>
        </w:rPr>
        <w:t>8</w:t>
      </w:r>
      <w:r w:rsidRPr="00FC29C8">
        <w:rPr>
          <w:rStyle w:val="CaptionLabel"/>
        </w:rPr>
        <w:t>.</w:t>
      </w:r>
      <w:bookmarkEnd w:id="381"/>
      <w:r>
        <w:rPr>
          <w:rStyle w:val="CaptionLabel"/>
          <w:noProof/>
        </w:rPr>
        <w:t>4</w:t>
      </w:r>
      <w:r>
        <w:tab/>
        <w:t>Knowledge-sharing through NPP projects</w:t>
      </w:r>
      <w:bookmarkEnd w:id="382"/>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4"/>
        <w:gridCol w:w="3545"/>
        <w:gridCol w:w="2312"/>
        <w:gridCol w:w="2311"/>
      </w:tblGrid>
      <w:tr w:rsidR="00090683" w14:paraId="62DA4854" w14:textId="77777777" w:rsidTr="000B7E9A">
        <w:trPr>
          <w:cantSplit/>
          <w:tblHeader/>
        </w:trPr>
        <w:tc>
          <w:tcPr>
            <w:tcW w:w="2319" w:type="pct"/>
            <w:gridSpan w:val="2"/>
            <w:shd w:val="clear" w:color="auto" w:fill="9D57A6"/>
            <w:tcMar>
              <w:left w:w="454" w:type="dxa"/>
              <w:bottom w:w="0" w:type="dxa"/>
            </w:tcMar>
          </w:tcPr>
          <w:p w14:paraId="23469310" w14:textId="77777777" w:rsidR="00090683" w:rsidRDefault="00090683" w:rsidP="000B7E9A">
            <w:pPr>
              <w:pStyle w:val="Tablecolumnheadings"/>
            </w:pPr>
          </w:p>
        </w:tc>
        <w:tc>
          <w:tcPr>
            <w:tcW w:w="1341" w:type="pct"/>
            <w:shd w:val="clear" w:color="auto" w:fill="9D57A6"/>
            <w:tcMar>
              <w:bottom w:w="0" w:type="dxa"/>
            </w:tcMar>
            <w:vAlign w:val="center"/>
          </w:tcPr>
          <w:p w14:paraId="658493EB" w14:textId="77777777" w:rsidR="00090683" w:rsidRDefault="00090683" w:rsidP="000B7E9A">
            <w:pPr>
              <w:pStyle w:val="Tablecolumnheadings"/>
              <w:jc w:val="center"/>
            </w:pPr>
            <w:r>
              <w:t>Journal submissions</w:t>
            </w:r>
          </w:p>
        </w:tc>
        <w:tc>
          <w:tcPr>
            <w:tcW w:w="1340" w:type="pct"/>
            <w:shd w:val="clear" w:color="auto" w:fill="9D57A6"/>
            <w:tcMar>
              <w:bottom w:w="0" w:type="dxa"/>
            </w:tcMar>
            <w:vAlign w:val="center"/>
          </w:tcPr>
          <w:p w14:paraId="2A2B86AC" w14:textId="77777777" w:rsidR="00090683" w:rsidRDefault="00090683" w:rsidP="000B7E9A">
            <w:pPr>
              <w:pStyle w:val="Tablecolumnheadings"/>
              <w:jc w:val="center"/>
            </w:pPr>
            <w:r>
              <w:t>Conference presentations</w:t>
            </w:r>
          </w:p>
        </w:tc>
      </w:tr>
      <w:tr w:rsidR="00090683" w14:paraId="53B137CF" w14:textId="77777777" w:rsidTr="000B7E9A">
        <w:tblPrEx>
          <w:tblBorders>
            <w:bottom w:val="single" w:sz="4" w:space="0" w:color="646464"/>
            <w:insideH w:val="single" w:sz="4" w:space="0" w:color="646464"/>
          </w:tblBorders>
        </w:tblPrEx>
        <w:trPr>
          <w:gridBefore w:val="1"/>
          <w:wBefore w:w="263" w:type="pct"/>
          <w:cantSplit/>
        </w:trPr>
        <w:tc>
          <w:tcPr>
            <w:tcW w:w="2056" w:type="pct"/>
            <w:tcBorders>
              <w:top w:val="nil"/>
            </w:tcBorders>
          </w:tcPr>
          <w:p w14:paraId="6B15A22B" w14:textId="77777777" w:rsidR="00090683" w:rsidRDefault="00090683" w:rsidP="000B7E9A">
            <w:pPr>
              <w:pStyle w:val="Tabletext"/>
              <w:keepNext/>
            </w:pPr>
            <w:r>
              <w:t>Total number</w:t>
            </w:r>
          </w:p>
        </w:tc>
        <w:tc>
          <w:tcPr>
            <w:tcW w:w="1341" w:type="pct"/>
            <w:tcBorders>
              <w:top w:val="nil"/>
            </w:tcBorders>
            <w:vAlign w:val="center"/>
          </w:tcPr>
          <w:p w14:paraId="37FB3BCA" w14:textId="77777777" w:rsidR="00090683" w:rsidRDefault="00090683" w:rsidP="000B7E9A">
            <w:pPr>
              <w:pStyle w:val="Tabletext"/>
              <w:keepNext/>
              <w:jc w:val="center"/>
            </w:pPr>
            <w:r>
              <w:t>54</w:t>
            </w:r>
          </w:p>
        </w:tc>
        <w:tc>
          <w:tcPr>
            <w:tcW w:w="1340" w:type="pct"/>
            <w:tcBorders>
              <w:top w:val="nil"/>
            </w:tcBorders>
            <w:vAlign w:val="center"/>
          </w:tcPr>
          <w:p w14:paraId="3C318B13" w14:textId="77777777" w:rsidR="00090683" w:rsidRDefault="00090683" w:rsidP="000B7E9A">
            <w:pPr>
              <w:pStyle w:val="Tabletext"/>
              <w:keepNext/>
              <w:jc w:val="center"/>
            </w:pPr>
            <w:r>
              <w:t>83</w:t>
            </w:r>
          </w:p>
        </w:tc>
      </w:tr>
      <w:tr w:rsidR="00090683" w14:paraId="3EA581B4" w14:textId="77777777" w:rsidTr="000B7E9A">
        <w:tblPrEx>
          <w:tblBorders>
            <w:bottom w:val="single" w:sz="4" w:space="0" w:color="646464"/>
            <w:insideH w:val="single" w:sz="4" w:space="0" w:color="646464"/>
          </w:tblBorders>
        </w:tblPrEx>
        <w:trPr>
          <w:gridBefore w:val="1"/>
          <w:wBefore w:w="263" w:type="pct"/>
          <w:cantSplit/>
        </w:trPr>
        <w:tc>
          <w:tcPr>
            <w:tcW w:w="2056" w:type="pct"/>
          </w:tcPr>
          <w:p w14:paraId="50B6ED38" w14:textId="77777777" w:rsidR="00090683" w:rsidRDefault="00090683" w:rsidP="000B7E9A">
            <w:pPr>
              <w:pStyle w:val="Tabletext"/>
              <w:keepNext/>
            </w:pPr>
            <w:r w:rsidRPr="008D493E">
              <w:t>Percentage of projects in which it is present</w:t>
            </w:r>
          </w:p>
        </w:tc>
        <w:tc>
          <w:tcPr>
            <w:tcW w:w="1341" w:type="pct"/>
            <w:vAlign w:val="center"/>
          </w:tcPr>
          <w:p w14:paraId="14B76233" w14:textId="77777777" w:rsidR="00090683" w:rsidRDefault="00090683" w:rsidP="000B7E9A">
            <w:pPr>
              <w:pStyle w:val="Tabletext"/>
              <w:keepNext/>
              <w:jc w:val="center"/>
            </w:pPr>
            <w:r>
              <w:t>48 per cent</w:t>
            </w:r>
          </w:p>
        </w:tc>
        <w:tc>
          <w:tcPr>
            <w:tcW w:w="1340" w:type="pct"/>
            <w:vAlign w:val="center"/>
          </w:tcPr>
          <w:p w14:paraId="5A3F04BC" w14:textId="77777777" w:rsidR="00090683" w:rsidRDefault="00090683" w:rsidP="000B7E9A">
            <w:pPr>
              <w:pStyle w:val="Tabletext"/>
              <w:keepNext/>
              <w:jc w:val="center"/>
            </w:pPr>
            <w:r>
              <w:t>62 per cent</w:t>
            </w:r>
          </w:p>
        </w:tc>
      </w:tr>
      <w:tr w:rsidR="00090683" w14:paraId="14EBD24A" w14:textId="77777777" w:rsidTr="000B7E9A">
        <w:tblPrEx>
          <w:tblBorders>
            <w:bottom w:val="single" w:sz="4" w:space="0" w:color="646464"/>
            <w:insideH w:val="single" w:sz="4" w:space="0" w:color="646464"/>
          </w:tblBorders>
        </w:tblPrEx>
        <w:trPr>
          <w:gridBefore w:val="1"/>
          <w:wBefore w:w="263" w:type="pct"/>
          <w:cantSplit/>
        </w:trPr>
        <w:tc>
          <w:tcPr>
            <w:tcW w:w="2056" w:type="pct"/>
          </w:tcPr>
          <w:p w14:paraId="6E6DB552" w14:textId="77777777" w:rsidR="00090683" w:rsidRDefault="00090683" w:rsidP="000B7E9A">
            <w:pPr>
              <w:pStyle w:val="Tabletext"/>
              <w:keepNext/>
            </w:pPr>
            <w:r>
              <w:t>Maximum number per project</w:t>
            </w:r>
          </w:p>
        </w:tc>
        <w:tc>
          <w:tcPr>
            <w:tcW w:w="1341" w:type="pct"/>
            <w:vAlign w:val="center"/>
          </w:tcPr>
          <w:p w14:paraId="01D21051" w14:textId="77777777" w:rsidR="00090683" w:rsidRDefault="00090683" w:rsidP="000B7E9A">
            <w:pPr>
              <w:pStyle w:val="Tabletext"/>
              <w:keepNext/>
              <w:jc w:val="center"/>
            </w:pPr>
            <w:r>
              <w:t>11</w:t>
            </w:r>
          </w:p>
        </w:tc>
        <w:tc>
          <w:tcPr>
            <w:tcW w:w="1340" w:type="pct"/>
            <w:vAlign w:val="center"/>
          </w:tcPr>
          <w:p w14:paraId="72C89AE9" w14:textId="77777777" w:rsidR="00090683" w:rsidRPr="0076462C" w:rsidRDefault="00090683" w:rsidP="000B7E9A">
            <w:pPr>
              <w:pStyle w:val="Tabletext"/>
              <w:keepNext/>
              <w:jc w:val="center"/>
            </w:pPr>
            <w:r>
              <w:t>45 (9)</w:t>
            </w:r>
            <w:r>
              <w:rPr>
                <w:vertAlign w:val="superscript"/>
              </w:rPr>
              <w:t xml:space="preserve"> a</w:t>
            </w:r>
          </w:p>
        </w:tc>
      </w:tr>
      <w:tr w:rsidR="00090683" w14:paraId="4B98CA48" w14:textId="77777777" w:rsidTr="000B7E9A">
        <w:tblPrEx>
          <w:tblBorders>
            <w:bottom w:val="single" w:sz="4" w:space="0" w:color="646464"/>
            <w:insideH w:val="single" w:sz="4" w:space="0" w:color="646464"/>
          </w:tblBorders>
        </w:tblPrEx>
        <w:trPr>
          <w:gridBefore w:val="1"/>
          <w:wBefore w:w="263" w:type="pct"/>
          <w:cantSplit/>
        </w:trPr>
        <w:tc>
          <w:tcPr>
            <w:tcW w:w="2056" w:type="pct"/>
          </w:tcPr>
          <w:p w14:paraId="35EF0BD1" w14:textId="77777777" w:rsidR="00090683" w:rsidRDefault="00090683" w:rsidP="000B7E9A">
            <w:pPr>
              <w:pStyle w:val="Tabletext"/>
              <w:keepNext/>
            </w:pPr>
            <w:r>
              <w:t>Average number across sample</w:t>
            </w:r>
          </w:p>
        </w:tc>
        <w:tc>
          <w:tcPr>
            <w:tcW w:w="1341" w:type="pct"/>
            <w:vAlign w:val="center"/>
          </w:tcPr>
          <w:p w14:paraId="2EA52DD7" w14:textId="77777777" w:rsidR="00090683" w:rsidRDefault="00090683" w:rsidP="000B7E9A">
            <w:pPr>
              <w:pStyle w:val="Tabletext"/>
              <w:keepNext/>
              <w:jc w:val="center"/>
            </w:pPr>
            <w:r>
              <w:t>1.86</w:t>
            </w:r>
          </w:p>
        </w:tc>
        <w:tc>
          <w:tcPr>
            <w:tcW w:w="1340" w:type="pct"/>
            <w:vAlign w:val="center"/>
          </w:tcPr>
          <w:p w14:paraId="11DC4D93" w14:textId="77777777" w:rsidR="00090683" w:rsidRDefault="00090683" w:rsidP="000B7E9A">
            <w:pPr>
              <w:pStyle w:val="Tabletext"/>
              <w:keepNext/>
              <w:jc w:val="center"/>
            </w:pPr>
            <w:r>
              <w:t>2.86</w:t>
            </w:r>
          </w:p>
        </w:tc>
      </w:tr>
      <w:tr w:rsidR="00090683" w14:paraId="0ADA3BB9" w14:textId="77777777" w:rsidTr="000B7E9A">
        <w:tblPrEx>
          <w:tblBorders>
            <w:bottom w:val="single" w:sz="4" w:space="0" w:color="646464"/>
            <w:insideH w:val="single" w:sz="4" w:space="0" w:color="646464"/>
          </w:tblBorders>
        </w:tblPrEx>
        <w:trPr>
          <w:gridBefore w:val="1"/>
          <w:wBefore w:w="263" w:type="pct"/>
          <w:cantSplit/>
        </w:trPr>
        <w:tc>
          <w:tcPr>
            <w:tcW w:w="2056" w:type="pct"/>
          </w:tcPr>
          <w:p w14:paraId="3F9509BE" w14:textId="77777777" w:rsidR="00090683" w:rsidRDefault="00090683" w:rsidP="000B7E9A">
            <w:pPr>
              <w:pStyle w:val="Tabletext"/>
              <w:keepNext/>
            </w:pPr>
            <w:r>
              <w:t>Average number when present</w:t>
            </w:r>
          </w:p>
        </w:tc>
        <w:tc>
          <w:tcPr>
            <w:tcW w:w="1341" w:type="pct"/>
            <w:vAlign w:val="center"/>
          </w:tcPr>
          <w:p w14:paraId="53A392D7" w14:textId="77777777" w:rsidR="00090683" w:rsidRDefault="00090683" w:rsidP="000B7E9A">
            <w:pPr>
              <w:pStyle w:val="Tabletext"/>
              <w:keepNext/>
              <w:jc w:val="center"/>
            </w:pPr>
            <w:r>
              <w:t>3.86</w:t>
            </w:r>
          </w:p>
        </w:tc>
        <w:tc>
          <w:tcPr>
            <w:tcW w:w="1340" w:type="pct"/>
            <w:vAlign w:val="center"/>
          </w:tcPr>
          <w:p w14:paraId="4545339F" w14:textId="77777777" w:rsidR="00090683" w:rsidRDefault="00090683" w:rsidP="000B7E9A">
            <w:pPr>
              <w:pStyle w:val="Tabletext"/>
              <w:keepNext/>
              <w:jc w:val="center"/>
            </w:pPr>
            <w:r>
              <w:t>4.61</w:t>
            </w:r>
          </w:p>
        </w:tc>
      </w:tr>
      <w:tr w:rsidR="00090683" w14:paraId="0D93227B" w14:textId="77777777" w:rsidTr="000B7E9A">
        <w:tblPrEx>
          <w:tblBorders>
            <w:bottom w:val="single" w:sz="4" w:space="0" w:color="646464"/>
            <w:insideH w:val="single" w:sz="4" w:space="0" w:color="646464"/>
          </w:tblBorders>
        </w:tblPrEx>
        <w:trPr>
          <w:gridBefore w:val="1"/>
          <w:wBefore w:w="263" w:type="pct"/>
          <w:cantSplit/>
        </w:trPr>
        <w:tc>
          <w:tcPr>
            <w:tcW w:w="4737" w:type="pct"/>
            <w:gridSpan w:val="3"/>
          </w:tcPr>
          <w:p w14:paraId="7131DD54" w14:textId="77777777" w:rsidR="00090683" w:rsidRDefault="00090683" w:rsidP="000B7E9A">
            <w:pPr>
              <w:pStyle w:val="Note"/>
            </w:pPr>
            <w:r>
              <w:rPr>
                <w:rStyle w:val="Notelabel"/>
              </w:rPr>
              <w:t>a</w:t>
            </w:r>
            <w:r>
              <w:t xml:space="preserve"> Charles Darwin University’s ‘</w:t>
            </w:r>
            <w:r w:rsidRPr="008D493E">
              <w:t>Building Evidence about Indigenous pathways and transitions into Higher Education</w:t>
            </w:r>
            <w:r>
              <w:t>’ project involved hosting a Forum with 45 presentations. The next highest number of presentations was nine, for the University of Newcastle’s ‘</w:t>
            </w:r>
            <w:r w:rsidRPr="00B95AC5">
              <w:t>Who seeks access to what, when, and why?</w:t>
            </w:r>
            <w:r>
              <w:t>’ project.</w:t>
            </w:r>
          </w:p>
          <w:p w14:paraId="2104D767" w14:textId="77777777" w:rsidR="00090683" w:rsidRPr="00F020BA" w:rsidRDefault="00090683" w:rsidP="000B7E9A">
            <w:pPr>
              <w:pStyle w:val="Note"/>
            </w:pPr>
            <w:r w:rsidRPr="00F020BA">
              <w:t xml:space="preserve">Note: </w:t>
            </w:r>
            <w:r>
              <w:t>n=29</w:t>
            </w:r>
          </w:p>
          <w:p w14:paraId="51C855DF" w14:textId="77777777" w:rsidR="00090683" w:rsidRDefault="00090683" w:rsidP="000B7E9A">
            <w:pPr>
              <w:pStyle w:val="Source"/>
            </w:pPr>
            <w:r>
              <w:t>Source: NPP final reports</w:t>
            </w:r>
          </w:p>
        </w:tc>
      </w:tr>
      <w:tr w:rsidR="00090683" w14:paraId="3E9499F5" w14:textId="77777777" w:rsidTr="000B7E9A">
        <w:tblPrEx>
          <w:tblBorders>
            <w:bottom w:val="single" w:sz="4" w:space="0" w:color="646464"/>
            <w:insideH w:val="single" w:sz="4" w:space="0" w:color="646464"/>
          </w:tblBorders>
        </w:tblPrEx>
        <w:trPr>
          <w:gridBefore w:val="1"/>
          <w:wBefore w:w="263" w:type="pct"/>
          <w:cantSplit/>
          <w:trHeight w:hRule="exact" w:val="120"/>
        </w:trPr>
        <w:tc>
          <w:tcPr>
            <w:tcW w:w="4737" w:type="pct"/>
            <w:gridSpan w:val="3"/>
            <w:tcBorders>
              <w:bottom w:val="nil"/>
            </w:tcBorders>
          </w:tcPr>
          <w:p w14:paraId="609E93AF" w14:textId="77777777" w:rsidR="00090683" w:rsidRDefault="00090683" w:rsidP="000B7E9A">
            <w:pPr>
              <w:pStyle w:val="spacertbl"/>
              <w:keepNext/>
            </w:pPr>
          </w:p>
        </w:tc>
      </w:tr>
    </w:tbl>
    <w:p w14:paraId="65E32FBB" w14:textId="77777777" w:rsidR="00090683" w:rsidRDefault="00090683" w:rsidP="00090683">
      <w:pPr>
        <w:pStyle w:val="BodyText"/>
      </w:pPr>
      <w:r>
        <w:t>For those projects that did not involve conference presentations or journal submissions, many were part of the IT Solutions commissioned round, which were not expected to produce journal articles in most cases. Only one of 14 IT Solutions project resulted in journal or other publication submissions, and only two in conference presentations. This may be because the nature of the projects meant that many focused on internal university data collection and management systems to improve the identification and support of students from low SES backgrounds. If IT solutions are not included in analysis, the percentage of projects that led to journal submissions rises from 48 per cent to 62 per cent of the sample (13 of 21 projects).</w:t>
      </w:r>
    </w:p>
    <w:p w14:paraId="57AB1012" w14:textId="77777777" w:rsidR="00090683" w:rsidRPr="008D45F8" w:rsidRDefault="00090683" w:rsidP="00090683">
      <w:pPr>
        <w:pStyle w:val="Heading2"/>
      </w:pPr>
      <w:bookmarkStart w:id="383" w:name="_Toc466657148"/>
      <w:r w:rsidRPr="008D45F8">
        <w:t>The overall impact of the NPP</w:t>
      </w:r>
      <w:bookmarkEnd w:id="383"/>
    </w:p>
    <w:p w14:paraId="58945509" w14:textId="77777777" w:rsidR="00090683" w:rsidRDefault="00090683" w:rsidP="00090683">
      <w:pPr>
        <w:pStyle w:val="BodyText"/>
      </w:pPr>
      <w:r>
        <w:t xml:space="preserve">The NPP has had two years of implementation to date, limiting the data that are available to provide insight into its overall impact. For example, the reports for NPP projects undertaken in 2015, which would detail their outcomes and any stakeholder engagement and/or knowledge-sharing, are not yet available, so the analysis in Section 8.4 has focused on 2014 projects. Even for completed projects, in most cases it is too early to determine whether the research has had an effect on practice at the university and system-level, and longitudinal data are limited. </w:t>
      </w:r>
    </w:p>
    <w:p w14:paraId="4D8F1395" w14:textId="77777777" w:rsidR="00090683" w:rsidRDefault="00090683" w:rsidP="00090683">
      <w:pPr>
        <w:pStyle w:val="BodyText"/>
      </w:pPr>
      <w:r>
        <w:t>Notwithstanding this, a number of observations can be made about the NPP component of the HEPPP. A</w:t>
      </w:r>
      <w:r w:rsidRPr="001A2F85">
        <w:t xml:space="preserve"> wide range of research projects </w:t>
      </w:r>
      <w:r>
        <w:t>have been funded and</w:t>
      </w:r>
      <w:r w:rsidRPr="001A2F85">
        <w:t xml:space="preserve"> </w:t>
      </w:r>
      <w:r>
        <w:t xml:space="preserve">are </w:t>
      </w:r>
      <w:r w:rsidRPr="001A2F85">
        <w:t xml:space="preserve">reported to have provided useful insights into </w:t>
      </w:r>
      <w:r>
        <w:t xml:space="preserve">identifying, </w:t>
      </w:r>
      <w:r w:rsidRPr="001A2F85">
        <w:t xml:space="preserve">attracting and </w:t>
      </w:r>
      <w:r>
        <w:t xml:space="preserve">effectively </w:t>
      </w:r>
      <w:r w:rsidRPr="001A2F85">
        <w:t xml:space="preserve">supporting low SES and equity group students. </w:t>
      </w:r>
      <w:r>
        <w:t>Interviews with universities and their NPP reports indicate that these have</w:t>
      </w:r>
      <w:r w:rsidRPr="001A2F85">
        <w:t xml:space="preserve"> encouraged universities to explore new approaches and ha</w:t>
      </w:r>
      <w:r>
        <w:t>ve</w:t>
      </w:r>
      <w:r w:rsidRPr="001A2F85">
        <w:t xml:space="preserve"> generated analysis to inform university management decisions on how to best meet the needs of </w:t>
      </w:r>
      <w:r>
        <w:t>low SES</w:t>
      </w:r>
      <w:r w:rsidRPr="001A2F85">
        <w:t xml:space="preserve"> students.</w:t>
      </w:r>
    </w:p>
    <w:p w14:paraId="04EF28C1" w14:textId="77777777" w:rsidR="00090683" w:rsidRDefault="00090683" w:rsidP="00090683">
      <w:pPr>
        <w:pStyle w:val="Heading4"/>
      </w:pPr>
      <w:r>
        <w:t xml:space="preserve">Publications and knowledge sharing </w:t>
      </w:r>
    </w:p>
    <w:p w14:paraId="65FB1D9F" w14:textId="77777777" w:rsidR="00090683" w:rsidRDefault="00090683" w:rsidP="00090683">
      <w:pPr>
        <w:pStyle w:val="BodyText"/>
      </w:pPr>
      <w:r>
        <w:t>Almost half of the NPP projects analysed in Section 8.4 led to journal submissions, although in most cases it is too early to tell whether these submissions will be accepted and published. This means that the impact or reach of the publications cannot yet be determined. In total, 54 submissions were made, with an average of 1.86 per project across the sample.</w:t>
      </w:r>
    </w:p>
    <w:p w14:paraId="6DAC4EBA" w14:textId="77777777" w:rsidR="00090683" w:rsidRDefault="00090683" w:rsidP="00090683">
      <w:pPr>
        <w:pStyle w:val="BodyText"/>
      </w:pPr>
      <w:r>
        <w:t xml:space="preserve">There has been a significant degree of knowledge-sharing through the NPP projects. Almost two thirds of projects—62 per cent—led to conference presentations, with 83 presentations made in total (refer Section 8.4). This is a high number of presentations for one year of projects (most projects in the sample were undertaken in 2014), with an average of more than 2.8 presentations per project. This also does not capture less formal knowledge sharing produced by the projects. </w:t>
      </w:r>
    </w:p>
    <w:p w14:paraId="065519FA" w14:textId="77777777" w:rsidR="00090683" w:rsidRDefault="00090683" w:rsidP="00090683">
      <w:pPr>
        <w:pStyle w:val="BodyText"/>
      </w:pPr>
      <w:r>
        <w:t xml:space="preserve">Presentations related to the projects have been made at subject-specific conferences, such as the </w:t>
      </w:r>
      <w:r w:rsidRPr="003D3292">
        <w:t>Australian Psychological Society Psychology of Relationships Interest Group Conference</w:t>
      </w:r>
      <w:r>
        <w:t>, as well as conferences that are directly relevant to equity practitioners, such as the EPHEA bi-annual conference and the STARS conference. The diversity of conferences at which NPP findings have been presented suggests that the NPP has enabled beneficial sharing and awareness of knowledge across the higher education sector more broadly, rather than just with equity practitioners.</w:t>
      </w:r>
    </w:p>
    <w:p w14:paraId="09D24E96" w14:textId="77777777" w:rsidR="00090683" w:rsidRDefault="00090683" w:rsidP="00090683">
      <w:pPr>
        <w:pStyle w:val="Heading4"/>
      </w:pPr>
      <w:r>
        <w:t>Support from researchers</w:t>
      </w:r>
    </w:p>
    <w:p w14:paraId="641D7DE6" w14:textId="77777777" w:rsidR="00090683" w:rsidRDefault="00090683" w:rsidP="00090683">
      <w:pPr>
        <w:pStyle w:val="BodyText"/>
      </w:pPr>
      <w:r>
        <w:t xml:space="preserve">Strong support for the NPP was expressed by universities and the research community. Universities reported that the NPP provided a unique source of funding for research in this area (UTS, Submission 71) and that it had increased the ‘quantity and quality </w:t>
      </w:r>
      <w:r w:rsidRPr="00245519">
        <w:t>of research into student equity in higher education</w:t>
      </w:r>
      <w:r>
        <w:t xml:space="preserve">’ (La Trobe University, Submission 119). Support for both the research and trial arms was expressed, as well as the opportunities the NPP provides for universities ‘to learn from each other’ (UNSW, Submission 84). The Equity Practitioners in Higher Education Australia submission noted that NPP funding was particularly valuable for ‘universities </w:t>
      </w:r>
      <w:r w:rsidRPr="009F2EFC">
        <w:t>that receive only small institutional allocations</w:t>
      </w:r>
      <w:r>
        <w:t>’ (Submission 75).</w:t>
      </w:r>
    </w:p>
    <w:p w14:paraId="5A73BD3D" w14:textId="77777777" w:rsidR="00090683" w:rsidRDefault="00090683" w:rsidP="00090683">
      <w:pPr>
        <w:pStyle w:val="BodyText"/>
      </w:pPr>
      <w:r>
        <w:t>S</w:t>
      </w:r>
      <w:r w:rsidRPr="001A2F85">
        <w:t xml:space="preserve">ome stakeholders </w:t>
      </w:r>
      <w:r>
        <w:t>called</w:t>
      </w:r>
      <w:r w:rsidRPr="001A2F85">
        <w:t xml:space="preserve"> </w:t>
      </w:r>
      <w:r>
        <w:t>for</w:t>
      </w:r>
      <w:r w:rsidRPr="001A2F85">
        <w:t xml:space="preserve"> greater dissemination and sharing of research </w:t>
      </w:r>
      <w:r>
        <w:t xml:space="preserve">project </w:t>
      </w:r>
      <w:r w:rsidRPr="001A2F85">
        <w:t>results</w:t>
      </w:r>
      <w:r>
        <w:t xml:space="preserve"> and outcomes,</w:t>
      </w:r>
      <w:r w:rsidRPr="001A2F85">
        <w:t xml:space="preserve"> and </w:t>
      </w:r>
      <w:r>
        <w:t>trial findings (</w:t>
      </w:r>
      <w:r w:rsidRPr="001A2F85">
        <w:t>for example, Queensland Consortium</w:t>
      </w:r>
      <w:r>
        <w:t xml:space="preserve">, </w:t>
      </w:r>
      <w:r w:rsidRPr="001A2F85">
        <w:t>Submission 80</w:t>
      </w:r>
      <w:r>
        <w:t>,</w:t>
      </w:r>
      <w:r w:rsidRPr="001A2F85">
        <w:t xml:space="preserve"> and National Aboriginal and Torres Strait Islander Higher Education Consortium</w:t>
      </w:r>
      <w:r>
        <w:t xml:space="preserve">, </w:t>
      </w:r>
      <w:r w:rsidRPr="001A2F85">
        <w:t>Submission 87)</w:t>
      </w:r>
      <w:r>
        <w:t>. Given that the majority of projects involved conference presentations, and almost half resulted in journal submissions, this may reflect the fact that in some cases, the presentations were made to</w:t>
      </w:r>
      <w:r w:rsidRPr="00214773">
        <w:t xml:space="preserve"> </w:t>
      </w:r>
      <w:r>
        <w:t xml:space="preserve">conferences that were for particular audiences (for example, the Australasian Association for Engineering </w:t>
      </w:r>
      <w:r w:rsidRPr="000F477D">
        <w:t>Education) as well as the length of time between an article’s submission to a journal and its publication. The NCSEHE, through its newsletter and website, also shares recent research publications and developments, and updates on NPP projects.</w:t>
      </w:r>
    </w:p>
    <w:p w14:paraId="252FC173" w14:textId="77777777" w:rsidR="00090683" w:rsidRDefault="00090683" w:rsidP="00090683">
      <w:pPr>
        <w:pStyle w:val="Heading4"/>
      </w:pPr>
      <w:r>
        <w:t>The potential for improved evidence from the NPP</w:t>
      </w:r>
    </w:p>
    <w:p w14:paraId="341D2F05" w14:textId="77777777" w:rsidR="00090683" w:rsidRDefault="00090683" w:rsidP="00090683">
      <w:pPr>
        <w:pStyle w:val="BodyText"/>
      </w:pPr>
      <w:r>
        <w:t xml:space="preserve">While HEPPP implementation could be improved by greater access to evidence on what works, university interviewees indicated that research that produces this kind of evidence is unlikely to be generated by universities without dedicated funding, such as that provided by the NPP. At the same time, the NPP projects completed to date have not always produced research that will provide evidence to fill the key HEPPP-related knowledge gaps identified through this evaluation (such as, which types of activities are more effective than others, and within an activity type, what are the characteristics of effective projects). </w:t>
      </w:r>
    </w:p>
    <w:p w14:paraId="5EA1AF47" w14:textId="77777777" w:rsidR="00090683" w:rsidRPr="001A2F85" w:rsidRDefault="00090683" w:rsidP="00090683">
      <w:pPr>
        <w:pStyle w:val="BodyText"/>
      </w:pPr>
      <w:r>
        <w:t xml:space="preserve">More rigorous evaluative research techniques, such as based on quasi-experimental or experimental design, or </w:t>
      </w:r>
      <w:r w:rsidRPr="001A2F85">
        <w:t xml:space="preserve">longitudinal studies, </w:t>
      </w:r>
      <w:r>
        <w:t>whether</w:t>
      </w:r>
      <w:r w:rsidRPr="001A2F85">
        <w:t xml:space="preserve"> </w:t>
      </w:r>
      <w:r>
        <w:t>initiated</w:t>
      </w:r>
      <w:r w:rsidRPr="001A2F85">
        <w:t xml:space="preserve"> through the NPP</w:t>
      </w:r>
      <w:r>
        <w:t xml:space="preserve"> or continued by researchers after their NPP project concludes</w:t>
      </w:r>
      <w:r w:rsidRPr="001A2F85">
        <w:t xml:space="preserve">, can play a valuable role in understanding the </w:t>
      </w:r>
      <w:r>
        <w:t xml:space="preserve">relative </w:t>
      </w:r>
      <w:r w:rsidRPr="001A2F85">
        <w:t xml:space="preserve">impacts of HEPPP </w:t>
      </w:r>
      <w:r>
        <w:t>activities</w:t>
      </w:r>
      <w:r w:rsidRPr="001A2F85">
        <w:t>. Without such studies it will be difficult to attribute successes in increasing the retention and attainment of low SES students.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1A2F85" w14:paraId="2C359EF4" w14:textId="77777777" w:rsidTr="000B7E9A">
        <w:trPr>
          <w:cantSplit/>
        </w:trPr>
        <w:tc>
          <w:tcPr>
            <w:tcW w:w="8614" w:type="dxa"/>
            <w:tcMar>
              <w:top w:w="160" w:type="dxa"/>
              <w:left w:w="446" w:type="dxa"/>
            </w:tcMar>
          </w:tcPr>
          <w:p w14:paraId="7BCE162C" w14:textId="77777777" w:rsidR="00090683" w:rsidRPr="001A2F85" w:rsidRDefault="00090683" w:rsidP="000B7E9A">
            <w:pPr>
              <w:pStyle w:val="Caption"/>
            </w:pPr>
            <w:r w:rsidRPr="001A2F85">
              <w:rPr>
                <w:rStyle w:val="CaptionLabel"/>
              </w:rPr>
              <w:t>Key Finding </w:t>
            </w:r>
            <w:r>
              <w:rPr>
                <w:rStyle w:val="CaptionLabel"/>
                <w:noProof/>
              </w:rPr>
              <w:t>6</w:t>
            </w:r>
            <w:r w:rsidRPr="001A2F85">
              <w:tab/>
              <w:t>National Priorities Pool</w:t>
            </w:r>
          </w:p>
        </w:tc>
      </w:tr>
      <w:tr w:rsidR="00090683" w:rsidRPr="001A2F85" w14:paraId="00A2B35F" w14:textId="77777777" w:rsidTr="000B7E9A">
        <w:trPr>
          <w:cantSplit/>
        </w:trPr>
        <w:tc>
          <w:tcPr>
            <w:tcW w:w="8614" w:type="dxa"/>
            <w:shd w:val="clear" w:color="auto" w:fill="E4E0DD"/>
            <w:tcMar>
              <w:top w:w="276" w:type="dxa"/>
              <w:bottom w:w="0" w:type="dxa"/>
              <w:right w:w="120" w:type="dxa"/>
            </w:tcMar>
          </w:tcPr>
          <w:p w14:paraId="201FD1FB" w14:textId="77777777" w:rsidR="00090683" w:rsidRDefault="00090683" w:rsidP="000B7E9A">
            <w:pPr>
              <w:pStyle w:val="BoxText"/>
            </w:pPr>
            <w:r w:rsidRPr="001A2F85">
              <w:t xml:space="preserve">The NPP </w:t>
            </w:r>
            <w:r>
              <w:t>was introduced in 2014, and 65 projects were funded in total in 2014 and 2015. This includes projects commissioned by the Department, and many on topics proposed by universities.</w:t>
            </w:r>
          </w:p>
          <w:p w14:paraId="7FC74DC4" w14:textId="77777777" w:rsidR="00090683" w:rsidRDefault="00090683" w:rsidP="000B7E9A">
            <w:pPr>
              <w:pStyle w:val="BoxText"/>
            </w:pPr>
            <w:r>
              <w:t>To a large extent, it is too early to determine the impact of the NPP on institutional and research practice. Preliminary measures of engagement and reach of projects completed to date have been analysed, such as the number of conference presentations, journal submissions and stakeholder engagements, however the outcome of these in most cases is not yet visible, and reporting for 2015 projects is not yet complete. Nonetheless, the 2014 NPP reports show that information about/from the project was shared with stakeholders for the majority of NPP projects—62 per cent led to conference presentations, and almost half led to journal or other publication submissions. The level of stakeholder engagement was also high, with 62 per cent of projects involving student contact.</w:t>
            </w:r>
          </w:p>
          <w:p w14:paraId="1BFF5244" w14:textId="77777777" w:rsidR="00090683" w:rsidRPr="001A2F85" w:rsidRDefault="00090683" w:rsidP="000B7E9A">
            <w:pPr>
              <w:pStyle w:val="BoxText"/>
            </w:pPr>
            <w:r>
              <w:t xml:space="preserve">Stakeholder feedback collected through this evaluation and provided in NPP reports shows that </w:t>
            </w:r>
            <w:r w:rsidRPr="001A2F85">
              <w:t xml:space="preserve">NPP funding has </w:t>
            </w:r>
            <w:r>
              <w:t xml:space="preserve">enabled and </w:t>
            </w:r>
            <w:r w:rsidRPr="001A2F85">
              <w:t xml:space="preserve">encouraged universities to explore new approaches and has generated analysis to inform </w:t>
            </w:r>
            <w:r>
              <w:t xml:space="preserve">some </w:t>
            </w:r>
            <w:r w:rsidRPr="001A2F85">
              <w:t>university decision</w:t>
            </w:r>
            <w:r>
              <w:t>-making</w:t>
            </w:r>
            <w:r w:rsidRPr="001A2F85">
              <w:t xml:space="preserve">. </w:t>
            </w:r>
            <w:r>
              <w:t>In many reports, research teams indicated that they would continue to collect data or undertake research that had commenced with the NPP project.</w:t>
            </w:r>
          </w:p>
          <w:p w14:paraId="2D03AA22" w14:textId="77777777" w:rsidR="00090683" w:rsidRPr="001A2F85" w:rsidRDefault="00090683" w:rsidP="000B7E9A">
            <w:pPr>
              <w:pStyle w:val="BoxText"/>
            </w:pPr>
            <w:r>
              <w:t xml:space="preserve">Strong support for the NPP, or an equivalent program, was expressed by universities through the written submission process for this evaluation. Universities noted the value of the unique funding pool and the opportunity to undertake trials as well as research. Some submissions consider that there is scope to improve the dissemination of findings and build a deeper understanding of good/best practice in higher education equity policy and activities </w:t>
            </w:r>
            <w:r w:rsidRPr="005E3F50">
              <w:t>through greater sharing of NPP research results</w:t>
            </w:r>
            <w:r w:rsidRPr="001A2F85">
              <w:t xml:space="preserve">, as well as </w:t>
            </w:r>
            <w:r>
              <w:t xml:space="preserve">promoting more rigour in </w:t>
            </w:r>
            <w:r w:rsidRPr="001A2F85">
              <w:t>HEPPP evaluation</w:t>
            </w:r>
            <w:r>
              <w:t xml:space="preserve"> practice</w:t>
            </w:r>
            <w:r w:rsidRPr="001A2F85">
              <w:t xml:space="preserve">. </w:t>
            </w:r>
          </w:p>
        </w:tc>
      </w:tr>
      <w:tr w:rsidR="00090683" w:rsidRPr="001A2F85" w14:paraId="1D24A78E" w14:textId="77777777" w:rsidTr="000B7E9A">
        <w:trPr>
          <w:cantSplit/>
          <w:trHeight w:hRule="exact" w:val="376"/>
        </w:trPr>
        <w:tc>
          <w:tcPr>
            <w:tcW w:w="8614" w:type="dxa"/>
            <w:shd w:val="clear" w:color="auto" w:fill="E4E0DD"/>
            <w:tcMar>
              <w:top w:w="0" w:type="dxa"/>
              <w:bottom w:w="0" w:type="dxa"/>
              <w:right w:w="0" w:type="dxa"/>
            </w:tcMar>
          </w:tcPr>
          <w:p w14:paraId="7CC7EEE4" w14:textId="77777777" w:rsidR="00090683" w:rsidRPr="001A2F85" w:rsidRDefault="00090683" w:rsidP="000B7E9A">
            <w:pPr>
              <w:pStyle w:val="spacer"/>
            </w:pPr>
          </w:p>
        </w:tc>
      </w:tr>
      <w:tr w:rsidR="00090683" w:rsidRPr="001A2F85" w14:paraId="0B1A8CBB" w14:textId="77777777" w:rsidTr="000B7E9A">
        <w:trPr>
          <w:cantSplit/>
          <w:trHeight w:hRule="exact" w:val="180"/>
        </w:trPr>
        <w:tc>
          <w:tcPr>
            <w:tcW w:w="8614" w:type="dxa"/>
            <w:tcMar>
              <w:top w:w="0" w:type="dxa"/>
              <w:left w:w="446" w:type="dxa"/>
              <w:bottom w:w="0" w:type="dxa"/>
            </w:tcMar>
          </w:tcPr>
          <w:p w14:paraId="223CA1DE" w14:textId="77777777" w:rsidR="00090683" w:rsidRPr="001A2F85" w:rsidRDefault="00090683" w:rsidP="000B7E9A">
            <w:pPr>
              <w:pStyle w:val="spacertbl"/>
            </w:pPr>
            <w:r>
              <w:rPr>
                <w:noProof/>
                <w:lang w:eastAsia="en-AU"/>
              </w:rPr>
              <mc:AlternateContent>
                <mc:Choice Requires="wps">
                  <w:drawing>
                    <wp:anchor distT="0" distB="0" distL="114300" distR="114300" simplePos="0" relativeHeight="251678720" behindDoc="0" locked="1" layoutInCell="1" allowOverlap="1" wp14:anchorId="1A6D488C" wp14:editId="0F9368CD">
                      <wp:simplePos x="0" y="0"/>
                      <wp:positionH relativeFrom="rightMargin">
                        <wp:posOffset>-772795</wp:posOffset>
                      </wp:positionH>
                      <wp:positionV relativeFrom="page">
                        <wp:posOffset>-237490</wp:posOffset>
                      </wp:positionV>
                      <wp:extent cx="436880" cy="213360"/>
                      <wp:effectExtent l="0" t="0" r="1270" b="0"/>
                      <wp:wrapNone/>
                      <wp:docPr id="60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9E8555" id="Freeform 5" o:spid="_x0000_s1026" style="position:absolute;margin-left:-60.85pt;margin-top:-18.7pt;width:34.4pt;height:16.8pt;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14959590" w14:textId="77777777" w:rsidR="00090683" w:rsidRPr="001A2F85" w:rsidRDefault="00090683" w:rsidP="00090683">
      <w:pPr>
        <w:pStyle w:val="BodyText"/>
      </w:pPr>
    </w:p>
    <w:p w14:paraId="49976E8F" w14:textId="77777777" w:rsidR="00090683" w:rsidRPr="001A2F85" w:rsidRDefault="00090683" w:rsidP="00090683">
      <w:pPr>
        <w:pStyle w:val="BodyText"/>
        <w:sectPr w:rsidR="00090683" w:rsidRPr="001A2F85" w:rsidSect="00EA6577">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090683" w:rsidRPr="001A2F85" w14:paraId="64723728" w14:textId="77777777" w:rsidTr="000B7E9A">
        <w:trPr>
          <w:trHeight w:hRule="exact" w:val="382"/>
        </w:trPr>
        <w:tc>
          <w:tcPr>
            <w:tcW w:w="4738" w:type="dxa"/>
            <w:shd w:val="clear" w:color="auto" w:fill="9D57A6"/>
          </w:tcPr>
          <w:p w14:paraId="51793519" w14:textId="77777777" w:rsidR="00090683" w:rsidRPr="001A2F85" w:rsidRDefault="00090683" w:rsidP="000B7E9A">
            <w:pPr>
              <w:pStyle w:val="tagchapterBanner"/>
            </w:pPr>
            <w:r>
              <w:rPr>
                <w:noProof/>
                <w:lang w:eastAsia="en-AU"/>
              </w:rPr>
              <mc:AlternateContent>
                <mc:Choice Requires="wps">
                  <w:drawing>
                    <wp:anchor distT="0" distB="0" distL="114300" distR="114300" simplePos="0" relativeHeight="251677696" behindDoc="0" locked="1" layoutInCell="1" allowOverlap="1" wp14:anchorId="1EE2931A" wp14:editId="25284509">
                      <wp:simplePos x="0" y="0"/>
                      <wp:positionH relativeFrom="page">
                        <wp:posOffset>158750</wp:posOffset>
                      </wp:positionH>
                      <wp:positionV relativeFrom="page">
                        <wp:posOffset>6350</wp:posOffset>
                      </wp:positionV>
                      <wp:extent cx="439420" cy="215265"/>
                      <wp:effectExtent l="0" t="0" r="0" b="0"/>
                      <wp:wrapNone/>
                      <wp:docPr id="27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69C50" id="Freeform 5" o:spid="_x0000_s1026" style="position:absolute;margin-left:12.5pt;margin-top:.5pt;width:34.6pt;height:16.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c35Uz3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31F6CF0F" w14:textId="77777777" w:rsidR="00090683" w:rsidRPr="001A2F85" w:rsidRDefault="00090683" w:rsidP="000B7E9A">
            <w:pPr>
              <w:pStyle w:val="spacer"/>
            </w:pPr>
          </w:p>
        </w:tc>
      </w:tr>
      <w:tr w:rsidR="00090683" w:rsidRPr="001A2F85" w14:paraId="4EF02FDD" w14:textId="77777777" w:rsidTr="000B7E9A">
        <w:trPr>
          <w:trHeight w:hRule="exact" w:val="3665"/>
        </w:trPr>
        <w:tc>
          <w:tcPr>
            <w:tcW w:w="4738" w:type="dxa"/>
            <w:shd w:val="clear" w:color="auto" w:fill="9D57A6"/>
            <w:tcMar>
              <w:left w:w="0" w:type="dxa"/>
              <w:bottom w:w="0" w:type="dxa"/>
            </w:tcMar>
            <w:vAlign w:val="bottom"/>
          </w:tcPr>
          <w:p w14:paraId="0CBAE907" w14:textId="77777777" w:rsidR="00090683" w:rsidRPr="001A2F85" w:rsidRDefault="00090683" w:rsidP="000B7E9A">
            <w:pPr>
              <w:pStyle w:val="Heading1"/>
              <w:spacing w:line="240" w:lineRule="auto"/>
              <w:outlineLvl w:val="0"/>
            </w:pPr>
            <w:bookmarkStart w:id="384" w:name="_Ref466155354"/>
            <w:r w:rsidRPr="001A2F85">
              <w:t>Overall effectiveness analysis</w:t>
            </w:r>
            <w:bookmarkEnd w:id="384"/>
          </w:p>
        </w:tc>
        <w:tc>
          <w:tcPr>
            <w:tcW w:w="3430" w:type="dxa"/>
            <w:shd w:val="clear" w:color="auto" w:fill="9D57A6"/>
            <w:tcMar>
              <w:right w:w="344" w:type="dxa"/>
            </w:tcMar>
          </w:tcPr>
          <w:p w14:paraId="798A6FCE" w14:textId="77777777" w:rsidR="00090683" w:rsidRPr="001A2F85" w:rsidRDefault="00090683" w:rsidP="000B7E9A">
            <w:pPr>
              <w:pStyle w:val="HeadingChapter"/>
              <w:keepNext/>
            </w:pPr>
            <w:bookmarkStart w:id="385" w:name="_Toc466657149"/>
            <w:r>
              <w:t>9</w:t>
            </w:r>
            <w:bookmarkEnd w:id="385"/>
          </w:p>
        </w:tc>
      </w:tr>
      <w:tr w:rsidR="00090683" w:rsidRPr="001A2F85" w14:paraId="3B1BC3D9" w14:textId="77777777" w:rsidTr="000B7E9A">
        <w:trPr>
          <w:trHeight w:hRule="exact" w:val="232"/>
        </w:trPr>
        <w:tc>
          <w:tcPr>
            <w:tcW w:w="4738" w:type="dxa"/>
            <w:shd w:val="clear" w:color="auto" w:fill="9D57A6"/>
          </w:tcPr>
          <w:p w14:paraId="6F691F34" w14:textId="77777777" w:rsidR="00090683" w:rsidRPr="001A2F85" w:rsidRDefault="00090683" w:rsidP="000B7E9A">
            <w:pPr>
              <w:pStyle w:val="Chpt-Context"/>
            </w:pPr>
          </w:p>
        </w:tc>
        <w:tc>
          <w:tcPr>
            <w:tcW w:w="3430" w:type="dxa"/>
            <w:shd w:val="clear" w:color="auto" w:fill="9D57A6"/>
          </w:tcPr>
          <w:p w14:paraId="2EDEF9A4" w14:textId="77777777" w:rsidR="00090683" w:rsidRPr="001A2F85" w:rsidRDefault="00090683" w:rsidP="000B7E9A">
            <w:pPr>
              <w:pStyle w:val="Chpt-Context"/>
            </w:pPr>
            <w:bookmarkStart w:id="386" w:name="_Toc466657150"/>
            <w:r>
              <w:rPr>
                <w:noProof/>
              </w:rPr>
              <w:t>Overall effectiveness analysis</w:t>
            </w:r>
            <w:bookmarkEnd w:id="386"/>
          </w:p>
        </w:tc>
      </w:tr>
      <w:tr w:rsidR="00090683" w:rsidRPr="001A2F85" w14:paraId="272D6CF7" w14:textId="77777777" w:rsidTr="000B7E9A">
        <w:trPr>
          <w:trHeight w:hRule="exact" w:val="228"/>
        </w:trPr>
        <w:tc>
          <w:tcPr>
            <w:tcW w:w="4738" w:type="dxa"/>
            <w:tcBorders>
              <w:top w:val="single" w:sz="4" w:space="0" w:color="9D57A6"/>
            </w:tcBorders>
          </w:tcPr>
          <w:p w14:paraId="3335294F" w14:textId="77777777" w:rsidR="00090683" w:rsidRPr="001A2F85" w:rsidRDefault="00090683" w:rsidP="000B7E9A">
            <w:pPr>
              <w:pStyle w:val="spacer"/>
            </w:pPr>
          </w:p>
        </w:tc>
        <w:tc>
          <w:tcPr>
            <w:tcW w:w="3430" w:type="dxa"/>
            <w:tcBorders>
              <w:top w:val="single" w:sz="4" w:space="0" w:color="9D57A6"/>
            </w:tcBorders>
          </w:tcPr>
          <w:p w14:paraId="197E8E7F" w14:textId="77777777" w:rsidR="00090683" w:rsidRPr="001A2F85" w:rsidRDefault="00090683" w:rsidP="000B7E9A">
            <w:pPr>
              <w:pStyle w:val="spacer"/>
            </w:pPr>
          </w:p>
        </w:tc>
      </w:tr>
    </w:tbl>
    <w:p w14:paraId="14B9F682" w14:textId="77777777" w:rsidR="00090683" w:rsidRDefault="00090683" w:rsidP="00090683">
      <w:pPr>
        <w:pStyle w:val="Introduction"/>
        <w:rPr>
          <w:lang w:eastAsia="en-AU"/>
        </w:rPr>
      </w:pPr>
      <w:r>
        <w:rPr>
          <w:lang w:eastAsia="en-AU"/>
        </w:rPr>
        <w:t>This chapter provides an analysis of the overall effectiveness of the HEPPP in improving the access, retention and success of people from low SES backgrounds in undergraduate courses.</w:t>
      </w:r>
    </w:p>
    <w:p w14:paraId="3D32843C" w14:textId="77777777" w:rsidR="00090683" w:rsidRDefault="00090683" w:rsidP="00090683">
      <w:pPr>
        <w:pStyle w:val="Heading2"/>
        <w:numPr>
          <w:ilvl w:val="1"/>
          <w:numId w:val="45"/>
        </w:numPr>
        <w:rPr>
          <w:lang w:eastAsia="en-AU"/>
        </w:rPr>
      </w:pPr>
      <w:bookmarkStart w:id="387" w:name="_Toc466657151"/>
      <w:r>
        <w:rPr>
          <w:lang w:eastAsia="en-AU"/>
        </w:rPr>
        <w:t>Overview of analysis</w:t>
      </w:r>
      <w:bookmarkEnd w:id="387"/>
    </w:p>
    <w:p w14:paraId="5607D5AD" w14:textId="77777777" w:rsidR="00090683" w:rsidRDefault="00090683" w:rsidP="00090683">
      <w:pPr>
        <w:pStyle w:val="BodyText"/>
      </w:pPr>
      <w:r>
        <w:rPr>
          <w:lang w:eastAsia="en-AU"/>
        </w:rPr>
        <w:t xml:space="preserve">The </w:t>
      </w:r>
      <w:r>
        <w:t xml:space="preserve">HEPPP is expected to have an impact on applications to university, offers, commencements, enrolments, retention, success, and completions (refer the HEPPP Guidelines). These issues are examined in this chapter through both trend and econometric analysis. The analyses provide some insight into the impact of the HEPPP on higher education participation and student outcomes, but there are limitations (refer Section 1.2). </w:t>
      </w:r>
    </w:p>
    <w:p w14:paraId="059D2C90" w14:textId="77777777" w:rsidR="00090683" w:rsidRDefault="00090683" w:rsidP="00090683">
      <w:pPr>
        <w:pStyle w:val="BodyText"/>
      </w:pPr>
      <w:r>
        <w:t xml:space="preserve">The trend analysis is a before-after study which compares student outcome indicators before HEPPP and after up to five years of HEPPP implementation. The major limiting factor with before-after studies is that it is not possible to define a counterfactual, that is, what would have happened in the absence of the program (refer Section 1.2). </w:t>
      </w:r>
    </w:p>
    <w:p w14:paraId="79C33433" w14:textId="77777777" w:rsidR="00090683" w:rsidRDefault="00090683" w:rsidP="00090683">
      <w:pPr>
        <w:pStyle w:val="BodyText"/>
      </w:pPr>
      <w:r>
        <w:t>The econometric analysis attempts to estimate a counterfactual by using the 2005-2009 pre-HEPPP time period to control for meaningful changes in the student cohort between this period and the HEPPP period (2010-2015). The ability to control for differences between these two time periods is limited by the variables in the dataset being used—the Higher Education Student Data Collection does not capture many factors which could be driving differences between these two periods, such as other relevant government or university programs, general economic conditions, changing cohort characteristics that are not recorded in the dataset, or changing teaching methods</w:t>
      </w:r>
      <w:r>
        <w:rPr>
          <w:rStyle w:val="CommentReference"/>
        </w:rPr>
        <w:t xml:space="preserve">. </w:t>
      </w:r>
      <w:r>
        <w:t>Due to these data limitations, the econometric analysis cannot attribute changes in student outcomes between the pre</w:t>
      </w:r>
      <w:r>
        <w:noBreakHyphen/>
        <w:t xml:space="preserve">HEPPP and HEPPP time periods to the impact of the HEPPP. </w:t>
      </w:r>
    </w:p>
    <w:p w14:paraId="50B688F4" w14:textId="77777777" w:rsidR="00090683" w:rsidRDefault="00090683" w:rsidP="00090683">
      <w:pPr>
        <w:pStyle w:val="Heading4"/>
        <w:numPr>
          <w:ilvl w:val="3"/>
          <w:numId w:val="45"/>
        </w:numPr>
      </w:pPr>
      <w:r>
        <w:t xml:space="preserve">Details on the datasets </w:t>
      </w:r>
    </w:p>
    <w:p w14:paraId="05B0DF5F" w14:textId="77777777" w:rsidR="00090683" w:rsidRDefault="00090683" w:rsidP="00090683">
      <w:pPr>
        <w:pStyle w:val="BodyText"/>
      </w:pPr>
      <w:r>
        <w:t xml:space="preserve">The data presented in this chapter are taken from two datasets—Applications And Offers data which spans 2009-2016 and a selection of data from the Australian Government’s Higher Education Student Data Collection ranging from 2005-2015. </w:t>
      </w:r>
    </w:p>
    <w:p w14:paraId="6D75F41C" w14:textId="77777777" w:rsidR="00090683" w:rsidRDefault="00090683" w:rsidP="00090683">
      <w:pPr>
        <w:pStyle w:val="BodyText"/>
      </w:pPr>
      <w:r>
        <w:t>Data used in this chapter are for domestic onshore undergraduate enrolments, where undergraduate is defined as students undertaking the following qualifications: Bachelors graduate entry, Bachelors honours, Bachelors pass, Associate degree, Advanced diploma, Diploma and other undergraduate award courses.</w:t>
      </w:r>
    </w:p>
    <w:p w14:paraId="6122C3A4" w14:textId="77777777" w:rsidR="00090683" w:rsidRDefault="00090683" w:rsidP="00090683">
      <w:pPr>
        <w:pStyle w:val="BodyText"/>
      </w:pPr>
      <w:r>
        <w:t>Data are for Table A providers (as these providers are eligible for HEPPP funding). In the analysis presented in this chapter, SES is determined at the SA1 level</w:t>
      </w:r>
      <w:r>
        <w:rPr>
          <w:rStyle w:val="FootnoteReference"/>
        </w:rPr>
        <w:footnoteReference w:id="38"/>
      </w:r>
      <w:r>
        <w:t>, with the exception of the completions analysis in which SES is determined at the postcode level (due to the time period covered in this analysis).</w:t>
      </w:r>
    </w:p>
    <w:p w14:paraId="0DB852F5" w14:textId="77777777" w:rsidR="00090683" w:rsidRDefault="00090683" w:rsidP="00090683">
      <w:pPr>
        <w:pStyle w:val="BodyText"/>
      </w:pPr>
      <w:r>
        <w:t>From 2012 the Australian Government removed limits on the number of Commonwealth supported places for domestic bachelor degree students at public universities (excluding medical places) (refer Chapter 2). Although this demand driven funding system was fully implemented in 2012, it was preceded by a transition period where the previous 5 per cent over-enrolment cap increased to 10 per cent for 2010 and 2011.</w:t>
      </w:r>
    </w:p>
    <w:p w14:paraId="73533573" w14:textId="77777777" w:rsidR="00090683" w:rsidRDefault="00090683" w:rsidP="00090683">
      <w:pPr>
        <w:pStyle w:val="Heading2"/>
      </w:pPr>
      <w:bookmarkStart w:id="388" w:name="_Toc466657152"/>
      <w:r w:rsidRPr="00C81400">
        <w:t>Applications, offers and commencements</w:t>
      </w:r>
      <w:bookmarkEnd w:id="388"/>
    </w:p>
    <w:p w14:paraId="5A3682AC" w14:textId="77777777" w:rsidR="00090683" w:rsidRDefault="00090683" w:rsidP="00090683">
      <w:pPr>
        <w:pStyle w:val="ListBullet"/>
        <w:numPr>
          <w:ilvl w:val="0"/>
          <w:numId w:val="0"/>
        </w:numPr>
      </w:pPr>
      <w:bookmarkStart w:id="389" w:name="_Toc465932249"/>
      <w:bookmarkEnd w:id="389"/>
      <w:r>
        <w:t>Low SES applications to study at university have increased 20 per cent since the introduction of the HEPPP in 2010, with offers increasing at a faster pace, and commencements up more than 35 per cent to 2015 (</w:t>
      </w:r>
      <w:r w:rsidRPr="00AD49C8">
        <w:t>Figure 9.1</w:t>
      </w:r>
      <w:r>
        <w:t>). The increases observed in low SES applications, offers and commencements could be the result of many factors including the introduction of the DDS, increased interest in and preparedness for higher education among low SES students, or even an increased focus from universities on low SES students. All of these factors where raised in consultations for this evaluation, but it is not clear the extent to which each has contributed to the growth since 2010.</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5"/>
      </w:tblGrid>
      <w:tr w:rsidR="00090683" w14:paraId="48114C82" w14:textId="77777777" w:rsidTr="000B7E9A">
        <w:trPr>
          <w:cantSplit/>
          <w:trHeight w:val="160"/>
        </w:trPr>
        <w:tc>
          <w:tcPr>
            <w:tcW w:w="8175" w:type="dxa"/>
            <w:tcBorders>
              <w:top w:val="nil"/>
              <w:left w:val="nil"/>
              <w:bottom w:val="single" w:sz="4" w:space="0" w:color="auto"/>
              <w:right w:val="nil"/>
            </w:tcBorders>
          </w:tcPr>
          <w:p w14:paraId="783FF119" w14:textId="77777777" w:rsidR="00090683" w:rsidRDefault="00090683" w:rsidP="000B7E9A">
            <w:pPr>
              <w:pStyle w:val="spacer"/>
              <w:rPr>
                <w:lang w:val="en-US"/>
              </w:rPr>
            </w:pPr>
          </w:p>
        </w:tc>
      </w:tr>
      <w:tr w:rsidR="00090683" w14:paraId="530B549A" w14:textId="77777777" w:rsidTr="000B7E9A">
        <w:trPr>
          <w:cantSplit/>
        </w:trPr>
        <w:tc>
          <w:tcPr>
            <w:tcW w:w="8175" w:type="dxa"/>
            <w:tcBorders>
              <w:top w:val="single" w:sz="4" w:space="0" w:color="auto"/>
              <w:left w:val="nil"/>
              <w:bottom w:val="nil"/>
              <w:right w:val="nil"/>
            </w:tcBorders>
            <w:hideMark/>
          </w:tcPr>
          <w:p w14:paraId="5AB0FDF4" w14:textId="77777777" w:rsidR="00090683" w:rsidRDefault="00090683" w:rsidP="000B7E9A">
            <w:pPr>
              <w:pStyle w:val="Caption"/>
              <w:rPr>
                <w:lang w:val="en-US"/>
              </w:rPr>
            </w:pPr>
            <w:bookmarkStart w:id="390" w:name="_Ref466641498"/>
            <w:bookmarkStart w:id="391" w:name="_Toc462945919"/>
            <w:bookmarkStart w:id="392" w:name="_Toc463029860"/>
            <w:bookmarkStart w:id="393" w:name="_Toc466655689"/>
            <w:r>
              <w:rPr>
                <w:rStyle w:val="CaptionLabel"/>
                <w:lang w:val="en-US"/>
              </w:rPr>
              <w:t>Figure </w:t>
            </w:r>
            <w:r>
              <w:rPr>
                <w:rStyle w:val="CaptionLabel"/>
                <w:noProof/>
                <w:lang w:val="en-US"/>
              </w:rPr>
              <w:t>9</w:t>
            </w:r>
            <w:r>
              <w:rPr>
                <w:rStyle w:val="CaptionLabel"/>
                <w:lang w:val="en-US"/>
              </w:rPr>
              <w:t>.</w:t>
            </w:r>
            <w:r>
              <w:rPr>
                <w:rStyle w:val="CaptionLabel"/>
                <w:noProof/>
                <w:lang w:val="en-US"/>
              </w:rPr>
              <w:t>1</w:t>
            </w:r>
            <w:bookmarkEnd w:id="390"/>
            <w:r>
              <w:rPr>
                <w:lang w:val="en-US"/>
              </w:rPr>
              <w:tab/>
              <w:t>GROWTH in low SES APPLICATIONS, offers and commencements</w:t>
            </w:r>
            <w:bookmarkEnd w:id="391"/>
            <w:bookmarkEnd w:id="392"/>
            <w:bookmarkEnd w:id="393"/>
          </w:p>
        </w:tc>
      </w:tr>
      <w:tr w:rsidR="00090683" w14:paraId="0C401BD0" w14:textId="77777777" w:rsidTr="000B7E9A">
        <w:trPr>
          <w:cantSplit/>
          <w:trHeight w:val="380"/>
        </w:trPr>
        <w:tc>
          <w:tcPr>
            <w:tcW w:w="8175" w:type="dxa"/>
            <w:tcBorders>
              <w:top w:val="nil"/>
              <w:left w:val="nil"/>
              <w:bottom w:val="single" w:sz="4" w:space="0" w:color="auto"/>
              <w:right w:val="nil"/>
            </w:tcBorders>
            <w:hideMark/>
          </w:tcPr>
          <w:p w14:paraId="74B9856A"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86912" behindDoc="0" locked="1" layoutInCell="1" allowOverlap="1" wp14:anchorId="1D6FAD2A" wp14:editId="14ED2577">
                      <wp:simplePos x="0" y="0"/>
                      <wp:positionH relativeFrom="rightMargin">
                        <wp:posOffset>-772795</wp:posOffset>
                      </wp:positionH>
                      <wp:positionV relativeFrom="page">
                        <wp:posOffset>0</wp:posOffset>
                      </wp:positionV>
                      <wp:extent cx="436880" cy="213360"/>
                      <wp:effectExtent l="0" t="0" r="1270" b="0"/>
                      <wp:wrapNone/>
                      <wp:docPr id="898" name="Freeform 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7F13A6" id="Freeform 898" o:spid="_x0000_s1026" style="position:absolute;margin-left:-60.85pt;margin-top:0;width:34.4pt;height:16.8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iZEcy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137691A7" w14:textId="77777777" w:rsidTr="000B7E9A">
        <w:trPr>
          <w:cantSplit/>
        </w:trPr>
        <w:tc>
          <w:tcPr>
            <w:tcW w:w="8175" w:type="dxa"/>
            <w:tcBorders>
              <w:top w:val="single" w:sz="4" w:space="0" w:color="auto"/>
              <w:left w:val="nil"/>
              <w:bottom w:val="single" w:sz="4" w:space="0" w:color="auto"/>
              <w:right w:val="nil"/>
            </w:tcBorders>
            <w:tcMar>
              <w:top w:w="10" w:type="dxa"/>
              <w:left w:w="0" w:type="dxa"/>
              <w:bottom w:w="10" w:type="dxa"/>
              <w:right w:w="0" w:type="dxa"/>
            </w:tcMar>
            <w:hideMark/>
          </w:tcPr>
          <w:p w14:paraId="1277A80C" w14:textId="77777777" w:rsidR="00090683" w:rsidRDefault="00090683" w:rsidP="000B7E9A">
            <w:pPr>
              <w:pStyle w:val="Figure"/>
              <w:rPr>
                <w:lang w:val="en-US"/>
              </w:rPr>
            </w:pPr>
            <w:r>
              <w:rPr>
                <w:noProof/>
                <w:lang w:eastAsia="en-AU"/>
              </w:rPr>
              <w:drawing>
                <wp:inline distT="0" distB="0" distL="0" distR="0" wp14:anchorId="657B9558" wp14:editId="68C30CBC">
                  <wp:extent cx="5191125" cy="2209800"/>
                  <wp:effectExtent l="0" t="0" r="0" b="0"/>
                  <wp:docPr id="44"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14:paraId="14E06194" w14:textId="77777777" w:rsidTr="000B7E9A">
        <w:trPr>
          <w:cantSplit/>
        </w:trPr>
        <w:tc>
          <w:tcPr>
            <w:tcW w:w="8175" w:type="dxa"/>
            <w:tcBorders>
              <w:top w:val="single" w:sz="4" w:space="0" w:color="auto"/>
              <w:left w:val="nil"/>
              <w:bottom w:val="single" w:sz="4" w:space="0" w:color="auto"/>
              <w:right w:val="nil"/>
            </w:tcBorders>
            <w:tcMar>
              <w:top w:w="12" w:type="dxa"/>
              <w:left w:w="0" w:type="dxa"/>
              <w:bottom w:w="113" w:type="dxa"/>
              <w:right w:w="0" w:type="dxa"/>
            </w:tcMar>
            <w:hideMark/>
          </w:tcPr>
          <w:p w14:paraId="46BE7D79" w14:textId="77777777" w:rsidR="00090683" w:rsidRDefault="00090683" w:rsidP="000B7E9A">
            <w:pPr>
              <w:pStyle w:val="Source"/>
              <w:rPr>
                <w:lang w:val="en-US"/>
              </w:rPr>
            </w:pPr>
            <w:r>
              <w:rPr>
                <w:lang w:val="en-US"/>
              </w:rPr>
              <w:t>Source: Applications and offers dataset</w:t>
            </w:r>
          </w:p>
        </w:tc>
      </w:tr>
      <w:tr w:rsidR="00090683" w14:paraId="0ECE83C0" w14:textId="77777777" w:rsidTr="000B7E9A">
        <w:trPr>
          <w:trHeight w:val="160"/>
        </w:trPr>
        <w:tc>
          <w:tcPr>
            <w:tcW w:w="8175" w:type="dxa"/>
            <w:tcBorders>
              <w:top w:val="single" w:sz="4" w:space="0" w:color="auto"/>
              <w:left w:val="nil"/>
              <w:bottom w:val="nil"/>
              <w:right w:val="nil"/>
            </w:tcBorders>
          </w:tcPr>
          <w:p w14:paraId="7F0C1D57" w14:textId="77777777" w:rsidR="00090683" w:rsidRDefault="00090683" w:rsidP="000B7E9A">
            <w:pPr>
              <w:pStyle w:val="spacertbl"/>
              <w:rPr>
                <w:lang w:val="en-US"/>
              </w:rPr>
            </w:pPr>
          </w:p>
        </w:tc>
      </w:tr>
    </w:tbl>
    <w:p w14:paraId="23A11B04" w14:textId="77777777" w:rsidR="00090683" w:rsidRDefault="00090683" w:rsidP="00090683">
      <w:pPr>
        <w:pStyle w:val="ListBullet"/>
        <w:keepNext/>
        <w:numPr>
          <w:ilvl w:val="0"/>
          <w:numId w:val="0"/>
        </w:numPr>
        <w:spacing w:after="0"/>
      </w:pPr>
      <w:r>
        <w:t>Over the same time period, medium and high SES applications, offers and commencements have also grown, albeit at a slower rate than the low SES cohort (</w:t>
      </w:r>
      <w:r w:rsidRPr="00AD49C8">
        <w:t>Figure 9.2</w:t>
      </w:r>
      <w:r>
        <w:t xml:space="preserve">).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7D26ACAA" w14:textId="77777777" w:rsidTr="000B7E9A">
        <w:trPr>
          <w:cantSplit/>
          <w:trHeight w:val="160"/>
        </w:trPr>
        <w:tc>
          <w:tcPr>
            <w:tcW w:w="8168" w:type="dxa"/>
            <w:tcBorders>
              <w:top w:val="nil"/>
              <w:left w:val="nil"/>
              <w:bottom w:val="single" w:sz="4" w:space="0" w:color="auto"/>
              <w:right w:val="nil"/>
            </w:tcBorders>
          </w:tcPr>
          <w:p w14:paraId="7696401E" w14:textId="77777777" w:rsidR="00090683" w:rsidRDefault="00090683" w:rsidP="000B7E9A">
            <w:pPr>
              <w:pStyle w:val="spacer"/>
              <w:rPr>
                <w:lang w:val="en-US"/>
              </w:rPr>
            </w:pPr>
          </w:p>
        </w:tc>
      </w:tr>
      <w:tr w:rsidR="00090683" w14:paraId="5315E921" w14:textId="77777777" w:rsidTr="000B7E9A">
        <w:trPr>
          <w:cantSplit/>
        </w:trPr>
        <w:tc>
          <w:tcPr>
            <w:tcW w:w="8168" w:type="dxa"/>
            <w:tcBorders>
              <w:top w:val="single" w:sz="4" w:space="0" w:color="auto"/>
              <w:left w:val="nil"/>
              <w:bottom w:val="nil"/>
              <w:right w:val="nil"/>
            </w:tcBorders>
            <w:hideMark/>
          </w:tcPr>
          <w:p w14:paraId="4FBAFA01" w14:textId="77777777" w:rsidR="00090683" w:rsidRDefault="00090683" w:rsidP="000B7E9A">
            <w:pPr>
              <w:pStyle w:val="Caption"/>
              <w:rPr>
                <w:lang w:val="en-US"/>
              </w:rPr>
            </w:pPr>
            <w:bookmarkStart w:id="394" w:name="_Ref464558252"/>
            <w:bookmarkStart w:id="395" w:name="_Toc462945920"/>
            <w:bookmarkStart w:id="396" w:name="_Toc463029861"/>
            <w:bookmarkStart w:id="397" w:name="_Toc466655690"/>
            <w:r>
              <w:rPr>
                <w:rStyle w:val="CaptionLabel"/>
                <w:lang w:val="en-US"/>
              </w:rPr>
              <w:t>Figure </w:t>
            </w:r>
            <w:r>
              <w:rPr>
                <w:rStyle w:val="CaptionLabel"/>
                <w:noProof/>
                <w:lang w:val="en-US"/>
              </w:rPr>
              <w:t>9</w:t>
            </w:r>
            <w:r>
              <w:rPr>
                <w:rStyle w:val="CaptionLabel"/>
                <w:lang w:val="en-US"/>
              </w:rPr>
              <w:t>.</w:t>
            </w:r>
            <w:r>
              <w:rPr>
                <w:rStyle w:val="CaptionLabel"/>
                <w:noProof/>
                <w:lang w:val="en-US"/>
              </w:rPr>
              <w:t>2</w:t>
            </w:r>
            <w:bookmarkEnd w:id="394"/>
            <w:r>
              <w:rPr>
                <w:lang w:val="en-US"/>
              </w:rPr>
              <w:tab/>
              <w:t xml:space="preserve">Annual growth of applications, offers and commencements by ses, </w:t>
            </w:r>
            <w:bookmarkEnd w:id="395"/>
            <w:bookmarkEnd w:id="396"/>
            <w:r>
              <w:rPr>
                <w:lang w:val="en-US"/>
              </w:rPr>
              <w:t>2010-2015</w:t>
            </w:r>
            <w:bookmarkEnd w:id="397"/>
            <w:r>
              <w:rPr>
                <w:lang w:val="en-US"/>
              </w:rPr>
              <w:t xml:space="preserve"> </w:t>
            </w:r>
          </w:p>
        </w:tc>
      </w:tr>
      <w:tr w:rsidR="00090683" w14:paraId="571D8E3E" w14:textId="77777777" w:rsidTr="000B7E9A">
        <w:trPr>
          <w:cantSplit/>
          <w:trHeight w:val="380"/>
        </w:trPr>
        <w:tc>
          <w:tcPr>
            <w:tcW w:w="8168" w:type="dxa"/>
            <w:tcBorders>
              <w:top w:val="nil"/>
              <w:left w:val="nil"/>
              <w:bottom w:val="single" w:sz="4" w:space="0" w:color="auto"/>
              <w:right w:val="nil"/>
            </w:tcBorders>
            <w:hideMark/>
          </w:tcPr>
          <w:p w14:paraId="0A9D7EFE"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85888" behindDoc="0" locked="1" layoutInCell="1" allowOverlap="1" wp14:anchorId="6CA317F2" wp14:editId="1DCC8594">
                      <wp:simplePos x="0" y="0"/>
                      <wp:positionH relativeFrom="rightMargin">
                        <wp:posOffset>-772795</wp:posOffset>
                      </wp:positionH>
                      <wp:positionV relativeFrom="page">
                        <wp:posOffset>0</wp:posOffset>
                      </wp:positionV>
                      <wp:extent cx="436880" cy="213360"/>
                      <wp:effectExtent l="0" t="0" r="1270" b="0"/>
                      <wp:wrapNone/>
                      <wp:docPr id="897" name="Freeform 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7DF479" id="Freeform 897" o:spid="_x0000_s1026" style="position:absolute;margin-left:-60.85pt;margin-top:0;width:34.4pt;height:16.8pt;z-index:251685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SYMs6n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69794610"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23E6D4AA" w14:textId="77777777" w:rsidR="00090683" w:rsidRDefault="00090683" w:rsidP="000B7E9A">
            <w:pPr>
              <w:pStyle w:val="Figure"/>
              <w:rPr>
                <w:lang w:val="en-US"/>
              </w:rPr>
            </w:pPr>
            <w:r>
              <w:rPr>
                <w:noProof/>
                <w:lang w:eastAsia="en-AU"/>
              </w:rPr>
              <w:drawing>
                <wp:inline distT="0" distB="0" distL="0" distR="0" wp14:anchorId="29730F82" wp14:editId="4A2D4D37">
                  <wp:extent cx="5210175" cy="2152650"/>
                  <wp:effectExtent l="0" t="0" r="0" b="0"/>
                  <wp:docPr id="45"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10175" cy="2152650"/>
                          </a:xfrm>
                          <a:prstGeom prst="rect">
                            <a:avLst/>
                          </a:prstGeom>
                          <a:noFill/>
                          <a:ln>
                            <a:noFill/>
                          </a:ln>
                        </pic:spPr>
                      </pic:pic>
                    </a:graphicData>
                  </a:graphic>
                </wp:inline>
              </w:drawing>
            </w:r>
          </w:p>
        </w:tc>
      </w:tr>
      <w:tr w:rsidR="00090683" w14:paraId="0D552A38"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6C81B884" w14:textId="77777777" w:rsidR="00090683" w:rsidRDefault="00090683" w:rsidP="000B7E9A">
            <w:pPr>
              <w:pStyle w:val="Note"/>
              <w:rPr>
                <w:lang w:val="en-US"/>
              </w:rPr>
            </w:pPr>
            <w:r>
              <w:rPr>
                <w:lang w:val="en-US"/>
              </w:rPr>
              <w:t>Note: All students includes students whose socioeconomic status could not be determined. Annual growth is a compound annual growth rate from 2010 to 2015</w:t>
            </w:r>
          </w:p>
          <w:p w14:paraId="47907E96" w14:textId="77777777" w:rsidR="00090683" w:rsidRDefault="00090683" w:rsidP="000B7E9A">
            <w:pPr>
              <w:pStyle w:val="Source"/>
              <w:rPr>
                <w:lang w:val="en-US"/>
              </w:rPr>
            </w:pPr>
            <w:r>
              <w:rPr>
                <w:lang w:val="en-US"/>
              </w:rPr>
              <w:t>Source: Applications and offers dataset</w:t>
            </w:r>
          </w:p>
        </w:tc>
      </w:tr>
      <w:tr w:rsidR="00090683" w14:paraId="42D1AB6F" w14:textId="77777777" w:rsidTr="000B7E9A">
        <w:trPr>
          <w:trHeight w:val="160"/>
        </w:trPr>
        <w:tc>
          <w:tcPr>
            <w:tcW w:w="8168" w:type="dxa"/>
            <w:tcBorders>
              <w:top w:val="single" w:sz="4" w:space="0" w:color="auto"/>
              <w:left w:val="nil"/>
              <w:bottom w:val="nil"/>
              <w:right w:val="nil"/>
            </w:tcBorders>
          </w:tcPr>
          <w:p w14:paraId="17416523" w14:textId="77777777" w:rsidR="00090683" w:rsidRDefault="00090683" w:rsidP="000B7E9A">
            <w:pPr>
              <w:pStyle w:val="spacertbl"/>
              <w:rPr>
                <w:lang w:val="en-US"/>
              </w:rPr>
            </w:pPr>
          </w:p>
        </w:tc>
      </w:tr>
    </w:tbl>
    <w:p w14:paraId="00AA9240" w14:textId="77777777" w:rsidR="00090683" w:rsidRDefault="00090683" w:rsidP="00090683">
      <w:pPr>
        <w:pStyle w:val="BodyText"/>
      </w:pPr>
      <w:r>
        <w:t>The number of additional low SES applications, offers and commencements from 2010-2015 also exceeds that of the high SES cohort (</w:t>
      </w:r>
      <w:r w:rsidRPr="00AD49C8">
        <w:t>Figure 9.3</w:t>
      </w:r>
      <w:r>
        <w:t xml:space="preserve">). The medium SES group has seen greater number growth than low and high SES as it accounts for half of the population whereas low and high SES each account for 25 per cent respectively.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23F129DD" w14:textId="77777777" w:rsidTr="000B7E9A">
        <w:trPr>
          <w:cantSplit/>
          <w:trHeight w:val="160"/>
        </w:trPr>
        <w:tc>
          <w:tcPr>
            <w:tcW w:w="8168" w:type="dxa"/>
            <w:tcBorders>
              <w:top w:val="nil"/>
              <w:left w:val="nil"/>
              <w:bottom w:val="single" w:sz="4" w:space="0" w:color="auto"/>
              <w:right w:val="nil"/>
            </w:tcBorders>
          </w:tcPr>
          <w:p w14:paraId="2AB95B52" w14:textId="77777777" w:rsidR="00090683" w:rsidRDefault="00090683" w:rsidP="000B7E9A">
            <w:pPr>
              <w:pStyle w:val="spacer"/>
              <w:rPr>
                <w:lang w:val="en-US"/>
              </w:rPr>
            </w:pPr>
          </w:p>
        </w:tc>
      </w:tr>
      <w:tr w:rsidR="00090683" w14:paraId="2740013A" w14:textId="77777777" w:rsidTr="000B7E9A">
        <w:trPr>
          <w:cantSplit/>
        </w:trPr>
        <w:tc>
          <w:tcPr>
            <w:tcW w:w="8168" w:type="dxa"/>
            <w:tcBorders>
              <w:top w:val="single" w:sz="4" w:space="0" w:color="auto"/>
              <w:left w:val="nil"/>
              <w:bottom w:val="nil"/>
              <w:right w:val="nil"/>
            </w:tcBorders>
            <w:hideMark/>
          </w:tcPr>
          <w:p w14:paraId="75DFD6CA" w14:textId="77777777" w:rsidR="00090683" w:rsidRDefault="00090683" w:rsidP="000B7E9A">
            <w:pPr>
              <w:pStyle w:val="Caption"/>
              <w:rPr>
                <w:lang w:val="en-US"/>
              </w:rPr>
            </w:pPr>
            <w:bookmarkStart w:id="398" w:name="_Ref464558276"/>
            <w:bookmarkStart w:id="399" w:name="_Toc466655691"/>
            <w:r>
              <w:rPr>
                <w:rStyle w:val="CaptionLabel"/>
                <w:lang w:val="en-US"/>
              </w:rPr>
              <w:t>Figure </w:t>
            </w:r>
            <w:r>
              <w:rPr>
                <w:rStyle w:val="CaptionLabel"/>
                <w:noProof/>
                <w:lang w:val="en-US"/>
              </w:rPr>
              <w:t>9</w:t>
            </w:r>
            <w:r>
              <w:rPr>
                <w:rStyle w:val="CaptionLabel"/>
                <w:lang w:val="en-US"/>
              </w:rPr>
              <w:t>.</w:t>
            </w:r>
            <w:r>
              <w:rPr>
                <w:rStyle w:val="CaptionLabel"/>
                <w:noProof/>
                <w:lang w:val="en-US"/>
              </w:rPr>
              <w:t>3</w:t>
            </w:r>
            <w:bookmarkEnd w:id="398"/>
            <w:r>
              <w:rPr>
                <w:lang w:val="en-US"/>
              </w:rPr>
              <w:tab/>
              <w:t>growth of applications, offers and commencements by ses, 2010-2015</w:t>
            </w:r>
            <w:bookmarkEnd w:id="399"/>
          </w:p>
        </w:tc>
      </w:tr>
      <w:tr w:rsidR="00090683" w14:paraId="72FE8406" w14:textId="77777777" w:rsidTr="000B7E9A">
        <w:trPr>
          <w:cantSplit/>
          <w:trHeight w:val="380"/>
        </w:trPr>
        <w:tc>
          <w:tcPr>
            <w:tcW w:w="8168" w:type="dxa"/>
            <w:tcBorders>
              <w:top w:val="nil"/>
              <w:left w:val="nil"/>
              <w:bottom w:val="single" w:sz="4" w:space="0" w:color="auto"/>
              <w:right w:val="nil"/>
            </w:tcBorders>
            <w:hideMark/>
          </w:tcPr>
          <w:p w14:paraId="5D7BD746"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87936" behindDoc="0" locked="1" layoutInCell="1" allowOverlap="1" wp14:anchorId="6F4C3790" wp14:editId="46F817A3">
                      <wp:simplePos x="0" y="0"/>
                      <wp:positionH relativeFrom="rightMargin">
                        <wp:posOffset>-772795</wp:posOffset>
                      </wp:positionH>
                      <wp:positionV relativeFrom="page">
                        <wp:posOffset>0</wp:posOffset>
                      </wp:positionV>
                      <wp:extent cx="436880" cy="213360"/>
                      <wp:effectExtent l="0" t="0" r="1270" b="0"/>
                      <wp:wrapNone/>
                      <wp:docPr id="896" name="Freeform 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5A8825" id="Freeform 896" o:spid="_x0000_s1026" style="position:absolute;margin-left:-60.85pt;margin-top:0;width:34.4pt;height:16.8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GQJ2P1/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2BA43E37"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291BD417" w14:textId="77777777" w:rsidR="00090683" w:rsidRDefault="00090683" w:rsidP="000B7E9A">
            <w:pPr>
              <w:pStyle w:val="Figure"/>
              <w:rPr>
                <w:lang w:val="en-US"/>
              </w:rPr>
            </w:pPr>
            <w:r>
              <w:rPr>
                <w:noProof/>
                <w:lang w:eastAsia="en-AU"/>
              </w:rPr>
              <w:drawing>
                <wp:inline distT="0" distB="0" distL="0" distR="0" wp14:anchorId="47688027" wp14:editId="36AFAE31">
                  <wp:extent cx="5210175" cy="2171700"/>
                  <wp:effectExtent l="0" t="0" r="0" b="0"/>
                  <wp:docPr id="46"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10175" cy="2171700"/>
                          </a:xfrm>
                          <a:prstGeom prst="rect">
                            <a:avLst/>
                          </a:prstGeom>
                          <a:noFill/>
                          <a:ln>
                            <a:noFill/>
                          </a:ln>
                        </pic:spPr>
                      </pic:pic>
                    </a:graphicData>
                  </a:graphic>
                </wp:inline>
              </w:drawing>
            </w:r>
          </w:p>
        </w:tc>
      </w:tr>
      <w:tr w:rsidR="00090683" w14:paraId="5657285F"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56F37EDF" w14:textId="77777777" w:rsidR="00090683" w:rsidRDefault="00090683" w:rsidP="000B7E9A">
            <w:pPr>
              <w:pStyle w:val="Source"/>
              <w:rPr>
                <w:lang w:val="en-US"/>
              </w:rPr>
            </w:pPr>
            <w:r>
              <w:rPr>
                <w:lang w:val="en-US"/>
              </w:rPr>
              <w:t>Source: Applications and offers dataset</w:t>
            </w:r>
          </w:p>
        </w:tc>
      </w:tr>
      <w:tr w:rsidR="00090683" w14:paraId="7633FCF5" w14:textId="77777777" w:rsidTr="000B7E9A">
        <w:trPr>
          <w:trHeight w:val="160"/>
        </w:trPr>
        <w:tc>
          <w:tcPr>
            <w:tcW w:w="8168" w:type="dxa"/>
            <w:tcBorders>
              <w:top w:val="single" w:sz="4" w:space="0" w:color="auto"/>
              <w:left w:val="nil"/>
              <w:bottom w:val="nil"/>
              <w:right w:val="nil"/>
            </w:tcBorders>
          </w:tcPr>
          <w:p w14:paraId="68B4ABE9" w14:textId="77777777" w:rsidR="00090683" w:rsidRDefault="00090683" w:rsidP="000B7E9A">
            <w:pPr>
              <w:pStyle w:val="spacertbl"/>
              <w:rPr>
                <w:lang w:val="en-US"/>
              </w:rPr>
            </w:pPr>
          </w:p>
        </w:tc>
      </w:tr>
    </w:tbl>
    <w:p w14:paraId="437C31C0" w14:textId="77777777" w:rsidR="00090683" w:rsidRDefault="00090683" w:rsidP="00090683">
      <w:pPr>
        <w:pStyle w:val="ListBullet"/>
        <w:keepNext/>
        <w:keepLines/>
        <w:numPr>
          <w:ilvl w:val="0"/>
          <w:numId w:val="0"/>
        </w:numPr>
      </w:pPr>
      <w:r>
        <w:t>The greater pace of growth in low SES individuals applying to, being offered a place at and commencing at university has increased the share of applications, offers and commencements that are low SES (</w:t>
      </w:r>
      <w:r w:rsidRPr="00AD49C8">
        <w:t>Figure 9.4</w:t>
      </w:r>
      <w:r>
        <w:t>). Since 2010, the low SES share of applications has increased 1 percentage point while the share of commencements has increased 1.4 percentage points. The share of low SES offers has increased by 1.2 percentage points.</w:t>
      </w:r>
      <w:r>
        <w:rPr>
          <w:rStyle w:val="FootnoteReference"/>
        </w:rPr>
        <w:footnoteReference w:id="39"/>
      </w:r>
      <w:r>
        <w:t xml:space="preserve">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5F7DD1B4" w14:textId="77777777" w:rsidTr="000B7E9A">
        <w:trPr>
          <w:cantSplit/>
          <w:trHeight w:val="160"/>
        </w:trPr>
        <w:tc>
          <w:tcPr>
            <w:tcW w:w="8168" w:type="dxa"/>
            <w:tcBorders>
              <w:top w:val="nil"/>
              <w:left w:val="nil"/>
              <w:bottom w:val="single" w:sz="4" w:space="0" w:color="auto"/>
              <w:right w:val="nil"/>
            </w:tcBorders>
          </w:tcPr>
          <w:p w14:paraId="0E8D5836" w14:textId="77777777" w:rsidR="00090683" w:rsidRDefault="00090683" w:rsidP="000B7E9A">
            <w:pPr>
              <w:pStyle w:val="spacer"/>
              <w:rPr>
                <w:lang w:val="en-US"/>
              </w:rPr>
            </w:pPr>
          </w:p>
        </w:tc>
      </w:tr>
      <w:tr w:rsidR="00090683" w14:paraId="2F261B66" w14:textId="77777777" w:rsidTr="000B7E9A">
        <w:trPr>
          <w:cantSplit/>
        </w:trPr>
        <w:tc>
          <w:tcPr>
            <w:tcW w:w="8168" w:type="dxa"/>
            <w:tcBorders>
              <w:top w:val="single" w:sz="4" w:space="0" w:color="auto"/>
              <w:left w:val="nil"/>
              <w:bottom w:val="nil"/>
              <w:right w:val="nil"/>
            </w:tcBorders>
            <w:hideMark/>
          </w:tcPr>
          <w:p w14:paraId="78E2C82B" w14:textId="77777777" w:rsidR="00090683" w:rsidRDefault="00090683" w:rsidP="000B7E9A">
            <w:pPr>
              <w:pStyle w:val="Caption"/>
              <w:rPr>
                <w:lang w:val="en-US"/>
              </w:rPr>
            </w:pPr>
            <w:bookmarkStart w:id="400" w:name="_Ref466641557"/>
            <w:bookmarkStart w:id="401" w:name="_Toc462945921"/>
            <w:bookmarkStart w:id="402" w:name="_Toc463029862"/>
            <w:bookmarkStart w:id="403" w:name="_Toc466655692"/>
            <w:r>
              <w:rPr>
                <w:rStyle w:val="CaptionLabel"/>
                <w:lang w:val="en-US"/>
              </w:rPr>
              <w:t>Figure </w:t>
            </w:r>
            <w:r>
              <w:rPr>
                <w:rStyle w:val="CaptionLabel"/>
                <w:noProof/>
                <w:lang w:val="en-US"/>
              </w:rPr>
              <w:t>9</w:t>
            </w:r>
            <w:r>
              <w:rPr>
                <w:rStyle w:val="CaptionLabel"/>
                <w:lang w:val="en-US"/>
              </w:rPr>
              <w:t>.</w:t>
            </w:r>
            <w:r>
              <w:rPr>
                <w:rStyle w:val="CaptionLabel"/>
                <w:noProof/>
                <w:lang w:val="en-US"/>
              </w:rPr>
              <w:t>4</w:t>
            </w:r>
            <w:bookmarkEnd w:id="400"/>
            <w:r>
              <w:rPr>
                <w:lang w:val="en-US"/>
              </w:rPr>
              <w:tab/>
              <w:t>share of APPLICATIONS, offers and commencements that are low SES</w:t>
            </w:r>
            <w:bookmarkEnd w:id="401"/>
            <w:bookmarkEnd w:id="402"/>
            <w:r>
              <w:rPr>
                <w:lang w:val="en-US"/>
              </w:rPr>
              <w:t>, 2009-2015</w:t>
            </w:r>
            <w:bookmarkEnd w:id="403"/>
          </w:p>
        </w:tc>
      </w:tr>
      <w:tr w:rsidR="00090683" w14:paraId="6B034A3E" w14:textId="77777777" w:rsidTr="000B7E9A">
        <w:trPr>
          <w:cantSplit/>
          <w:trHeight w:val="380"/>
        </w:trPr>
        <w:tc>
          <w:tcPr>
            <w:tcW w:w="8168" w:type="dxa"/>
            <w:tcBorders>
              <w:top w:val="nil"/>
              <w:left w:val="nil"/>
              <w:bottom w:val="single" w:sz="4" w:space="0" w:color="auto"/>
              <w:right w:val="nil"/>
            </w:tcBorders>
            <w:hideMark/>
          </w:tcPr>
          <w:p w14:paraId="63F5E29B"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88960" behindDoc="0" locked="1" layoutInCell="1" allowOverlap="1" wp14:anchorId="7003DA8F" wp14:editId="0CBA6FCF">
                      <wp:simplePos x="0" y="0"/>
                      <wp:positionH relativeFrom="rightMargin">
                        <wp:posOffset>-772795</wp:posOffset>
                      </wp:positionH>
                      <wp:positionV relativeFrom="page">
                        <wp:posOffset>0</wp:posOffset>
                      </wp:positionV>
                      <wp:extent cx="436880" cy="213360"/>
                      <wp:effectExtent l="0" t="0" r="1270" b="0"/>
                      <wp:wrapNone/>
                      <wp:docPr id="895" name="Freeform 8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48BF16" id="Freeform 895" o:spid="_x0000_s1026" style="position:absolute;margin-left:-60.85pt;margin-top:0;width:34.4pt;height:16.8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69E4F3C8"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784428FA" w14:textId="77777777" w:rsidR="00090683" w:rsidRDefault="00090683" w:rsidP="000B7E9A">
            <w:pPr>
              <w:pStyle w:val="Figure"/>
              <w:keepLines/>
              <w:rPr>
                <w:lang w:val="en-US"/>
              </w:rPr>
            </w:pPr>
            <w:r>
              <w:rPr>
                <w:noProof/>
                <w:lang w:eastAsia="en-AU"/>
              </w:rPr>
              <w:drawing>
                <wp:inline distT="0" distB="0" distL="0" distR="0" wp14:anchorId="00F84B57" wp14:editId="67602227">
                  <wp:extent cx="5191125" cy="2190750"/>
                  <wp:effectExtent l="0" t="0" r="0" b="0"/>
                  <wp:docPr id="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91125" cy="2190750"/>
                          </a:xfrm>
                          <a:prstGeom prst="rect">
                            <a:avLst/>
                          </a:prstGeom>
                          <a:noFill/>
                          <a:ln>
                            <a:noFill/>
                          </a:ln>
                        </pic:spPr>
                      </pic:pic>
                    </a:graphicData>
                  </a:graphic>
                </wp:inline>
              </w:drawing>
            </w:r>
          </w:p>
        </w:tc>
      </w:tr>
      <w:tr w:rsidR="00090683" w14:paraId="51230ADB"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0F692E54" w14:textId="77777777" w:rsidR="00090683" w:rsidRDefault="00090683" w:rsidP="000B7E9A">
            <w:pPr>
              <w:pStyle w:val="Source"/>
              <w:rPr>
                <w:lang w:val="en-US"/>
              </w:rPr>
            </w:pPr>
            <w:r>
              <w:rPr>
                <w:lang w:val="en-US"/>
              </w:rPr>
              <w:t>Source: Applications and offers dataset</w:t>
            </w:r>
          </w:p>
        </w:tc>
      </w:tr>
      <w:tr w:rsidR="00090683" w14:paraId="4BB20B73" w14:textId="77777777" w:rsidTr="000B7E9A">
        <w:trPr>
          <w:trHeight w:val="160"/>
        </w:trPr>
        <w:tc>
          <w:tcPr>
            <w:tcW w:w="8168" w:type="dxa"/>
            <w:tcBorders>
              <w:top w:val="single" w:sz="4" w:space="0" w:color="auto"/>
              <w:left w:val="nil"/>
              <w:bottom w:val="nil"/>
              <w:right w:val="nil"/>
            </w:tcBorders>
          </w:tcPr>
          <w:p w14:paraId="48645231" w14:textId="77777777" w:rsidR="00090683" w:rsidRDefault="00090683" w:rsidP="000B7E9A">
            <w:pPr>
              <w:pStyle w:val="spacertbl"/>
              <w:rPr>
                <w:lang w:val="en-US"/>
              </w:rPr>
            </w:pPr>
          </w:p>
        </w:tc>
      </w:tr>
    </w:tbl>
    <w:p w14:paraId="086E18F7" w14:textId="77777777" w:rsidR="00090683" w:rsidRDefault="00090683" w:rsidP="00090683">
      <w:pPr>
        <w:pStyle w:val="ListBullet"/>
        <w:numPr>
          <w:ilvl w:val="0"/>
          <w:numId w:val="0"/>
        </w:numPr>
      </w:pPr>
      <w:r>
        <w:t>The percentage of low SES individuals receiving an offer after applying to study has trended up since 2010, as has the proportion commencing after receiving an offer, although this fell slightly in 2014 and 2015 (</w:t>
      </w:r>
      <w:r w:rsidRPr="00AD49C8">
        <w:t>Figure 9.5</w:t>
      </w:r>
      <w:r>
        <w:t xml:space="preserve">). As discussed at the start of this chapter, it is not clear from the Higher Education Student Data Collection what is driving these trends.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2D516097" w14:textId="77777777" w:rsidTr="000B7E9A">
        <w:trPr>
          <w:cantSplit/>
          <w:trHeight w:val="160"/>
        </w:trPr>
        <w:tc>
          <w:tcPr>
            <w:tcW w:w="8168" w:type="dxa"/>
            <w:tcBorders>
              <w:top w:val="nil"/>
              <w:left w:val="nil"/>
              <w:bottom w:val="single" w:sz="4" w:space="0" w:color="auto"/>
              <w:right w:val="nil"/>
            </w:tcBorders>
          </w:tcPr>
          <w:p w14:paraId="02C07B93" w14:textId="77777777" w:rsidR="00090683" w:rsidRDefault="00090683" w:rsidP="000B7E9A">
            <w:pPr>
              <w:pStyle w:val="spacer"/>
              <w:rPr>
                <w:lang w:val="en-US"/>
              </w:rPr>
            </w:pPr>
          </w:p>
        </w:tc>
      </w:tr>
      <w:tr w:rsidR="00090683" w14:paraId="7FAF9817" w14:textId="77777777" w:rsidTr="000B7E9A">
        <w:trPr>
          <w:cantSplit/>
        </w:trPr>
        <w:tc>
          <w:tcPr>
            <w:tcW w:w="8168" w:type="dxa"/>
            <w:tcBorders>
              <w:top w:val="single" w:sz="4" w:space="0" w:color="auto"/>
              <w:left w:val="nil"/>
              <w:bottom w:val="nil"/>
              <w:right w:val="nil"/>
            </w:tcBorders>
            <w:hideMark/>
          </w:tcPr>
          <w:p w14:paraId="25F33E73" w14:textId="77777777" w:rsidR="00090683" w:rsidRDefault="00090683" w:rsidP="000B7E9A">
            <w:pPr>
              <w:pStyle w:val="Caption"/>
              <w:rPr>
                <w:lang w:val="en-US"/>
              </w:rPr>
            </w:pPr>
            <w:bookmarkStart w:id="404" w:name="_Ref466641543"/>
            <w:bookmarkStart w:id="405" w:name="_Toc462945922"/>
            <w:bookmarkStart w:id="406" w:name="_Toc463029863"/>
            <w:bookmarkStart w:id="407" w:name="_Toc466655693"/>
            <w:r>
              <w:rPr>
                <w:rStyle w:val="CaptionLabel"/>
                <w:lang w:val="en-US"/>
              </w:rPr>
              <w:t>Figure </w:t>
            </w:r>
            <w:r>
              <w:rPr>
                <w:rStyle w:val="CaptionLabel"/>
                <w:noProof/>
                <w:lang w:val="en-US"/>
              </w:rPr>
              <w:t>9</w:t>
            </w:r>
            <w:r>
              <w:rPr>
                <w:rStyle w:val="CaptionLabel"/>
                <w:lang w:val="en-US"/>
              </w:rPr>
              <w:t>.</w:t>
            </w:r>
            <w:r>
              <w:rPr>
                <w:rStyle w:val="CaptionLabel"/>
                <w:noProof/>
                <w:lang w:val="en-US"/>
              </w:rPr>
              <w:t>5</w:t>
            </w:r>
            <w:bookmarkEnd w:id="404"/>
            <w:r>
              <w:rPr>
                <w:lang w:val="en-US"/>
              </w:rPr>
              <w:tab/>
              <w:t>Percentage of Low SES Offers from Applications and Commencements from Offers</w:t>
            </w:r>
            <w:bookmarkEnd w:id="405"/>
            <w:bookmarkEnd w:id="406"/>
            <w:r>
              <w:rPr>
                <w:lang w:val="en-US"/>
              </w:rPr>
              <w:t>, 2010-2015</w:t>
            </w:r>
            <w:bookmarkEnd w:id="407"/>
          </w:p>
        </w:tc>
      </w:tr>
      <w:tr w:rsidR="00090683" w14:paraId="2E8DF125" w14:textId="77777777" w:rsidTr="000B7E9A">
        <w:trPr>
          <w:cantSplit/>
          <w:trHeight w:val="380"/>
        </w:trPr>
        <w:tc>
          <w:tcPr>
            <w:tcW w:w="8168" w:type="dxa"/>
            <w:tcBorders>
              <w:top w:val="nil"/>
              <w:left w:val="nil"/>
              <w:bottom w:val="single" w:sz="4" w:space="0" w:color="auto"/>
              <w:right w:val="nil"/>
            </w:tcBorders>
            <w:hideMark/>
          </w:tcPr>
          <w:p w14:paraId="0E6AB427"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89984" behindDoc="0" locked="1" layoutInCell="1" allowOverlap="1" wp14:anchorId="4BB2AFD9" wp14:editId="6E0B16B8">
                      <wp:simplePos x="0" y="0"/>
                      <wp:positionH relativeFrom="rightMargin">
                        <wp:posOffset>-772795</wp:posOffset>
                      </wp:positionH>
                      <wp:positionV relativeFrom="page">
                        <wp:posOffset>0</wp:posOffset>
                      </wp:positionV>
                      <wp:extent cx="436880" cy="213360"/>
                      <wp:effectExtent l="0" t="0" r="1270" b="0"/>
                      <wp:wrapNone/>
                      <wp:docPr id="894" name="Freeform 8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7F02D" id="Freeform 894" o:spid="_x0000_s1026" style="position:absolute;margin-left:-60.85pt;margin-top:0;width:34.4pt;height:16.8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D4dMdJ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4FCDCC3D"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1668DC08" w14:textId="77777777" w:rsidR="00090683" w:rsidRDefault="00090683" w:rsidP="000B7E9A">
            <w:pPr>
              <w:pStyle w:val="Figure"/>
              <w:rPr>
                <w:lang w:val="en-US"/>
              </w:rPr>
            </w:pPr>
            <w:r>
              <w:rPr>
                <w:noProof/>
                <w:lang w:eastAsia="en-AU"/>
              </w:rPr>
              <w:drawing>
                <wp:inline distT="0" distB="0" distL="0" distR="0" wp14:anchorId="2064F88F" wp14:editId="3A7387E8">
                  <wp:extent cx="5191125" cy="2124075"/>
                  <wp:effectExtent l="0" t="0" r="0" b="0"/>
                  <wp:docPr id="48"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91125" cy="2124075"/>
                          </a:xfrm>
                          <a:prstGeom prst="rect">
                            <a:avLst/>
                          </a:prstGeom>
                          <a:noFill/>
                          <a:ln>
                            <a:noFill/>
                          </a:ln>
                        </pic:spPr>
                      </pic:pic>
                    </a:graphicData>
                  </a:graphic>
                </wp:inline>
              </w:drawing>
            </w:r>
          </w:p>
        </w:tc>
      </w:tr>
      <w:tr w:rsidR="00090683" w14:paraId="01512ACA"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252115E1" w14:textId="77777777" w:rsidR="00090683" w:rsidRDefault="00090683" w:rsidP="000B7E9A">
            <w:pPr>
              <w:pStyle w:val="Source"/>
              <w:rPr>
                <w:lang w:val="en-US"/>
              </w:rPr>
            </w:pPr>
            <w:r>
              <w:rPr>
                <w:lang w:val="en-US"/>
              </w:rPr>
              <w:t>Source: Applications and offers dataset</w:t>
            </w:r>
          </w:p>
        </w:tc>
      </w:tr>
      <w:tr w:rsidR="00090683" w14:paraId="24BD8273" w14:textId="77777777" w:rsidTr="000B7E9A">
        <w:trPr>
          <w:trHeight w:val="160"/>
        </w:trPr>
        <w:tc>
          <w:tcPr>
            <w:tcW w:w="8168" w:type="dxa"/>
            <w:tcBorders>
              <w:top w:val="single" w:sz="4" w:space="0" w:color="auto"/>
              <w:left w:val="nil"/>
              <w:bottom w:val="nil"/>
              <w:right w:val="nil"/>
            </w:tcBorders>
          </w:tcPr>
          <w:p w14:paraId="21E336E4" w14:textId="77777777" w:rsidR="00090683" w:rsidRDefault="00090683" w:rsidP="000B7E9A">
            <w:pPr>
              <w:pStyle w:val="spacertbl"/>
              <w:rPr>
                <w:lang w:val="en-US"/>
              </w:rPr>
            </w:pPr>
          </w:p>
        </w:tc>
      </w:tr>
    </w:tbl>
    <w:p w14:paraId="15424EE8" w14:textId="77777777" w:rsidR="00090683" w:rsidRDefault="00090683" w:rsidP="00090683">
      <w:pPr>
        <w:pStyle w:val="Heading2"/>
        <w:numPr>
          <w:ilvl w:val="1"/>
          <w:numId w:val="45"/>
        </w:numPr>
      </w:pPr>
      <w:bookmarkStart w:id="408" w:name="_Toc465932251"/>
      <w:bookmarkStart w:id="409" w:name="_Toc462945891"/>
      <w:bookmarkStart w:id="410" w:name="_Toc466657153"/>
      <w:r>
        <w:t>Basis of admission</w:t>
      </w:r>
      <w:bookmarkEnd w:id="408"/>
      <w:bookmarkEnd w:id="409"/>
      <w:bookmarkEnd w:id="410"/>
    </w:p>
    <w:p w14:paraId="2BD9E34D" w14:textId="77777777" w:rsidR="00090683" w:rsidRDefault="00090683" w:rsidP="00090683">
      <w:pPr>
        <w:pStyle w:val="BodyText"/>
      </w:pPr>
      <w:r>
        <w:t>HEPPP Partnership activities may facilitate alternative pathways to university (refer the HEPPP Guidelines, and Chapters 2 and 5). Alternative pathways are important for low SES individuals, with pathways other than school entry and prior higher education entry accounting for 40 per cent of low SES enrolments, compared with 22 per cent for high SES students (</w:t>
      </w:r>
      <w:r w:rsidRPr="00AD49C8">
        <w:t>Figure 9.6</w:t>
      </w:r>
      <w:r>
        <w:t xml:space="preserve">). This could be the result of low SES students having an older age profile than medium and high SES enrolments (31 per cent of low SES enrolments are 25 or older, compared with 26 and 21 per cent for medium and high SES enrolments, respectively) and thus more likely to be considered on a basis other than secondary education.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36913FC3" w14:textId="77777777" w:rsidTr="000B7E9A">
        <w:trPr>
          <w:cantSplit/>
          <w:trHeight w:val="160"/>
        </w:trPr>
        <w:tc>
          <w:tcPr>
            <w:tcW w:w="8168" w:type="dxa"/>
            <w:tcBorders>
              <w:top w:val="nil"/>
              <w:left w:val="nil"/>
              <w:bottom w:val="single" w:sz="4" w:space="0" w:color="auto"/>
              <w:right w:val="nil"/>
            </w:tcBorders>
          </w:tcPr>
          <w:p w14:paraId="60F1C7F7" w14:textId="77777777" w:rsidR="00090683" w:rsidRDefault="00090683" w:rsidP="000B7E9A">
            <w:pPr>
              <w:pStyle w:val="spacer"/>
              <w:rPr>
                <w:lang w:val="en-US"/>
              </w:rPr>
            </w:pPr>
          </w:p>
        </w:tc>
      </w:tr>
      <w:tr w:rsidR="00090683" w14:paraId="49D1A69A" w14:textId="77777777" w:rsidTr="000B7E9A">
        <w:trPr>
          <w:cantSplit/>
        </w:trPr>
        <w:tc>
          <w:tcPr>
            <w:tcW w:w="8168" w:type="dxa"/>
            <w:tcBorders>
              <w:top w:val="single" w:sz="4" w:space="0" w:color="auto"/>
              <w:left w:val="nil"/>
              <w:bottom w:val="nil"/>
              <w:right w:val="nil"/>
            </w:tcBorders>
            <w:hideMark/>
          </w:tcPr>
          <w:p w14:paraId="7D47E2B8" w14:textId="77777777" w:rsidR="00090683" w:rsidRDefault="00090683" w:rsidP="000B7E9A">
            <w:pPr>
              <w:pStyle w:val="Caption"/>
              <w:rPr>
                <w:lang w:val="en-US"/>
              </w:rPr>
            </w:pPr>
            <w:bookmarkStart w:id="411" w:name="_Ref464491684"/>
            <w:bookmarkStart w:id="412" w:name="_Toc462945923"/>
            <w:bookmarkStart w:id="413" w:name="_Toc463029864"/>
            <w:bookmarkStart w:id="414" w:name="_Toc466655694"/>
            <w:r>
              <w:rPr>
                <w:rStyle w:val="CaptionLabel"/>
                <w:lang w:val="en-US"/>
              </w:rPr>
              <w:t>Figure </w:t>
            </w:r>
            <w:r>
              <w:rPr>
                <w:rStyle w:val="CaptionLabel"/>
                <w:noProof/>
                <w:lang w:val="en-US"/>
              </w:rPr>
              <w:t>9</w:t>
            </w:r>
            <w:r>
              <w:rPr>
                <w:rStyle w:val="CaptionLabel"/>
                <w:lang w:val="en-US"/>
              </w:rPr>
              <w:t>.</w:t>
            </w:r>
            <w:r>
              <w:rPr>
                <w:rStyle w:val="CaptionLabel"/>
                <w:noProof/>
                <w:lang w:val="en-US"/>
              </w:rPr>
              <w:t>6</w:t>
            </w:r>
            <w:bookmarkEnd w:id="411"/>
            <w:r>
              <w:rPr>
                <w:lang w:val="en-US"/>
              </w:rPr>
              <w:tab/>
              <w:t>2015 enrolments by basis of admission by ses</w:t>
            </w:r>
            <w:bookmarkEnd w:id="412"/>
            <w:bookmarkEnd w:id="413"/>
            <w:bookmarkEnd w:id="414"/>
          </w:p>
        </w:tc>
      </w:tr>
      <w:tr w:rsidR="00090683" w14:paraId="64869491" w14:textId="77777777" w:rsidTr="000B7E9A">
        <w:trPr>
          <w:cantSplit/>
          <w:trHeight w:val="380"/>
        </w:trPr>
        <w:tc>
          <w:tcPr>
            <w:tcW w:w="8168" w:type="dxa"/>
            <w:tcBorders>
              <w:top w:val="nil"/>
              <w:left w:val="nil"/>
              <w:bottom w:val="single" w:sz="4" w:space="0" w:color="auto"/>
              <w:right w:val="nil"/>
            </w:tcBorders>
            <w:hideMark/>
          </w:tcPr>
          <w:p w14:paraId="0AF1423B"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94080" behindDoc="0" locked="1" layoutInCell="1" allowOverlap="1" wp14:anchorId="0A5D558C" wp14:editId="7D319AE1">
                      <wp:simplePos x="0" y="0"/>
                      <wp:positionH relativeFrom="rightMargin">
                        <wp:posOffset>-772795</wp:posOffset>
                      </wp:positionH>
                      <wp:positionV relativeFrom="page">
                        <wp:posOffset>0</wp:posOffset>
                      </wp:positionV>
                      <wp:extent cx="436880" cy="213360"/>
                      <wp:effectExtent l="0" t="0" r="1270" b="0"/>
                      <wp:wrapNone/>
                      <wp:docPr id="893" name="Freeform 8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88870D" id="Freeform 893" o:spid="_x0000_s1026" style="position:absolute;margin-left:-60.85pt;margin-top:0;width:34.4pt;height:16.8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P2r/rV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51E65FF7"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19FE754A" w14:textId="77777777" w:rsidR="00090683" w:rsidRDefault="00090683" w:rsidP="000B7E9A">
            <w:pPr>
              <w:pStyle w:val="Figure"/>
              <w:keepLines/>
              <w:rPr>
                <w:lang w:val="en-US"/>
              </w:rPr>
            </w:pPr>
            <w:r>
              <w:rPr>
                <w:noProof/>
                <w:lang w:eastAsia="en-AU"/>
              </w:rPr>
              <w:drawing>
                <wp:inline distT="0" distB="0" distL="0" distR="0" wp14:anchorId="6E82CD45" wp14:editId="730FB481">
                  <wp:extent cx="5153025" cy="2209800"/>
                  <wp:effectExtent l="0" t="0" r="0" b="0"/>
                  <wp:docPr id="49"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53025" cy="2209800"/>
                          </a:xfrm>
                          <a:prstGeom prst="rect">
                            <a:avLst/>
                          </a:prstGeom>
                          <a:noFill/>
                          <a:ln>
                            <a:noFill/>
                          </a:ln>
                        </pic:spPr>
                      </pic:pic>
                    </a:graphicData>
                  </a:graphic>
                </wp:inline>
              </w:drawing>
            </w:r>
          </w:p>
        </w:tc>
      </w:tr>
      <w:tr w:rsidR="00090683" w14:paraId="2490640B"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0DFC5688" w14:textId="77777777" w:rsidR="00090683" w:rsidRDefault="00090683" w:rsidP="000B7E9A">
            <w:pPr>
              <w:pStyle w:val="Source"/>
              <w:keepLines/>
              <w:rPr>
                <w:lang w:val="en-US"/>
              </w:rPr>
            </w:pPr>
            <w:r w:rsidRPr="00AD49C8">
              <w:rPr>
                <w:lang w:val="en-US"/>
              </w:rPr>
              <w:t>Source: HIGHER EDUCATION STUDENT DATA COLLECTION</w:t>
            </w:r>
          </w:p>
        </w:tc>
      </w:tr>
      <w:tr w:rsidR="00090683" w14:paraId="7DF13347" w14:textId="77777777" w:rsidTr="000B7E9A">
        <w:trPr>
          <w:trHeight w:val="160"/>
        </w:trPr>
        <w:tc>
          <w:tcPr>
            <w:tcW w:w="8168" w:type="dxa"/>
            <w:tcBorders>
              <w:top w:val="single" w:sz="4" w:space="0" w:color="auto"/>
              <w:left w:val="nil"/>
              <w:bottom w:val="nil"/>
              <w:right w:val="nil"/>
            </w:tcBorders>
          </w:tcPr>
          <w:p w14:paraId="525ABC28" w14:textId="77777777" w:rsidR="00090683" w:rsidRDefault="00090683" w:rsidP="000B7E9A">
            <w:pPr>
              <w:pStyle w:val="spacertbl"/>
              <w:rPr>
                <w:lang w:val="en-US"/>
              </w:rPr>
            </w:pPr>
          </w:p>
        </w:tc>
      </w:tr>
    </w:tbl>
    <w:p w14:paraId="29492873" w14:textId="77777777" w:rsidR="00090683" w:rsidRDefault="00090683" w:rsidP="00090683">
      <w:pPr>
        <w:pStyle w:val="BodyText"/>
      </w:pPr>
      <w:r>
        <w:t>Over time, ‘other basis’ and ‘higher education course’ pathways have become more important as entry into university for low SES individuals, with all other pathways either stable or showing a slight decline as a share of low SES admissions (</w:t>
      </w:r>
      <w:r w:rsidRPr="00AD49C8">
        <w:t>Figure 9.7</w:t>
      </w:r>
      <w:r>
        <w:t xml:space="preserve">).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2EEF61AE" w14:textId="77777777" w:rsidTr="000B7E9A">
        <w:trPr>
          <w:cantSplit/>
          <w:trHeight w:val="160"/>
        </w:trPr>
        <w:tc>
          <w:tcPr>
            <w:tcW w:w="8168" w:type="dxa"/>
            <w:tcBorders>
              <w:top w:val="nil"/>
              <w:left w:val="nil"/>
              <w:bottom w:val="single" w:sz="4" w:space="0" w:color="auto"/>
              <w:right w:val="nil"/>
            </w:tcBorders>
          </w:tcPr>
          <w:p w14:paraId="76A18EC7" w14:textId="77777777" w:rsidR="00090683" w:rsidRDefault="00090683" w:rsidP="000B7E9A">
            <w:pPr>
              <w:pStyle w:val="spacer"/>
              <w:rPr>
                <w:lang w:val="en-US"/>
              </w:rPr>
            </w:pPr>
          </w:p>
        </w:tc>
      </w:tr>
      <w:tr w:rsidR="00090683" w14:paraId="2EACB78A" w14:textId="77777777" w:rsidTr="000B7E9A">
        <w:trPr>
          <w:cantSplit/>
        </w:trPr>
        <w:tc>
          <w:tcPr>
            <w:tcW w:w="8168" w:type="dxa"/>
            <w:tcBorders>
              <w:top w:val="single" w:sz="4" w:space="0" w:color="auto"/>
              <w:left w:val="nil"/>
              <w:bottom w:val="nil"/>
              <w:right w:val="nil"/>
            </w:tcBorders>
            <w:hideMark/>
          </w:tcPr>
          <w:p w14:paraId="30830D94" w14:textId="77777777" w:rsidR="00090683" w:rsidRDefault="00090683" w:rsidP="000B7E9A">
            <w:pPr>
              <w:pStyle w:val="Caption"/>
              <w:rPr>
                <w:lang w:val="en-US"/>
              </w:rPr>
            </w:pPr>
            <w:bookmarkStart w:id="415" w:name="_Ref466641672"/>
            <w:bookmarkStart w:id="416" w:name="_Toc462945924"/>
            <w:bookmarkStart w:id="417" w:name="_Toc463029865"/>
            <w:bookmarkStart w:id="418" w:name="_Toc466655695"/>
            <w:r>
              <w:rPr>
                <w:rStyle w:val="CaptionLabel"/>
                <w:lang w:val="en-US"/>
              </w:rPr>
              <w:t>Figure </w:t>
            </w:r>
            <w:r>
              <w:rPr>
                <w:rStyle w:val="CaptionLabel"/>
                <w:noProof/>
                <w:lang w:val="en-US"/>
              </w:rPr>
              <w:t>9</w:t>
            </w:r>
            <w:r>
              <w:rPr>
                <w:rStyle w:val="CaptionLabel"/>
                <w:lang w:val="en-US"/>
              </w:rPr>
              <w:t>.</w:t>
            </w:r>
            <w:r>
              <w:rPr>
                <w:rStyle w:val="CaptionLabel"/>
                <w:noProof/>
                <w:lang w:val="en-US"/>
              </w:rPr>
              <w:t>7</w:t>
            </w:r>
            <w:bookmarkEnd w:id="415"/>
            <w:r>
              <w:rPr>
                <w:lang w:val="en-US"/>
              </w:rPr>
              <w:tab/>
              <w:t>Share of basis of admission for low ses enrolments, 2006-2015</w:t>
            </w:r>
            <w:bookmarkEnd w:id="416"/>
            <w:bookmarkEnd w:id="417"/>
            <w:bookmarkEnd w:id="418"/>
          </w:p>
        </w:tc>
      </w:tr>
      <w:tr w:rsidR="00090683" w14:paraId="210728CE" w14:textId="77777777" w:rsidTr="000B7E9A">
        <w:trPr>
          <w:cantSplit/>
          <w:trHeight w:val="380"/>
        </w:trPr>
        <w:tc>
          <w:tcPr>
            <w:tcW w:w="8168" w:type="dxa"/>
            <w:tcBorders>
              <w:top w:val="nil"/>
              <w:left w:val="nil"/>
              <w:bottom w:val="single" w:sz="4" w:space="0" w:color="auto"/>
              <w:right w:val="nil"/>
            </w:tcBorders>
            <w:hideMark/>
          </w:tcPr>
          <w:p w14:paraId="3309FBA1"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93056" behindDoc="0" locked="1" layoutInCell="1" allowOverlap="1" wp14:anchorId="31B8C220" wp14:editId="3C8CA1FD">
                      <wp:simplePos x="0" y="0"/>
                      <wp:positionH relativeFrom="rightMargin">
                        <wp:posOffset>-772795</wp:posOffset>
                      </wp:positionH>
                      <wp:positionV relativeFrom="page">
                        <wp:posOffset>0</wp:posOffset>
                      </wp:positionV>
                      <wp:extent cx="436880" cy="213360"/>
                      <wp:effectExtent l="0" t="0" r="1270" b="0"/>
                      <wp:wrapNone/>
                      <wp:docPr id="892" name="Freeform 8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476CB8" id="Freeform 892" o:spid="_x0000_s1026" style="position:absolute;margin-left:-60.85pt;margin-top:0;width:34.4pt;height:16.8pt;z-index:251693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NAhCqJ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03B61E99" w14:textId="77777777" w:rsidTr="000B7E9A">
        <w:trPr>
          <w:cantSplit/>
        </w:trPr>
        <w:tc>
          <w:tcPr>
            <w:tcW w:w="8168" w:type="dxa"/>
            <w:tcBorders>
              <w:top w:val="single" w:sz="4" w:space="0" w:color="auto"/>
              <w:left w:val="nil"/>
              <w:bottom w:val="single" w:sz="4" w:space="0" w:color="auto"/>
              <w:right w:val="nil"/>
            </w:tcBorders>
            <w:tcMar>
              <w:top w:w="0" w:type="dxa"/>
              <w:left w:w="108" w:type="dxa"/>
              <w:bottom w:w="0" w:type="dxa"/>
              <w:right w:w="108" w:type="dxa"/>
            </w:tcMar>
            <w:hideMark/>
          </w:tcPr>
          <w:p w14:paraId="2AB52E18" w14:textId="77777777" w:rsidR="00090683" w:rsidRDefault="00090683" w:rsidP="000B7E9A">
            <w:pPr>
              <w:pStyle w:val="Figure"/>
              <w:rPr>
                <w:lang w:val="en-US"/>
              </w:rPr>
            </w:pPr>
            <w:r>
              <w:rPr>
                <w:noProof/>
                <w:lang w:eastAsia="en-AU"/>
              </w:rPr>
              <w:drawing>
                <wp:inline distT="0" distB="0" distL="0" distR="0" wp14:anchorId="3DC3103D" wp14:editId="7A2F3AC0">
                  <wp:extent cx="5048250" cy="2190750"/>
                  <wp:effectExtent l="0" t="0" r="0" b="0"/>
                  <wp:docPr id="50"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8250" cy="2190750"/>
                          </a:xfrm>
                          <a:prstGeom prst="rect">
                            <a:avLst/>
                          </a:prstGeom>
                          <a:noFill/>
                          <a:ln>
                            <a:noFill/>
                          </a:ln>
                        </pic:spPr>
                      </pic:pic>
                    </a:graphicData>
                  </a:graphic>
                </wp:inline>
              </w:drawing>
            </w:r>
          </w:p>
        </w:tc>
      </w:tr>
      <w:tr w:rsidR="00090683" w14:paraId="7EE7F4B1"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7CC078D1" w14:textId="77777777" w:rsidR="00090683" w:rsidRDefault="00090683" w:rsidP="000B7E9A">
            <w:pPr>
              <w:pStyle w:val="Source"/>
              <w:rPr>
                <w:lang w:val="en-US"/>
              </w:rPr>
            </w:pPr>
            <w:r>
              <w:rPr>
                <w:lang w:val="en-US"/>
              </w:rPr>
              <w:t>Source: HIGHER EDUCATION STUDENT DATA COLLECTION</w:t>
            </w:r>
          </w:p>
        </w:tc>
      </w:tr>
      <w:tr w:rsidR="00090683" w14:paraId="422D1071" w14:textId="77777777" w:rsidTr="000B7E9A">
        <w:trPr>
          <w:trHeight w:val="160"/>
        </w:trPr>
        <w:tc>
          <w:tcPr>
            <w:tcW w:w="8168" w:type="dxa"/>
            <w:tcBorders>
              <w:top w:val="single" w:sz="4" w:space="0" w:color="auto"/>
              <w:left w:val="nil"/>
              <w:bottom w:val="nil"/>
              <w:right w:val="nil"/>
            </w:tcBorders>
          </w:tcPr>
          <w:p w14:paraId="23A3136D" w14:textId="77777777" w:rsidR="00090683" w:rsidRDefault="00090683" w:rsidP="000B7E9A">
            <w:pPr>
              <w:pStyle w:val="spacertbl"/>
              <w:rPr>
                <w:lang w:val="en-US"/>
              </w:rPr>
            </w:pPr>
          </w:p>
        </w:tc>
      </w:tr>
    </w:tbl>
    <w:p w14:paraId="55DCA2B4" w14:textId="77777777" w:rsidR="00090683" w:rsidRDefault="00090683" w:rsidP="00090683">
      <w:pPr>
        <w:pStyle w:val="Heading2"/>
        <w:numPr>
          <w:ilvl w:val="1"/>
          <w:numId w:val="45"/>
        </w:numPr>
      </w:pPr>
      <w:bookmarkStart w:id="419" w:name="_Toc465932252"/>
      <w:bookmarkStart w:id="420" w:name="_Toc462945892"/>
      <w:bookmarkStart w:id="421" w:name="_Toc466657154"/>
      <w:r>
        <w:t>Enrolments</w:t>
      </w:r>
      <w:bookmarkEnd w:id="419"/>
      <w:bookmarkEnd w:id="420"/>
      <w:bookmarkEnd w:id="421"/>
    </w:p>
    <w:p w14:paraId="0C5AC390" w14:textId="77777777" w:rsidR="00090683" w:rsidRPr="003C2A62" w:rsidRDefault="00090683" w:rsidP="00090683">
      <w:pPr>
        <w:pStyle w:val="BodyText"/>
      </w:pPr>
      <w:r>
        <w:t xml:space="preserve">The increase in low SES commencements discussed in Section 9.1 has been accompanied by an </w:t>
      </w:r>
      <w:r w:rsidRPr="003C2A62">
        <w:t xml:space="preserve">increase in low SES enrolments, rising from 86,400 in 2010 to 115,164 in 2015 (an increase of 33 per cent). While overall enrolments have also been growing strongly, the share of enrolments that are low </w:t>
      </w:r>
      <w:r w:rsidRPr="003C2A62">
        <w:rPr>
          <w:caps/>
        </w:rPr>
        <w:t xml:space="preserve">SES </w:t>
      </w:r>
      <w:r w:rsidRPr="003C2A62">
        <w:t xml:space="preserve">has increased from 14.8 per cent in 2010 to 16.1 per cent in 2015 </w:t>
      </w:r>
      <w:r>
        <w:t>(</w:t>
      </w:r>
      <w:r w:rsidRPr="00AD49C8">
        <w:t>Figure 9.8</w:t>
      </w:r>
      <w:r>
        <w:t>)</w:t>
      </w:r>
      <w:r w:rsidRPr="003C2A62">
        <w:rPr>
          <w:caps/>
        </w:rPr>
        <w:t>.</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3EE7629E" w14:textId="77777777" w:rsidTr="000B7E9A">
        <w:trPr>
          <w:cantSplit/>
          <w:trHeight w:val="160"/>
        </w:trPr>
        <w:tc>
          <w:tcPr>
            <w:tcW w:w="8168" w:type="dxa"/>
            <w:tcBorders>
              <w:top w:val="nil"/>
              <w:left w:val="nil"/>
              <w:bottom w:val="single" w:sz="4" w:space="0" w:color="auto"/>
              <w:right w:val="nil"/>
            </w:tcBorders>
          </w:tcPr>
          <w:p w14:paraId="110D1B92" w14:textId="77777777" w:rsidR="00090683" w:rsidRDefault="00090683" w:rsidP="000B7E9A">
            <w:pPr>
              <w:pStyle w:val="spacer"/>
              <w:rPr>
                <w:lang w:val="en-US"/>
              </w:rPr>
            </w:pPr>
          </w:p>
        </w:tc>
      </w:tr>
      <w:tr w:rsidR="00090683" w14:paraId="36292CD4" w14:textId="77777777" w:rsidTr="000B7E9A">
        <w:trPr>
          <w:cantSplit/>
        </w:trPr>
        <w:tc>
          <w:tcPr>
            <w:tcW w:w="8168" w:type="dxa"/>
            <w:tcBorders>
              <w:top w:val="single" w:sz="4" w:space="0" w:color="auto"/>
              <w:left w:val="nil"/>
              <w:bottom w:val="nil"/>
              <w:right w:val="nil"/>
            </w:tcBorders>
            <w:hideMark/>
          </w:tcPr>
          <w:p w14:paraId="4DBF122D" w14:textId="77777777" w:rsidR="00090683" w:rsidRDefault="00090683" w:rsidP="000B7E9A">
            <w:pPr>
              <w:pStyle w:val="Caption"/>
              <w:rPr>
                <w:lang w:val="en-US"/>
              </w:rPr>
            </w:pPr>
            <w:bookmarkStart w:id="422" w:name="_Ref464491765"/>
            <w:bookmarkStart w:id="423" w:name="_Toc462945925"/>
            <w:bookmarkStart w:id="424" w:name="_Toc463029866"/>
            <w:bookmarkStart w:id="425" w:name="_Toc466655696"/>
            <w:r>
              <w:rPr>
                <w:rStyle w:val="CaptionLabel"/>
                <w:lang w:val="en-US"/>
              </w:rPr>
              <w:t>Figure </w:t>
            </w:r>
            <w:r>
              <w:rPr>
                <w:rStyle w:val="CaptionLabel"/>
                <w:noProof/>
                <w:lang w:val="en-US"/>
              </w:rPr>
              <w:t>9</w:t>
            </w:r>
            <w:r>
              <w:rPr>
                <w:rStyle w:val="CaptionLabel"/>
                <w:lang w:val="en-US"/>
              </w:rPr>
              <w:t>.</w:t>
            </w:r>
            <w:r>
              <w:rPr>
                <w:rStyle w:val="CaptionLabel"/>
                <w:noProof/>
                <w:lang w:val="en-US"/>
              </w:rPr>
              <w:t>8</w:t>
            </w:r>
            <w:bookmarkEnd w:id="422"/>
            <w:r>
              <w:rPr>
                <w:lang w:val="en-US"/>
              </w:rPr>
              <w:tab/>
              <w:t>Enrolments by SES, 2006-2015</w:t>
            </w:r>
            <w:bookmarkEnd w:id="423"/>
            <w:bookmarkEnd w:id="424"/>
            <w:bookmarkEnd w:id="425"/>
          </w:p>
        </w:tc>
      </w:tr>
      <w:tr w:rsidR="00090683" w14:paraId="573C9109" w14:textId="77777777" w:rsidTr="000B7E9A">
        <w:trPr>
          <w:cantSplit/>
          <w:trHeight w:val="380"/>
        </w:trPr>
        <w:tc>
          <w:tcPr>
            <w:tcW w:w="8168" w:type="dxa"/>
            <w:tcBorders>
              <w:top w:val="nil"/>
              <w:left w:val="nil"/>
              <w:bottom w:val="single" w:sz="4" w:space="0" w:color="auto"/>
              <w:right w:val="nil"/>
            </w:tcBorders>
            <w:hideMark/>
          </w:tcPr>
          <w:p w14:paraId="64A98ABE"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91008" behindDoc="0" locked="1" layoutInCell="1" allowOverlap="1" wp14:anchorId="282876FE" wp14:editId="00EDE1C6">
                      <wp:simplePos x="0" y="0"/>
                      <wp:positionH relativeFrom="rightMargin">
                        <wp:posOffset>-772795</wp:posOffset>
                      </wp:positionH>
                      <wp:positionV relativeFrom="page">
                        <wp:posOffset>0</wp:posOffset>
                      </wp:positionV>
                      <wp:extent cx="436880" cy="213360"/>
                      <wp:effectExtent l="0" t="0" r="1270" b="0"/>
                      <wp:wrapNone/>
                      <wp:docPr id="891" name="Freeform 8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F2A1FE" id="Freeform 891" o:spid="_x0000_s1026" style="position:absolute;margin-left:-60.85pt;margin-top:0;width:34.4pt;height:16.8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p78Xmn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6FE1FE48"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4994E355" w14:textId="77777777" w:rsidR="00090683" w:rsidRDefault="00090683" w:rsidP="000B7E9A">
            <w:pPr>
              <w:pStyle w:val="Figure"/>
              <w:keepLines/>
              <w:rPr>
                <w:lang w:val="en-US"/>
              </w:rPr>
            </w:pPr>
            <w:r>
              <w:rPr>
                <w:noProof/>
                <w:lang w:eastAsia="en-AU"/>
              </w:rPr>
              <w:drawing>
                <wp:inline distT="0" distB="0" distL="0" distR="0" wp14:anchorId="77328BA0" wp14:editId="40FB0C85">
                  <wp:extent cx="5124450" cy="2152650"/>
                  <wp:effectExtent l="0" t="0" r="0" b="0"/>
                  <wp:docPr id="51"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24450" cy="2152650"/>
                          </a:xfrm>
                          <a:prstGeom prst="rect">
                            <a:avLst/>
                          </a:prstGeom>
                          <a:noFill/>
                          <a:ln>
                            <a:noFill/>
                          </a:ln>
                        </pic:spPr>
                      </pic:pic>
                    </a:graphicData>
                  </a:graphic>
                </wp:inline>
              </w:drawing>
            </w:r>
          </w:p>
        </w:tc>
      </w:tr>
      <w:tr w:rsidR="00090683" w14:paraId="2A10F4DE"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4BE4F828" w14:textId="77777777" w:rsidR="00090683" w:rsidRDefault="00090683" w:rsidP="000B7E9A">
            <w:pPr>
              <w:pStyle w:val="Note"/>
              <w:rPr>
                <w:lang w:val="en-US"/>
              </w:rPr>
            </w:pPr>
            <w:r w:rsidRPr="00AD49C8">
              <w:rPr>
                <w:i/>
                <w:caps/>
                <w:lang w:val="en-US"/>
              </w:rPr>
              <w:t>Source: HIGHER EDUCATION STUDENT DATA COLLECTION</w:t>
            </w:r>
          </w:p>
        </w:tc>
      </w:tr>
      <w:tr w:rsidR="00090683" w14:paraId="68F93BE7" w14:textId="77777777" w:rsidTr="000B7E9A">
        <w:trPr>
          <w:trHeight w:val="160"/>
        </w:trPr>
        <w:tc>
          <w:tcPr>
            <w:tcW w:w="8168" w:type="dxa"/>
            <w:tcBorders>
              <w:top w:val="single" w:sz="4" w:space="0" w:color="auto"/>
              <w:left w:val="nil"/>
              <w:bottom w:val="nil"/>
              <w:right w:val="nil"/>
            </w:tcBorders>
          </w:tcPr>
          <w:p w14:paraId="678EB66C" w14:textId="77777777" w:rsidR="00090683" w:rsidRDefault="00090683" w:rsidP="000B7E9A">
            <w:pPr>
              <w:pStyle w:val="spacertbl"/>
              <w:rPr>
                <w:lang w:val="en-US"/>
              </w:rPr>
            </w:pPr>
          </w:p>
        </w:tc>
      </w:tr>
    </w:tbl>
    <w:p w14:paraId="3C7BF19F" w14:textId="77777777" w:rsidR="00090683" w:rsidRDefault="00090683" w:rsidP="00090683">
      <w:pPr>
        <w:pStyle w:val="ListBullet"/>
        <w:numPr>
          <w:ilvl w:val="0"/>
          <w:numId w:val="0"/>
        </w:numPr>
      </w:pPr>
      <w:r>
        <w:t>Growth in low SES enrolments has been higher than growth in medium and high SES enrolments for most years since the introduction of the HEPPP and the DDS. Although the strong growth seen in 2011-2013 appears to have softened (</w:t>
      </w:r>
      <w:r w:rsidRPr="00AD49C8">
        <w:t>Figure 9.9</w:t>
      </w:r>
      <w:r>
        <w:t>)—it is unclear at this stage why this is the case, although some higher education peak bodies argue that the initial surge of ‘unmet demand’ for a university education uncovered by the DDS is levelling off (Dodd 2016</w:t>
      </w:r>
      <w:r w:rsidRPr="00AD49C8">
        <w:t>)</w:t>
      </w:r>
      <w:r>
        <w:t>.</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3719EF57" w14:textId="77777777" w:rsidTr="000B7E9A">
        <w:trPr>
          <w:cantSplit/>
          <w:trHeight w:val="160"/>
        </w:trPr>
        <w:tc>
          <w:tcPr>
            <w:tcW w:w="8168" w:type="dxa"/>
            <w:tcBorders>
              <w:top w:val="nil"/>
              <w:left w:val="nil"/>
              <w:bottom w:val="single" w:sz="4" w:space="0" w:color="auto"/>
              <w:right w:val="nil"/>
            </w:tcBorders>
          </w:tcPr>
          <w:p w14:paraId="79F13F65" w14:textId="77777777" w:rsidR="00090683" w:rsidRDefault="00090683" w:rsidP="000B7E9A">
            <w:pPr>
              <w:pStyle w:val="spacer"/>
              <w:rPr>
                <w:lang w:val="en-US"/>
              </w:rPr>
            </w:pPr>
          </w:p>
        </w:tc>
      </w:tr>
      <w:tr w:rsidR="00090683" w14:paraId="05B37D55" w14:textId="77777777" w:rsidTr="000B7E9A">
        <w:trPr>
          <w:cantSplit/>
        </w:trPr>
        <w:tc>
          <w:tcPr>
            <w:tcW w:w="8168" w:type="dxa"/>
            <w:tcBorders>
              <w:top w:val="single" w:sz="4" w:space="0" w:color="auto"/>
              <w:left w:val="nil"/>
              <w:bottom w:val="nil"/>
              <w:right w:val="nil"/>
            </w:tcBorders>
            <w:hideMark/>
          </w:tcPr>
          <w:p w14:paraId="78FFBAF0" w14:textId="77777777" w:rsidR="00090683" w:rsidRDefault="00090683" w:rsidP="000B7E9A">
            <w:pPr>
              <w:pStyle w:val="Caption"/>
              <w:rPr>
                <w:lang w:val="en-US"/>
              </w:rPr>
            </w:pPr>
            <w:bookmarkStart w:id="426" w:name="_Ref464492076"/>
            <w:bookmarkStart w:id="427" w:name="_Toc462945926"/>
            <w:bookmarkStart w:id="428" w:name="_Toc463029867"/>
            <w:bookmarkStart w:id="429" w:name="_Toc466655697"/>
            <w:r>
              <w:rPr>
                <w:rStyle w:val="CaptionLabel"/>
                <w:lang w:val="en-US"/>
              </w:rPr>
              <w:t>Figure </w:t>
            </w:r>
            <w:r>
              <w:rPr>
                <w:rStyle w:val="CaptionLabel"/>
                <w:noProof/>
                <w:lang w:val="en-US"/>
              </w:rPr>
              <w:t>9</w:t>
            </w:r>
            <w:r>
              <w:rPr>
                <w:rStyle w:val="CaptionLabel"/>
                <w:lang w:val="en-US"/>
              </w:rPr>
              <w:t>.</w:t>
            </w:r>
            <w:r>
              <w:rPr>
                <w:rStyle w:val="CaptionLabel"/>
                <w:noProof/>
                <w:lang w:val="en-US"/>
              </w:rPr>
              <w:t>9</w:t>
            </w:r>
            <w:bookmarkEnd w:id="426"/>
            <w:r>
              <w:rPr>
                <w:lang w:val="en-US"/>
              </w:rPr>
              <w:tab/>
              <w:t>Year to year growth of enrolments by SES status, 2007-2015</w:t>
            </w:r>
            <w:bookmarkEnd w:id="427"/>
            <w:bookmarkEnd w:id="428"/>
            <w:bookmarkEnd w:id="429"/>
          </w:p>
        </w:tc>
      </w:tr>
      <w:tr w:rsidR="00090683" w14:paraId="779367BB" w14:textId="77777777" w:rsidTr="000B7E9A">
        <w:trPr>
          <w:cantSplit/>
          <w:trHeight w:val="380"/>
        </w:trPr>
        <w:tc>
          <w:tcPr>
            <w:tcW w:w="8168" w:type="dxa"/>
            <w:tcBorders>
              <w:top w:val="nil"/>
              <w:left w:val="nil"/>
              <w:bottom w:val="single" w:sz="4" w:space="0" w:color="auto"/>
              <w:right w:val="nil"/>
            </w:tcBorders>
            <w:hideMark/>
          </w:tcPr>
          <w:p w14:paraId="51DBC7F8"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92032" behindDoc="0" locked="1" layoutInCell="1" allowOverlap="1" wp14:anchorId="0F20B237" wp14:editId="7A1C2EDE">
                      <wp:simplePos x="0" y="0"/>
                      <wp:positionH relativeFrom="rightMargin">
                        <wp:posOffset>-772795</wp:posOffset>
                      </wp:positionH>
                      <wp:positionV relativeFrom="page">
                        <wp:posOffset>0</wp:posOffset>
                      </wp:positionV>
                      <wp:extent cx="436880" cy="213360"/>
                      <wp:effectExtent l="0" t="0" r="1270" b="0"/>
                      <wp:wrapNone/>
                      <wp:docPr id="890" name="Freeform 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886B39" id="Freeform 890" o:spid="_x0000_s1026" style="position:absolute;margin-left:-60.85pt;margin-top:0;width:34.4pt;height:16.8pt;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ijXjjX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1E1FE36A"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6CFF6DB0" w14:textId="77777777" w:rsidR="00090683" w:rsidRDefault="00090683" w:rsidP="000B7E9A">
            <w:pPr>
              <w:pStyle w:val="Figure"/>
              <w:rPr>
                <w:lang w:val="en-US"/>
              </w:rPr>
            </w:pPr>
            <w:r>
              <w:rPr>
                <w:noProof/>
                <w:lang w:eastAsia="en-AU"/>
              </w:rPr>
              <w:drawing>
                <wp:inline distT="0" distB="0" distL="0" distR="0" wp14:anchorId="62DFE348" wp14:editId="263EFD2D">
                  <wp:extent cx="5124450" cy="2152650"/>
                  <wp:effectExtent l="0" t="0" r="0" b="0"/>
                  <wp:docPr id="5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24450" cy="2152650"/>
                          </a:xfrm>
                          <a:prstGeom prst="rect">
                            <a:avLst/>
                          </a:prstGeom>
                          <a:noFill/>
                          <a:ln>
                            <a:noFill/>
                          </a:ln>
                        </pic:spPr>
                      </pic:pic>
                    </a:graphicData>
                  </a:graphic>
                </wp:inline>
              </w:drawing>
            </w:r>
          </w:p>
        </w:tc>
      </w:tr>
      <w:tr w:rsidR="00090683" w14:paraId="41F9A9B8"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48641154" w14:textId="77777777" w:rsidR="00090683" w:rsidRDefault="00090683" w:rsidP="000B7E9A">
            <w:pPr>
              <w:pStyle w:val="Source"/>
              <w:rPr>
                <w:lang w:val="en-US"/>
              </w:rPr>
            </w:pPr>
            <w:r w:rsidRPr="00AD49C8">
              <w:rPr>
                <w:lang w:val="en-US"/>
              </w:rPr>
              <w:t>Source: HIGHER EDUCATION STUDENT DATA COLLECTION</w:t>
            </w:r>
          </w:p>
        </w:tc>
      </w:tr>
      <w:tr w:rsidR="00090683" w14:paraId="2D448849" w14:textId="77777777" w:rsidTr="000B7E9A">
        <w:trPr>
          <w:trHeight w:val="160"/>
        </w:trPr>
        <w:tc>
          <w:tcPr>
            <w:tcW w:w="8168" w:type="dxa"/>
            <w:tcBorders>
              <w:top w:val="single" w:sz="4" w:space="0" w:color="auto"/>
              <w:left w:val="nil"/>
              <w:bottom w:val="nil"/>
              <w:right w:val="nil"/>
            </w:tcBorders>
          </w:tcPr>
          <w:p w14:paraId="21F0C865" w14:textId="77777777" w:rsidR="00090683" w:rsidRDefault="00090683" w:rsidP="000B7E9A">
            <w:pPr>
              <w:pStyle w:val="spacertbl"/>
              <w:rPr>
                <w:lang w:val="en-US"/>
              </w:rPr>
            </w:pPr>
          </w:p>
        </w:tc>
      </w:tr>
    </w:tbl>
    <w:p w14:paraId="392D17D6" w14:textId="77777777" w:rsidR="00090683" w:rsidRDefault="00090683" w:rsidP="00090683">
      <w:pPr>
        <w:pStyle w:val="ListBullet"/>
        <w:keepNext/>
        <w:keepLines/>
        <w:numPr>
          <w:ilvl w:val="0"/>
          <w:numId w:val="0"/>
        </w:numPr>
      </w:pPr>
      <w:r>
        <w:t>Overall, there has been an increase of low SES students of more than 28,000 between 2010 and 2015, a greater increase than that of high SES students (25,000) (</w:t>
      </w:r>
      <w:r w:rsidRPr="00AD49C8">
        <w:t>Figure 9.10</w:t>
      </w:r>
      <w:r>
        <w:t xml:space="preserve">). The large increase in the number of low SES enrolments represents a considerable increase in the accessibility of university to this cohort.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79C495CF" w14:textId="77777777" w:rsidTr="000B7E9A">
        <w:trPr>
          <w:cantSplit/>
          <w:trHeight w:val="160"/>
        </w:trPr>
        <w:tc>
          <w:tcPr>
            <w:tcW w:w="8168" w:type="dxa"/>
            <w:tcBorders>
              <w:top w:val="nil"/>
              <w:left w:val="nil"/>
              <w:bottom w:val="single" w:sz="4" w:space="0" w:color="auto"/>
              <w:right w:val="nil"/>
            </w:tcBorders>
          </w:tcPr>
          <w:p w14:paraId="11F832E1" w14:textId="77777777" w:rsidR="00090683" w:rsidRDefault="00090683" w:rsidP="000B7E9A">
            <w:pPr>
              <w:pStyle w:val="spacer"/>
              <w:rPr>
                <w:lang w:val="en-US"/>
              </w:rPr>
            </w:pPr>
          </w:p>
        </w:tc>
      </w:tr>
      <w:tr w:rsidR="00090683" w14:paraId="6C939F55" w14:textId="77777777" w:rsidTr="000B7E9A">
        <w:trPr>
          <w:cantSplit/>
        </w:trPr>
        <w:tc>
          <w:tcPr>
            <w:tcW w:w="8168" w:type="dxa"/>
            <w:tcBorders>
              <w:top w:val="single" w:sz="4" w:space="0" w:color="auto"/>
              <w:left w:val="nil"/>
              <w:bottom w:val="nil"/>
              <w:right w:val="nil"/>
            </w:tcBorders>
            <w:hideMark/>
          </w:tcPr>
          <w:p w14:paraId="05B42F9F" w14:textId="77777777" w:rsidR="00090683" w:rsidRDefault="00090683" w:rsidP="000B7E9A">
            <w:pPr>
              <w:pStyle w:val="Caption"/>
              <w:rPr>
                <w:lang w:val="en-US"/>
              </w:rPr>
            </w:pPr>
            <w:bookmarkStart w:id="430" w:name="_Ref466051887"/>
            <w:bookmarkStart w:id="431" w:name="_Toc466655698"/>
            <w:r>
              <w:rPr>
                <w:rStyle w:val="CaptionLabel"/>
                <w:lang w:val="en-US"/>
              </w:rPr>
              <w:t>Figure </w:t>
            </w:r>
            <w:r>
              <w:rPr>
                <w:rStyle w:val="CaptionLabel"/>
                <w:noProof/>
                <w:lang w:val="en-US"/>
              </w:rPr>
              <w:t>9</w:t>
            </w:r>
            <w:r>
              <w:rPr>
                <w:rStyle w:val="CaptionLabel"/>
                <w:lang w:val="en-US"/>
              </w:rPr>
              <w:t>.</w:t>
            </w:r>
            <w:r>
              <w:rPr>
                <w:rStyle w:val="CaptionLabel"/>
                <w:noProof/>
                <w:lang w:val="en-US"/>
              </w:rPr>
              <w:t>10</w:t>
            </w:r>
            <w:bookmarkEnd w:id="430"/>
            <w:r>
              <w:rPr>
                <w:lang w:val="en-US"/>
              </w:rPr>
              <w:tab/>
              <w:t>enrolments by SES status, 2006, 2010 and 2015</w:t>
            </w:r>
            <w:bookmarkEnd w:id="431"/>
          </w:p>
        </w:tc>
      </w:tr>
      <w:tr w:rsidR="00090683" w14:paraId="1DCED07C" w14:textId="77777777" w:rsidTr="000B7E9A">
        <w:trPr>
          <w:cantSplit/>
          <w:trHeight w:val="380"/>
        </w:trPr>
        <w:tc>
          <w:tcPr>
            <w:tcW w:w="8168" w:type="dxa"/>
            <w:tcBorders>
              <w:top w:val="nil"/>
              <w:left w:val="nil"/>
              <w:bottom w:val="single" w:sz="4" w:space="0" w:color="auto"/>
              <w:right w:val="nil"/>
            </w:tcBorders>
            <w:hideMark/>
          </w:tcPr>
          <w:p w14:paraId="76545F09"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82816" behindDoc="0" locked="1" layoutInCell="1" allowOverlap="1" wp14:anchorId="4152582B" wp14:editId="59836B02">
                      <wp:simplePos x="0" y="0"/>
                      <wp:positionH relativeFrom="rightMargin">
                        <wp:posOffset>-772795</wp:posOffset>
                      </wp:positionH>
                      <wp:positionV relativeFrom="page">
                        <wp:posOffset>0</wp:posOffset>
                      </wp:positionV>
                      <wp:extent cx="436880" cy="213360"/>
                      <wp:effectExtent l="0" t="0" r="1270" b="0"/>
                      <wp:wrapNone/>
                      <wp:docPr id="889" name="Freeform 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DAC05E" id="Freeform 889" o:spid="_x0000_s1026" style="position:absolute;margin-left:-60.85pt;margin-top:0;width:34.4pt;height:16.8pt;z-index:25168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DBGe2B/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654CAE3E"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2220F466" w14:textId="77777777" w:rsidR="00090683" w:rsidRDefault="00090683" w:rsidP="000B7E9A">
            <w:pPr>
              <w:pStyle w:val="Figure"/>
              <w:rPr>
                <w:lang w:val="en-US"/>
              </w:rPr>
            </w:pPr>
            <w:r>
              <w:rPr>
                <w:noProof/>
                <w:lang w:eastAsia="en-AU"/>
              </w:rPr>
              <w:drawing>
                <wp:inline distT="0" distB="0" distL="0" distR="0" wp14:anchorId="08BFB01D" wp14:editId="21AD0664">
                  <wp:extent cx="5191125" cy="2209800"/>
                  <wp:effectExtent l="0" t="0" r="0" b="0"/>
                  <wp:docPr id="53"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14:paraId="3350B1A6"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49C55B69" w14:textId="77777777" w:rsidR="00090683" w:rsidRDefault="00090683" w:rsidP="000B7E9A">
            <w:pPr>
              <w:pStyle w:val="Source"/>
              <w:rPr>
                <w:lang w:val="en-US"/>
              </w:rPr>
            </w:pPr>
            <w:r>
              <w:rPr>
                <w:lang w:val="en-US"/>
              </w:rPr>
              <w:t>Source: HIGHER EDUCATION STUDENT DATA COLLECTION</w:t>
            </w:r>
          </w:p>
        </w:tc>
      </w:tr>
      <w:tr w:rsidR="00090683" w14:paraId="7A740A41" w14:textId="77777777" w:rsidTr="000B7E9A">
        <w:trPr>
          <w:trHeight w:val="160"/>
        </w:trPr>
        <w:tc>
          <w:tcPr>
            <w:tcW w:w="8168" w:type="dxa"/>
            <w:tcBorders>
              <w:top w:val="single" w:sz="4" w:space="0" w:color="auto"/>
              <w:left w:val="nil"/>
              <w:bottom w:val="nil"/>
              <w:right w:val="nil"/>
            </w:tcBorders>
          </w:tcPr>
          <w:p w14:paraId="39BBF35D" w14:textId="77777777" w:rsidR="00090683" w:rsidRDefault="00090683" w:rsidP="000B7E9A">
            <w:pPr>
              <w:pStyle w:val="spacertbl"/>
              <w:rPr>
                <w:lang w:val="en-US"/>
              </w:rPr>
            </w:pPr>
          </w:p>
        </w:tc>
      </w:tr>
    </w:tbl>
    <w:p w14:paraId="50BA46CA" w14:textId="77777777" w:rsidR="00090683" w:rsidRDefault="00090683" w:rsidP="00090683">
      <w:pPr>
        <w:pStyle w:val="ListBullet"/>
        <w:numPr>
          <w:ilvl w:val="0"/>
          <w:numId w:val="0"/>
        </w:numPr>
      </w:pPr>
      <w:r>
        <w:t>Student enrolments can also be examined by SES decile, rather than the three SES groups (</w:t>
      </w:r>
      <w:r w:rsidRPr="00AD49C8">
        <w:t>Figure 9.11</w:t>
      </w:r>
      <w:r>
        <w:t>). Between 2009 and 2015, the share of students at each decile below 71-80 has increased, while the share of the two top deciles has decreased. The largest decrease has occurred in the 91-100 decile, a decrease of 3.2 percentage points. The largest increase has occurred in the 31</w:t>
      </w:r>
      <w:r>
        <w:noBreakHyphen/>
        <w:t>40 decile (which is outside the low SES cohort), with an increase 0.9 percentage points.</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02FACD5D" w14:textId="77777777" w:rsidTr="000B7E9A">
        <w:trPr>
          <w:cantSplit/>
          <w:trHeight w:val="160"/>
        </w:trPr>
        <w:tc>
          <w:tcPr>
            <w:tcW w:w="8168" w:type="dxa"/>
            <w:tcBorders>
              <w:top w:val="nil"/>
              <w:left w:val="nil"/>
              <w:bottom w:val="single" w:sz="4" w:space="0" w:color="auto"/>
              <w:right w:val="nil"/>
            </w:tcBorders>
          </w:tcPr>
          <w:p w14:paraId="153A91DF" w14:textId="77777777" w:rsidR="00090683" w:rsidRDefault="00090683" w:rsidP="000B7E9A">
            <w:pPr>
              <w:pStyle w:val="spacer"/>
              <w:rPr>
                <w:lang w:val="en-US"/>
              </w:rPr>
            </w:pPr>
          </w:p>
        </w:tc>
      </w:tr>
      <w:tr w:rsidR="00090683" w14:paraId="5D1CF249" w14:textId="77777777" w:rsidTr="000B7E9A">
        <w:trPr>
          <w:cantSplit/>
        </w:trPr>
        <w:tc>
          <w:tcPr>
            <w:tcW w:w="8168" w:type="dxa"/>
            <w:tcBorders>
              <w:top w:val="single" w:sz="4" w:space="0" w:color="auto"/>
              <w:left w:val="nil"/>
              <w:bottom w:val="nil"/>
              <w:right w:val="nil"/>
            </w:tcBorders>
            <w:hideMark/>
          </w:tcPr>
          <w:p w14:paraId="6AA528D9" w14:textId="77777777" w:rsidR="00090683" w:rsidRDefault="00090683" w:rsidP="000B7E9A">
            <w:pPr>
              <w:pStyle w:val="Caption"/>
              <w:rPr>
                <w:lang w:val="en-US"/>
              </w:rPr>
            </w:pPr>
            <w:bookmarkStart w:id="432" w:name="_Ref464492642"/>
            <w:bookmarkStart w:id="433" w:name="_Toc462945928"/>
            <w:bookmarkStart w:id="434" w:name="_Toc463029869"/>
            <w:bookmarkStart w:id="435" w:name="_Toc466655699"/>
            <w:r>
              <w:rPr>
                <w:rStyle w:val="CaptionLabel"/>
                <w:lang w:val="en-US"/>
              </w:rPr>
              <w:t>Figure </w:t>
            </w:r>
            <w:r>
              <w:rPr>
                <w:rStyle w:val="CaptionLabel"/>
                <w:noProof/>
                <w:lang w:val="en-US"/>
              </w:rPr>
              <w:t>9</w:t>
            </w:r>
            <w:r>
              <w:rPr>
                <w:rStyle w:val="CaptionLabel"/>
                <w:lang w:val="en-US"/>
              </w:rPr>
              <w:t>.</w:t>
            </w:r>
            <w:r>
              <w:rPr>
                <w:rStyle w:val="CaptionLabel"/>
                <w:noProof/>
                <w:lang w:val="en-US"/>
              </w:rPr>
              <w:t>11</w:t>
            </w:r>
            <w:bookmarkEnd w:id="432"/>
            <w:r>
              <w:rPr>
                <w:lang w:val="en-US"/>
              </w:rPr>
              <w:tab/>
            </w:r>
            <w:bookmarkEnd w:id="433"/>
            <w:r>
              <w:rPr>
                <w:lang w:val="en-US"/>
              </w:rPr>
              <w:t>Share of enrolments by SES decile</w:t>
            </w:r>
            <w:bookmarkEnd w:id="434"/>
            <w:bookmarkEnd w:id="435"/>
            <w:r>
              <w:rPr>
                <w:lang w:val="en-US"/>
              </w:rPr>
              <w:t xml:space="preserve"> </w:t>
            </w:r>
          </w:p>
        </w:tc>
      </w:tr>
      <w:tr w:rsidR="00090683" w14:paraId="063B3B46" w14:textId="77777777" w:rsidTr="000B7E9A">
        <w:trPr>
          <w:cantSplit/>
          <w:trHeight w:val="380"/>
        </w:trPr>
        <w:tc>
          <w:tcPr>
            <w:tcW w:w="8168" w:type="dxa"/>
            <w:tcBorders>
              <w:top w:val="nil"/>
              <w:left w:val="nil"/>
              <w:bottom w:val="single" w:sz="4" w:space="0" w:color="auto"/>
              <w:right w:val="nil"/>
            </w:tcBorders>
            <w:hideMark/>
          </w:tcPr>
          <w:p w14:paraId="3A87C91D"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95104" behindDoc="0" locked="1" layoutInCell="1" allowOverlap="1" wp14:anchorId="2DC23661" wp14:editId="05DAFBEE">
                      <wp:simplePos x="0" y="0"/>
                      <wp:positionH relativeFrom="rightMargin">
                        <wp:posOffset>-772795</wp:posOffset>
                      </wp:positionH>
                      <wp:positionV relativeFrom="page">
                        <wp:posOffset>0</wp:posOffset>
                      </wp:positionV>
                      <wp:extent cx="436880" cy="213360"/>
                      <wp:effectExtent l="0" t="0" r="1270" b="0"/>
                      <wp:wrapNone/>
                      <wp:docPr id="888" name="Freeform 8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D2842D" id="Freeform 888" o:spid="_x0000_s1026" style="position:absolute;margin-left:-60.85pt;margin-top:0;width:34.4pt;height:16.8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dzI93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09226991"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295DA8D3" w14:textId="77777777" w:rsidR="00090683" w:rsidRDefault="00090683" w:rsidP="000B7E9A">
            <w:pPr>
              <w:pStyle w:val="Figure"/>
              <w:rPr>
                <w:lang w:val="en-US"/>
              </w:rPr>
            </w:pPr>
            <w:r>
              <w:rPr>
                <w:noProof/>
                <w:lang w:eastAsia="en-AU"/>
              </w:rPr>
              <w:drawing>
                <wp:inline distT="0" distB="0" distL="0" distR="0" wp14:anchorId="1E7C6907" wp14:editId="3CFF8585">
                  <wp:extent cx="5191125" cy="2209800"/>
                  <wp:effectExtent l="0" t="0" r="0" b="0"/>
                  <wp:docPr id="54"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14:paraId="7E9FE342"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08389B06" w14:textId="77777777" w:rsidR="00090683" w:rsidRDefault="00090683" w:rsidP="000B7E9A">
            <w:pPr>
              <w:pStyle w:val="Source"/>
              <w:rPr>
                <w:lang w:val="en-US"/>
              </w:rPr>
            </w:pPr>
            <w:r>
              <w:rPr>
                <w:lang w:val="en-US"/>
              </w:rPr>
              <w:t>Source: HIGHER EDUCATION STUDENT DATA COLLECTION</w:t>
            </w:r>
          </w:p>
        </w:tc>
      </w:tr>
      <w:tr w:rsidR="00090683" w14:paraId="29B078CE" w14:textId="77777777" w:rsidTr="000B7E9A">
        <w:trPr>
          <w:trHeight w:val="160"/>
        </w:trPr>
        <w:tc>
          <w:tcPr>
            <w:tcW w:w="8168" w:type="dxa"/>
            <w:tcBorders>
              <w:top w:val="single" w:sz="4" w:space="0" w:color="auto"/>
              <w:left w:val="nil"/>
              <w:bottom w:val="nil"/>
              <w:right w:val="nil"/>
            </w:tcBorders>
          </w:tcPr>
          <w:p w14:paraId="56DE5003" w14:textId="77777777" w:rsidR="00090683" w:rsidRDefault="00090683" w:rsidP="000B7E9A">
            <w:pPr>
              <w:pStyle w:val="spacertbl"/>
              <w:rPr>
                <w:lang w:val="en-US"/>
              </w:rPr>
            </w:pPr>
          </w:p>
        </w:tc>
      </w:tr>
    </w:tbl>
    <w:p w14:paraId="72173805" w14:textId="77777777" w:rsidR="00090683" w:rsidRDefault="00090683" w:rsidP="00090683">
      <w:pPr>
        <w:pStyle w:val="ListBullet"/>
        <w:keepNext/>
        <w:keepLines/>
        <w:numPr>
          <w:ilvl w:val="0"/>
          <w:numId w:val="0"/>
        </w:numPr>
        <w:spacing w:after="0"/>
      </w:pPr>
      <w:r>
        <w:t>The growth in low SES enrolments has not been spread evenly across universities, with seven universities seeing annual growth rates in low SES enrolments of more than 10 per cent over 2010</w:t>
      </w:r>
      <w:r>
        <w:noBreakHyphen/>
        <w:t xml:space="preserve">2015. The majority of universities (those above the dotted line in </w:t>
      </w:r>
      <w:r w:rsidRPr="00AD49C8">
        <w:t>Figure 9.12</w:t>
      </w:r>
      <w:r>
        <w:t xml:space="preserve">) have increased low SES enrolments at a faster rate than overall enrolments—the universities that have not, are generally lower overall enrolment growth universities, with only three having overall growth greater than 5 per cent.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7A4787C0" w14:textId="77777777" w:rsidTr="000B7E9A">
        <w:trPr>
          <w:cantSplit/>
          <w:trHeight w:val="160"/>
        </w:trPr>
        <w:tc>
          <w:tcPr>
            <w:tcW w:w="8168" w:type="dxa"/>
            <w:tcBorders>
              <w:top w:val="nil"/>
              <w:left w:val="nil"/>
              <w:bottom w:val="single" w:sz="4" w:space="0" w:color="auto"/>
              <w:right w:val="nil"/>
            </w:tcBorders>
          </w:tcPr>
          <w:p w14:paraId="7FCD1910" w14:textId="77777777" w:rsidR="00090683" w:rsidRDefault="00090683" w:rsidP="000B7E9A">
            <w:pPr>
              <w:pStyle w:val="spacer"/>
              <w:rPr>
                <w:lang w:val="en-US"/>
              </w:rPr>
            </w:pPr>
          </w:p>
        </w:tc>
      </w:tr>
      <w:tr w:rsidR="00090683" w14:paraId="34874860" w14:textId="77777777" w:rsidTr="000B7E9A">
        <w:trPr>
          <w:cantSplit/>
        </w:trPr>
        <w:tc>
          <w:tcPr>
            <w:tcW w:w="8168" w:type="dxa"/>
            <w:tcBorders>
              <w:top w:val="single" w:sz="4" w:space="0" w:color="auto"/>
              <w:left w:val="nil"/>
              <w:bottom w:val="nil"/>
              <w:right w:val="nil"/>
            </w:tcBorders>
            <w:hideMark/>
          </w:tcPr>
          <w:p w14:paraId="252FC437" w14:textId="77777777" w:rsidR="00090683" w:rsidRDefault="00090683" w:rsidP="000B7E9A">
            <w:pPr>
              <w:pStyle w:val="Caption"/>
              <w:rPr>
                <w:lang w:val="en-US"/>
              </w:rPr>
            </w:pPr>
            <w:bookmarkStart w:id="436" w:name="_Ref464492173"/>
            <w:bookmarkStart w:id="437" w:name="_Toc462945927"/>
            <w:bookmarkStart w:id="438" w:name="_Toc463029868"/>
            <w:bookmarkStart w:id="439" w:name="_Toc466655700"/>
            <w:r>
              <w:rPr>
                <w:rStyle w:val="CaptionLabel"/>
                <w:lang w:val="en-US"/>
              </w:rPr>
              <w:t>Figure </w:t>
            </w:r>
            <w:r>
              <w:rPr>
                <w:rStyle w:val="CaptionLabel"/>
                <w:noProof/>
                <w:lang w:val="en-US"/>
              </w:rPr>
              <w:t>9</w:t>
            </w:r>
            <w:r>
              <w:rPr>
                <w:rStyle w:val="CaptionLabel"/>
                <w:lang w:val="en-US"/>
              </w:rPr>
              <w:t>.</w:t>
            </w:r>
            <w:r>
              <w:rPr>
                <w:rStyle w:val="CaptionLabel"/>
                <w:noProof/>
                <w:lang w:val="en-US"/>
              </w:rPr>
              <w:t>12</w:t>
            </w:r>
            <w:bookmarkEnd w:id="436"/>
            <w:r>
              <w:rPr>
                <w:lang w:val="en-US"/>
              </w:rPr>
              <w:tab/>
              <w:t>Annual growth of low ses enrolments and total enrolments by university grouping, 2010-2015</w:t>
            </w:r>
            <w:bookmarkEnd w:id="437"/>
            <w:bookmarkEnd w:id="438"/>
            <w:bookmarkEnd w:id="439"/>
            <w:r>
              <w:rPr>
                <w:lang w:val="en-US"/>
              </w:rPr>
              <w:t xml:space="preserve"> </w:t>
            </w:r>
          </w:p>
        </w:tc>
      </w:tr>
      <w:tr w:rsidR="00090683" w14:paraId="521017C9" w14:textId="77777777" w:rsidTr="000B7E9A">
        <w:trPr>
          <w:cantSplit/>
          <w:trHeight w:val="380"/>
        </w:trPr>
        <w:tc>
          <w:tcPr>
            <w:tcW w:w="8168" w:type="dxa"/>
            <w:tcBorders>
              <w:top w:val="nil"/>
              <w:left w:val="nil"/>
              <w:bottom w:val="single" w:sz="4" w:space="0" w:color="auto"/>
              <w:right w:val="nil"/>
            </w:tcBorders>
            <w:hideMark/>
          </w:tcPr>
          <w:p w14:paraId="44F04EE9"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84864" behindDoc="0" locked="1" layoutInCell="1" allowOverlap="1" wp14:anchorId="1935C8B3" wp14:editId="31B211AA">
                      <wp:simplePos x="0" y="0"/>
                      <wp:positionH relativeFrom="rightMargin">
                        <wp:posOffset>-772795</wp:posOffset>
                      </wp:positionH>
                      <wp:positionV relativeFrom="page">
                        <wp:posOffset>0</wp:posOffset>
                      </wp:positionV>
                      <wp:extent cx="436880" cy="213360"/>
                      <wp:effectExtent l="0" t="0" r="1270" b="0"/>
                      <wp:wrapNone/>
                      <wp:docPr id="887" name="Freeform 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97A743" id="Freeform 887" o:spid="_x0000_s1026" style="position:absolute;margin-left:-60.85pt;margin-top:0;width:34.4pt;height:16.8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tivkr3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54A4002B"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4E6D5D60" w14:textId="77777777" w:rsidR="00090683" w:rsidRDefault="00090683" w:rsidP="000B7E9A">
            <w:pPr>
              <w:pStyle w:val="Figure"/>
              <w:keepLines/>
              <w:rPr>
                <w:lang w:val="en-US"/>
              </w:rPr>
            </w:pPr>
            <w:r>
              <w:rPr>
                <w:noProof/>
                <w:lang w:eastAsia="en-AU"/>
              </w:rPr>
              <w:drawing>
                <wp:inline distT="0" distB="0" distL="0" distR="0" wp14:anchorId="0F1692F8" wp14:editId="175C7223">
                  <wp:extent cx="5172075" cy="4067175"/>
                  <wp:effectExtent l="0" t="0" r="0" b="0"/>
                  <wp:docPr id="55"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72075" cy="4067175"/>
                          </a:xfrm>
                          <a:prstGeom prst="rect">
                            <a:avLst/>
                          </a:prstGeom>
                          <a:noFill/>
                          <a:ln>
                            <a:noFill/>
                          </a:ln>
                        </pic:spPr>
                      </pic:pic>
                    </a:graphicData>
                  </a:graphic>
                </wp:inline>
              </w:drawing>
            </w:r>
            <w:r>
              <w:rPr>
                <w:noProof/>
                <w:lang w:val="en-US"/>
              </w:rPr>
              <w:t xml:space="preserve"> </w:t>
            </w:r>
          </w:p>
        </w:tc>
      </w:tr>
      <w:tr w:rsidR="00090683" w14:paraId="590388A6"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32A758B9" w14:textId="77777777" w:rsidR="00090683" w:rsidRDefault="00090683" w:rsidP="000B7E9A">
            <w:pPr>
              <w:pStyle w:val="Source"/>
              <w:keepLines/>
              <w:rPr>
                <w:lang w:val="en-US"/>
              </w:rPr>
            </w:pPr>
            <w:r w:rsidRPr="00AD49C8">
              <w:rPr>
                <w:lang w:val="en-US"/>
              </w:rPr>
              <w:t>Source: Higher Education Student Data Collection</w:t>
            </w:r>
          </w:p>
        </w:tc>
      </w:tr>
      <w:tr w:rsidR="00090683" w14:paraId="086B58CC" w14:textId="77777777" w:rsidTr="000B7E9A">
        <w:trPr>
          <w:trHeight w:val="160"/>
        </w:trPr>
        <w:tc>
          <w:tcPr>
            <w:tcW w:w="8168" w:type="dxa"/>
            <w:tcBorders>
              <w:top w:val="single" w:sz="4" w:space="0" w:color="auto"/>
              <w:left w:val="nil"/>
              <w:bottom w:val="nil"/>
              <w:right w:val="nil"/>
            </w:tcBorders>
          </w:tcPr>
          <w:p w14:paraId="779E212B" w14:textId="77777777" w:rsidR="00090683" w:rsidRDefault="00090683" w:rsidP="000B7E9A">
            <w:pPr>
              <w:pStyle w:val="spacertbl"/>
              <w:rPr>
                <w:lang w:val="en-US"/>
              </w:rPr>
            </w:pPr>
          </w:p>
        </w:tc>
      </w:tr>
    </w:tbl>
    <w:p w14:paraId="193A4C6C" w14:textId="77777777" w:rsidR="00090683" w:rsidRPr="000F648F" w:rsidRDefault="00090683" w:rsidP="00090683">
      <w:r>
        <w:t>The population p</w:t>
      </w:r>
      <w:r w:rsidRPr="003711E2">
        <w:t>articipation rate</w:t>
      </w:r>
      <w:r w:rsidRPr="00B13BB9">
        <w:t xml:space="preserve"> </w:t>
      </w:r>
      <w:r>
        <w:t xml:space="preserve">is </w:t>
      </w:r>
      <w:r w:rsidRPr="003711E2">
        <w:t xml:space="preserve">the proportion of the population enrolled in a university course, and </w:t>
      </w:r>
      <w:r>
        <w:t>is</w:t>
      </w:r>
      <w:r w:rsidRPr="003711E2">
        <w:t xml:space="preserve"> an important measure of higher education take up and representativeness</w:t>
      </w:r>
      <w:r w:rsidRPr="00B13BB9">
        <w:t xml:space="preserve">. </w:t>
      </w:r>
      <w:r w:rsidRPr="00DC05C2">
        <w:t>High</w:t>
      </w:r>
      <w:r w:rsidRPr="00B62D30">
        <w:t>er</w:t>
      </w:r>
      <w:r>
        <w:t xml:space="preserve"> education population participation rates for low SES individuals have risen steadily since 2010, in line with medium SES individuals, while rates for high SES individuals have risen only slightly (</w:t>
      </w:r>
      <w:r w:rsidRPr="00AD49C8">
        <w:t>Figure 9.13</w:t>
      </w:r>
      <w:r>
        <w:t xml:space="preserve">).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4F668BFF" w14:textId="77777777" w:rsidTr="000B7E9A">
        <w:trPr>
          <w:cantSplit/>
          <w:trHeight w:val="160"/>
        </w:trPr>
        <w:tc>
          <w:tcPr>
            <w:tcW w:w="8175" w:type="dxa"/>
            <w:tcBorders>
              <w:top w:val="nil"/>
              <w:left w:val="nil"/>
              <w:bottom w:val="single" w:sz="4" w:space="0" w:color="auto"/>
              <w:right w:val="nil"/>
            </w:tcBorders>
          </w:tcPr>
          <w:p w14:paraId="6C929B8E" w14:textId="77777777" w:rsidR="00090683" w:rsidRDefault="00090683" w:rsidP="000B7E9A">
            <w:pPr>
              <w:pStyle w:val="spacer"/>
              <w:rPr>
                <w:lang w:val="en-US"/>
              </w:rPr>
            </w:pPr>
          </w:p>
        </w:tc>
      </w:tr>
      <w:tr w:rsidR="00090683" w14:paraId="55D16317" w14:textId="77777777" w:rsidTr="000B7E9A">
        <w:trPr>
          <w:cantSplit/>
        </w:trPr>
        <w:tc>
          <w:tcPr>
            <w:tcW w:w="8175" w:type="dxa"/>
            <w:tcBorders>
              <w:top w:val="single" w:sz="4" w:space="0" w:color="auto"/>
              <w:left w:val="nil"/>
              <w:bottom w:val="nil"/>
              <w:right w:val="nil"/>
            </w:tcBorders>
            <w:hideMark/>
          </w:tcPr>
          <w:p w14:paraId="2C15A7C1" w14:textId="77777777" w:rsidR="00090683" w:rsidRDefault="00090683" w:rsidP="000B7E9A">
            <w:pPr>
              <w:pStyle w:val="Caption"/>
              <w:rPr>
                <w:lang w:val="en-US"/>
              </w:rPr>
            </w:pPr>
            <w:bookmarkStart w:id="440" w:name="_Ref464493221"/>
            <w:bookmarkStart w:id="441" w:name="_Toc462945929"/>
            <w:bookmarkStart w:id="442" w:name="_Toc463029870"/>
            <w:bookmarkStart w:id="443" w:name="_Toc466655701"/>
            <w:r>
              <w:rPr>
                <w:rStyle w:val="CaptionLabel"/>
                <w:lang w:val="en-US"/>
              </w:rPr>
              <w:t>Figure </w:t>
            </w:r>
            <w:r>
              <w:rPr>
                <w:rStyle w:val="CaptionLabel"/>
                <w:noProof/>
                <w:lang w:val="en-US"/>
              </w:rPr>
              <w:t>9</w:t>
            </w:r>
            <w:r>
              <w:rPr>
                <w:rStyle w:val="CaptionLabel"/>
                <w:lang w:val="en-US"/>
              </w:rPr>
              <w:t>.</w:t>
            </w:r>
            <w:r>
              <w:rPr>
                <w:rStyle w:val="CaptionLabel"/>
                <w:noProof/>
                <w:lang w:val="en-US"/>
              </w:rPr>
              <w:t>13</w:t>
            </w:r>
            <w:bookmarkEnd w:id="440"/>
            <w:r>
              <w:rPr>
                <w:lang w:val="en-US"/>
              </w:rPr>
              <w:tab/>
              <w:t>population Participation rate by ses, 2006-2015</w:t>
            </w:r>
            <w:bookmarkEnd w:id="441"/>
            <w:bookmarkEnd w:id="442"/>
            <w:bookmarkEnd w:id="443"/>
            <w:r>
              <w:rPr>
                <w:lang w:val="en-US"/>
              </w:rPr>
              <w:t xml:space="preserve"> </w:t>
            </w:r>
          </w:p>
        </w:tc>
      </w:tr>
      <w:tr w:rsidR="00090683" w14:paraId="30D3DAAE" w14:textId="77777777" w:rsidTr="000B7E9A">
        <w:trPr>
          <w:cantSplit/>
          <w:trHeight w:val="380"/>
        </w:trPr>
        <w:tc>
          <w:tcPr>
            <w:tcW w:w="8175" w:type="dxa"/>
            <w:tcBorders>
              <w:top w:val="nil"/>
              <w:left w:val="nil"/>
              <w:bottom w:val="single" w:sz="4" w:space="0" w:color="auto"/>
              <w:right w:val="nil"/>
            </w:tcBorders>
            <w:hideMark/>
          </w:tcPr>
          <w:p w14:paraId="5CD34A3C"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683840" behindDoc="0" locked="1" layoutInCell="1" allowOverlap="1" wp14:anchorId="53CA1B20" wp14:editId="50937837">
                      <wp:simplePos x="0" y="0"/>
                      <wp:positionH relativeFrom="rightMargin">
                        <wp:posOffset>-772795</wp:posOffset>
                      </wp:positionH>
                      <wp:positionV relativeFrom="page">
                        <wp:posOffset>0</wp:posOffset>
                      </wp:positionV>
                      <wp:extent cx="436880" cy="213360"/>
                      <wp:effectExtent l="0" t="0" r="1270" b="0"/>
                      <wp:wrapNone/>
                      <wp:docPr id="886" name="Freeform 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1B7AB" id="Freeform 886" o:spid="_x0000_s1026" style="position:absolute;margin-left:-60.85pt;margin-top:0;width:34.4pt;height:16.8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m6EQuH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23080EA4" w14:textId="77777777" w:rsidTr="000B7E9A">
        <w:trPr>
          <w:cantSplit/>
        </w:trPr>
        <w:tc>
          <w:tcPr>
            <w:tcW w:w="8175" w:type="dxa"/>
            <w:tcBorders>
              <w:top w:val="single" w:sz="4" w:space="0" w:color="auto"/>
              <w:left w:val="nil"/>
              <w:bottom w:val="single" w:sz="4" w:space="0" w:color="auto"/>
              <w:right w:val="nil"/>
            </w:tcBorders>
            <w:tcMar>
              <w:top w:w="10" w:type="dxa"/>
              <w:left w:w="0" w:type="dxa"/>
              <w:bottom w:w="10" w:type="dxa"/>
              <w:right w:w="0" w:type="dxa"/>
            </w:tcMar>
            <w:hideMark/>
          </w:tcPr>
          <w:p w14:paraId="4A791ADB" w14:textId="77777777" w:rsidR="00090683" w:rsidRDefault="00090683" w:rsidP="000B7E9A">
            <w:pPr>
              <w:pStyle w:val="Figure"/>
              <w:keepLines/>
              <w:rPr>
                <w:lang w:val="en-US"/>
              </w:rPr>
            </w:pPr>
            <w:r w:rsidRPr="00FE7F44">
              <w:rPr>
                <w:noProof/>
                <w:lang w:eastAsia="en-AU"/>
              </w:rPr>
              <w:drawing>
                <wp:inline distT="0" distB="0" distL="0" distR="0" wp14:anchorId="32BDD540" wp14:editId="4477A51B">
                  <wp:extent cx="5184140" cy="209931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84140" cy="2099310"/>
                          </a:xfrm>
                          <a:prstGeom prst="rect">
                            <a:avLst/>
                          </a:prstGeom>
                          <a:noFill/>
                          <a:ln>
                            <a:noFill/>
                          </a:ln>
                        </pic:spPr>
                      </pic:pic>
                    </a:graphicData>
                  </a:graphic>
                </wp:inline>
              </w:drawing>
            </w:r>
          </w:p>
        </w:tc>
      </w:tr>
      <w:tr w:rsidR="00090683" w14:paraId="55A5C6A5" w14:textId="77777777" w:rsidTr="000B7E9A">
        <w:trPr>
          <w:cantSplit/>
        </w:trPr>
        <w:tc>
          <w:tcPr>
            <w:tcW w:w="8175" w:type="dxa"/>
            <w:tcBorders>
              <w:top w:val="single" w:sz="4" w:space="0" w:color="auto"/>
              <w:left w:val="nil"/>
              <w:bottom w:val="single" w:sz="4" w:space="0" w:color="auto"/>
              <w:right w:val="nil"/>
            </w:tcBorders>
            <w:tcMar>
              <w:top w:w="12" w:type="dxa"/>
              <w:left w:w="0" w:type="dxa"/>
              <w:bottom w:w="113" w:type="dxa"/>
              <w:right w:w="0" w:type="dxa"/>
            </w:tcMar>
            <w:hideMark/>
          </w:tcPr>
          <w:p w14:paraId="07265D35" w14:textId="77777777" w:rsidR="00090683" w:rsidRDefault="00090683" w:rsidP="000B7E9A">
            <w:pPr>
              <w:pStyle w:val="Note"/>
              <w:rPr>
                <w:lang w:val="en-US"/>
              </w:rPr>
            </w:pPr>
            <w:r>
              <w:rPr>
                <w:lang w:val="en-US"/>
              </w:rPr>
              <w:t>Note: Population figures are on a SA2 basis</w:t>
            </w:r>
          </w:p>
          <w:p w14:paraId="65D2737F" w14:textId="77777777" w:rsidR="00090683" w:rsidRDefault="00090683" w:rsidP="000B7E9A">
            <w:pPr>
              <w:pStyle w:val="Source"/>
              <w:keepLines/>
              <w:rPr>
                <w:lang w:val="en-US"/>
              </w:rPr>
            </w:pPr>
            <w:r>
              <w:rPr>
                <w:lang w:val="en-US"/>
              </w:rPr>
              <w:t>Source: Australian bureau of statistics, cat no 3101.0 – Australian demography statistics, HIGHER EDUCATION STUDENT DATA COLLECTION</w:t>
            </w:r>
          </w:p>
        </w:tc>
      </w:tr>
      <w:tr w:rsidR="00090683" w14:paraId="6C1897DD" w14:textId="77777777" w:rsidTr="000B7E9A">
        <w:trPr>
          <w:trHeight w:val="160"/>
        </w:trPr>
        <w:tc>
          <w:tcPr>
            <w:tcW w:w="8175" w:type="dxa"/>
            <w:tcBorders>
              <w:top w:val="single" w:sz="4" w:space="0" w:color="auto"/>
              <w:left w:val="nil"/>
              <w:bottom w:val="nil"/>
              <w:right w:val="nil"/>
            </w:tcBorders>
          </w:tcPr>
          <w:p w14:paraId="53C29D47" w14:textId="77777777" w:rsidR="00090683" w:rsidRDefault="00090683" w:rsidP="000B7E9A">
            <w:pPr>
              <w:pStyle w:val="spacertbl"/>
              <w:rPr>
                <w:lang w:val="en-US"/>
              </w:rPr>
            </w:pPr>
          </w:p>
        </w:tc>
      </w:tr>
    </w:tbl>
    <w:p w14:paraId="0686E8C8" w14:textId="77777777" w:rsidR="00090683" w:rsidRDefault="00090683" w:rsidP="00090683">
      <w:bookmarkStart w:id="444" w:name="_Toc466281113"/>
      <w:bookmarkStart w:id="445" w:name="_Toc466281114"/>
      <w:bookmarkStart w:id="446" w:name="_Toc466281115"/>
      <w:bookmarkStart w:id="447" w:name="_Toc466281116"/>
      <w:bookmarkStart w:id="448" w:name="_Toc466281117"/>
      <w:bookmarkStart w:id="449" w:name="_Toc466281128"/>
      <w:bookmarkStart w:id="450" w:name="_Toc466281130"/>
      <w:bookmarkStart w:id="451" w:name="_Toc466281131"/>
      <w:bookmarkStart w:id="452" w:name="_Toc466281142"/>
      <w:bookmarkStart w:id="453" w:name="_Ref466064400"/>
      <w:bookmarkStart w:id="454" w:name="_Toc465932253"/>
      <w:bookmarkStart w:id="455" w:name="_Toc462945893"/>
      <w:bookmarkEnd w:id="444"/>
      <w:bookmarkEnd w:id="445"/>
      <w:bookmarkEnd w:id="446"/>
      <w:bookmarkEnd w:id="447"/>
      <w:bookmarkEnd w:id="448"/>
      <w:bookmarkEnd w:id="449"/>
      <w:bookmarkEnd w:id="450"/>
      <w:bookmarkEnd w:id="451"/>
      <w:bookmarkEnd w:id="452"/>
      <w:r w:rsidRPr="001D3B52">
        <w:t>The strong correlation between the low and medium SES participation rates may indicate that these increases are being driven by the DDS</w:t>
      </w:r>
      <w:r>
        <w:t>, or that HEPPP outreach activities are influencing both low and medium SES cohorts as these cohorts are likely to be represented at the same schools in many cases</w:t>
      </w:r>
      <w:r w:rsidRPr="001D3B52">
        <w:t xml:space="preserve">. </w:t>
      </w:r>
      <w:r>
        <w:t>P</w:t>
      </w:r>
      <w:r w:rsidRPr="001D3B52">
        <w:t xml:space="preserve">articipation rates have increased for both the medium and low SES groups by 1.5 percentage points, while </w:t>
      </w:r>
      <w:r>
        <w:t xml:space="preserve">high SES </w:t>
      </w:r>
      <w:r w:rsidRPr="001D3B52">
        <w:t>participation rates between 2006-2010 were relatively constant</w:t>
      </w:r>
      <w:r>
        <w:t xml:space="preserve"> (</w:t>
      </w:r>
      <w:r w:rsidRPr="00AD49C8">
        <w:t>Figure 9.14</w:t>
      </w:r>
      <w:r>
        <w:t>)</w:t>
      </w:r>
      <w:r w:rsidRPr="001D3B52">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AA4DEE" w14:paraId="21EC7B67" w14:textId="77777777" w:rsidTr="000B7E9A">
        <w:trPr>
          <w:cantSplit/>
          <w:trHeight w:hRule="exact" w:val="160"/>
        </w:trPr>
        <w:tc>
          <w:tcPr>
            <w:tcW w:w="8168" w:type="dxa"/>
            <w:tcBorders>
              <w:bottom w:val="single" w:sz="4" w:space="0" w:color="auto"/>
            </w:tcBorders>
          </w:tcPr>
          <w:p w14:paraId="009CFEED" w14:textId="77777777" w:rsidR="00090683" w:rsidRPr="00AA4DEE" w:rsidRDefault="00090683" w:rsidP="000B7E9A">
            <w:pPr>
              <w:pStyle w:val="spacer"/>
            </w:pPr>
          </w:p>
        </w:tc>
      </w:tr>
      <w:tr w:rsidR="00090683" w:rsidRPr="00897E60" w14:paraId="22EBB8F7" w14:textId="77777777" w:rsidTr="000B7E9A">
        <w:trPr>
          <w:cantSplit/>
        </w:trPr>
        <w:tc>
          <w:tcPr>
            <w:tcW w:w="8168" w:type="dxa"/>
            <w:tcBorders>
              <w:top w:val="single" w:sz="4" w:space="0" w:color="auto"/>
            </w:tcBorders>
            <w:tcMar>
              <w:left w:w="0" w:type="dxa"/>
            </w:tcMar>
          </w:tcPr>
          <w:p w14:paraId="0846E5D4" w14:textId="77777777" w:rsidR="00090683" w:rsidRPr="00897E60" w:rsidRDefault="00090683" w:rsidP="000B7E9A">
            <w:pPr>
              <w:pStyle w:val="Caption"/>
            </w:pPr>
            <w:bookmarkStart w:id="456" w:name="_Ref466641952"/>
            <w:bookmarkStart w:id="457" w:name="_Toc466655702"/>
            <w:r w:rsidRPr="00897E60">
              <w:rPr>
                <w:rStyle w:val="CaptionLabel"/>
              </w:rPr>
              <w:t>Figure</w:t>
            </w:r>
            <w:r>
              <w:rPr>
                <w:rStyle w:val="CaptionLabel"/>
              </w:rPr>
              <w:t> </w:t>
            </w:r>
            <w:r>
              <w:rPr>
                <w:rStyle w:val="CaptionLabel"/>
                <w:noProof/>
              </w:rPr>
              <w:t>9</w:t>
            </w:r>
            <w:r w:rsidRPr="00897E60">
              <w:rPr>
                <w:rStyle w:val="CaptionLabel"/>
              </w:rPr>
              <w:t>.</w:t>
            </w:r>
            <w:r>
              <w:rPr>
                <w:rStyle w:val="CaptionLabel"/>
                <w:noProof/>
              </w:rPr>
              <w:t>14</w:t>
            </w:r>
            <w:bookmarkEnd w:id="456"/>
            <w:r>
              <w:tab/>
            </w:r>
            <w:r>
              <w:rPr>
                <w:lang w:val="en-US"/>
              </w:rPr>
              <w:t>Participation rate by ses, 2006, 2010 and 2015</w:t>
            </w:r>
            <w:bookmarkEnd w:id="457"/>
          </w:p>
        </w:tc>
      </w:tr>
      <w:tr w:rsidR="00090683" w:rsidRPr="00AA4DEE" w14:paraId="1BCD113A" w14:textId="77777777" w:rsidTr="000B7E9A">
        <w:trPr>
          <w:cantSplit/>
          <w:trHeight w:hRule="exact" w:val="380"/>
        </w:trPr>
        <w:tc>
          <w:tcPr>
            <w:tcW w:w="8168" w:type="dxa"/>
            <w:tcBorders>
              <w:bottom w:val="single" w:sz="4" w:space="0" w:color="auto"/>
            </w:tcBorders>
          </w:tcPr>
          <w:p w14:paraId="4823ADBD"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702272" behindDoc="0" locked="1" layoutInCell="1" allowOverlap="1" wp14:anchorId="2CE369B4" wp14:editId="3D05CF74">
                      <wp:simplePos x="0" y="0"/>
                      <wp:positionH relativeFrom="rightMargin">
                        <wp:posOffset>-772795</wp:posOffset>
                      </wp:positionH>
                      <wp:positionV relativeFrom="page">
                        <wp:posOffset>0</wp:posOffset>
                      </wp:positionV>
                      <wp:extent cx="436880" cy="213360"/>
                      <wp:effectExtent l="0" t="0" r="1270" b="0"/>
                      <wp:wrapNone/>
                      <wp:docPr id="32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3FC7E2" id="Freeform 5" o:spid="_x0000_s1026" style="position:absolute;margin-left:-60.85pt;margin-top:0;width:34.4pt;height:16.8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BMhga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0B67AA55"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251AACE6" w14:textId="77777777" w:rsidR="00090683" w:rsidRPr="00AA4DEE" w:rsidRDefault="00090683" w:rsidP="000B7E9A">
            <w:pPr>
              <w:pStyle w:val="Figure"/>
            </w:pPr>
            <w:r>
              <w:rPr>
                <w:noProof/>
                <w:lang w:eastAsia="en-AU"/>
              </w:rPr>
              <w:drawing>
                <wp:inline distT="0" distB="0" distL="0" distR="0" wp14:anchorId="5BCF42A8" wp14:editId="22F47C65">
                  <wp:extent cx="5191125" cy="2209800"/>
                  <wp:effectExtent l="0" t="0" r="0" b="0"/>
                  <wp:docPr id="57"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rsidRPr="00AA4DEE" w14:paraId="266787AE"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22FE29E4" w14:textId="77777777" w:rsidR="00090683" w:rsidRDefault="00090683" w:rsidP="000B7E9A">
            <w:pPr>
              <w:pStyle w:val="Note"/>
              <w:rPr>
                <w:lang w:val="en-US"/>
              </w:rPr>
            </w:pPr>
            <w:r>
              <w:rPr>
                <w:lang w:val="en-US"/>
              </w:rPr>
              <w:t>Note: Population figures are on a SA2 basis</w:t>
            </w:r>
          </w:p>
          <w:p w14:paraId="0B99CD59" w14:textId="77777777" w:rsidR="00090683" w:rsidRPr="00AA4DEE" w:rsidRDefault="00090683" w:rsidP="000B7E9A">
            <w:pPr>
              <w:pStyle w:val="Source"/>
            </w:pPr>
            <w:r>
              <w:rPr>
                <w:lang w:val="en-US"/>
              </w:rPr>
              <w:t>Source: Australian bureau of statistics, cat no 3101.0 – Australian demography statistics, HIGHER EDUCATION STUDENT DATA COLLECTION</w:t>
            </w:r>
          </w:p>
        </w:tc>
      </w:tr>
      <w:tr w:rsidR="00090683" w14:paraId="0BFEF74C" w14:textId="77777777" w:rsidTr="000B7E9A">
        <w:trPr>
          <w:trHeight w:hRule="exact" w:val="160"/>
        </w:trPr>
        <w:tc>
          <w:tcPr>
            <w:tcW w:w="8168" w:type="dxa"/>
            <w:tcBorders>
              <w:top w:val="single" w:sz="4" w:space="0" w:color="auto"/>
            </w:tcBorders>
          </w:tcPr>
          <w:p w14:paraId="6CCCE876" w14:textId="77777777" w:rsidR="00090683" w:rsidRDefault="00090683" w:rsidP="000B7E9A">
            <w:pPr>
              <w:pStyle w:val="spacertbl"/>
            </w:pPr>
          </w:p>
        </w:tc>
      </w:tr>
    </w:tbl>
    <w:p w14:paraId="4F61DEF9" w14:textId="77777777" w:rsidR="00090683" w:rsidRDefault="00090683" w:rsidP="00090683">
      <w:pPr>
        <w:pStyle w:val="Heading2"/>
      </w:pPr>
      <w:bookmarkStart w:id="458" w:name="_Toc466657155"/>
      <w:r>
        <w:t>Retention, success and completion</w:t>
      </w:r>
      <w:bookmarkEnd w:id="458"/>
    </w:p>
    <w:bookmarkEnd w:id="453"/>
    <w:bookmarkEnd w:id="454"/>
    <w:bookmarkEnd w:id="455"/>
    <w:p w14:paraId="78B3D16B" w14:textId="77777777" w:rsidR="00090683" w:rsidRDefault="00090683" w:rsidP="00090683">
      <w:pPr>
        <w:pStyle w:val="BodyText"/>
      </w:pPr>
      <w:r>
        <w:t>The HEPPP aims to support universities to increase the access, retention and completion rates of low SES students. The activities universities have undertaken to target to these measures are detailed in Chapters 6 and 7, along with project-specific data indicating the impact of individual projects. This section examines retention, success and completion rates at a system level.</w:t>
      </w:r>
    </w:p>
    <w:p w14:paraId="2575E358" w14:textId="77777777" w:rsidR="00090683" w:rsidRDefault="00090683" w:rsidP="00090683">
      <w:pPr>
        <w:pStyle w:val="Heading3"/>
        <w:numPr>
          <w:ilvl w:val="2"/>
          <w:numId w:val="45"/>
        </w:numPr>
        <w:ind w:left="720" w:hanging="720"/>
      </w:pPr>
      <w:r>
        <w:t>Retention rates</w:t>
      </w:r>
    </w:p>
    <w:p w14:paraId="369F68FB" w14:textId="77777777" w:rsidR="00090683" w:rsidRDefault="00090683" w:rsidP="00090683">
      <w:pPr>
        <w:pStyle w:val="BodyText"/>
      </w:pPr>
      <w:r>
        <w:t>Student retention</w:t>
      </w:r>
      <w:r>
        <w:rPr>
          <w:rStyle w:val="FootnoteReference"/>
        </w:rPr>
        <w:footnoteReference w:id="40"/>
      </w:r>
      <w:r>
        <w:t xml:space="preserve"> refers to whether a student returns to university studies in the following year—the latest year for which these data are available is students enrolled in 2014. Low SES student retention rates are lower than other SES groups, at around 82 per cent in 2014 compared to 85 and 87 per cent for medium and high SES groups respectively.</w:t>
      </w:r>
    </w:p>
    <w:p w14:paraId="1C8B4000" w14:textId="77777777" w:rsidR="00090683" w:rsidRDefault="00090683" w:rsidP="00090683">
      <w:pPr>
        <w:pStyle w:val="BodyText"/>
      </w:pPr>
      <w:r>
        <w:t>Retention rates for all SES groups have been trending down slightly over 2011-2014, falling 1 percentage point for high SES enrolments and 1.7 percentage points for low SES enrolments (</w:t>
      </w:r>
      <w:r w:rsidRPr="00AD49C8">
        <w:t>Figure 9.15</w:t>
      </w:r>
      <w:r>
        <w:t xml:space="preserve">). It is not clear what is driving the general downward trend, or why the trend is more pronounced in the low SES cohort.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49BDD72A" w14:textId="77777777" w:rsidTr="000B7E9A">
        <w:trPr>
          <w:cantSplit/>
          <w:trHeight w:val="160"/>
        </w:trPr>
        <w:tc>
          <w:tcPr>
            <w:tcW w:w="8168" w:type="dxa"/>
            <w:tcBorders>
              <w:top w:val="nil"/>
              <w:left w:val="nil"/>
              <w:bottom w:val="single" w:sz="4" w:space="0" w:color="auto"/>
              <w:right w:val="nil"/>
            </w:tcBorders>
          </w:tcPr>
          <w:p w14:paraId="2522F92C" w14:textId="77777777" w:rsidR="00090683" w:rsidRDefault="00090683" w:rsidP="000B7E9A">
            <w:pPr>
              <w:pStyle w:val="spacer"/>
              <w:rPr>
                <w:lang w:val="en-US"/>
              </w:rPr>
            </w:pPr>
          </w:p>
        </w:tc>
      </w:tr>
      <w:tr w:rsidR="00090683" w14:paraId="3E491C65" w14:textId="77777777" w:rsidTr="000B7E9A">
        <w:trPr>
          <w:cantSplit/>
        </w:trPr>
        <w:tc>
          <w:tcPr>
            <w:tcW w:w="8168" w:type="dxa"/>
            <w:tcBorders>
              <w:top w:val="single" w:sz="4" w:space="0" w:color="auto"/>
              <w:left w:val="nil"/>
              <w:bottom w:val="nil"/>
              <w:right w:val="nil"/>
            </w:tcBorders>
            <w:hideMark/>
          </w:tcPr>
          <w:p w14:paraId="12F4395B" w14:textId="77777777" w:rsidR="00090683" w:rsidRDefault="00090683" w:rsidP="000B7E9A">
            <w:pPr>
              <w:pStyle w:val="Caption"/>
              <w:rPr>
                <w:lang w:val="en-US"/>
              </w:rPr>
            </w:pPr>
            <w:bookmarkStart w:id="459" w:name="_Ref464493750"/>
            <w:bookmarkStart w:id="460" w:name="_Toc462945932"/>
            <w:bookmarkStart w:id="461" w:name="_Toc463029873"/>
            <w:bookmarkStart w:id="462" w:name="_Toc466655703"/>
            <w:r>
              <w:rPr>
                <w:rStyle w:val="CaptionLabel"/>
                <w:lang w:val="en-US"/>
              </w:rPr>
              <w:t>Figure </w:t>
            </w:r>
            <w:r>
              <w:rPr>
                <w:rStyle w:val="CaptionLabel"/>
                <w:noProof/>
                <w:lang w:val="en-US"/>
              </w:rPr>
              <w:t>9</w:t>
            </w:r>
            <w:r>
              <w:rPr>
                <w:rStyle w:val="CaptionLabel"/>
                <w:lang w:val="en-US"/>
              </w:rPr>
              <w:t>.</w:t>
            </w:r>
            <w:r>
              <w:rPr>
                <w:rStyle w:val="CaptionLabel"/>
                <w:noProof/>
                <w:lang w:val="en-US"/>
              </w:rPr>
              <w:t>15</w:t>
            </w:r>
            <w:bookmarkEnd w:id="459"/>
            <w:r>
              <w:rPr>
                <w:lang w:val="en-US"/>
              </w:rPr>
              <w:tab/>
              <w:t>Retention rate by ses, 2006-2014</w:t>
            </w:r>
            <w:bookmarkEnd w:id="460"/>
            <w:bookmarkEnd w:id="461"/>
            <w:bookmarkEnd w:id="462"/>
            <w:r>
              <w:rPr>
                <w:lang w:val="en-US"/>
              </w:rPr>
              <w:t xml:space="preserve"> </w:t>
            </w:r>
          </w:p>
        </w:tc>
      </w:tr>
      <w:tr w:rsidR="00090683" w14:paraId="5ECCD1D6" w14:textId="77777777" w:rsidTr="000B7E9A">
        <w:trPr>
          <w:cantSplit/>
          <w:trHeight w:val="380"/>
        </w:trPr>
        <w:tc>
          <w:tcPr>
            <w:tcW w:w="8168" w:type="dxa"/>
            <w:tcBorders>
              <w:top w:val="nil"/>
              <w:left w:val="nil"/>
              <w:bottom w:val="single" w:sz="4" w:space="0" w:color="auto"/>
              <w:right w:val="nil"/>
            </w:tcBorders>
            <w:hideMark/>
          </w:tcPr>
          <w:p w14:paraId="15D31B59"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07904" behindDoc="0" locked="1" layoutInCell="1" allowOverlap="1" wp14:anchorId="75EF6A51" wp14:editId="1854EDB5">
                      <wp:simplePos x="0" y="0"/>
                      <wp:positionH relativeFrom="rightMargin">
                        <wp:posOffset>-772795</wp:posOffset>
                      </wp:positionH>
                      <wp:positionV relativeFrom="page">
                        <wp:posOffset>0</wp:posOffset>
                      </wp:positionV>
                      <wp:extent cx="436880" cy="213360"/>
                      <wp:effectExtent l="0" t="0" r="1270" b="0"/>
                      <wp:wrapNone/>
                      <wp:docPr id="882" name="Freeform 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6F12D6" id="Freeform 882" o:spid="_x0000_s1026" style="position:absolute;margin-left:-60.85pt;margin-top:0;width:34.4pt;height:16.8pt;z-index:251707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C+Jwud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3E982292"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729AFAE5" w14:textId="77777777" w:rsidR="00090683" w:rsidRDefault="00090683" w:rsidP="000B7E9A">
            <w:pPr>
              <w:pStyle w:val="Figure"/>
              <w:rPr>
                <w:lang w:val="en-US"/>
              </w:rPr>
            </w:pPr>
            <w:r>
              <w:rPr>
                <w:noProof/>
                <w:lang w:eastAsia="en-AU"/>
              </w:rPr>
              <w:drawing>
                <wp:inline distT="0" distB="0" distL="0" distR="0" wp14:anchorId="1D2DF4D3" wp14:editId="0D300961">
                  <wp:extent cx="5172075" cy="2200275"/>
                  <wp:effectExtent l="0" t="0" r="0" b="0"/>
                  <wp:docPr id="58"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72075" cy="2200275"/>
                          </a:xfrm>
                          <a:prstGeom prst="rect">
                            <a:avLst/>
                          </a:prstGeom>
                          <a:noFill/>
                          <a:ln>
                            <a:noFill/>
                          </a:ln>
                        </pic:spPr>
                      </pic:pic>
                    </a:graphicData>
                  </a:graphic>
                </wp:inline>
              </w:drawing>
            </w:r>
          </w:p>
        </w:tc>
      </w:tr>
      <w:tr w:rsidR="00090683" w14:paraId="71BE5B60"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6D730CC9" w14:textId="77777777" w:rsidR="00090683" w:rsidRDefault="00090683" w:rsidP="000B7E9A">
            <w:pPr>
              <w:pStyle w:val="Source"/>
              <w:rPr>
                <w:lang w:val="en-US"/>
              </w:rPr>
            </w:pPr>
            <w:r w:rsidRPr="00AD49C8">
              <w:rPr>
                <w:lang w:val="en-US"/>
              </w:rPr>
              <w:t>Source: HIGHER EDUCATION STUDENT DATA COLLECTION</w:t>
            </w:r>
          </w:p>
        </w:tc>
      </w:tr>
      <w:tr w:rsidR="00090683" w14:paraId="3F0355EA" w14:textId="77777777" w:rsidTr="000B7E9A">
        <w:trPr>
          <w:trHeight w:val="160"/>
        </w:trPr>
        <w:tc>
          <w:tcPr>
            <w:tcW w:w="8168" w:type="dxa"/>
            <w:tcBorders>
              <w:top w:val="single" w:sz="4" w:space="0" w:color="auto"/>
              <w:left w:val="nil"/>
              <w:bottom w:val="nil"/>
              <w:right w:val="nil"/>
            </w:tcBorders>
          </w:tcPr>
          <w:p w14:paraId="2EC4627E" w14:textId="77777777" w:rsidR="00090683" w:rsidRDefault="00090683" w:rsidP="000B7E9A">
            <w:pPr>
              <w:pStyle w:val="spacertbl"/>
              <w:rPr>
                <w:lang w:val="en-US"/>
              </w:rPr>
            </w:pPr>
          </w:p>
        </w:tc>
      </w:tr>
    </w:tbl>
    <w:p w14:paraId="7E03B930" w14:textId="77777777" w:rsidR="00090683" w:rsidRDefault="00090683" w:rsidP="00090683">
      <w:pPr>
        <w:pStyle w:val="ListBullet"/>
        <w:keepNext/>
        <w:keepLines/>
        <w:numPr>
          <w:ilvl w:val="0"/>
          <w:numId w:val="0"/>
        </w:numPr>
      </w:pPr>
      <w:r>
        <w:t>Relative to overall retention rates, low SES rates are around 3 percentage points lower (medium SES retention rates are about the same as overall rates, while high SES retention rates are 2 per cent higher) (</w:t>
      </w:r>
      <w:r w:rsidRPr="00AD49C8">
        <w:t>Figure 9.16</w:t>
      </w:r>
      <w:r>
        <w:t>). The difference between low SES retention rates and overall rates has not changed significantly over 2006-2014.</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25B8D08E" w14:textId="77777777" w:rsidTr="000B7E9A">
        <w:trPr>
          <w:cantSplit/>
          <w:trHeight w:val="160"/>
        </w:trPr>
        <w:tc>
          <w:tcPr>
            <w:tcW w:w="8168" w:type="dxa"/>
            <w:tcBorders>
              <w:top w:val="nil"/>
              <w:left w:val="nil"/>
              <w:bottom w:val="single" w:sz="4" w:space="0" w:color="auto"/>
              <w:right w:val="nil"/>
            </w:tcBorders>
          </w:tcPr>
          <w:p w14:paraId="6FE455B4" w14:textId="77777777" w:rsidR="00090683" w:rsidRDefault="00090683" w:rsidP="000B7E9A">
            <w:pPr>
              <w:pStyle w:val="spacer"/>
              <w:rPr>
                <w:lang w:val="en-US"/>
              </w:rPr>
            </w:pPr>
          </w:p>
        </w:tc>
      </w:tr>
      <w:tr w:rsidR="00090683" w14:paraId="43E9D8BD" w14:textId="77777777" w:rsidTr="000B7E9A">
        <w:trPr>
          <w:cantSplit/>
        </w:trPr>
        <w:tc>
          <w:tcPr>
            <w:tcW w:w="8168" w:type="dxa"/>
            <w:tcBorders>
              <w:top w:val="single" w:sz="4" w:space="0" w:color="auto"/>
              <w:left w:val="nil"/>
              <w:bottom w:val="nil"/>
              <w:right w:val="nil"/>
            </w:tcBorders>
            <w:hideMark/>
          </w:tcPr>
          <w:p w14:paraId="3E259C4C" w14:textId="77777777" w:rsidR="00090683" w:rsidRDefault="00090683" w:rsidP="000B7E9A">
            <w:pPr>
              <w:pStyle w:val="Caption"/>
              <w:rPr>
                <w:lang w:val="en-US"/>
              </w:rPr>
            </w:pPr>
            <w:bookmarkStart w:id="463" w:name="_Ref466642013"/>
            <w:bookmarkStart w:id="464" w:name="_Toc462945933"/>
            <w:bookmarkStart w:id="465" w:name="_Toc463029874"/>
            <w:bookmarkStart w:id="466" w:name="_Toc466655704"/>
            <w:r>
              <w:rPr>
                <w:rStyle w:val="CaptionLabel"/>
                <w:lang w:val="en-US"/>
              </w:rPr>
              <w:t>Figure </w:t>
            </w:r>
            <w:r>
              <w:rPr>
                <w:rStyle w:val="CaptionLabel"/>
                <w:noProof/>
                <w:lang w:val="en-US"/>
              </w:rPr>
              <w:t>9</w:t>
            </w:r>
            <w:r>
              <w:rPr>
                <w:rStyle w:val="CaptionLabel"/>
                <w:lang w:val="en-US"/>
              </w:rPr>
              <w:t>.</w:t>
            </w:r>
            <w:r>
              <w:rPr>
                <w:rStyle w:val="CaptionLabel"/>
                <w:noProof/>
                <w:lang w:val="en-US"/>
              </w:rPr>
              <w:t>16</w:t>
            </w:r>
            <w:bookmarkEnd w:id="463"/>
            <w:r>
              <w:rPr>
                <w:lang w:val="en-US"/>
              </w:rPr>
              <w:tab/>
              <w:t>SEs retention rate relative total retention rate, 2006-201</w:t>
            </w:r>
            <w:bookmarkEnd w:id="464"/>
            <w:bookmarkEnd w:id="465"/>
            <w:r>
              <w:rPr>
                <w:lang w:val="en-US"/>
              </w:rPr>
              <w:t>4</w:t>
            </w:r>
            <w:bookmarkEnd w:id="466"/>
            <w:r>
              <w:rPr>
                <w:lang w:val="en-US"/>
              </w:rPr>
              <w:t xml:space="preserve"> </w:t>
            </w:r>
          </w:p>
        </w:tc>
      </w:tr>
      <w:tr w:rsidR="00090683" w14:paraId="364D818D" w14:textId="77777777" w:rsidTr="000B7E9A">
        <w:trPr>
          <w:cantSplit/>
          <w:trHeight w:val="380"/>
        </w:trPr>
        <w:tc>
          <w:tcPr>
            <w:tcW w:w="8168" w:type="dxa"/>
            <w:tcBorders>
              <w:top w:val="nil"/>
              <w:left w:val="nil"/>
              <w:bottom w:val="single" w:sz="4" w:space="0" w:color="auto"/>
              <w:right w:val="nil"/>
            </w:tcBorders>
            <w:hideMark/>
          </w:tcPr>
          <w:p w14:paraId="7D2CAF49"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08928" behindDoc="0" locked="1" layoutInCell="1" allowOverlap="1" wp14:anchorId="750DEDED" wp14:editId="06E492CD">
                      <wp:simplePos x="0" y="0"/>
                      <wp:positionH relativeFrom="rightMargin">
                        <wp:posOffset>-772795</wp:posOffset>
                      </wp:positionH>
                      <wp:positionV relativeFrom="page">
                        <wp:posOffset>0</wp:posOffset>
                      </wp:positionV>
                      <wp:extent cx="436880" cy="213360"/>
                      <wp:effectExtent l="0" t="0" r="1270" b="0"/>
                      <wp:wrapNone/>
                      <wp:docPr id="881" name="Freeform 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38C412" id="Freeform 881" o:spid="_x0000_s1026" style="position:absolute;margin-left:-60.85pt;margin-top:0;width:34.4pt;height:16.8pt;z-index:251708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WBff33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19034F0B"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566FC5C7" w14:textId="77777777" w:rsidR="00090683" w:rsidRDefault="00090683" w:rsidP="000B7E9A">
            <w:pPr>
              <w:pStyle w:val="Figure"/>
              <w:keepLines/>
              <w:rPr>
                <w:lang w:val="en-US"/>
              </w:rPr>
            </w:pPr>
            <w:r>
              <w:rPr>
                <w:noProof/>
                <w:lang w:eastAsia="en-AU"/>
              </w:rPr>
              <w:drawing>
                <wp:inline distT="0" distB="0" distL="0" distR="0" wp14:anchorId="3255236D" wp14:editId="09E07DAB">
                  <wp:extent cx="5191125" cy="2190750"/>
                  <wp:effectExtent l="0" t="0" r="0" b="0"/>
                  <wp:docPr id="59"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91125" cy="2190750"/>
                          </a:xfrm>
                          <a:prstGeom prst="rect">
                            <a:avLst/>
                          </a:prstGeom>
                          <a:noFill/>
                          <a:ln>
                            <a:noFill/>
                          </a:ln>
                        </pic:spPr>
                      </pic:pic>
                    </a:graphicData>
                  </a:graphic>
                </wp:inline>
              </w:drawing>
            </w:r>
          </w:p>
        </w:tc>
      </w:tr>
      <w:tr w:rsidR="00090683" w14:paraId="6A44DDB9"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2EFC141E" w14:textId="77777777" w:rsidR="00090683" w:rsidRDefault="00090683" w:rsidP="000B7E9A">
            <w:pPr>
              <w:pStyle w:val="Note"/>
              <w:rPr>
                <w:lang w:val="en-US"/>
              </w:rPr>
            </w:pPr>
            <w:r>
              <w:rPr>
                <w:lang w:val="en-US"/>
              </w:rPr>
              <w:t>Note: Total retention rate includes enrolments unable to be classified to a SES grouping</w:t>
            </w:r>
          </w:p>
          <w:p w14:paraId="179C8271" w14:textId="77777777" w:rsidR="00090683" w:rsidRDefault="00090683" w:rsidP="000B7E9A">
            <w:pPr>
              <w:pStyle w:val="Source"/>
              <w:keepLines/>
              <w:rPr>
                <w:lang w:val="en-US"/>
              </w:rPr>
            </w:pPr>
            <w:r>
              <w:rPr>
                <w:lang w:val="en-US"/>
              </w:rPr>
              <w:t>Source: HIGHER EDUCATION STUDENT DATA COLLECTION</w:t>
            </w:r>
          </w:p>
        </w:tc>
      </w:tr>
      <w:tr w:rsidR="00090683" w14:paraId="2CD4FC1F" w14:textId="77777777" w:rsidTr="000B7E9A">
        <w:trPr>
          <w:trHeight w:val="160"/>
        </w:trPr>
        <w:tc>
          <w:tcPr>
            <w:tcW w:w="8168" w:type="dxa"/>
            <w:tcBorders>
              <w:top w:val="single" w:sz="4" w:space="0" w:color="auto"/>
              <w:left w:val="nil"/>
              <w:bottom w:val="nil"/>
              <w:right w:val="nil"/>
            </w:tcBorders>
          </w:tcPr>
          <w:p w14:paraId="6EFAF6A5" w14:textId="77777777" w:rsidR="00090683" w:rsidRDefault="00090683" w:rsidP="000B7E9A">
            <w:pPr>
              <w:pStyle w:val="spacertbl"/>
              <w:rPr>
                <w:lang w:val="en-US"/>
              </w:rPr>
            </w:pPr>
          </w:p>
        </w:tc>
      </w:tr>
    </w:tbl>
    <w:p w14:paraId="01D9058F" w14:textId="77777777" w:rsidR="00090683" w:rsidRDefault="00090683" w:rsidP="00090683">
      <w:pPr>
        <w:pStyle w:val="Heading3"/>
        <w:numPr>
          <w:ilvl w:val="2"/>
          <w:numId w:val="45"/>
        </w:numPr>
        <w:ind w:left="720" w:hanging="720"/>
      </w:pPr>
      <w:r>
        <w:t>Success rates</w:t>
      </w:r>
    </w:p>
    <w:p w14:paraId="7DB6FFAF" w14:textId="77777777" w:rsidR="00090683" w:rsidRPr="003C2A62" w:rsidRDefault="00090683" w:rsidP="00090683">
      <w:pPr>
        <w:pStyle w:val="BodyText"/>
      </w:pPr>
      <w:r>
        <w:t>In university statistics, the term success</w:t>
      </w:r>
      <w:r>
        <w:rPr>
          <w:rStyle w:val="FootnoteReference"/>
        </w:rPr>
        <w:footnoteReference w:id="41"/>
      </w:r>
      <w:r>
        <w:t xml:space="preserve"> refers to the proportion of </w:t>
      </w:r>
      <w:r w:rsidRPr="003C2A62">
        <w:t>subjects</w:t>
      </w:r>
      <w:r>
        <w:t xml:space="preserve"> that</w:t>
      </w:r>
      <w:r w:rsidRPr="003C2A62">
        <w:t xml:space="preserve"> students pass in a year. Low </w:t>
      </w:r>
      <w:r w:rsidRPr="003C2A62">
        <w:rPr>
          <w:caps/>
        </w:rPr>
        <w:t xml:space="preserve">SES </w:t>
      </w:r>
      <w:r w:rsidRPr="003C2A62">
        <w:t xml:space="preserve">success rates </w:t>
      </w:r>
      <w:r>
        <w:t>fell</w:t>
      </w:r>
      <w:r w:rsidRPr="003C2A62">
        <w:t xml:space="preserve"> from 84.3 per cent in 2010 to 82.8 per cent in </w:t>
      </w:r>
      <w:r w:rsidRPr="003C2A62">
        <w:rPr>
          <w:caps/>
        </w:rPr>
        <w:t xml:space="preserve">2015. </w:t>
      </w:r>
      <w:r w:rsidRPr="003C2A62">
        <w:t xml:space="preserve">Other </w:t>
      </w:r>
      <w:r w:rsidRPr="003C2A62">
        <w:rPr>
          <w:caps/>
        </w:rPr>
        <w:t xml:space="preserve">SES </w:t>
      </w:r>
      <w:r w:rsidRPr="003C2A62">
        <w:t>groups have also seen a fall in success rates over this period, although to a lesser extent</w:t>
      </w:r>
      <w:r>
        <w:t xml:space="preserve"> (</w:t>
      </w:r>
      <w:r w:rsidRPr="00AD49C8">
        <w:t>Figure 9.17</w:t>
      </w:r>
      <w:r>
        <w:t>)</w:t>
      </w:r>
      <w:r w:rsidRPr="003C2A62">
        <w:rPr>
          <w:caps/>
        </w:rPr>
        <w:t xml:space="preserve">. </w:t>
      </w:r>
      <w:r>
        <w:t>I</w:t>
      </w:r>
      <w:r w:rsidRPr="003C2A62">
        <w:t xml:space="preserve">t is not clear what is driving the downward trend among the low </w:t>
      </w:r>
      <w:r w:rsidRPr="003C2A62">
        <w:rPr>
          <w:caps/>
        </w:rPr>
        <w:t xml:space="preserve">SES </w:t>
      </w:r>
      <w:r w:rsidRPr="003C2A62">
        <w:t>cohort</w:t>
      </w:r>
      <w:r>
        <w:t>. S</w:t>
      </w:r>
      <w:r w:rsidRPr="003C2A62">
        <w:t xml:space="preserve">ome universities discussed in interviews that the expansion of the higher education sector </w:t>
      </w:r>
      <w:r>
        <w:t xml:space="preserve">coincident with the DDS </w:t>
      </w:r>
      <w:r w:rsidRPr="003C2A62">
        <w:t xml:space="preserve">has changed the composition of the low SES cohort </w:t>
      </w:r>
      <w:r>
        <w:t>(more than it has other cohorts because the low SES cohort has seen a greater increase), although it is not possible to rigorously test this hypothesis</w:t>
      </w:r>
      <w:r w:rsidRPr="003C2A62">
        <w:rPr>
          <w:caps/>
        </w:rPr>
        <w:t xml:space="preserve">.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5A75AB1B" w14:textId="77777777" w:rsidTr="000B7E9A">
        <w:trPr>
          <w:cantSplit/>
          <w:trHeight w:val="160"/>
        </w:trPr>
        <w:tc>
          <w:tcPr>
            <w:tcW w:w="8168" w:type="dxa"/>
            <w:tcBorders>
              <w:top w:val="nil"/>
              <w:left w:val="nil"/>
              <w:bottom w:val="single" w:sz="4" w:space="0" w:color="auto"/>
              <w:right w:val="nil"/>
            </w:tcBorders>
          </w:tcPr>
          <w:p w14:paraId="707BDA61" w14:textId="77777777" w:rsidR="00090683" w:rsidRDefault="00090683" w:rsidP="000B7E9A">
            <w:pPr>
              <w:pStyle w:val="spacer"/>
              <w:rPr>
                <w:lang w:val="en-US"/>
              </w:rPr>
            </w:pPr>
          </w:p>
        </w:tc>
      </w:tr>
      <w:tr w:rsidR="00090683" w14:paraId="6E02D94D" w14:textId="77777777" w:rsidTr="000B7E9A">
        <w:trPr>
          <w:cantSplit/>
        </w:trPr>
        <w:tc>
          <w:tcPr>
            <w:tcW w:w="8168" w:type="dxa"/>
            <w:tcBorders>
              <w:top w:val="single" w:sz="4" w:space="0" w:color="auto"/>
              <w:left w:val="nil"/>
              <w:bottom w:val="nil"/>
              <w:right w:val="nil"/>
            </w:tcBorders>
            <w:hideMark/>
          </w:tcPr>
          <w:p w14:paraId="6F320BFD" w14:textId="77777777" w:rsidR="00090683" w:rsidRDefault="00090683" w:rsidP="000B7E9A">
            <w:pPr>
              <w:pStyle w:val="Caption"/>
              <w:rPr>
                <w:lang w:val="en-US"/>
              </w:rPr>
            </w:pPr>
            <w:bookmarkStart w:id="467" w:name="_Ref466642051"/>
            <w:bookmarkStart w:id="468" w:name="_Toc462945934"/>
            <w:bookmarkStart w:id="469" w:name="_Toc463029875"/>
            <w:bookmarkStart w:id="470" w:name="_Toc466655705"/>
            <w:r>
              <w:rPr>
                <w:rStyle w:val="CaptionLabel"/>
                <w:lang w:val="en-US"/>
              </w:rPr>
              <w:t>Figure </w:t>
            </w:r>
            <w:r>
              <w:rPr>
                <w:rStyle w:val="CaptionLabel"/>
                <w:noProof/>
                <w:lang w:val="en-US"/>
              </w:rPr>
              <w:t>9</w:t>
            </w:r>
            <w:r>
              <w:rPr>
                <w:rStyle w:val="CaptionLabel"/>
                <w:lang w:val="en-US"/>
              </w:rPr>
              <w:t>.</w:t>
            </w:r>
            <w:r>
              <w:rPr>
                <w:rStyle w:val="CaptionLabel"/>
                <w:noProof/>
                <w:lang w:val="en-US"/>
              </w:rPr>
              <w:t>17</w:t>
            </w:r>
            <w:bookmarkEnd w:id="467"/>
            <w:r>
              <w:rPr>
                <w:lang w:val="en-US"/>
              </w:rPr>
              <w:tab/>
              <w:t>Success rate by ses, 2006-2015</w:t>
            </w:r>
            <w:bookmarkEnd w:id="468"/>
            <w:bookmarkEnd w:id="469"/>
            <w:bookmarkEnd w:id="470"/>
            <w:r>
              <w:rPr>
                <w:lang w:val="en-US"/>
              </w:rPr>
              <w:t xml:space="preserve"> </w:t>
            </w:r>
          </w:p>
        </w:tc>
      </w:tr>
      <w:tr w:rsidR="00090683" w14:paraId="75D1B6C9" w14:textId="77777777" w:rsidTr="000B7E9A">
        <w:trPr>
          <w:cantSplit/>
          <w:trHeight w:val="380"/>
        </w:trPr>
        <w:tc>
          <w:tcPr>
            <w:tcW w:w="8168" w:type="dxa"/>
            <w:tcBorders>
              <w:top w:val="nil"/>
              <w:left w:val="nil"/>
              <w:bottom w:val="single" w:sz="4" w:space="0" w:color="auto"/>
              <w:right w:val="nil"/>
            </w:tcBorders>
            <w:hideMark/>
          </w:tcPr>
          <w:p w14:paraId="7E574A7E"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09952" behindDoc="0" locked="1" layoutInCell="1" allowOverlap="1" wp14:anchorId="46EE0206" wp14:editId="0441CFA2">
                      <wp:simplePos x="0" y="0"/>
                      <wp:positionH relativeFrom="rightMargin">
                        <wp:posOffset>-772795</wp:posOffset>
                      </wp:positionH>
                      <wp:positionV relativeFrom="page">
                        <wp:posOffset>0</wp:posOffset>
                      </wp:positionV>
                      <wp:extent cx="436880" cy="213360"/>
                      <wp:effectExtent l="0" t="0" r="1270" b="0"/>
                      <wp:wrapNone/>
                      <wp:docPr id="880" name="Freeform 8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F7924D" id="Freeform 880" o:spid="_x0000_s1026" style="position:absolute;margin-left:-60.85pt;margin-top:0;width:34.4pt;height:16.8pt;z-index:251709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7E571159"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095E3655" w14:textId="77777777" w:rsidR="00090683" w:rsidRDefault="00090683" w:rsidP="000B7E9A">
            <w:pPr>
              <w:pStyle w:val="Figure"/>
              <w:rPr>
                <w:lang w:val="en-US"/>
              </w:rPr>
            </w:pPr>
            <w:r>
              <w:rPr>
                <w:noProof/>
                <w:lang w:eastAsia="en-AU"/>
              </w:rPr>
              <w:drawing>
                <wp:inline distT="0" distB="0" distL="0" distR="0" wp14:anchorId="5E5095B9" wp14:editId="6BC72A67">
                  <wp:extent cx="5200153" cy="2151380"/>
                  <wp:effectExtent l="0" t="0" r="635" b="1270"/>
                  <wp:docPr id="60"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22960" cy="2160815"/>
                          </a:xfrm>
                          <a:prstGeom prst="rect">
                            <a:avLst/>
                          </a:prstGeom>
                          <a:noFill/>
                          <a:ln>
                            <a:noFill/>
                          </a:ln>
                        </pic:spPr>
                      </pic:pic>
                    </a:graphicData>
                  </a:graphic>
                </wp:inline>
              </w:drawing>
            </w:r>
          </w:p>
        </w:tc>
      </w:tr>
      <w:tr w:rsidR="00090683" w14:paraId="05AD8D1A"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6D41858E" w14:textId="77777777" w:rsidR="00090683" w:rsidRDefault="00090683" w:rsidP="000B7E9A">
            <w:pPr>
              <w:pStyle w:val="Source"/>
              <w:rPr>
                <w:lang w:val="en-US"/>
              </w:rPr>
            </w:pPr>
            <w:r w:rsidRPr="00AD49C8">
              <w:rPr>
                <w:lang w:val="en-US"/>
              </w:rPr>
              <w:t>Source: HIGHER EDUCATION STUDENT DATA COLLECTION</w:t>
            </w:r>
          </w:p>
        </w:tc>
      </w:tr>
      <w:tr w:rsidR="00090683" w14:paraId="32BEFE67" w14:textId="77777777" w:rsidTr="000B7E9A">
        <w:trPr>
          <w:trHeight w:val="160"/>
        </w:trPr>
        <w:tc>
          <w:tcPr>
            <w:tcW w:w="8168" w:type="dxa"/>
            <w:tcBorders>
              <w:top w:val="single" w:sz="4" w:space="0" w:color="auto"/>
              <w:left w:val="nil"/>
              <w:bottom w:val="nil"/>
              <w:right w:val="nil"/>
            </w:tcBorders>
          </w:tcPr>
          <w:p w14:paraId="6E0AE34D" w14:textId="77777777" w:rsidR="00090683" w:rsidRDefault="00090683" w:rsidP="000B7E9A">
            <w:pPr>
              <w:pStyle w:val="spacertbl"/>
              <w:rPr>
                <w:lang w:val="en-US"/>
              </w:rPr>
            </w:pPr>
          </w:p>
        </w:tc>
      </w:tr>
    </w:tbl>
    <w:p w14:paraId="643291F4" w14:textId="77777777" w:rsidR="00090683" w:rsidRDefault="00090683" w:rsidP="00090683">
      <w:pPr>
        <w:pStyle w:val="ListBullet"/>
        <w:keepNext/>
        <w:keepLines/>
        <w:numPr>
          <w:ilvl w:val="0"/>
          <w:numId w:val="0"/>
        </w:numPr>
      </w:pPr>
      <w:r>
        <w:t>As a result, the gap between overall success rates and low SES student success rates has increased at a steady pace since 2006 from -2.5 percentage points to -4 percentage points (</w:t>
      </w:r>
      <w:r w:rsidRPr="00AD49C8">
        <w:t>Figure 9.18</w:t>
      </w:r>
      <w:r>
        <w:t>). This gap has been steady for medium SES students, while the gap between high SES students and all students has increased to 2.3 percentage points.</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036FA5C3" w14:textId="77777777" w:rsidTr="000B7E9A">
        <w:trPr>
          <w:cantSplit/>
          <w:trHeight w:val="160"/>
        </w:trPr>
        <w:tc>
          <w:tcPr>
            <w:tcW w:w="8168" w:type="dxa"/>
            <w:tcBorders>
              <w:top w:val="nil"/>
              <w:left w:val="nil"/>
              <w:bottom w:val="single" w:sz="4" w:space="0" w:color="auto"/>
              <w:right w:val="nil"/>
            </w:tcBorders>
          </w:tcPr>
          <w:p w14:paraId="031623FF" w14:textId="77777777" w:rsidR="00090683" w:rsidRDefault="00090683" w:rsidP="000B7E9A">
            <w:pPr>
              <w:pStyle w:val="spacer"/>
              <w:rPr>
                <w:lang w:val="en-US"/>
              </w:rPr>
            </w:pPr>
          </w:p>
        </w:tc>
      </w:tr>
      <w:tr w:rsidR="00090683" w14:paraId="6D1D31DB" w14:textId="77777777" w:rsidTr="000B7E9A">
        <w:trPr>
          <w:cantSplit/>
        </w:trPr>
        <w:tc>
          <w:tcPr>
            <w:tcW w:w="8168" w:type="dxa"/>
            <w:tcBorders>
              <w:top w:val="single" w:sz="4" w:space="0" w:color="auto"/>
              <w:left w:val="nil"/>
              <w:bottom w:val="nil"/>
              <w:right w:val="nil"/>
            </w:tcBorders>
            <w:hideMark/>
          </w:tcPr>
          <w:p w14:paraId="6D36DF30" w14:textId="77777777" w:rsidR="00090683" w:rsidRDefault="00090683" w:rsidP="000B7E9A">
            <w:pPr>
              <w:pStyle w:val="Caption"/>
              <w:rPr>
                <w:lang w:val="en-US"/>
              </w:rPr>
            </w:pPr>
            <w:bookmarkStart w:id="471" w:name="_Ref466642064"/>
            <w:bookmarkStart w:id="472" w:name="_Toc462945935"/>
            <w:bookmarkStart w:id="473" w:name="_Toc463029876"/>
            <w:bookmarkStart w:id="474" w:name="_Toc466655706"/>
            <w:r>
              <w:rPr>
                <w:rStyle w:val="CaptionLabel"/>
                <w:lang w:val="en-US"/>
              </w:rPr>
              <w:t>Figure </w:t>
            </w:r>
            <w:r>
              <w:rPr>
                <w:rStyle w:val="CaptionLabel"/>
                <w:noProof/>
                <w:lang w:val="en-US"/>
              </w:rPr>
              <w:t>9</w:t>
            </w:r>
            <w:r>
              <w:rPr>
                <w:rStyle w:val="CaptionLabel"/>
                <w:lang w:val="en-US"/>
              </w:rPr>
              <w:t>.</w:t>
            </w:r>
            <w:r>
              <w:rPr>
                <w:rStyle w:val="CaptionLabel"/>
                <w:noProof/>
                <w:lang w:val="en-US"/>
              </w:rPr>
              <w:t>18</w:t>
            </w:r>
            <w:bookmarkEnd w:id="471"/>
            <w:r>
              <w:rPr>
                <w:lang w:val="en-US"/>
              </w:rPr>
              <w:tab/>
              <w:t>SEs Success rate relative total success rate, 2006-2015</w:t>
            </w:r>
            <w:bookmarkEnd w:id="472"/>
            <w:bookmarkEnd w:id="473"/>
            <w:bookmarkEnd w:id="474"/>
          </w:p>
        </w:tc>
      </w:tr>
      <w:tr w:rsidR="00090683" w14:paraId="0E0A8651" w14:textId="77777777" w:rsidTr="000B7E9A">
        <w:trPr>
          <w:cantSplit/>
          <w:trHeight w:val="380"/>
        </w:trPr>
        <w:tc>
          <w:tcPr>
            <w:tcW w:w="8168" w:type="dxa"/>
            <w:tcBorders>
              <w:top w:val="nil"/>
              <w:left w:val="nil"/>
              <w:bottom w:val="single" w:sz="4" w:space="0" w:color="auto"/>
              <w:right w:val="nil"/>
            </w:tcBorders>
            <w:hideMark/>
          </w:tcPr>
          <w:p w14:paraId="140E922D"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10976" behindDoc="0" locked="1" layoutInCell="1" allowOverlap="1" wp14:anchorId="35AA591C" wp14:editId="52B2A63B">
                      <wp:simplePos x="0" y="0"/>
                      <wp:positionH relativeFrom="rightMargin">
                        <wp:posOffset>-772795</wp:posOffset>
                      </wp:positionH>
                      <wp:positionV relativeFrom="page">
                        <wp:posOffset>0</wp:posOffset>
                      </wp:positionV>
                      <wp:extent cx="436880" cy="213360"/>
                      <wp:effectExtent l="0" t="0" r="1270" b="0"/>
                      <wp:wrapNone/>
                      <wp:docPr id="879" name="Freeform 8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838F24" id="Freeform 879" o:spid="_x0000_s1026" style="position:absolute;margin-left:-60.85pt;margin-top:0;width:34.4pt;height:16.8pt;z-index:251710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LdXpyF/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6969753C"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44CF8D38" w14:textId="77777777" w:rsidR="00090683" w:rsidRDefault="00090683" w:rsidP="000B7E9A">
            <w:pPr>
              <w:pStyle w:val="Figure"/>
              <w:keepLines/>
              <w:rPr>
                <w:lang w:val="en-US"/>
              </w:rPr>
            </w:pPr>
            <w:r>
              <w:rPr>
                <w:noProof/>
                <w:lang w:eastAsia="en-AU"/>
              </w:rPr>
              <w:drawing>
                <wp:inline distT="0" distB="0" distL="0" distR="0" wp14:anchorId="430BBDD3" wp14:editId="2AA0062B">
                  <wp:extent cx="5191125" cy="2190750"/>
                  <wp:effectExtent l="0" t="0" r="0" b="0"/>
                  <wp:docPr id="61"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91125" cy="2190750"/>
                          </a:xfrm>
                          <a:prstGeom prst="rect">
                            <a:avLst/>
                          </a:prstGeom>
                          <a:noFill/>
                          <a:ln>
                            <a:noFill/>
                          </a:ln>
                        </pic:spPr>
                      </pic:pic>
                    </a:graphicData>
                  </a:graphic>
                </wp:inline>
              </w:drawing>
            </w:r>
          </w:p>
        </w:tc>
      </w:tr>
      <w:tr w:rsidR="00090683" w14:paraId="6456223F"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tcPr>
          <w:p w14:paraId="0DC35B1D" w14:textId="77777777" w:rsidR="00090683" w:rsidRDefault="00090683" w:rsidP="000B7E9A">
            <w:pPr>
              <w:pStyle w:val="Note"/>
              <w:rPr>
                <w:lang w:val="en-US"/>
              </w:rPr>
            </w:pPr>
            <w:r>
              <w:rPr>
                <w:lang w:val="en-US"/>
              </w:rPr>
              <w:t xml:space="preserve">Note: Total success rate includes enrolments unable to be classified to a SES grouping. </w:t>
            </w:r>
          </w:p>
          <w:p w14:paraId="1A8B129F" w14:textId="77777777" w:rsidR="00090683" w:rsidRPr="00E663EF" w:rsidRDefault="00090683" w:rsidP="000B7E9A">
            <w:pPr>
              <w:pStyle w:val="Note"/>
              <w:rPr>
                <w:lang w:val="en-US"/>
              </w:rPr>
            </w:pPr>
            <w:r w:rsidRPr="00AD49C8">
              <w:rPr>
                <w:i/>
                <w:caps/>
                <w:lang w:val="en-US"/>
              </w:rPr>
              <w:t>SOURCE: HIGHER EDUCATION STUDENT DATA COLLECTION</w:t>
            </w:r>
          </w:p>
        </w:tc>
      </w:tr>
      <w:tr w:rsidR="00090683" w14:paraId="7E1503F2" w14:textId="77777777" w:rsidTr="000B7E9A">
        <w:trPr>
          <w:trHeight w:val="160"/>
        </w:trPr>
        <w:tc>
          <w:tcPr>
            <w:tcW w:w="8168" w:type="dxa"/>
            <w:tcBorders>
              <w:top w:val="single" w:sz="4" w:space="0" w:color="auto"/>
              <w:left w:val="nil"/>
              <w:bottom w:val="nil"/>
              <w:right w:val="nil"/>
            </w:tcBorders>
          </w:tcPr>
          <w:p w14:paraId="576CA579" w14:textId="77777777" w:rsidR="00090683" w:rsidRDefault="00090683" w:rsidP="000B7E9A">
            <w:pPr>
              <w:pStyle w:val="spacertbl"/>
              <w:rPr>
                <w:lang w:val="en-US"/>
              </w:rPr>
            </w:pPr>
          </w:p>
        </w:tc>
      </w:tr>
    </w:tbl>
    <w:p w14:paraId="074557D3" w14:textId="77777777" w:rsidR="00090683" w:rsidRDefault="00090683" w:rsidP="00090683">
      <w:pPr>
        <w:pStyle w:val="Heading3"/>
        <w:numPr>
          <w:ilvl w:val="2"/>
          <w:numId w:val="45"/>
        </w:numPr>
        <w:ind w:left="720" w:hanging="720"/>
      </w:pPr>
      <w:r>
        <w:t>Completions rate analysis</w:t>
      </w:r>
    </w:p>
    <w:p w14:paraId="0A46E557" w14:textId="77777777" w:rsidR="00090683" w:rsidRDefault="00090683" w:rsidP="00090683">
      <w:pPr>
        <w:pStyle w:val="BodyText"/>
      </w:pPr>
      <w:r>
        <w:t>The analysis of higher education course completions examines cohorts of students commencing in a given year, and assigns each student to one of four categories at a defined period post</w:t>
      </w:r>
      <w:r>
        <w:noBreakHyphen/>
        <w:t>commencement (normally a minimum of four years). The four categories are:</w:t>
      </w:r>
    </w:p>
    <w:p w14:paraId="5CD8EA1C" w14:textId="77777777" w:rsidR="00090683" w:rsidRDefault="00090683" w:rsidP="00090683">
      <w:pPr>
        <w:pStyle w:val="ListBullet"/>
        <w:numPr>
          <w:ilvl w:val="0"/>
          <w:numId w:val="46"/>
        </w:numPr>
      </w:pPr>
      <w:r>
        <w:t>Completed. The proportion of students who have completed their course; also called the completion rate.</w:t>
      </w:r>
      <w:r>
        <w:rPr>
          <w:rStyle w:val="FootnoteReference"/>
        </w:rPr>
        <w:footnoteReference w:id="42"/>
      </w:r>
      <w:r>
        <w:t xml:space="preserve"> </w:t>
      </w:r>
    </w:p>
    <w:p w14:paraId="089A1429" w14:textId="77777777" w:rsidR="00090683" w:rsidRDefault="00090683" w:rsidP="00090683">
      <w:pPr>
        <w:pStyle w:val="ListBullet"/>
        <w:numPr>
          <w:ilvl w:val="0"/>
          <w:numId w:val="46"/>
        </w:numPr>
      </w:pPr>
      <w:r>
        <w:t>Still enrolled. The proportion of students still enrolled at university.</w:t>
      </w:r>
    </w:p>
    <w:p w14:paraId="1A041029" w14:textId="77777777" w:rsidR="00090683" w:rsidRDefault="00090683" w:rsidP="00090683">
      <w:pPr>
        <w:pStyle w:val="ListBullet"/>
        <w:numPr>
          <w:ilvl w:val="0"/>
          <w:numId w:val="46"/>
        </w:numPr>
      </w:pPr>
      <w:r>
        <w:t>Re-enrolled but dropped out. The proportion of students who came back some time after their first year but then dropped out.</w:t>
      </w:r>
    </w:p>
    <w:p w14:paraId="28ECAF44" w14:textId="77777777" w:rsidR="00090683" w:rsidRDefault="00090683" w:rsidP="00090683">
      <w:pPr>
        <w:pStyle w:val="ListBullet"/>
        <w:numPr>
          <w:ilvl w:val="0"/>
          <w:numId w:val="46"/>
        </w:numPr>
      </w:pPr>
      <w:r>
        <w:t>Never came back after first year. The proportion of students who dropped out before beginning their second year and never returned.</w:t>
      </w:r>
    </w:p>
    <w:p w14:paraId="1B0C8A4A" w14:textId="77777777" w:rsidR="00090683" w:rsidRDefault="00090683" w:rsidP="00090683">
      <w:pPr>
        <w:pStyle w:val="ListBullet"/>
        <w:numPr>
          <w:ilvl w:val="0"/>
          <w:numId w:val="46"/>
        </w:numPr>
      </w:pPr>
      <w:r>
        <w:t xml:space="preserve">The methodology tracking student completions allows for students to change course and still be counted as completed if they have finished an award course. The course completion may not necessarily be at the same course level, within the same field of education or at the same institution. The Department advises that this methodology captures the greatest number of completions possible and, as such, is an accurate measure of students’ completion rate. </w:t>
      </w:r>
    </w:p>
    <w:p w14:paraId="4B21F068" w14:textId="77777777" w:rsidR="00090683" w:rsidRDefault="00090683" w:rsidP="00090683">
      <w:pPr>
        <w:pStyle w:val="ListBullet"/>
        <w:numPr>
          <w:ilvl w:val="0"/>
          <w:numId w:val="46"/>
        </w:numPr>
      </w:pPr>
      <w:r>
        <w:t>For each increase in time period over which completions are measured, there is an increase in the proportion of students who have completed. The Department advises that it has been established that the vast majority of students who complete a course have done so after nine years. Although the proportion of students who have completed a course after four years is less than 50 per cent, this data provides an early outcome assessment of more recent student cohorts.</w:t>
      </w:r>
    </w:p>
    <w:p w14:paraId="7010901C" w14:textId="77777777" w:rsidR="00090683" w:rsidRDefault="00090683" w:rsidP="00090683">
      <w:pPr>
        <w:pStyle w:val="BodyText"/>
      </w:pPr>
      <w:r>
        <w:t xml:space="preserve">The most recent student cohort that can be analysed commenced in 2011 (2014 is the latest year for which data are available, and 2011 is four years prior to 2014). Considering the HEPPP was first introduced in 2010, and full-scale implementation at the university-level was only reached in 2012, the analysis presented below is unlikely to capture many potential HEPPP impacts. The analysis is included for comprehensiveness and to provide a trend and baseline against which HEPPP can be assessed in the future. </w:t>
      </w:r>
    </w:p>
    <w:p w14:paraId="46756334" w14:textId="77777777" w:rsidR="00090683" w:rsidRDefault="00090683" w:rsidP="00090683">
      <w:bookmarkStart w:id="475" w:name="_Toc462945894"/>
      <w:r>
        <w:t>Completion rates are correlated with SES status—based on the 2011 commencement cohort, low SES students have lower four year completion rates, and higher first year dropout rates compared to total and medium and high SES students (</w:t>
      </w:r>
      <w:r w:rsidRPr="00AD49C8">
        <w:t>Figure 9.19</w:t>
      </w:r>
      <w:r>
        <w:t xml:space="preserve">). Low SES students are also more likely to drop out in first or subsequent years than medium and high SES students.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5C8F979A" w14:textId="77777777" w:rsidTr="000B7E9A">
        <w:trPr>
          <w:cantSplit/>
          <w:trHeight w:val="160"/>
        </w:trPr>
        <w:tc>
          <w:tcPr>
            <w:tcW w:w="8168" w:type="dxa"/>
            <w:tcBorders>
              <w:top w:val="nil"/>
              <w:left w:val="nil"/>
              <w:bottom w:val="single" w:sz="4" w:space="0" w:color="auto"/>
              <w:right w:val="nil"/>
            </w:tcBorders>
          </w:tcPr>
          <w:p w14:paraId="206BA46C" w14:textId="77777777" w:rsidR="00090683" w:rsidRDefault="00090683" w:rsidP="000B7E9A">
            <w:pPr>
              <w:pStyle w:val="spacer"/>
              <w:rPr>
                <w:lang w:val="en-US"/>
              </w:rPr>
            </w:pPr>
            <w:bookmarkStart w:id="476" w:name="_Ref465778931"/>
            <w:bookmarkStart w:id="477" w:name="_Toc453603854"/>
          </w:p>
        </w:tc>
      </w:tr>
      <w:tr w:rsidR="00090683" w14:paraId="27A6B5C6" w14:textId="77777777" w:rsidTr="000B7E9A">
        <w:trPr>
          <w:cantSplit/>
        </w:trPr>
        <w:tc>
          <w:tcPr>
            <w:tcW w:w="8168" w:type="dxa"/>
            <w:tcBorders>
              <w:top w:val="single" w:sz="4" w:space="0" w:color="auto"/>
              <w:left w:val="nil"/>
              <w:bottom w:val="nil"/>
              <w:right w:val="nil"/>
            </w:tcBorders>
            <w:hideMark/>
          </w:tcPr>
          <w:p w14:paraId="0BB7DD05" w14:textId="77777777" w:rsidR="00090683" w:rsidRDefault="00090683" w:rsidP="000B7E9A">
            <w:pPr>
              <w:pStyle w:val="Caption"/>
              <w:rPr>
                <w:lang w:val="en-US"/>
              </w:rPr>
            </w:pPr>
            <w:bookmarkStart w:id="478" w:name="_Ref466287710"/>
            <w:bookmarkStart w:id="479" w:name="_Toc466655707"/>
            <w:r>
              <w:rPr>
                <w:rStyle w:val="CaptionLabel"/>
                <w:lang w:val="en-US"/>
              </w:rPr>
              <w:t xml:space="preserve">Figure </w:t>
            </w:r>
            <w:r>
              <w:rPr>
                <w:rStyle w:val="CaptionLabel"/>
                <w:noProof/>
                <w:lang w:val="en-US"/>
              </w:rPr>
              <w:t>9</w:t>
            </w:r>
            <w:r>
              <w:rPr>
                <w:rStyle w:val="CaptionLabel"/>
                <w:lang w:val="en-US"/>
              </w:rPr>
              <w:t>.</w:t>
            </w:r>
            <w:r>
              <w:rPr>
                <w:rStyle w:val="CaptionLabel"/>
                <w:noProof/>
                <w:lang w:val="en-US"/>
              </w:rPr>
              <w:t>19</w:t>
            </w:r>
            <w:bookmarkEnd w:id="476"/>
            <w:bookmarkEnd w:id="478"/>
            <w:r>
              <w:rPr>
                <w:lang w:val="en-US"/>
              </w:rPr>
              <w:tab/>
              <w:t xml:space="preserve">COMPLETIONS ANALYSis for students commencing in 2011, </w:t>
            </w:r>
            <w:bookmarkEnd w:id="477"/>
            <w:r>
              <w:rPr>
                <w:lang w:val="en-US"/>
              </w:rPr>
              <w:t>by SES</w:t>
            </w:r>
            <w:bookmarkEnd w:id="479"/>
          </w:p>
        </w:tc>
      </w:tr>
      <w:tr w:rsidR="00090683" w14:paraId="09C8C647" w14:textId="77777777" w:rsidTr="000B7E9A">
        <w:trPr>
          <w:cantSplit/>
          <w:trHeight w:val="380"/>
        </w:trPr>
        <w:tc>
          <w:tcPr>
            <w:tcW w:w="8168" w:type="dxa"/>
            <w:tcBorders>
              <w:top w:val="nil"/>
              <w:left w:val="nil"/>
              <w:bottom w:val="single" w:sz="4" w:space="0" w:color="auto"/>
              <w:right w:val="nil"/>
            </w:tcBorders>
            <w:hideMark/>
          </w:tcPr>
          <w:p w14:paraId="4198462B"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17120" behindDoc="0" locked="1" layoutInCell="1" allowOverlap="1" wp14:anchorId="678F7CA8" wp14:editId="58196634">
                      <wp:simplePos x="0" y="0"/>
                      <wp:positionH relativeFrom="rightMargin">
                        <wp:posOffset>-772795</wp:posOffset>
                      </wp:positionH>
                      <wp:positionV relativeFrom="page">
                        <wp:posOffset>0</wp:posOffset>
                      </wp:positionV>
                      <wp:extent cx="436880" cy="213360"/>
                      <wp:effectExtent l="0" t="0" r="1270" b="0"/>
                      <wp:wrapNone/>
                      <wp:docPr id="877" name="Freeform 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741143" id="Freeform 877" o:spid="_x0000_s1026" style="position:absolute;margin-left:-60.85pt;margin-top:0;width:34.4pt;height:16.8pt;z-index:251717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MTo47n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0B6D03D4"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766B3F6C" w14:textId="77777777" w:rsidR="00090683" w:rsidRDefault="00090683" w:rsidP="000B7E9A">
            <w:pPr>
              <w:pStyle w:val="Figure"/>
              <w:rPr>
                <w:lang w:val="en-US"/>
              </w:rPr>
            </w:pPr>
            <w:r w:rsidRPr="00EB1126">
              <w:rPr>
                <w:noProof/>
                <w:lang w:eastAsia="en-AU"/>
              </w:rPr>
              <w:drawing>
                <wp:inline distT="0" distB="0" distL="0" distR="0" wp14:anchorId="62444215" wp14:editId="6172B6C6">
                  <wp:extent cx="5142865" cy="2186940"/>
                  <wp:effectExtent l="0" t="0" r="635" b="381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42865" cy="2186940"/>
                          </a:xfrm>
                          <a:prstGeom prst="rect">
                            <a:avLst/>
                          </a:prstGeom>
                          <a:noFill/>
                          <a:ln>
                            <a:noFill/>
                          </a:ln>
                        </pic:spPr>
                      </pic:pic>
                    </a:graphicData>
                  </a:graphic>
                </wp:inline>
              </w:drawing>
            </w:r>
          </w:p>
        </w:tc>
      </w:tr>
      <w:tr w:rsidR="00090683" w14:paraId="34E50066"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70389D93" w14:textId="77777777" w:rsidR="00090683" w:rsidRDefault="00090683" w:rsidP="000B7E9A">
            <w:pPr>
              <w:pStyle w:val="Note"/>
              <w:rPr>
                <w:lang w:val="en-US"/>
              </w:rPr>
            </w:pPr>
            <w:r>
              <w:rPr>
                <w:lang w:val="en-US"/>
              </w:rPr>
              <w:t>Note: Low SES postcode measure is based on the students' postcode of permanent home residence, with the SES value derived from the 2006 SEIFA EOI. This chart shows one, four year cohort.</w:t>
            </w:r>
          </w:p>
          <w:p w14:paraId="47020E22" w14:textId="77777777" w:rsidR="00090683" w:rsidRDefault="00090683" w:rsidP="000B7E9A">
            <w:pPr>
              <w:pStyle w:val="Source"/>
              <w:rPr>
                <w:lang w:val="en-US"/>
              </w:rPr>
            </w:pPr>
            <w:r>
              <w:rPr>
                <w:lang w:val="en-US"/>
              </w:rPr>
              <w:t xml:space="preserve">Source: Department of education and training, cohort analysis </w:t>
            </w:r>
          </w:p>
        </w:tc>
      </w:tr>
      <w:tr w:rsidR="00090683" w14:paraId="39A823B8" w14:textId="77777777" w:rsidTr="000B7E9A">
        <w:trPr>
          <w:trHeight w:val="160"/>
        </w:trPr>
        <w:tc>
          <w:tcPr>
            <w:tcW w:w="8168" w:type="dxa"/>
            <w:tcBorders>
              <w:top w:val="single" w:sz="4" w:space="0" w:color="auto"/>
              <w:left w:val="nil"/>
              <w:bottom w:val="nil"/>
              <w:right w:val="nil"/>
            </w:tcBorders>
          </w:tcPr>
          <w:p w14:paraId="504D1EEC" w14:textId="77777777" w:rsidR="00090683" w:rsidRDefault="00090683" w:rsidP="000B7E9A">
            <w:pPr>
              <w:pStyle w:val="spacertbl"/>
              <w:rPr>
                <w:lang w:val="en-US"/>
              </w:rPr>
            </w:pPr>
          </w:p>
        </w:tc>
      </w:tr>
    </w:tbl>
    <w:p w14:paraId="026F1779" w14:textId="77777777" w:rsidR="00090683" w:rsidRDefault="00090683" w:rsidP="00090683">
      <w:r>
        <w:t>Over the last seven years of cohorts for which data are available, low SES students’ completion rates have dropped from 45 per cent to 41 per cent (</w:t>
      </w:r>
      <w:r w:rsidRPr="00AD49C8">
        <w:t>Figure 9.20</w:t>
      </w:r>
      <w:r>
        <w:t>). This change has led primarily to a greater proportion of low SES students being still enrolled after four years, although there has also been an increase in students dropping out after in their second, third or fourth year.</w:t>
      </w:r>
      <w:r>
        <w:rPr>
          <w:rStyle w:val="FootnoteReference"/>
        </w:rPr>
        <w:footnoteReference w:id="43"/>
      </w:r>
      <w:r>
        <w:t xml:space="preserve"> In the increase in students still enrolled after four years is consistent with medium and high SES students and is likely due to an increase in part time students, and mature age students who are more likely to defer their studies for employment and family commitments.</w:t>
      </w:r>
      <w:r>
        <w:rPr>
          <w:rStyle w:val="FootnoteReference"/>
        </w:rPr>
        <w:footnoteReference w:id="44"/>
      </w:r>
      <w:r>
        <w:t xml:space="preserve">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202B581A" w14:textId="77777777" w:rsidTr="000B7E9A">
        <w:trPr>
          <w:cantSplit/>
          <w:trHeight w:val="160"/>
        </w:trPr>
        <w:tc>
          <w:tcPr>
            <w:tcW w:w="8168" w:type="dxa"/>
            <w:tcBorders>
              <w:top w:val="nil"/>
              <w:left w:val="nil"/>
              <w:bottom w:val="single" w:sz="4" w:space="0" w:color="auto"/>
              <w:right w:val="nil"/>
            </w:tcBorders>
          </w:tcPr>
          <w:p w14:paraId="7AE43753" w14:textId="77777777" w:rsidR="00090683" w:rsidRDefault="00090683" w:rsidP="000B7E9A">
            <w:pPr>
              <w:pStyle w:val="spacer"/>
              <w:rPr>
                <w:lang w:val="en-US"/>
              </w:rPr>
            </w:pPr>
            <w:bookmarkStart w:id="480" w:name="_Ref453335191"/>
            <w:bookmarkStart w:id="481" w:name="_Toc453603855"/>
          </w:p>
        </w:tc>
      </w:tr>
      <w:tr w:rsidR="00090683" w14:paraId="54D81097" w14:textId="77777777" w:rsidTr="000B7E9A">
        <w:trPr>
          <w:cantSplit/>
        </w:trPr>
        <w:tc>
          <w:tcPr>
            <w:tcW w:w="8168" w:type="dxa"/>
            <w:tcBorders>
              <w:top w:val="single" w:sz="4" w:space="0" w:color="auto"/>
              <w:left w:val="nil"/>
              <w:bottom w:val="nil"/>
              <w:right w:val="nil"/>
            </w:tcBorders>
            <w:hideMark/>
          </w:tcPr>
          <w:p w14:paraId="39DFAC0C" w14:textId="77777777" w:rsidR="00090683" w:rsidRDefault="00090683" w:rsidP="000B7E9A">
            <w:pPr>
              <w:pStyle w:val="Caption"/>
              <w:rPr>
                <w:lang w:val="en-US"/>
              </w:rPr>
            </w:pPr>
            <w:bookmarkStart w:id="482" w:name="_Ref466287741"/>
            <w:bookmarkStart w:id="483" w:name="_Toc466655708"/>
            <w:r>
              <w:rPr>
                <w:rStyle w:val="CaptionLabel"/>
                <w:lang w:val="en-US"/>
              </w:rPr>
              <w:t xml:space="preserve">Figure </w:t>
            </w:r>
            <w:r>
              <w:rPr>
                <w:rStyle w:val="CaptionLabel"/>
                <w:noProof/>
                <w:lang w:val="en-US"/>
              </w:rPr>
              <w:t>9</w:t>
            </w:r>
            <w:r>
              <w:rPr>
                <w:rStyle w:val="CaptionLabel"/>
                <w:lang w:val="en-US"/>
              </w:rPr>
              <w:t>.</w:t>
            </w:r>
            <w:r>
              <w:rPr>
                <w:rStyle w:val="CaptionLabel"/>
                <w:noProof/>
                <w:lang w:val="en-US"/>
              </w:rPr>
              <w:t>20</w:t>
            </w:r>
            <w:bookmarkEnd w:id="480"/>
            <w:bookmarkEnd w:id="482"/>
            <w:r>
              <w:rPr>
                <w:lang w:val="en-US"/>
              </w:rPr>
              <w:tab/>
              <w:t>completions ANALYSIS for Low SES students, 2005-08 to 2011-1</w:t>
            </w:r>
            <w:bookmarkEnd w:id="481"/>
            <w:bookmarkEnd w:id="483"/>
            <w:r>
              <w:rPr>
                <w:lang w:val="en-US"/>
              </w:rPr>
              <w:t xml:space="preserve">4 </w:t>
            </w:r>
          </w:p>
        </w:tc>
      </w:tr>
      <w:tr w:rsidR="00090683" w14:paraId="4D30D99C" w14:textId="77777777" w:rsidTr="000B7E9A">
        <w:trPr>
          <w:cantSplit/>
          <w:trHeight w:val="380"/>
        </w:trPr>
        <w:tc>
          <w:tcPr>
            <w:tcW w:w="8168" w:type="dxa"/>
            <w:tcBorders>
              <w:top w:val="nil"/>
              <w:left w:val="nil"/>
              <w:bottom w:val="single" w:sz="4" w:space="0" w:color="auto"/>
              <w:right w:val="nil"/>
            </w:tcBorders>
            <w:hideMark/>
          </w:tcPr>
          <w:p w14:paraId="00014E98"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16096" behindDoc="0" locked="1" layoutInCell="1" allowOverlap="1" wp14:anchorId="1D7B7B57" wp14:editId="08DABAA0">
                      <wp:simplePos x="0" y="0"/>
                      <wp:positionH relativeFrom="rightMargin">
                        <wp:posOffset>-772795</wp:posOffset>
                      </wp:positionH>
                      <wp:positionV relativeFrom="page">
                        <wp:posOffset>0</wp:posOffset>
                      </wp:positionV>
                      <wp:extent cx="436880" cy="213360"/>
                      <wp:effectExtent l="0" t="0" r="1270" b="0"/>
                      <wp:wrapNone/>
                      <wp:docPr id="876" name="Freeform 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87D581" id="Freeform 876" o:spid="_x0000_s1026" style="position:absolute;margin-left:-60.85pt;margin-top:0;width:34.4pt;height:16.8pt;z-index:251716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BywzPl/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6CC5197B"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66191EF2" w14:textId="77777777" w:rsidR="00090683" w:rsidRDefault="00090683" w:rsidP="000B7E9A">
            <w:pPr>
              <w:pStyle w:val="Figure"/>
              <w:rPr>
                <w:lang w:val="en-US"/>
              </w:rPr>
            </w:pPr>
            <w:r w:rsidRPr="00EB1126">
              <w:rPr>
                <w:noProof/>
                <w:lang w:eastAsia="en-AU"/>
              </w:rPr>
              <w:drawing>
                <wp:inline distT="0" distB="0" distL="0" distR="0" wp14:anchorId="5E0007D9" wp14:editId="4A3646CB">
                  <wp:extent cx="5215890" cy="2216785"/>
                  <wp:effectExtent l="0" t="0" r="381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15890" cy="2216785"/>
                          </a:xfrm>
                          <a:prstGeom prst="rect">
                            <a:avLst/>
                          </a:prstGeom>
                          <a:noFill/>
                          <a:ln>
                            <a:noFill/>
                          </a:ln>
                        </pic:spPr>
                      </pic:pic>
                    </a:graphicData>
                  </a:graphic>
                </wp:inline>
              </w:drawing>
            </w:r>
          </w:p>
        </w:tc>
      </w:tr>
      <w:tr w:rsidR="00090683" w14:paraId="417AF12C"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606F6F47" w14:textId="77777777" w:rsidR="00090683" w:rsidRDefault="00090683" w:rsidP="000B7E9A">
            <w:pPr>
              <w:pStyle w:val="Note"/>
              <w:rPr>
                <w:lang w:val="en-US"/>
              </w:rPr>
            </w:pPr>
            <w:r>
              <w:rPr>
                <w:lang w:val="en-US"/>
              </w:rPr>
              <w:t xml:space="preserve">Note: Low SES postcode measure is based on the students' postcode of permanent home residence, with the SES value derived from the 2006 SEIFA EOI. This chart shows eight, four year cohorts. </w:t>
            </w:r>
          </w:p>
          <w:p w14:paraId="2E0CF0B4" w14:textId="77777777" w:rsidR="00090683" w:rsidRDefault="00090683" w:rsidP="000B7E9A">
            <w:pPr>
              <w:pStyle w:val="Source"/>
              <w:rPr>
                <w:lang w:val="en-US"/>
              </w:rPr>
            </w:pPr>
            <w:r w:rsidRPr="00AD49C8">
              <w:rPr>
                <w:lang w:val="en-US"/>
              </w:rPr>
              <w:t>Source: Department of education and training, cohort analysis 2005-2015</w:t>
            </w:r>
          </w:p>
        </w:tc>
      </w:tr>
      <w:tr w:rsidR="00090683" w14:paraId="5087F58C" w14:textId="77777777" w:rsidTr="000B7E9A">
        <w:trPr>
          <w:trHeight w:val="160"/>
        </w:trPr>
        <w:tc>
          <w:tcPr>
            <w:tcW w:w="8168" w:type="dxa"/>
            <w:tcBorders>
              <w:top w:val="single" w:sz="4" w:space="0" w:color="auto"/>
              <w:left w:val="nil"/>
              <w:bottom w:val="nil"/>
              <w:right w:val="nil"/>
            </w:tcBorders>
          </w:tcPr>
          <w:p w14:paraId="2482FF46" w14:textId="77777777" w:rsidR="00090683" w:rsidRDefault="00090683" w:rsidP="000B7E9A">
            <w:pPr>
              <w:pStyle w:val="spacertbl"/>
              <w:rPr>
                <w:lang w:val="en-US"/>
              </w:rPr>
            </w:pPr>
          </w:p>
        </w:tc>
      </w:tr>
    </w:tbl>
    <w:p w14:paraId="0AE3E2E4" w14:textId="77777777" w:rsidR="00090683" w:rsidRDefault="00090683" w:rsidP="00090683">
      <w:pPr>
        <w:pStyle w:val="BodyText"/>
      </w:pPr>
      <w:r>
        <w:t xml:space="preserve">Completions analysis shows the gap between low SES, and medium and high SES students widening since the 2005 commencing cohort. In the completion rate of the 2005 cohort was 4 percentage points lower for low SES students than high SES students, and by the 2011 cohort this gap had widened to 7 percentage points; the gap between low and medium SES rose from 2 to 4 percentage points over this time. </w:t>
      </w:r>
    </w:p>
    <w:p w14:paraId="6383EEF0" w14:textId="77777777" w:rsidR="00090683" w:rsidRDefault="00090683" w:rsidP="00090683">
      <w:pPr>
        <w:pStyle w:val="BodyText"/>
      </w:pPr>
      <w:r>
        <w:t xml:space="preserve">There has been an increase across all SES groups in the proportion of students still enrolled after four years. To account for this, </w:t>
      </w:r>
      <w:r w:rsidRPr="00AD49C8">
        <w:t>Figure 9.21</w:t>
      </w:r>
      <w:r>
        <w:rPr>
          <w:caps/>
        </w:rPr>
        <w:t xml:space="preserve"> </w:t>
      </w:r>
      <w:r>
        <w:t>shows</w:t>
      </w:r>
      <w:r>
        <w:rPr>
          <w:i/>
          <w:caps/>
        </w:rPr>
        <w:t xml:space="preserve"> </w:t>
      </w:r>
      <w:r w:rsidRPr="002810F1">
        <w:t xml:space="preserve">the proportion of students by </w:t>
      </w:r>
      <w:r>
        <w:t>SES</w:t>
      </w:r>
      <w:r w:rsidRPr="002810F1">
        <w:t xml:space="preserve"> group who have completed their course or are still enrolled</w:t>
      </w:r>
      <w:r>
        <w:t>—i</w:t>
      </w:r>
      <w:r w:rsidRPr="002810F1">
        <w:t xml:space="preserve">n effect it shows the proportion of students who have </w:t>
      </w:r>
      <w:r>
        <w:t xml:space="preserve">not </w:t>
      </w:r>
      <w:r w:rsidRPr="002810F1">
        <w:t xml:space="preserve">dropped out within four years of commencing. </w:t>
      </w:r>
      <w:r>
        <w:rPr>
          <w:caps/>
        </w:rPr>
        <w:t>T</w:t>
      </w:r>
      <w:r>
        <w:t xml:space="preserve">he analysis </w:t>
      </w:r>
      <w:r w:rsidRPr="002810F1">
        <w:t xml:space="preserve">shows a gap between the </w:t>
      </w:r>
      <w:r>
        <w:t>SES</w:t>
      </w:r>
      <w:r w:rsidRPr="002810F1">
        <w:t xml:space="preserve"> groups, and that this gap is widening. Consultations for this evaluation did not shed light on potential drivers for this trend.</w:t>
      </w:r>
      <w:r>
        <w:rPr>
          <w:i/>
        </w:rPr>
        <w:t xml:space="preserve">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569463C8" w14:textId="77777777" w:rsidTr="000B7E9A">
        <w:trPr>
          <w:cantSplit/>
          <w:trHeight w:val="160"/>
        </w:trPr>
        <w:tc>
          <w:tcPr>
            <w:tcW w:w="8168" w:type="dxa"/>
            <w:tcBorders>
              <w:top w:val="nil"/>
              <w:left w:val="nil"/>
              <w:bottom w:val="single" w:sz="4" w:space="0" w:color="auto"/>
              <w:right w:val="nil"/>
            </w:tcBorders>
          </w:tcPr>
          <w:p w14:paraId="57724A2C" w14:textId="77777777" w:rsidR="00090683" w:rsidRDefault="00090683" w:rsidP="000B7E9A">
            <w:pPr>
              <w:pStyle w:val="spacer"/>
              <w:rPr>
                <w:lang w:val="en-US"/>
              </w:rPr>
            </w:pPr>
          </w:p>
        </w:tc>
      </w:tr>
      <w:tr w:rsidR="00090683" w14:paraId="3C303F41" w14:textId="77777777" w:rsidTr="000B7E9A">
        <w:trPr>
          <w:cantSplit/>
        </w:trPr>
        <w:tc>
          <w:tcPr>
            <w:tcW w:w="8168" w:type="dxa"/>
            <w:tcBorders>
              <w:top w:val="single" w:sz="4" w:space="0" w:color="auto"/>
              <w:left w:val="nil"/>
              <w:bottom w:val="nil"/>
              <w:right w:val="nil"/>
            </w:tcBorders>
            <w:hideMark/>
          </w:tcPr>
          <w:p w14:paraId="15C4DBC8" w14:textId="77777777" w:rsidR="00090683" w:rsidRDefault="00090683" w:rsidP="000B7E9A">
            <w:pPr>
              <w:pStyle w:val="Caption"/>
              <w:rPr>
                <w:lang w:val="en-US"/>
              </w:rPr>
            </w:pPr>
            <w:bookmarkStart w:id="484" w:name="_Ref466064738"/>
            <w:bookmarkStart w:id="485" w:name="_Toc466655709"/>
            <w:r>
              <w:rPr>
                <w:rStyle w:val="CaptionLabel"/>
                <w:lang w:val="en-US"/>
              </w:rPr>
              <w:t>Figure </w:t>
            </w:r>
            <w:r>
              <w:rPr>
                <w:rStyle w:val="CaptionLabel"/>
                <w:noProof/>
                <w:lang w:val="en-US"/>
              </w:rPr>
              <w:t>9</w:t>
            </w:r>
            <w:r>
              <w:rPr>
                <w:rStyle w:val="CaptionLabel"/>
                <w:lang w:val="en-US"/>
              </w:rPr>
              <w:t>.</w:t>
            </w:r>
            <w:r>
              <w:rPr>
                <w:rStyle w:val="CaptionLabel"/>
                <w:noProof/>
                <w:lang w:val="en-US"/>
              </w:rPr>
              <w:t>21</w:t>
            </w:r>
            <w:bookmarkEnd w:id="484"/>
            <w:r>
              <w:rPr>
                <w:lang w:val="en-US"/>
              </w:rPr>
              <w:tab/>
              <w:t>students completing or still enrolled four years after commencing, by ses, 2005-2008 to 2011-201</w:t>
            </w:r>
            <w:bookmarkEnd w:id="485"/>
            <w:r>
              <w:rPr>
                <w:lang w:val="en-US"/>
              </w:rPr>
              <w:t xml:space="preserve">4 </w:t>
            </w:r>
          </w:p>
        </w:tc>
      </w:tr>
      <w:tr w:rsidR="00090683" w14:paraId="2CD9D48F" w14:textId="77777777" w:rsidTr="000B7E9A">
        <w:trPr>
          <w:cantSplit/>
          <w:trHeight w:val="380"/>
        </w:trPr>
        <w:tc>
          <w:tcPr>
            <w:tcW w:w="8168" w:type="dxa"/>
            <w:tcBorders>
              <w:top w:val="nil"/>
              <w:left w:val="nil"/>
              <w:bottom w:val="single" w:sz="4" w:space="0" w:color="auto"/>
              <w:right w:val="nil"/>
            </w:tcBorders>
            <w:hideMark/>
          </w:tcPr>
          <w:p w14:paraId="21F771EA"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18144" behindDoc="0" locked="1" layoutInCell="1" allowOverlap="1" wp14:anchorId="422B0424" wp14:editId="1F46BC34">
                      <wp:simplePos x="0" y="0"/>
                      <wp:positionH relativeFrom="rightMargin">
                        <wp:posOffset>-772795</wp:posOffset>
                      </wp:positionH>
                      <wp:positionV relativeFrom="page">
                        <wp:posOffset>0</wp:posOffset>
                      </wp:positionV>
                      <wp:extent cx="436880" cy="213360"/>
                      <wp:effectExtent l="0" t="0" r="1270" b="0"/>
                      <wp:wrapNone/>
                      <wp:docPr id="875" name="Freeform 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F52099" id="Freeform 875" o:spid="_x0000_s1026" style="position:absolute;margin-left:-60.85pt;margin-top:0;width:34.4pt;height:16.8pt;z-index:251718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3D4D88C0"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3BBC2E6B" w14:textId="77777777" w:rsidR="00090683" w:rsidRDefault="00090683" w:rsidP="000B7E9A">
            <w:pPr>
              <w:pStyle w:val="Figure"/>
              <w:rPr>
                <w:lang w:val="en-US"/>
              </w:rPr>
            </w:pPr>
            <w:r w:rsidRPr="00443E65">
              <w:rPr>
                <w:noProof/>
                <w:lang w:eastAsia="en-AU"/>
              </w:rPr>
              <w:drawing>
                <wp:inline distT="0" distB="0" distL="0" distR="0" wp14:anchorId="56884102" wp14:editId="77AEE44A">
                  <wp:extent cx="5208270" cy="223139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08270" cy="2231390"/>
                          </a:xfrm>
                          <a:prstGeom prst="rect">
                            <a:avLst/>
                          </a:prstGeom>
                          <a:noFill/>
                          <a:ln>
                            <a:noFill/>
                          </a:ln>
                        </pic:spPr>
                      </pic:pic>
                    </a:graphicData>
                  </a:graphic>
                </wp:inline>
              </w:drawing>
            </w:r>
          </w:p>
        </w:tc>
      </w:tr>
      <w:tr w:rsidR="00090683" w14:paraId="4F82ABF7"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62840B55" w14:textId="77777777" w:rsidR="00090683" w:rsidRDefault="00090683" w:rsidP="000B7E9A">
            <w:pPr>
              <w:pStyle w:val="Note"/>
              <w:rPr>
                <w:lang w:val="en-US"/>
              </w:rPr>
            </w:pPr>
            <w:r>
              <w:rPr>
                <w:lang w:val="en-US"/>
              </w:rPr>
              <w:t>Note: Low SES postcode measure is based on the students' postcode of permanent home residence, with the SES value derived from the 2006 SEIFA EOI. This chart shows eight, four year cohorts.</w:t>
            </w:r>
          </w:p>
          <w:p w14:paraId="7EB3B70F" w14:textId="77777777" w:rsidR="00090683" w:rsidRDefault="00090683" w:rsidP="000B7E9A">
            <w:pPr>
              <w:pStyle w:val="Source"/>
              <w:rPr>
                <w:lang w:val="en-US"/>
              </w:rPr>
            </w:pPr>
            <w:r>
              <w:rPr>
                <w:lang w:val="en-US"/>
              </w:rPr>
              <w:t>Source: Department of education and training, cohort analysis 2005-2015</w:t>
            </w:r>
          </w:p>
        </w:tc>
      </w:tr>
      <w:tr w:rsidR="00090683" w14:paraId="5EF9324B" w14:textId="77777777" w:rsidTr="000B7E9A">
        <w:trPr>
          <w:trHeight w:val="160"/>
        </w:trPr>
        <w:tc>
          <w:tcPr>
            <w:tcW w:w="8168" w:type="dxa"/>
            <w:tcBorders>
              <w:top w:val="single" w:sz="4" w:space="0" w:color="auto"/>
              <w:left w:val="nil"/>
              <w:bottom w:val="nil"/>
              <w:right w:val="nil"/>
            </w:tcBorders>
          </w:tcPr>
          <w:p w14:paraId="630C03C3" w14:textId="77777777" w:rsidR="00090683" w:rsidRDefault="00090683" w:rsidP="000B7E9A">
            <w:pPr>
              <w:pStyle w:val="spacertbl"/>
              <w:rPr>
                <w:lang w:val="en-US"/>
              </w:rPr>
            </w:pPr>
          </w:p>
        </w:tc>
      </w:tr>
    </w:tbl>
    <w:p w14:paraId="190B5B03" w14:textId="77777777" w:rsidR="00090683" w:rsidRPr="00E663EF" w:rsidRDefault="00090683" w:rsidP="00090683">
      <w:pPr>
        <w:pStyle w:val="Heading2"/>
      </w:pPr>
      <w:bookmarkStart w:id="486" w:name="_Toc466281145"/>
      <w:bookmarkStart w:id="487" w:name="_Toc466281155"/>
      <w:bookmarkStart w:id="488" w:name="_Toc466281156"/>
      <w:bookmarkStart w:id="489" w:name="_Toc466281167"/>
      <w:bookmarkStart w:id="490" w:name="_Toc466252282"/>
      <w:bookmarkStart w:id="491" w:name="_Toc466252396"/>
      <w:bookmarkStart w:id="492" w:name="_Toc466252618"/>
      <w:bookmarkStart w:id="493" w:name="_Toc466252707"/>
      <w:bookmarkStart w:id="494" w:name="_Toc466281169"/>
      <w:bookmarkStart w:id="495" w:name="_Toc465932254"/>
      <w:bookmarkEnd w:id="486"/>
      <w:bookmarkEnd w:id="487"/>
      <w:bookmarkEnd w:id="488"/>
      <w:bookmarkEnd w:id="489"/>
      <w:bookmarkEnd w:id="490"/>
      <w:bookmarkEnd w:id="491"/>
      <w:bookmarkEnd w:id="492"/>
      <w:bookmarkEnd w:id="493"/>
      <w:bookmarkEnd w:id="494"/>
      <w:r w:rsidRPr="00AD49C8">
        <w:t>Econometric analysis</w:t>
      </w:r>
      <w:bookmarkEnd w:id="475"/>
      <w:bookmarkEnd w:id="495"/>
      <w:r w:rsidRPr="00AD49C8">
        <w:t xml:space="preserve"> of retention and success rates</w:t>
      </w:r>
    </w:p>
    <w:p w14:paraId="63AF4DEA" w14:textId="77777777" w:rsidR="00090683" w:rsidRDefault="00090683" w:rsidP="00090683">
      <w:pPr>
        <w:pStyle w:val="BodyText"/>
      </w:pPr>
      <w:r>
        <w:t>This section presents an econometric analysis of the Higher Education Student Data Collection. The analysis compares outcomes of students in the 2005-2009 pre-HEPPP time period with student outcomes in the HEPPP time period (2010</w:t>
      </w:r>
      <w:r>
        <w:noBreakHyphen/>
        <w:t>2014</w:t>
      </w:r>
      <w:r>
        <w:rPr>
          <w:rStyle w:val="FootnoteReference"/>
        </w:rPr>
        <w:footnoteReference w:id="45"/>
      </w:r>
      <w:r>
        <w:t>), and controls for differences in the characteristics of the student cohorts between these two time periods. See Appendix D.1 for more information on the analysis method.</w:t>
      </w:r>
    </w:p>
    <w:p w14:paraId="574D0351" w14:textId="77777777" w:rsidR="00090683" w:rsidRDefault="00090683" w:rsidP="00090683">
      <w:pPr>
        <w:pStyle w:val="BodyText"/>
      </w:pPr>
      <w:r>
        <w:t xml:space="preserve">As noted throughout the analysis presented in the previous sections of this chapter, it is not possible to determine the extent to which the HEPPP is influencing the observed trends in student outcomes, due, in part, to other changes occurring in the higher education sector over the HEPPP implementation period. </w:t>
      </w:r>
    </w:p>
    <w:p w14:paraId="40851730" w14:textId="77777777" w:rsidR="00090683" w:rsidRDefault="00090683" w:rsidP="00090683">
      <w:pPr>
        <w:pStyle w:val="BodyText"/>
      </w:pPr>
      <w:r>
        <w:t>While the econometrics analysis cannot control for higher education programs and reforms being implemented concurrently with the HEPPP, it can, to some extent control for the impact of these programs and reforms on university student cohort characteristics. For example, the introduction of the DDS (in 2010-2012) has seen an increase in the proportion of commencing students with ATARs below 80 (</w:t>
      </w:r>
      <w:r w:rsidRPr="00AD49C8">
        <w:t>Figure 9.22</w:t>
      </w:r>
      <w:r>
        <w:t xml:space="preserve"> shows this for just low SES). The econometric analysis determines the extent to which ATARs are related to student outcomes at university, and controls for this when comparing the pre</w:t>
      </w:r>
      <w:r>
        <w:noBreakHyphen/>
        <w:t xml:space="preserve">HEPPP and HEPPP cohorts, in effect removing the impact of changes in ATARs between the two time periods.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7DBDCBFF" w14:textId="77777777" w:rsidTr="000B7E9A">
        <w:trPr>
          <w:cantSplit/>
          <w:trHeight w:val="160"/>
        </w:trPr>
        <w:tc>
          <w:tcPr>
            <w:tcW w:w="8168" w:type="dxa"/>
            <w:tcBorders>
              <w:top w:val="nil"/>
              <w:left w:val="nil"/>
              <w:bottom w:val="single" w:sz="4" w:space="0" w:color="auto"/>
              <w:right w:val="nil"/>
            </w:tcBorders>
          </w:tcPr>
          <w:p w14:paraId="4CD76155" w14:textId="77777777" w:rsidR="00090683" w:rsidRDefault="00090683" w:rsidP="000B7E9A">
            <w:pPr>
              <w:pStyle w:val="spacer"/>
              <w:rPr>
                <w:lang w:val="en-US"/>
              </w:rPr>
            </w:pPr>
          </w:p>
        </w:tc>
      </w:tr>
      <w:tr w:rsidR="00090683" w14:paraId="652205AD" w14:textId="77777777" w:rsidTr="000B7E9A">
        <w:trPr>
          <w:cantSplit/>
        </w:trPr>
        <w:tc>
          <w:tcPr>
            <w:tcW w:w="8168" w:type="dxa"/>
            <w:tcBorders>
              <w:top w:val="single" w:sz="4" w:space="0" w:color="auto"/>
              <w:left w:val="nil"/>
              <w:bottom w:val="nil"/>
              <w:right w:val="nil"/>
            </w:tcBorders>
            <w:hideMark/>
          </w:tcPr>
          <w:p w14:paraId="7547F8D5" w14:textId="77777777" w:rsidR="00090683" w:rsidRDefault="00090683" w:rsidP="000B7E9A">
            <w:pPr>
              <w:pStyle w:val="Caption"/>
              <w:rPr>
                <w:lang w:val="en-US"/>
              </w:rPr>
            </w:pPr>
            <w:bookmarkStart w:id="496" w:name="_Ref466061614"/>
            <w:bookmarkStart w:id="497" w:name="_Toc463029879"/>
            <w:bookmarkStart w:id="498" w:name="_Toc466655710"/>
            <w:bookmarkStart w:id="499" w:name="_Toc462945938"/>
            <w:r>
              <w:rPr>
                <w:rStyle w:val="CaptionLabel"/>
                <w:lang w:val="en-US"/>
              </w:rPr>
              <w:t>Figure </w:t>
            </w:r>
            <w:r>
              <w:rPr>
                <w:rStyle w:val="CaptionLabel"/>
                <w:noProof/>
                <w:lang w:val="en-US"/>
              </w:rPr>
              <w:t>9</w:t>
            </w:r>
            <w:r>
              <w:rPr>
                <w:rStyle w:val="CaptionLabel"/>
                <w:lang w:val="en-US"/>
              </w:rPr>
              <w:t>.</w:t>
            </w:r>
            <w:r>
              <w:rPr>
                <w:rStyle w:val="CaptionLabel"/>
                <w:noProof/>
                <w:lang w:val="en-US"/>
              </w:rPr>
              <w:t>22</w:t>
            </w:r>
            <w:bookmarkEnd w:id="496"/>
            <w:r>
              <w:rPr>
                <w:lang w:val="en-US"/>
              </w:rPr>
              <w:tab/>
              <w:t>share of low ses enrolments by ATAR deciles, 2006-2015</w:t>
            </w:r>
            <w:bookmarkEnd w:id="497"/>
            <w:bookmarkEnd w:id="498"/>
            <w:r>
              <w:rPr>
                <w:lang w:val="en-US"/>
              </w:rPr>
              <w:t xml:space="preserve"> </w:t>
            </w:r>
            <w:bookmarkEnd w:id="499"/>
          </w:p>
        </w:tc>
      </w:tr>
      <w:tr w:rsidR="00090683" w14:paraId="7F0FD2AB" w14:textId="77777777" w:rsidTr="000B7E9A">
        <w:trPr>
          <w:cantSplit/>
          <w:trHeight w:val="380"/>
        </w:trPr>
        <w:tc>
          <w:tcPr>
            <w:tcW w:w="8168" w:type="dxa"/>
            <w:tcBorders>
              <w:top w:val="nil"/>
              <w:left w:val="nil"/>
              <w:bottom w:val="single" w:sz="4" w:space="0" w:color="auto"/>
              <w:right w:val="nil"/>
            </w:tcBorders>
            <w:hideMark/>
          </w:tcPr>
          <w:p w14:paraId="6540B941"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12000" behindDoc="0" locked="1" layoutInCell="1" allowOverlap="1" wp14:anchorId="6DE97C4A" wp14:editId="0B78DD14">
                      <wp:simplePos x="0" y="0"/>
                      <wp:positionH relativeFrom="rightMargin">
                        <wp:posOffset>-772795</wp:posOffset>
                      </wp:positionH>
                      <wp:positionV relativeFrom="page">
                        <wp:posOffset>0</wp:posOffset>
                      </wp:positionV>
                      <wp:extent cx="436880" cy="213360"/>
                      <wp:effectExtent l="0" t="0" r="1270" b="0"/>
                      <wp:wrapNone/>
                      <wp:docPr id="864" name="Freeform 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228037" id="Freeform 864" o:spid="_x0000_s1026" style="position:absolute;margin-left:-60.85pt;margin-top:0;width:34.4pt;height:16.8pt;z-index:251712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LkM7ZN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528E0CF3" w14:textId="77777777" w:rsidTr="000B7E9A">
        <w:trPr>
          <w:cantSplit/>
        </w:trPr>
        <w:tc>
          <w:tcPr>
            <w:tcW w:w="8168" w:type="dxa"/>
            <w:tcBorders>
              <w:top w:val="single" w:sz="4" w:space="0" w:color="auto"/>
              <w:left w:val="nil"/>
              <w:bottom w:val="single" w:sz="4" w:space="0" w:color="auto"/>
              <w:right w:val="nil"/>
            </w:tcBorders>
            <w:tcMar>
              <w:top w:w="0" w:type="dxa"/>
              <w:left w:w="108" w:type="dxa"/>
              <w:bottom w:w="0" w:type="dxa"/>
              <w:right w:w="108" w:type="dxa"/>
            </w:tcMar>
            <w:hideMark/>
          </w:tcPr>
          <w:p w14:paraId="1D11E515" w14:textId="77777777" w:rsidR="00090683" w:rsidRDefault="00090683" w:rsidP="000B7E9A">
            <w:pPr>
              <w:pStyle w:val="Figure"/>
              <w:rPr>
                <w:lang w:val="en-US"/>
              </w:rPr>
            </w:pPr>
            <w:r>
              <w:rPr>
                <w:noProof/>
                <w:lang w:eastAsia="en-AU"/>
              </w:rPr>
              <w:drawing>
                <wp:inline distT="0" distB="0" distL="0" distR="0" wp14:anchorId="347DF2BE" wp14:editId="36C5F4D9">
                  <wp:extent cx="5019675" cy="2066925"/>
                  <wp:effectExtent l="0" t="0" r="0" b="0"/>
                  <wp:docPr id="65"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19675" cy="2066925"/>
                          </a:xfrm>
                          <a:prstGeom prst="rect">
                            <a:avLst/>
                          </a:prstGeom>
                          <a:noFill/>
                          <a:ln>
                            <a:noFill/>
                          </a:ln>
                        </pic:spPr>
                      </pic:pic>
                    </a:graphicData>
                  </a:graphic>
                </wp:inline>
              </w:drawing>
            </w:r>
          </w:p>
        </w:tc>
      </w:tr>
      <w:tr w:rsidR="00090683" w14:paraId="006D6DD6"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2E93BA91" w14:textId="77777777" w:rsidR="00090683" w:rsidRDefault="00090683" w:rsidP="000B7E9A">
            <w:pPr>
              <w:pStyle w:val="Note"/>
              <w:rPr>
                <w:lang w:val="en-US"/>
              </w:rPr>
            </w:pPr>
            <w:r>
              <w:rPr>
                <w:lang w:val="en-US"/>
              </w:rPr>
              <w:t xml:space="preserve">Note: </w:t>
            </w:r>
            <w:r>
              <w:t>The drop in percentage of higher ATAR low SES enrolments is driven by the increase in percentage of lower ATAR low SES enrolments</w:t>
            </w:r>
          </w:p>
          <w:p w14:paraId="746922EA" w14:textId="77777777" w:rsidR="00090683" w:rsidRDefault="00090683" w:rsidP="000B7E9A">
            <w:pPr>
              <w:pStyle w:val="Source"/>
              <w:rPr>
                <w:lang w:val="en-US"/>
              </w:rPr>
            </w:pPr>
            <w:r w:rsidRPr="00AD49C8">
              <w:rPr>
                <w:lang w:val="en-US"/>
              </w:rPr>
              <w:t>Source: HIGHER EDUCATION STUDENT DATA COLLECTION</w:t>
            </w:r>
          </w:p>
        </w:tc>
      </w:tr>
      <w:tr w:rsidR="00090683" w14:paraId="12D4D231" w14:textId="77777777" w:rsidTr="000B7E9A">
        <w:trPr>
          <w:trHeight w:val="160"/>
        </w:trPr>
        <w:tc>
          <w:tcPr>
            <w:tcW w:w="8168" w:type="dxa"/>
            <w:tcBorders>
              <w:top w:val="single" w:sz="4" w:space="0" w:color="auto"/>
              <w:left w:val="nil"/>
              <w:bottom w:val="nil"/>
              <w:right w:val="nil"/>
            </w:tcBorders>
          </w:tcPr>
          <w:p w14:paraId="011B63EB" w14:textId="77777777" w:rsidR="00090683" w:rsidRDefault="00090683" w:rsidP="000B7E9A">
            <w:pPr>
              <w:pStyle w:val="spacertbl"/>
              <w:rPr>
                <w:lang w:val="en-US"/>
              </w:rPr>
            </w:pPr>
          </w:p>
        </w:tc>
      </w:tr>
    </w:tbl>
    <w:p w14:paraId="09905A09" w14:textId="77777777" w:rsidR="00090683" w:rsidRDefault="00090683" w:rsidP="00090683">
      <w:pPr>
        <w:pStyle w:val="BodyText"/>
      </w:pPr>
      <w:r>
        <w:t>The econometric analysis has modelled the impact of the following variables on student outcomes:</w:t>
      </w:r>
    </w:p>
    <w:p w14:paraId="01DAC741" w14:textId="77777777" w:rsidR="00090683" w:rsidRDefault="00090683" w:rsidP="00090683">
      <w:pPr>
        <w:pStyle w:val="ListBullet"/>
        <w:numPr>
          <w:ilvl w:val="0"/>
          <w:numId w:val="46"/>
        </w:numPr>
      </w:pPr>
      <w:r>
        <w:t>Field of education</w:t>
      </w:r>
    </w:p>
    <w:p w14:paraId="411AB861" w14:textId="77777777" w:rsidR="00090683" w:rsidRDefault="00090683" w:rsidP="00090683">
      <w:pPr>
        <w:pStyle w:val="ListBullet"/>
        <w:numPr>
          <w:ilvl w:val="0"/>
          <w:numId w:val="46"/>
        </w:numPr>
      </w:pPr>
      <w:r>
        <w:t>Type of attendance (full time or part time)</w:t>
      </w:r>
    </w:p>
    <w:p w14:paraId="3920466F" w14:textId="77777777" w:rsidR="00090683" w:rsidRDefault="00090683" w:rsidP="00090683">
      <w:pPr>
        <w:pStyle w:val="ListBullet"/>
        <w:numPr>
          <w:ilvl w:val="0"/>
          <w:numId w:val="46"/>
        </w:numPr>
      </w:pPr>
      <w:r>
        <w:t>Whether student is on a scholarship</w:t>
      </w:r>
    </w:p>
    <w:p w14:paraId="263AD350" w14:textId="77777777" w:rsidR="00090683" w:rsidRDefault="00090683" w:rsidP="00090683">
      <w:pPr>
        <w:pStyle w:val="ListBullet"/>
        <w:numPr>
          <w:ilvl w:val="0"/>
          <w:numId w:val="46"/>
        </w:numPr>
      </w:pPr>
      <w:r>
        <w:t>How student is paying for course (CSP or Domestic FFS)</w:t>
      </w:r>
    </w:p>
    <w:p w14:paraId="39C96660" w14:textId="77777777" w:rsidR="00090683" w:rsidRDefault="00090683" w:rsidP="00090683">
      <w:pPr>
        <w:pStyle w:val="ListBullet"/>
        <w:numPr>
          <w:ilvl w:val="0"/>
          <w:numId w:val="46"/>
        </w:numPr>
      </w:pPr>
      <w:r>
        <w:t xml:space="preserve">ATAR </w:t>
      </w:r>
    </w:p>
    <w:p w14:paraId="7E694132" w14:textId="77777777" w:rsidR="00090683" w:rsidRDefault="00090683" w:rsidP="00090683">
      <w:pPr>
        <w:pStyle w:val="ListBullet"/>
        <w:numPr>
          <w:ilvl w:val="0"/>
          <w:numId w:val="46"/>
        </w:numPr>
      </w:pPr>
      <w:r>
        <w:t>Basis of admission into course</w:t>
      </w:r>
    </w:p>
    <w:p w14:paraId="26F71094" w14:textId="77777777" w:rsidR="00090683" w:rsidRDefault="00090683" w:rsidP="00090683">
      <w:pPr>
        <w:pStyle w:val="ListBullet"/>
        <w:numPr>
          <w:ilvl w:val="0"/>
          <w:numId w:val="46"/>
        </w:numPr>
      </w:pPr>
      <w:r>
        <w:t>Indigenous status</w:t>
      </w:r>
    </w:p>
    <w:p w14:paraId="6F43C984" w14:textId="77777777" w:rsidR="00090683" w:rsidRDefault="00090683" w:rsidP="00090683">
      <w:pPr>
        <w:pStyle w:val="ListBullet"/>
        <w:numPr>
          <w:ilvl w:val="0"/>
          <w:numId w:val="46"/>
        </w:numPr>
      </w:pPr>
      <w:r>
        <w:t>Gender</w:t>
      </w:r>
    </w:p>
    <w:p w14:paraId="1696BF4C" w14:textId="77777777" w:rsidR="00090683" w:rsidRDefault="00090683" w:rsidP="00090683">
      <w:pPr>
        <w:pStyle w:val="ListBullet"/>
        <w:numPr>
          <w:ilvl w:val="0"/>
          <w:numId w:val="46"/>
        </w:numPr>
      </w:pPr>
      <w:r>
        <w:t>Age category</w:t>
      </w:r>
    </w:p>
    <w:p w14:paraId="30358148" w14:textId="77777777" w:rsidR="00090683" w:rsidRDefault="00090683" w:rsidP="00090683">
      <w:pPr>
        <w:pStyle w:val="ListBullet"/>
        <w:numPr>
          <w:ilvl w:val="0"/>
          <w:numId w:val="46"/>
        </w:numPr>
      </w:pPr>
      <w:r>
        <w:t>Born in Australia or Outside Australia</w:t>
      </w:r>
    </w:p>
    <w:p w14:paraId="0FAD6341" w14:textId="77777777" w:rsidR="00090683" w:rsidRDefault="00090683" w:rsidP="00090683">
      <w:pPr>
        <w:pStyle w:val="ListBullet"/>
        <w:numPr>
          <w:ilvl w:val="0"/>
          <w:numId w:val="46"/>
        </w:numPr>
      </w:pPr>
      <w:r>
        <w:t>English or Non-English Language spoken at home</w:t>
      </w:r>
    </w:p>
    <w:p w14:paraId="09C55BA8" w14:textId="77777777" w:rsidR="00090683" w:rsidRDefault="00090683" w:rsidP="00090683">
      <w:pPr>
        <w:pStyle w:val="BodyText"/>
      </w:pPr>
      <w:r>
        <w:t>The analysis controls for these factors, and estimated retention rates and success rates for low SES students and medium/high SES students pre-HEPPP (2006-2009) and during HEPPP (2010-2014).</w:t>
      </w:r>
    </w:p>
    <w:p w14:paraId="7359E17E" w14:textId="77777777" w:rsidR="00090683" w:rsidRDefault="00090683" w:rsidP="00090683">
      <w:pPr>
        <w:pStyle w:val="BodyText"/>
      </w:pPr>
      <w:r>
        <w:t xml:space="preserve">While the analysis uses the Higher Education Student Data Collection to control for meaningful changes in the student cohort between the pre-HEPPP and HEPPP student cohorts, there are many factors that are not captured in the dataset (such as other government or university programs, general economic conditions, changing cohort characteristics that are not recorded in the datasets, and changing teaching methods) for which the modelling therefore cannot control. </w:t>
      </w:r>
    </w:p>
    <w:p w14:paraId="5A2C9815" w14:textId="77777777" w:rsidR="00090683" w:rsidRDefault="00090683" w:rsidP="00090683">
      <w:pPr>
        <w:pStyle w:val="BodyText"/>
      </w:pPr>
      <w:r>
        <w:t xml:space="preserve">The econometric modelling results for success and retention rates for low SES students and for medium and high SES students are set out in </w:t>
      </w:r>
      <w:r w:rsidRPr="00AD49C8">
        <w:t>Table 9.1</w:t>
      </w:r>
      <w:r>
        <w:t xml:space="preserve">. Low SES students have lower retention and success rates than medium and high SES students (consistent with the data presented in Section 9.5). The results show retention and success rates for both groups falling over the two time periods. </w:t>
      </w:r>
    </w:p>
    <w:p w14:paraId="7BD33A76" w14:textId="77777777" w:rsidR="00090683" w:rsidRDefault="00090683" w:rsidP="00090683">
      <w:pPr>
        <w:pStyle w:val="Caption"/>
        <w:spacing w:before="160"/>
      </w:pPr>
      <w:bookmarkStart w:id="500" w:name="_Ref466063495"/>
      <w:bookmarkStart w:id="501" w:name="_Toc462945940"/>
      <w:bookmarkStart w:id="502" w:name="_Toc463029904"/>
      <w:bookmarkStart w:id="503" w:name="_Toc466655766"/>
      <w:r>
        <w:rPr>
          <w:rStyle w:val="CaptionLabel"/>
        </w:rPr>
        <w:t>Table </w:t>
      </w:r>
      <w:r>
        <w:rPr>
          <w:rStyle w:val="CaptionLabel"/>
          <w:noProof/>
        </w:rPr>
        <w:t>9</w:t>
      </w:r>
      <w:r>
        <w:rPr>
          <w:rStyle w:val="CaptionLabel"/>
        </w:rPr>
        <w:t>.</w:t>
      </w:r>
      <w:r>
        <w:rPr>
          <w:rStyle w:val="CaptionLabel"/>
          <w:noProof/>
        </w:rPr>
        <w:t>1</w:t>
      </w:r>
      <w:bookmarkEnd w:id="500"/>
      <w:r>
        <w:tab/>
      </w:r>
      <w:bookmarkEnd w:id="501"/>
      <w:r>
        <w:t>ECONOMETRICS analysis RESULTS: retention and success rates by SES groups</w:t>
      </w:r>
      <w:bookmarkEnd w:id="502"/>
      <w:bookmarkEnd w:id="503"/>
    </w:p>
    <w:tbl>
      <w:tblPr>
        <w:tblW w:w="8625" w:type="dxa"/>
        <w:tblInd w:w="-454" w:type="dxa"/>
        <w:tblLayout w:type="fixed"/>
        <w:tblCellMar>
          <w:left w:w="0" w:type="dxa"/>
          <w:bottom w:w="40" w:type="dxa"/>
          <w:right w:w="0" w:type="dxa"/>
        </w:tblCellMar>
        <w:tblLook w:val="04A0" w:firstRow="1" w:lastRow="0" w:firstColumn="1" w:lastColumn="0" w:noHBand="0" w:noVBand="1"/>
      </w:tblPr>
      <w:tblGrid>
        <w:gridCol w:w="455"/>
        <w:gridCol w:w="1634"/>
        <w:gridCol w:w="1634"/>
        <w:gridCol w:w="1635"/>
        <w:gridCol w:w="1635"/>
        <w:gridCol w:w="1632"/>
      </w:tblGrid>
      <w:tr w:rsidR="00090683" w14:paraId="03C73A28" w14:textId="77777777" w:rsidTr="000B7E9A">
        <w:trPr>
          <w:cantSplit/>
          <w:tblHeader/>
        </w:trPr>
        <w:tc>
          <w:tcPr>
            <w:tcW w:w="1211" w:type="pct"/>
            <w:gridSpan w:val="2"/>
            <w:shd w:val="clear" w:color="auto" w:fill="9D57A6"/>
            <w:tcMar>
              <w:top w:w="0" w:type="dxa"/>
              <w:left w:w="454" w:type="dxa"/>
              <w:bottom w:w="0" w:type="dxa"/>
              <w:right w:w="0" w:type="dxa"/>
            </w:tcMar>
          </w:tcPr>
          <w:p w14:paraId="7176C317" w14:textId="77777777" w:rsidR="00090683" w:rsidRDefault="00090683" w:rsidP="000B7E9A">
            <w:pPr>
              <w:pStyle w:val="Tablecolumnheadings"/>
              <w:rPr>
                <w:lang w:val="en-US"/>
              </w:rPr>
            </w:pPr>
          </w:p>
        </w:tc>
        <w:tc>
          <w:tcPr>
            <w:tcW w:w="1895" w:type="pct"/>
            <w:gridSpan w:val="2"/>
            <w:shd w:val="clear" w:color="auto" w:fill="9D57A6"/>
            <w:tcMar>
              <w:top w:w="0" w:type="dxa"/>
              <w:left w:w="0" w:type="dxa"/>
              <w:bottom w:w="0" w:type="dxa"/>
              <w:right w:w="0" w:type="dxa"/>
            </w:tcMar>
            <w:vAlign w:val="center"/>
            <w:hideMark/>
          </w:tcPr>
          <w:p w14:paraId="74273DDE" w14:textId="77777777" w:rsidR="00090683" w:rsidRDefault="00090683" w:rsidP="000B7E9A">
            <w:pPr>
              <w:pStyle w:val="Tablecolumnheadings"/>
              <w:jc w:val="center"/>
              <w:rPr>
                <w:lang w:val="en-US"/>
              </w:rPr>
            </w:pPr>
            <w:r>
              <w:rPr>
                <w:szCs w:val="20"/>
                <w:lang w:val="en-US"/>
              </w:rPr>
              <w:t>Low SES</w:t>
            </w:r>
          </w:p>
        </w:tc>
        <w:tc>
          <w:tcPr>
            <w:tcW w:w="1894" w:type="pct"/>
            <w:gridSpan w:val="2"/>
            <w:shd w:val="clear" w:color="auto" w:fill="9D57A6"/>
            <w:tcMar>
              <w:top w:w="0" w:type="dxa"/>
              <w:left w:w="0" w:type="dxa"/>
              <w:bottom w:w="0" w:type="dxa"/>
              <w:right w:w="0" w:type="dxa"/>
            </w:tcMar>
            <w:vAlign w:val="center"/>
            <w:hideMark/>
          </w:tcPr>
          <w:p w14:paraId="207D58E0" w14:textId="77777777" w:rsidR="00090683" w:rsidRDefault="00090683" w:rsidP="000B7E9A">
            <w:pPr>
              <w:pStyle w:val="Tablecolumnheadings"/>
              <w:jc w:val="center"/>
              <w:rPr>
                <w:lang w:val="en-US"/>
              </w:rPr>
            </w:pPr>
            <w:r>
              <w:rPr>
                <w:szCs w:val="20"/>
                <w:lang w:val="en-US"/>
              </w:rPr>
              <w:t>Medium/High SES</w:t>
            </w:r>
          </w:p>
        </w:tc>
      </w:tr>
      <w:tr w:rsidR="00090683" w14:paraId="7212F3D8" w14:textId="77777777" w:rsidTr="000B7E9A">
        <w:trPr>
          <w:cantSplit/>
          <w:tblHeader/>
        </w:trPr>
        <w:tc>
          <w:tcPr>
            <w:tcW w:w="1211" w:type="pct"/>
            <w:gridSpan w:val="2"/>
            <w:shd w:val="clear" w:color="auto" w:fill="9D57A6"/>
            <w:tcMar>
              <w:top w:w="0" w:type="dxa"/>
              <w:left w:w="454" w:type="dxa"/>
              <w:bottom w:w="0" w:type="dxa"/>
              <w:right w:w="0" w:type="dxa"/>
            </w:tcMar>
          </w:tcPr>
          <w:p w14:paraId="0D0ECD87" w14:textId="77777777" w:rsidR="00090683" w:rsidRDefault="00090683" w:rsidP="000B7E9A">
            <w:pPr>
              <w:pStyle w:val="Tablecolumnheadings"/>
              <w:rPr>
                <w:lang w:val="en-US"/>
              </w:rPr>
            </w:pPr>
          </w:p>
        </w:tc>
        <w:tc>
          <w:tcPr>
            <w:tcW w:w="947" w:type="pct"/>
            <w:shd w:val="clear" w:color="auto" w:fill="9D57A6"/>
            <w:tcMar>
              <w:top w:w="0" w:type="dxa"/>
              <w:left w:w="0" w:type="dxa"/>
              <w:bottom w:w="0" w:type="dxa"/>
              <w:right w:w="0" w:type="dxa"/>
            </w:tcMar>
            <w:vAlign w:val="center"/>
            <w:hideMark/>
          </w:tcPr>
          <w:p w14:paraId="0BEF61FA" w14:textId="77777777" w:rsidR="00090683" w:rsidRDefault="00090683" w:rsidP="000B7E9A">
            <w:pPr>
              <w:pStyle w:val="Tablecolumnheadings"/>
              <w:jc w:val="center"/>
              <w:rPr>
                <w:lang w:val="en-US"/>
              </w:rPr>
            </w:pPr>
            <w:r>
              <w:rPr>
                <w:lang w:val="en-US"/>
              </w:rPr>
              <w:t>2006-2009</w:t>
            </w:r>
          </w:p>
        </w:tc>
        <w:tc>
          <w:tcPr>
            <w:tcW w:w="948" w:type="pct"/>
            <w:shd w:val="clear" w:color="auto" w:fill="9D57A6"/>
            <w:tcMar>
              <w:top w:w="0" w:type="dxa"/>
              <w:left w:w="0" w:type="dxa"/>
              <w:bottom w:w="0" w:type="dxa"/>
              <w:right w:w="0" w:type="dxa"/>
            </w:tcMar>
            <w:vAlign w:val="center"/>
            <w:hideMark/>
          </w:tcPr>
          <w:p w14:paraId="798E748E" w14:textId="77777777" w:rsidR="00090683" w:rsidRDefault="00090683" w:rsidP="000B7E9A">
            <w:pPr>
              <w:pStyle w:val="Tablecolumnheadings"/>
              <w:jc w:val="center"/>
              <w:rPr>
                <w:lang w:val="en-US"/>
              </w:rPr>
            </w:pPr>
            <w:r>
              <w:rPr>
                <w:lang w:val="en-US"/>
              </w:rPr>
              <w:t>2010-2014</w:t>
            </w:r>
          </w:p>
        </w:tc>
        <w:tc>
          <w:tcPr>
            <w:tcW w:w="948" w:type="pct"/>
            <w:shd w:val="clear" w:color="auto" w:fill="9D57A6"/>
            <w:tcMar>
              <w:top w:w="0" w:type="dxa"/>
              <w:left w:w="0" w:type="dxa"/>
              <w:bottom w:w="0" w:type="dxa"/>
              <w:right w:w="0" w:type="dxa"/>
            </w:tcMar>
            <w:vAlign w:val="center"/>
            <w:hideMark/>
          </w:tcPr>
          <w:p w14:paraId="691A6963" w14:textId="77777777" w:rsidR="00090683" w:rsidRDefault="00090683" w:rsidP="000B7E9A">
            <w:pPr>
              <w:pStyle w:val="Tablecolumnheadings"/>
              <w:jc w:val="center"/>
              <w:rPr>
                <w:lang w:val="en-US"/>
              </w:rPr>
            </w:pPr>
            <w:r>
              <w:rPr>
                <w:lang w:val="en-US"/>
              </w:rPr>
              <w:t>2006-2009</w:t>
            </w:r>
          </w:p>
        </w:tc>
        <w:tc>
          <w:tcPr>
            <w:tcW w:w="946" w:type="pct"/>
            <w:shd w:val="clear" w:color="auto" w:fill="9D57A6"/>
            <w:tcMar>
              <w:top w:w="0" w:type="dxa"/>
              <w:left w:w="0" w:type="dxa"/>
              <w:bottom w:w="0" w:type="dxa"/>
              <w:right w:w="0" w:type="dxa"/>
            </w:tcMar>
            <w:vAlign w:val="center"/>
            <w:hideMark/>
          </w:tcPr>
          <w:p w14:paraId="3549FA45" w14:textId="77777777" w:rsidR="00090683" w:rsidRDefault="00090683" w:rsidP="000B7E9A">
            <w:pPr>
              <w:pStyle w:val="Tablecolumnheadings"/>
              <w:jc w:val="center"/>
              <w:rPr>
                <w:lang w:val="en-US"/>
              </w:rPr>
            </w:pPr>
            <w:r>
              <w:rPr>
                <w:lang w:val="en-US"/>
              </w:rPr>
              <w:t>2010-2014</w:t>
            </w:r>
          </w:p>
        </w:tc>
      </w:tr>
      <w:tr w:rsidR="00090683" w14:paraId="07E8C93B" w14:textId="77777777" w:rsidTr="000B7E9A">
        <w:trPr>
          <w:gridBefore w:val="1"/>
          <w:wBefore w:w="264" w:type="pct"/>
          <w:cantSplit/>
        </w:trPr>
        <w:tc>
          <w:tcPr>
            <w:tcW w:w="947" w:type="pct"/>
            <w:tcBorders>
              <w:top w:val="single" w:sz="4" w:space="0" w:color="646464"/>
              <w:left w:val="nil"/>
              <w:bottom w:val="single" w:sz="4" w:space="0" w:color="646464"/>
              <w:right w:val="nil"/>
            </w:tcBorders>
            <w:vAlign w:val="bottom"/>
            <w:hideMark/>
          </w:tcPr>
          <w:p w14:paraId="5C2189F2" w14:textId="77777777" w:rsidR="00090683" w:rsidRDefault="00090683" w:rsidP="000B7E9A">
            <w:pPr>
              <w:pStyle w:val="Tabletext"/>
              <w:rPr>
                <w:lang w:val="en-US"/>
              </w:rPr>
            </w:pPr>
            <w:r>
              <w:rPr>
                <w:szCs w:val="20"/>
                <w:lang w:val="en-US"/>
              </w:rPr>
              <w:t>Retention rate</w:t>
            </w:r>
          </w:p>
        </w:tc>
        <w:tc>
          <w:tcPr>
            <w:tcW w:w="947" w:type="pct"/>
            <w:tcBorders>
              <w:top w:val="single" w:sz="4" w:space="0" w:color="646464"/>
              <w:left w:val="nil"/>
              <w:bottom w:val="single" w:sz="4" w:space="0" w:color="646464"/>
              <w:right w:val="nil"/>
            </w:tcBorders>
            <w:vAlign w:val="center"/>
            <w:hideMark/>
          </w:tcPr>
          <w:p w14:paraId="0DB5F916" w14:textId="77777777" w:rsidR="00090683" w:rsidRDefault="00090683" w:rsidP="000B7E9A">
            <w:pPr>
              <w:pStyle w:val="Tabletext"/>
              <w:jc w:val="center"/>
              <w:rPr>
                <w:lang w:val="en-US"/>
              </w:rPr>
            </w:pPr>
            <w:r>
              <w:rPr>
                <w:szCs w:val="20"/>
                <w:lang w:val="en-US"/>
              </w:rPr>
              <w:t>87%</w:t>
            </w:r>
          </w:p>
        </w:tc>
        <w:tc>
          <w:tcPr>
            <w:tcW w:w="948" w:type="pct"/>
            <w:tcBorders>
              <w:top w:val="single" w:sz="4" w:space="0" w:color="646464"/>
              <w:left w:val="nil"/>
              <w:bottom w:val="single" w:sz="4" w:space="0" w:color="646464"/>
              <w:right w:val="nil"/>
            </w:tcBorders>
            <w:vAlign w:val="center"/>
            <w:hideMark/>
          </w:tcPr>
          <w:p w14:paraId="19217140" w14:textId="77777777" w:rsidR="00090683" w:rsidRDefault="00090683" w:rsidP="000B7E9A">
            <w:pPr>
              <w:pStyle w:val="Tabletext"/>
              <w:jc w:val="center"/>
              <w:rPr>
                <w:lang w:val="en-US"/>
              </w:rPr>
            </w:pPr>
            <w:r>
              <w:rPr>
                <w:szCs w:val="20"/>
                <w:lang w:val="en-US"/>
              </w:rPr>
              <w:t>86%</w:t>
            </w:r>
          </w:p>
        </w:tc>
        <w:tc>
          <w:tcPr>
            <w:tcW w:w="948" w:type="pct"/>
            <w:tcBorders>
              <w:top w:val="single" w:sz="4" w:space="0" w:color="646464"/>
              <w:left w:val="nil"/>
              <w:bottom w:val="single" w:sz="4" w:space="0" w:color="646464"/>
              <w:right w:val="nil"/>
            </w:tcBorders>
            <w:vAlign w:val="center"/>
            <w:hideMark/>
          </w:tcPr>
          <w:p w14:paraId="330256D4" w14:textId="77777777" w:rsidR="00090683" w:rsidRDefault="00090683" w:rsidP="000B7E9A">
            <w:pPr>
              <w:pStyle w:val="Tabletext"/>
              <w:jc w:val="center"/>
              <w:rPr>
                <w:lang w:val="en-US"/>
              </w:rPr>
            </w:pPr>
            <w:r>
              <w:rPr>
                <w:szCs w:val="20"/>
                <w:lang w:val="en-US"/>
              </w:rPr>
              <w:t>89%</w:t>
            </w:r>
          </w:p>
        </w:tc>
        <w:tc>
          <w:tcPr>
            <w:tcW w:w="946" w:type="pct"/>
            <w:tcBorders>
              <w:top w:val="single" w:sz="4" w:space="0" w:color="646464"/>
              <w:left w:val="nil"/>
              <w:bottom w:val="single" w:sz="4" w:space="0" w:color="646464"/>
              <w:right w:val="nil"/>
            </w:tcBorders>
            <w:vAlign w:val="center"/>
            <w:hideMark/>
          </w:tcPr>
          <w:p w14:paraId="7BC9CDCA" w14:textId="77777777" w:rsidR="00090683" w:rsidRDefault="00090683" w:rsidP="000B7E9A">
            <w:pPr>
              <w:pStyle w:val="Tabletext"/>
              <w:jc w:val="center"/>
              <w:rPr>
                <w:lang w:val="en-US"/>
              </w:rPr>
            </w:pPr>
            <w:r>
              <w:rPr>
                <w:szCs w:val="20"/>
                <w:lang w:val="en-US"/>
              </w:rPr>
              <w:t>88%</w:t>
            </w:r>
          </w:p>
        </w:tc>
      </w:tr>
      <w:tr w:rsidR="00090683" w14:paraId="263E5DBC" w14:textId="77777777" w:rsidTr="000B7E9A">
        <w:trPr>
          <w:gridBefore w:val="1"/>
          <w:wBefore w:w="264" w:type="pct"/>
          <w:cantSplit/>
        </w:trPr>
        <w:tc>
          <w:tcPr>
            <w:tcW w:w="947" w:type="pct"/>
            <w:tcBorders>
              <w:top w:val="single" w:sz="4" w:space="0" w:color="646464"/>
              <w:left w:val="nil"/>
              <w:bottom w:val="single" w:sz="4" w:space="0" w:color="646464"/>
              <w:right w:val="nil"/>
            </w:tcBorders>
            <w:vAlign w:val="bottom"/>
            <w:hideMark/>
          </w:tcPr>
          <w:p w14:paraId="087C7FE1" w14:textId="77777777" w:rsidR="00090683" w:rsidRDefault="00090683" w:rsidP="000B7E9A">
            <w:pPr>
              <w:pStyle w:val="Tabletext"/>
              <w:rPr>
                <w:lang w:val="en-US"/>
              </w:rPr>
            </w:pPr>
            <w:r>
              <w:rPr>
                <w:szCs w:val="20"/>
                <w:lang w:val="en-US"/>
              </w:rPr>
              <w:t>Success rate</w:t>
            </w:r>
          </w:p>
        </w:tc>
        <w:tc>
          <w:tcPr>
            <w:tcW w:w="947" w:type="pct"/>
            <w:tcBorders>
              <w:top w:val="single" w:sz="4" w:space="0" w:color="646464"/>
              <w:left w:val="nil"/>
              <w:bottom w:val="single" w:sz="4" w:space="0" w:color="646464"/>
              <w:right w:val="nil"/>
            </w:tcBorders>
            <w:vAlign w:val="center"/>
            <w:hideMark/>
          </w:tcPr>
          <w:p w14:paraId="2B428AFE" w14:textId="77777777" w:rsidR="00090683" w:rsidRDefault="00090683" w:rsidP="000B7E9A">
            <w:pPr>
              <w:pStyle w:val="Tabletext"/>
              <w:jc w:val="center"/>
              <w:rPr>
                <w:lang w:val="en-US"/>
              </w:rPr>
            </w:pPr>
            <w:r>
              <w:rPr>
                <w:szCs w:val="20"/>
                <w:lang w:val="en-US"/>
              </w:rPr>
              <w:t>67%</w:t>
            </w:r>
          </w:p>
        </w:tc>
        <w:tc>
          <w:tcPr>
            <w:tcW w:w="948" w:type="pct"/>
            <w:tcBorders>
              <w:top w:val="single" w:sz="4" w:space="0" w:color="646464"/>
              <w:left w:val="nil"/>
              <w:bottom w:val="single" w:sz="4" w:space="0" w:color="646464"/>
              <w:right w:val="nil"/>
            </w:tcBorders>
            <w:vAlign w:val="center"/>
            <w:hideMark/>
          </w:tcPr>
          <w:p w14:paraId="32DB0B37" w14:textId="77777777" w:rsidR="00090683" w:rsidRDefault="00090683" w:rsidP="000B7E9A">
            <w:pPr>
              <w:pStyle w:val="Tabletext"/>
              <w:jc w:val="center"/>
              <w:rPr>
                <w:lang w:val="en-US"/>
              </w:rPr>
            </w:pPr>
            <w:r>
              <w:rPr>
                <w:szCs w:val="20"/>
                <w:lang w:val="en-US"/>
              </w:rPr>
              <w:t>63%</w:t>
            </w:r>
          </w:p>
        </w:tc>
        <w:tc>
          <w:tcPr>
            <w:tcW w:w="948" w:type="pct"/>
            <w:tcBorders>
              <w:top w:val="single" w:sz="4" w:space="0" w:color="646464"/>
              <w:left w:val="nil"/>
              <w:bottom w:val="single" w:sz="4" w:space="0" w:color="646464"/>
              <w:right w:val="nil"/>
            </w:tcBorders>
            <w:vAlign w:val="center"/>
            <w:hideMark/>
          </w:tcPr>
          <w:p w14:paraId="184A07C3" w14:textId="77777777" w:rsidR="00090683" w:rsidRDefault="00090683" w:rsidP="000B7E9A">
            <w:pPr>
              <w:pStyle w:val="Tabletext"/>
              <w:jc w:val="center"/>
              <w:rPr>
                <w:lang w:val="en-US"/>
              </w:rPr>
            </w:pPr>
            <w:r>
              <w:rPr>
                <w:szCs w:val="20"/>
                <w:lang w:val="en-US"/>
              </w:rPr>
              <w:t>70%</w:t>
            </w:r>
          </w:p>
        </w:tc>
        <w:tc>
          <w:tcPr>
            <w:tcW w:w="946" w:type="pct"/>
            <w:tcBorders>
              <w:top w:val="single" w:sz="4" w:space="0" w:color="646464"/>
              <w:left w:val="nil"/>
              <w:bottom w:val="single" w:sz="4" w:space="0" w:color="646464"/>
              <w:right w:val="nil"/>
            </w:tcBorders>
            <w:vAlign w:val="center"/>
            <w:hideMark/>
          </w:tcPr>
          <w:p w14:paraId="6B1881F4" w14:textId="77777777" w:rsidR="00090683" w:rsidRDefault="00090683" w:rsidP="000B7E9A">
            <w:pPr>
              <w:pStyle w:val="Tabletext"/>
              <w:jc w:val="center"/>
              <w:rPr>
                <w:lang w:val="en-US"/>
              </w:rPr>
            </w:pPr>
            <w:r>
              <w:rPr>
                <w:szCs w:val="20"/>
                <w:lang w:val="en-US"/>
              </w:rPr>
              <w:t>66%</w:t>
            </w:r>
          </w:p>
        </w:tc>
      </w:tr>
      <w:tr w:rsidR="00090683" w14:paraId="02F654FB" w14:textId="77777777" w:rsidTr="000B7E9A">
        <w:trPr>
          <w:gridBefore w:val="1"/>
          <w:wBefore w:w="264" w:type="pct"/>
          <w:cantSplit/>
        </w:trPr>
        <w:tc>
          <w:tcPr>
            <w:tcW w:w="4736" w:type="pct"/>
            <w:gridSpan w:val="5"/>
            <w:tcBorders>
              <w:top w:val="single" w:sz="4" w:space="0" w:color="646464"/>
              <w:left w:val="nil"/>
              <w:bottom w:val="single" w:sz="4" w:space="0" w:color="646464"/>
              <w:right w:val="nil"/>
            </w:tcBorders>
            <w:hideMark/>
          </w:tcPr>
          <w:p w14:paraId="419EC4F2" w14:textId="77777777" w:rsidR="00090683" w:rsidRDefault="00090683" w:rsidP="000B7E9A">
            <w:pPr>
              <w:pStyle w:val="Source"/>
              <w:rPr>
                <w:lang w:val="en-US"/>
              </w:rPr>
            </w:pPr>
            <w:r>
              <w:rPr>
                <w:lang w:val="en-US"/>
              </w:rPr>
              <w:t>Source: acil allen modelling using HIGHER EDUCATION STUDENT DATA COLLECTION</w:t>
            </w:r>
          </w:p>
        </w:tc>
      </w:tr>
      <w:tr w:rsidR="00090683" w14:paraId="4D6903B6" w14:textId="77777777" w:rsidTr="000B7E9A">
        <w:trPr>
          <w:gridBefore w:val="1"/>
          <w:wBefore w:w="264" w:type="pct"/>
          <w:cantSplit/>
          <w:trHeight w:val="120"/>
        </w:trPr>
        <w:tc>
          <w:tcPr>
            <w:tcW w:w="4736" w:type="pct"/>
            <w:gridSpan w:val="5"/>
            <w:tcBorders>
              <w:top w:val="single" w:sz="4" w:space="0" w:color="646464"/>
              <w:left w:val="nil"/>
              <w:bottom w:val="nil"/>
              <w:right w:val="nil"/>
            </w:tcBorders>
          </w:tcPr>
          <w:p w14:paraId="3F26C539" w14:textId="77777777" w:rsidR="00090683" w:rsidRDefault="00090683" w:rsidP="000B7E9A">
            <w:pPr>
              <w:pStyle w:val="spacertbl"/>
              <w:rPr>
                <w:lang w:val="en-US"/>
              </w:rPr>
            </w:pPr>
          </w:p>
        </w:tc>
      </w:tr>
    </w:tbl>
    <w:p w14:paraId="50C02C17" w14:textId="77777777" w:rsidR="00090683" w:rsidRDefault="00090683" w:rsidP="00090683">
      <w:pPr>
        <w:pStyle w:val="BodyText"/>
      </w:pPr>
      <w:r>
        <w:t>The results show that the difference between retention and success rates for low SES students and medium/high SES students fell between 2006-2009 and 2010-2014 (</w:t>
      </w:r>
      <w:r w:rsidRPr="00AD49C8">
        <w:t>Table 9.2</w:t>
      </w:r>
      <w:r>
        <w:t>). Low SES retention rates were 1.38 percentages points lower than medium and high SES students in 2006</w:t>
      </w:r>
      <w:r>
        <w:noBreakHyphen/>
        <w:t>2009, and 1.17 percentages points lower in 2010-14.</w:t>
      </w:r>
    </w:p>
    <w:p w14:paraId="7768596D" w14:textId="77777777" w:rsidR="00090683" w:rsidRDefault="00090683" w:rsidP="00090683">
      <w:pPr>
        <w:pStyle w:val="BodyText"/>
      </w:pPr>
      <w:r>
        <w:t>While this analysis does not definitively establish a causal relationship between HEPPP programs and these outcomes, it does indicate that when controlling for changes in the student cohort since 2010, the gap between the retention and success rates of low SES students and medium and high SES students has reduced slightly. While broader economic, population and policy factors could be relevant to achievement of these outcomes, the analysis is constrained by the factors available in the Higher Education Student Data Collection.</w:t>
      </w:r>
    </w:p>
    <w:p w14:paraId="793B9A16" w14:textId="77777777" w:rsidR="00090683" w:rsidRDefault="00090683" w:rsidP="00090683">
      <w:pPr>
        <w:pStyle w:val="Caption"/>
        <w:spacing w:before="160"/>
      </w:pPr>
      <w:bookmarkStart w:id="504" w:name="_Ref466063659"/>
      <w:bookmarkStart w:id="505" w:name="_Toc462945941"/>
      <w:bookmarkStart w:id="506" w:name="_Toc463029905"/>
      <w:bookmarkStart w:id="507" w:name="_Toc466655767"/>
      <w:r>
        <w:rPr>
          <w:rStyle w:val="CaptionLabel"/>
        </w:rPr>
        <w:t>Table </w:t>
      </w:r>
      <w:r>
        <w:rPr>
          <w:rStyle w:val="CaptionLabel"/>
          <w:noProof/>
        </w:rPr>
        <w:t>9</w:t>
      </w:r>
      <w:r>
        <w:rPr>
          <w:rStyle w:val="CaptionLabel"/>
        </w:rPr>
        <w:t>.</w:t>
      </w:r>
      <w:r>
        <w:rPr>
          <w:rStyle w:val="CaptionLabel"/>
          <w:noProof/>
        </w:rPr>
        <w:t>2</w:t>
      </w:r>
      <w:bookmarkEnd w:id="504"/>
      <w:r>
        <w:tab/>
      </w:r>
      <w:bookmarkEnd w:id="505"/>
      <w:r>
        <w:t>ECONOMETRICS analysis RESULTS: difference in retention and success rates by SES groups</w:t>
      </w:r>
      <w:bookmarkEnd w:id="506"/>
      <w:bookmarkEnd w:id="507"/>
    </w:p>
    <w:tbl>
      <w:tblPr>
        <w:tblW w:w="8625" w:type="dxa"/>
        <w:tblInd w:w="-454" w:type="dxa"/>
        <w:tblLayout w:type="fixed"/>
        <w:tblCellMar>
          <w:left w:w="0" w:type="dxa"/>
          <w:bottom w:w="40" w:type="dxa"/>
          <w:right w:w="0" w:type="dxa"/>
        </w:tblCellMar>
        <w:tblLook w:val="04A0" w:firstRow="1" w:lastRow="0" w:firstColumn="1" w:lastColumn="0" w:noHBand="0" w:noVBand="1"/>
      </w:tblPr>
      <w:tblGrid>
        <w:gridCol w:w="455"/>
        <w:gridCol w:w="2042"/>
        <w:gridCol w:w="2042"/>
        <w:gridCol w:w="2042"/>
        <w:gridCol w:w="2044"/>
      </w:tblGrid>
      <w:tr w:rsidR="00090683" w14:paraId="3C10E99D" w14:textId="77777777" w:rsidTr="000B7E9A">
        <w:trPr>
          <w:cantSplit/>
        </w:trPr>
        <w:tc>
          <w:tcPr>
            <w:tcW w:w="1447" w:type="pct"/>
            <w:gridSpan w:val="2"/>
            <w:shd w:val="clear" w:color="auto" w:fill="9D57A6"/>
          </w:tcPr>
          <w:p w14:paraId="7E9348FB" w14:textId="77777777" w:rsidR="00090683" w:rsidRDefault="00090683" w:rsidP="000B7E9A">
            <w:pPr>
              <w:pStyle w:val="Tablecolumnheadings"/>
              <w:rPr>
                <w:lang w:val="en-US"/>
              </w:rPr>
            </w:pPr>
          </w:p>
        </w:tc>
        <w:tc>
          <w:tcPr>
            <w:tcW w:w="2368" w:type="pct"/>
            <w:gridSpan w:val="2"/>
            <w:shd w:val="clear" w:color="auto" w:fill="9D57A6"/>
            <w:vAlign w:val="center"/>
            <w:hideMark/>
          </w:tcPr>
          <w:p w14:paraId="7363C349" w14:textId="77777777" w:rsidR="00090683" w:rsidRDefault="00090683" w:rsidP="000B7E9A">
            <w:pPr>
              <w:pStyle w:val="Tablecolumnheadings"/>
              <w:jc w:val="center"/>
              <w:rPr>
                <w:lang w:val="en-US"/>
              </w:rPr>
            </w:pPr>
            <w:r>
              <w:rPr>
                <w:szCs w:val="20"/>
                <w:lang w:val="en-US"/>
              </w:rPr>
              <w:t>Average difference between low SES and medium/high SES</w:t>
            </w:r>
          </w:p>
        </w:tc>
        <w:tc>
          <w:tcPr>
            <w:tcW w:w="1185" w:type="pct"/>
            <w:vMerge w:val="restart"/>
            <w:shd w:val="clear" w:color="auto" w:fill="9D57A6"/>
            <w:vAlign w:val="center"/>
            <w:hideMark/>
          </w:tcPr>
          <w:p w14:paraId="5547BC55" w14:textId="77777777" w:rsidR="00090683" w:rsidRDefault="00090683" w:rsidP="000B7E9A">
            <w:pPr>
              <w:pStyle w:val="Tablecolumnheadings"/>
              <w:jc w:val="center"/>
              <w:rPr>
                <w:lang w:val="en-US"/>
              </w:rPr>
            </w:pPr>
            <w:r>
              <w:rPr>
                <w:lang w:val="en-US"/>
              </w:rPr>
              <w:t>Change in difference</w:t>
            </w:r>
          </w:p>
        </w:tc>
      </w:tr>
      <w:tr w:rsidR="00090683" w14:paraId="23936EA2" w14:textId="77777777" w:rsidTr="000B7E9A">
        <w:trPr>
          <w:cantSplit/>
        </w:trPr>
        <w:tc>
          <w:tcPr>
            <w:tcW w:w="1447" w:type="pct"/>
            <w:gridSpan w:val="2"/>
            <w:shd w:val="clear" w:color="auto" w:fill="9D57A6"/>
            <w:tcMar>
              <w:top w:w="0" w:type="dxa"/>
              <w:left w:w="454" w:type="dxa"/>
              <w:bottom w:w="0" w:type="dxa"/>
              <w:right w:w="0" w:type="dxa"/>
            </w:tcMar>
          </w:tcPr>
          <w:p w14:paraId="6FDEF29D" w14:textId="77777777" w:rsidR="00090683" w:rsidRDefault="00090683" w:rsidP="000B7E9A">
            <w:pPr>
              <w:pStyle w:val="Tablecolumnheadings"/>
              <w:rPr>
                <w:lang w:val="en-US"/>
              </w:rPr>
            </w:pPr>
          </w:p>
        </w:tc>
        <w:tc>
          <w:tcPr>
            <w:tcW w:w="1184" w:type="pct"/>
            <w:shd w:val="clear" w:color="auto" w:fill="9D57A6"/>
            <w:tcMar>
              <w:top w:w="0" w:type="dxa"/>
              <w:left w:w="0" w:type="dxa"/>
              <w:bottom w:w="0" w:type="dxa"/>
              <w:right w:w="0" w:type="dxa"/>
            </w:tcMar>
            <w:vAlign w:val="center"/>
            <w:hideMark/>
          </w:tcPr>
          <w:p w14:paraId="570E7548" w14:textId="77777777" w:rsidR="00090683" w:rsidRDefault="00090683" w:rsidP="000B7E9A">
            <w:pPr>
              <w:pStyle w:val="Tablecolumnheadings"/>
              <w:jc w:val="center"/>
              <w:rPr>
                <w:lang w:val="en-US"/>
              </w:rPr>
            </w:pPr>
            <w:r>
              <w:rPr>
                <w:lang w:val="en-US"/>
              </w:rPr>
              <w:t>2006-2009</w:t>
            </w:r>
          </w:p>
        </w:tc>
        <w:tc>
          <w:tcPr>
            <w:tcW w:w="1184" w:type="pct"/>
            <w:shd w:val="clear" w:color="auto" w:fill="9D57A6"/>
            <w:tcMar>
              <w:top w:w="0" w:type="dxa"/>
              <w:left w:w="0" w:type="dxa"/>
              <w:bottom w:w="0" w:type="dxa"/>
              <w:right w:w="0" w:type="dxa"/>
            </w:tcMar>
            <w:vAlign w:val="center"/>
            <w:hideMark/>
          </w:tcPr>
          <w:p w14:paraId="60B63BEC" w14:textId="77777777" w:rsidR="00090683" w:rsidRDefault="00090683" w:rsidP="000B7E9A">
            <w:pPr>
              <w:pStyle w:val="Tablecolumnheadings"/>
              <w:jc w:val="center"/>
              <w:rPr>
                <w:lang w:val="en-US"/>
              </w:rPr>
            </w:pPr>
            <w:r>
              <w:rPr>
                <w:lang w:val="en-US"/>
              </w:rPr>
              <w:t>2010-2014</w:t>
            </w:r>
          </w:p>
        </w:tc>
        <w:tc>
          <w:tcPr>
            <w:tcW w:w="2839" w:type="dxa"/>
            <w:vMerge/>
            <w:vAlign w:val="center"/>
            <w:hideMark/>
          </w:tcPr>
          <w:p w14:paraId="4A25B4BC" w14:textId="77777777" w:rsidR="00090683" w:rsidRDefault="00090683" w:rsidP="000B7E9A">
            <w:pPr>
              <w:spacing w:after="0" w:line="256" w:lineRule="auto"/>
              <w:rPr>
                <w:b/>
                <w:color w:val="FFFEFF"/>
                <w:sz w:val="20"/>
                <w:lang w:val="en-US"/>
              </w:rPr>
            </w:pPr>
          </w:p>
        </w:tc>
      </w:tr>
      <w:tr w:rsidR="00090683" w14:paraId="0D8899CC" w14:textId="77777777" w:rsidTr="000B7E9A">
        <w:trPr>
          <w:gridBefore w:val="1"/>
          <w:wBefore w:w="263" w:type="pct"/>
          <w:cantSplit/>
        </w:trPr>
        <w:tc>
          <w:tcPr>
            <w:tcW w:w="1184" w:type="pct"/>
            <w:tcBorders>
              <w:top w:val="nil"/>
              <w:left w:val="nil"/>
              <w:bottom w:val="single" w:sz="4" w:space="0" w:color="646464"/>
              <w:right w:val="nil"/>
            </w:tcBorders>
            <w:vAlign w:val="bottom"/>
            <w:hideMark/>
          </w:tcPr>
          <w:p w14:paraId="6A080AA0" w14:textId="77777777" w:rsidR="00090683" w:rsidRDefault="00090683" w:rsidP="000B7E9A">
            <w:pPr>
              <w:pStyle w:val="Tabletext"/>
              <w:rPr>
                <w:lang w:val="en-US"/>
              </w:rPr>
            </w:pPr>
            <w:r>
              <w:rPr>
                <w:szCs w:val="20"/>
                <w:lang w:val="en-US"/>
              </w:rPr>
              <w:t>Retention rate</w:t>
            </w:r>
          </w:p>
        </w:tc>
        <w:tc>
          <w:tcPr>
            <w:tcW w:w="1184" w:type="pct"/>
            <w:tcBorders>
              <w:top w:val="nil"/>
              <w:left w:val="nil"/>
              <w:bottom w:val="single" w:sz="4" w:space="0" w:color="646464"/>
              <w:right w:val="nil"/>
            </w:tcBorders>
            <w:vAlign w:val="center"/>
            <w:hideMark/>
          </w:tcPr>
          <w:p w14:paraId="518C8ACB" w14:textId="77777777" w:rsidR="00090683" w:rsidRDefault="00090683" w:rsidP="000B7E9A">
            <w:pPr>
              <w:pStyle w:val="Tabletext"/>
              <w:jc w:val="center"/>
              <w:rPr>
                <w:lang w:val="en-US"/>
              </w:rPr>
            </w:pPr>
            <w:r>
              <w:rPr>
                <w:szCs w:val="20"/>
                <w:lang w:val="en-US"/>
              </w:rPr>
              <w:t>-1.38 percentage points</w:t>
            </w:r>
          </w:p>
        </w:tc>
        <w:tc>
          <w:tcPr>
            <w:tcW w:w="1184" w:type="pct"/>
            <w:tcBorders>
              <w:top w:val="nil"/>
              <w:left w:val="nil"/>
              <w:bottom w:val="single" w:sz="4" w:space="0" w:color="646464"/>
              <w:right w:val="nil"/>
            </w:tcBorders>
            <w:vAlign w:val="center"/>
            <w:hideMark/>
          </w:tcPr>
          <w:p w14:paraId="17B57274" w14:textId="77777777" w:rsidR="00090683" w:rsidRDefault="00090683" w:rsidP="000B7E9A">
            <w:pPr>
              <w:pStyle w:val="Tabletext"/>
              <w:jc w:val="center"/>
              <w:rPr>
                <w:lang w:val="en-US"/>
              </w:rPr>
            </w:pPr>
            <w:r>
              <w:rPr>
                <w:szCs w:val="20"/>
                <w:lang w:val="en-US"/>
              </w:rPr>
              <w:t>-1.17 percentage points</w:t>
            </w:r>
          </w:p>
        </w:tc>
        <w:tc>
          <w:tcPr>
            <w:tcW w:w="1185" w:type="pct"/>
            <w:tcBorders>
              <w:top w:val="nil"/>
              <w:left w:val="nil"/>
              <w:bottom w:val="single" w:sz="4" w:space="0" w:color="646464"/>
              <w:right w:val="nil"/>
            </w:tcBorders>
            <w:vAlign w:val="center"/>
            <w:hideMark/>
          </w:tcPr>
          <w:p w14:paraId="26F4846A" w14:textId="77777777" w:rsidR="00090683" w:rsidRDefault="00090683" w:rsidP="000B7E9A">
            <w:pPr>
              <w:pStyle w:val="Tabletext"/>
              <w:jc w:val="center"/>
              <w:rPr>
                <w:lang w:val="en-US"/>
              </w:rPr>
            </w:pPr>
            <w:r>
              <w:rPr>
                <w:szCs w:val="20"/>
                <w:lang w:val="en-US"/>
              </w:rPr>
              <w:t>0.21 percentage points</w:t>
            </w:r>
          </w:p>
        </w:tc>
      </w:tr>
      <w:tr w:rsidR="00090683" w14:paraId="1BA9E890" w14:textId="77777777" w:rsidTr="000B7E9A">
        <w:trPr>
          <w:gridBefore w:val="1"/>
          <w:wBefore w:w="263" w:type="pct"/>
          <w:cantSplit/>
        </w:trPr>
        <w:tc>
          <w:tcPr>
            <w:tcW w:w="1184" w:type="pct"/>
            <w:tcBorders>
              <w:top w:val="single" w:sz="4" w:space="0" w:color="646464"/>
              <w:left w:val="nil"/>
              <w:bottom w:val="single" w:sz="4" w:space="0" w:color="646464"/>
              <w:right w:val="nil"/>
            </w:tcBorders>
            <w:vAlign w:val="bottom"/>
            <w:hideMark/>
          </w:tcPr>
          <w:p w14:paraId="4C80DEEE" w14:textId="77777777" w:rsidR="00090683" w:rsidRDefault="00090683" w:rsidP="000B7E9A">
            <w:pPr>
              <w:pStyle w:val="Tabletext"/>
              <w:rPr>
                <w:lang w:val="en-US"/>
              </w:rPr>
            </w:pPr>
            <w:r>
              <w:rPr>
                <w:szCs w:val="20"/>
                <w:lang w:val="en-US"/>
              </w:rPr>
              <w:t>Success rate</w:t>
            </w:r>
          </w:p>
        </w:tc>
        <w:tc>
          <w:tcPr>
            <w:tcW w:w="1184" w:type="pct"/>
            <w:tcBorders>
              <w:top w:val="single" w:sz="4" w:space="0" w:color="646464"/>
              <w:left w:val="nil"/>
              <w:bottom w:val="single" w:sz="4" w:space="0" w:color="646464"/>
              <w:right w:val="nil"/>
            </w:tcBorders>
            <w:vAlign w:val="center"/>
            <w:hideMark/>
          </w:tcPr>
          <w:p w14:paraId="06F536AB" w14:textId="77777777" w:rsidR="00090683" w:rsidRDefault="00090683" w:rsidP="000B7E9A">
            <w:pPr>
              <w:pStyle w:val="Tabletext"/>
              <w:jc w:val="center"/>
              <w:rPr>
                <w:lang w:val="en-US"/>
              </w:rPr>
            </w:pPr>
            <w:r>
              <w:rPr>
                <w:szCs w:val="20"/>
                <w:lang w:val="en-US"/>
              </w:rPr>
              <w:t>-2.94 percentage points</w:t>
            </w:r>
          </w:p>
        </w:tc>
        <w:tc>
          <w:tcPr>
            <w:tcW w:w="1184" w:type="pct"/>
            <w:tcBorders>
              <w:top w:val="single" w:sz="4" w:space="0" w:color="646464"/>
              <w:left w:val="nil"/>
              <w:bottom w:val="single" w:sz="4" w:space="0" w:color="646464"/>
              <w:right w:val="nil"/>
            </w:tcBorders>
            <w:vAlign w:val="center"/>
            <w:hideMark/>
          </w:tcPr>
          <w:p w14:paraId="083EE84F" w14:textId="77777777" w:rsidR="00090683" w:rsidRDefault="00090683" w:rsidP="000B7E9A">
            <w:pPr>
              <w:pStyle w:val="Tabletext"/>
              <w:jc w:val="center"/>
              <w:rPr>
                <w:lang w:val="en-US"/>
              </w:rPr>
            </w:pPr>
            <w:r>
              <w:rPr>
                <w:szCs w:val="20"/>
                <w:lang w:val="en-US"/>
              </w:rPr>
              <w:t>-2.89 percentage points</w:t>
            </w:r>
          </w:p>
        </w:tc>
        <w:tc>
          <w:tcPr>
            <w:tcW w:w="1185" w:type="pct"/>
            <w:tcBorders>
              <w:top w:val="single" w:sz="4" w:space="0" w:color="646464"/>
              <w:left w:val="nil"/>
              <w:bottom w:val="single" w:sz="4" w:space="0" w:color="646464"/>
              <w:right w:val="nil"/>
            </w:tcBorders>
            <w:vAlign w:val="center"/>
            <w:hideMark/>
          </w:tcPr>
          <w:p w14:paraId="7062DC4A" w14:textId="77777777" w:rsidR="00090683" w:rsidRDefault="00090683" w:rsidP="000B7E9A">
            <w:pPr>
              <w:pStyle w:val="Tabletext"/>
              <w:jc w:val="center"/>
              <w:rPr>
                <w:lang w:val="en-US"/>
              </w:rPr>
            </w:pPr>
            <w:r>
              <w:rPr>
                <w:szCs w:val="20"/>
                <w:lang w:val="en-US"/>
              </w:rPr>
              <w:t>0.05 percentage points</w:t>
            </w:r>
          </w:p>
        </w:tc>
      </w:tr>
      <w:tr w:rsidR="00090683" w14:paraId="50A6A9B9" w14:textId="77777777" w:rsidTr="000B7E9A">
        <w:trPr>
          <w:gridBefore w:val="1"/>
          <w:wBefore w:w="263" w:type="pct"/>
          <w:cantSplit/>
        </w:trPr>
        <w:tc>
          <w:tcPr>
            <w:tcW w:w="4737" w:type="pct"/>
            <w:gridSpan w:val="4"/>
            <w:tcBorders>
              <w:top w:val="single" w:sz="4" w:space="0" w:color="646464"/>
              <w:left w:val="nil"/>
              <w:bottom w:val="single" w:sz="4" w:space="0" w:color="646464"/>
              <w:right w:val="nil"/>
            </w:tcBorders>
            <w:hideMark/>
          </w:tcPr>
          <w:p w14:paraId="604BA285" w14:textId="77777777" w:rsidR="00090683" w:rsidRDefault="00090683" w:rsidP="000B7E9A">
            <w:pPr>
              <w:pStyle w:val="Source"/>
              <w:rPr>
                <w:lang w:val="en-US"/>
              </w:rPr>
            </w:pPr>
            <w:r>
              <w:rPr>
                <w:lang w:val="en-US"/>
              </w:rPr>
              <w:t>Source: acil allen modelling using HIGHER EDUCATION STUDENT DATA COLLECTION</w:t>
            </w:r>
          </w:p>
        </w:tc>
      </w:tr>
      <w:tr w:rsidR="00090683" w14:paraId="74012D3C" w14:textId="77777777" w:rsidTr="000B7E9A">
        <w:trPr>
          <w:gridBefore w:val="1"/>
          <w:wBefore w:w="263" w:type="pct"/>
          <w:cantSplit/>
          <w:trHeight w:val="120"/>
        </w:trPr>
        <w:tc>
          <w:tcPr>
            <w:tcW w:w="4737" w:type="pct"/>
            <w:gridSpan w:val="4"/>
            <w:tcBorders>
              <w:top w:val="single" w:sz="4" w:space="0" w:color="646464"/>
              <w:left w:val="nil"/>
              <w:bottom w:val="nil"/>
              <w:right w:val="nil"/>
            </w:tcBorders>
          </w:tcPr>
          <w:p w14:paraId="24C9FD25" w14:textId="77777777" w:rsidR="00090683" w:rsidRDefault="00090683" w:rsidP="000B7E9A">
            <w:pPr>
              <w:pStyle w:val="spacertbl"/>
              <w:rPr>
                <w:lang w:val="en-US"/>
              </w:rPr>
            </w:pPr>
          </w:p>
        </w:tc>
      </w:tr>
    </w:tbl>
    <w:p w14:paraId="6C314ADC" w14:textId="77777777" w:rsidR="00090683" w:rsidRDefault="00090683" w:rsidP="00090683">
      <w:pPr>
        <w:pStyle w:val="BodyText"/>
      </w:pPr>
      <w:r>
        <w:t>The econometric analysis also examined the retention and success rate differences between the two periods, by university (</w:t>
      </w:r>
      <w:r w:rsidRPr="00AD49C8">
        <w:t>Figure 9.23</w:t>
      </w:r>
      <w:r>
        <w:t xml:space="preserve">). There are 10 universities (out of 37) for which the difference between low SES and medium and high SES student retention and success rates has fallen between 2006-2009 and 2010-2014. </w:t>
      </w:r>
    </w:p>
    <w:tbl>
      <w:tblPr>
        <w:tblStyle w:val="TableGrid"/>
        <w:tblW w:w="8175"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5"/>
      </w:tblGrid>
      <w:tr w:rsidR="00090683" w14:paraId="5640B988" w14:textId="77777777" w:rsidTr="000B7E9A">
        <w:trPr>
          <w:cantSplit/>
          <w:trHeight w:val="160"/>
        </w:trPr>
        <w:tc>
          <w:tcPr>
            <w:tcW w:w="8168" w:type="dxa"/>
            <w:tcBorders>
              <w:top w:val="nil"/>
              <w:left w:val="nil"/>
              <w:bottom w:val="single" w:sz="4" w:space="0" w:color="auto"/>
              <w:right w:val="nil"/>
            </w:tcBorders>
          </w:tcPr>
          <w:p w14:paraId="3A11C1B3" w14:textId="77777777" w:rsidR="00090683" w:rsidRDefault="00090683" w:rsidP="000B7E9A">
            <w:pPr>
              <w:pStyle w:val="spacer"/>
              <w:rPr>
                <w:lang w:val="en-US"/>
              </w:rPr>
            </w:pPr>
          </w:p>
        </w:tc>
      </w:tr>
      <w:tr w:rsidR="00090683" w14:paraId="6E67C603" w14:textId="77777777" w:rsidTr="000B7E9A">
        <w:trPr>
          <w:cantSplit/>
          <w:trHeight w:val="327"/>
        </w:trPr>
        <w:tc>
          <w:tcPr>
            <w:tcW w:w="8168" w:type="dxa"/>
            <w:tcBorders>
              <w:top w:val="single" w:sz="4" w:space="0" w:color="auto"/>
              <w:left w:val="nil"/>
              <w:bottom w:val="nil"/>
              <w:right w:val="nil"/>
            </w:tcBorders>
            <w:hideMark/>
          </w:tcPr>
          <w:p w14:paraId="0C1A7784" w14:textId="77777777" w:rsidR="00090683" w:rsidRDefault="00090683" w:rsidP="000B7E9A">
            <w:pPr>
              <w:pStyle w:val="Caption"/>
              <w:rPr>
                <w:lang w:val="en-US"/>
              </w:rPr>
            </w:pPr>
            <w:bookmarkStart w:id="508" w:name="_Ref466287831"/>
            <w:bookmarkStart w:id="509" w:name="_Toc463029880"/>
            <w:bookmarkStart w:id="510" w:name="_Toc466655711"/>
            <w:r>
              <w:rPr>
                <w:rStyle w:val="CaptionLabel"/>
                <w:lang w:val="en-US"/>
              </w:rPr>
              <w:t>Figure </w:t>
            </w:r>
            <w:r>
              <w:rPr>
                <w:rStyle w:val="CaptionLabel"/>
                <w:noProof/>
                <w:lang w:val="en-US"/>
              </w:rPr>
              <w:t>9</w:t>
            </w:r>
            <w:r>
              <w:rPr>
                <w:rStyle w:val="CaptionLabel"/>
                <w:lang w:val="en-US"/>
              </w:rPr>
              <w:t>.</w:t>
            </w:r>
            <w:r>
              <w:rPr>
                <w:rStyle w:val="CaptionLabel"/>
                <w:noProof/>
                <w:lang w:val="en-US"/>
              </w:rPr>
              <w:t>23</w:t>
            </w:r>
            <w:bookmarkEnd w:id="508"/>
            <w:r>
              <w:rPr>
                <w:lang w:val="en-US"/>
              </w:rPr>
              <w:tab/>
              <w:t>RETENTION and success rate changes at each university, 2006-2009 to 2010-2014</w:t>
            </w:r>
            <w:bookmarkEnd w:id="509"/>
            <w:bookmarkEnd w:id="510"/>
          </w:p>
        </w:tc>
      </w:tr>
      <w:tr w:rsidR="00090683" w14:paraId="723A08A5" w14:textId="77777777" w:rsidTr="000B7E9A">
        <w:trPr>
          <w:cantSplit/>
          <w:trHeight w:val="380"/>
        </w:trPr>
        <w:tc>
          <w:tcPr>
            <w:tcW w:w="8168" w:type="dxa"/>
            <w:tcBorders>
              <w:top w:val="nil"/>
              <w:left w:val="nil"/>
              <w:bottom w:val="single" w:sz="4" w:space="0" w:color="auto"/>
              <w:right w:val="nil"/>
            </w:tcBorders>
            <w:hideMark/>
          </w:tcPr>
          <w:p w14:paraId="1E2450BC"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13024" behindDoc="0" locked="1" layoutInCell="1" allowOverlap="1" wp14:anchorId="5C70D5E1" wp14:editId="634F0597">
                      <wp:simplePos x="0" y="0"/>
                      <wp:positionH relativeFrom="rightMargin">
                        <wp:posOffset>-772795</wp:posOffset>
                      </wp:positionH>
                      <wp:positionV relativeFrom="page">
                        <wp:posOffset>0</wp:posOffset>
                      </wp:positionV>
                      <wp:extent cx="436880" cy="213360"/>
                      <wp:effectExtent l="0" t="0" r="1270" b="0"/>
                      <wp:wrapNone/>
                      <wp:docPr id="863" name="Freeform 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63856C" id="Freeform 863" o:spid="_x0000_s1026" style="position:absolute;margin-left:-60.85pt;margin-top:0;width:34.4pt;height:16.8pt;z-index:251713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Hq6IvR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11625130" w14:textId="77777777" w:rsidTr="000B7E9A">
        <w:trPr>
          <w:cantSplit/>
        </w:trPr>
        <w:tc>
          <w:tcPr>
            <w:tcW w:w="8168" w:type="dxa"/>
            <w:tcBorders>
              <w:top w:val="single" w:sz="4" w:space="0" w:color="auto"/>
              <w:left w:val="nil"/>
              <w:bottom w:val="single" w:sz="4" w:space="0" w:color="auto"/>
              <w:right w:val="nil"/>
            </w:tcBorders>
            <w:tcMar>
              <w:top w:w="10" w:type="dxa"/>
              <w:left w:w="0" w:type="dxa"/>
              <w:bottom w:w="10" w:type="dxa"/>
              <w:right w:w="0" w:type="dxa"/>
            </w:tcMar>
            <w:hideMark/>
          </w:tcPr>
          <w:p w14:paraId="376AA5AB" w14:textId="77777777" w:rsidR="00090683" w:rsidRDefault="00090683" w:rsidP="000B7E9A">
            <w:pPr>
              <w:pStyle w:val="Figure"/>
              <w:keepLines/>
              <w:rPr>
                <w:lang w:val="en-US"/>
              </w:rPr>
            </w:pPr>
            <w:r w:rsidRPr="00FE7F44">
              <w:rPr>
                <w:noProof/>
                <w:lang w:eastAsia="en-AU"/>
              </w:rPr>
              <w:drawing>
                <wp:inline distT="0" distB="0" distL="0" distR="0" wp14:anchorId="3112CD73" wp14:editId="69966D1C">
                  <wp:extent cx="5184140" cy="221043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84140" cy="2210435"/>
                          </a:xfrm>
                          <a:prstGeom prst="rect">
                            <a:avLst/>
                          </a:prstGeom>
                          <a:noFill/>
                          <a:ln>
                            <a:noFill/>
                          </a:ln>
                        </pic:spPr>
                      </pic:pic>
                    </a:graphicData>
                  </a:graphic>
                </wp:inline>
              </w:drawing>
            </w:r>
          </w:p>
        </w:tc>
      </w:tr>
      <w:tr w:rsidR="00090683" w14:paraId="11FDDBA3" w14:textId="77777777" w:rsidTr="000B7E9A">
        <w:trPr>
          <w:cantSplit/>
        </w:trPr>
        <w:tc>
          <w:tcPr>
            <w:tcW w:w="8168" w:type="dxa"/>
            <w:tcBorders>
              <w:top w:val="single" w:sz="4" w:space="0" w:color="auto"/>
              <w:left w:val="nil"/>
              <w:bottom w:val="single" w:sz="4" w:space="0" w:color="auto"/>
              <w:right w:val="nil"/>
            </w:tcBorders>
            <w:tcMar>
              <w:top w:w="12" w:type="dxa"/>
              <w:left w:w="0" w:type="dxa"/>
              <w:bottom w:w="113" w:type="dxa"/>
              <w:right w:w="0" w:type="dxa"/>
            </w:tcMar>
            <w:hideMark/>
          </w:tcPr>
          <w:p w14:paraId="03D15D88" w14:textId="77777777" w:rsidR="00090683" w:rsidRDefault="00090683" w:rsidP="000B7E9A">
            <w:pPr>
              <w:pStyle w:val="Source"/>
              <w:keepLines/>
              <w:rPr>
                <w:lang w:val="en-US"/>
              </w:rPr>
            </w:pPr>
            <w:r>
              <w:rPr>
                <w:lang w:val="en-US"/>
              </w:rPr>
              <w:t>Source: acil allen modelling using HIGHER EDUCATION STUDENT DATA COLLECTION</w:t>
            </w:r>
          </w:p>
        </w:tc>
      </w:tr>
      <w:tr w:rsidR="00090683" w14:paraId="6C553499" w14:textId="77777777" w:rsidTr="000B7E9A">
        <w:trPr>
          <w:trHeight w:val="160"/>
        </w:trPr>
        <w:tc>
          <w:tcPr>
            <w:tcW w:w="8168" w:type="dxa"/>
            <w:tcBorders>
              <w:top w:val="single" w:sz="4" w:space="0" w:color="auto"/>
              <w:left w:val="nil"/>
              <w:bottom w:val="nil"/>
              <w:right w:val="nil"/>
            </w:tcBorders>
          </w:tcPr>
          <w:p w14:paraId="52DFBCA7" w14:textId="77777777" w:rsidR="00090683" w:rsidRDefault="00090683" w:rsidP="000B7E9A">
            <w:pPr>
              <w:pStyle w:val="spacertbl"/>
              <w:keepNext/>
              <w:keepLines/>
              <w:rPr>
                <w:lang w:val="en-US"/>
              </w:rPr>
            </w:pPr>
          </w:p>
        </w:tc>
      </w:tr>
    </w:tbl>
    <w:p w14:paraId="1BCFBAEF" w14:textId="77777777" w:rsidR="00090683" w:rsidRDefault="00090683" w:rsidP="00090683">
      <w:pPr>
        <w:pStyle w:val="BodyText"/>
      </w:pPr>
      <w:r>
        <w:t>Using these university-level results, combined with the HEPPP project inventory</w:t>
      </w:r>
      <w:r>
        <w:rPr>
          <w:rStyle w:val="FootnoteReference"/>
        </w:rPr>
        <w:footnoteReference w:id="46"/>
      </w:r>
      <w:r>
        <w:t xml:space="preserve">, it is possible to examine for any difference in the types of HEPPP projects implemented by universities which have achieved reductions in outcome gaps between low SES students and medium and high SES students. </w:t>
      </w:r>
    </w:p>
    <w:p w14:paraId="0B43254A" w14:textId="77777777" w:rsidR="00090683" w:rsidRDefault="00090683" w:rsidP="00090683">
      <w:pPr>
        <w:pStyle w:val="BodyText"/>
      </w:pPr>
      <w:r>
        <w:t>This analysis indicates there is little commonality in the relative focus given to different HEPPP activities by the universities that have improved both relative retention rate and success rates (</w:t>
      </w:r>
      <w:r w:rsidRPr="00AD49C8">
        <w:t>Figure 9.24</w:t>
      </w:r>
      <w:r>
        <w:t xml:space="preserve">). There is no pattern in the HEPPP expenditure of universities that have improved both relative retention rate and success rates, and those that have not, that could help explain the different outcomes these two groups of universities have achieved. </w:t>
      </w:r>
    </w:p>
    <w:p w14:paraId="29FA3FC8" w14:textId="77777777" w:rsidR="00090683" w:rsidRDefault="00090683" w:rsidP="00090683">
      <w:pPr>
        <w:pStyle w:val="BodyText"/>
      </w:pPr>
      <w:r>
        <w:t xml:space="preserve">This may indicate that HEPPP project effectiveness differs more within project types, than between project types, although at this stage there are insufficient data to confirm this possibility (refer Chapters 4-7). </w:t>
      </w:r>
    </w:p>
    <w:tbl>
      <w:tblPr>
        <w:tblStyle w:val="TableGrid"/>
        <w:tblW w:w="10995"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5"/>
      </w:tblGrid>
      <w:tr w:rsidR="00090683" w14:paraId="08FE7BA9" w14:textId="77777777" w:rsidTr="000B7E9A">
        <w:trPr>
          <w:cantSplit/>
          <w:trHeight w:val="160"/>
        </w:trPr>
        <w:tc>
          <w:tcPr>
            <w:tcW w:w="10994" w:type="dxa"/>
            <w:tcBorders>
              <w:top w:val="nil"/>
              <w:left w:val="nil"/>
              <w:bottom w:val="single" w:sz="4" w:space="0" w:color="auto"/>
              <w:right w:val="nil"/>
            </w:tcBorders>
          </w:tcPr>
          <w:p w14:paraId="006DA278" w14:textId="77777777" w:rsidR="00090683" w:rsidRDefault="00090683" w:rsidP="000B7E9A">
            <w:pPr>
              <w:pStyle w:val="spacer"/>
              <w:rPr>
                <w:lang w:val="en-US"/>
              </w:rPr>
            </w:pPr>
          </w:p>
        </w:tc>
      </w:tr>
      <w:tr w:rsidR="00090683" w14:paraId="54127714" w14:textId="77777777" w:rsidTr="000B7E9A">
        <w:trPr>
          <w:cantSplit/>
        </w:trPr>
        <w:tc>
          <w:tcPr>
            <w:tcW w:w="10994" w:type="dxa"/>
            <w:tcBorders>
              <w:top w:val="single" w:sz="4" w:space="0" w:color="auto"/>
              <w:left w:val="nil"/>
              <w:bottom w:val="nil"/>
              <w:right w:val="nil"/>
            </w:tcBorders>
            <w:hideMark/>
          </w:tcPr>
          <w:p w14:paraId="25DAC05D" w14:textId="77777777" w:rsidR="00090683" w:rsidRDefault="00090683" w:rsidP="000B7E9A">
            <w:pPr>
              <w:pStyle w:val="Caption"/>
              <w:rPr>
                <w:lang w:val="en-US"/>
              </w:rPr>
            </w:pPr>
            <w:bookmarkStart w:id="511" w:name="_Ref466065390"/>
            <w:bookmarkStart w:id="512" w:name="_Toc463029881"/>
            <w:bookmarkStart w:id="513" w:name="_Toc466655712"/>
            <w:r>
              <w:rPr>
                <w:rStyle w:val="CaptionLabel"/>
                <w:lang w:val="en-US"/>
              </w:rPr>
              <w:t>Figure </w:t>
            </w:r>
            <w:r>
              <w:rPr>
                <w:rStyle w:val="CaptionLabel"/>
                <w:noProof/>
                <w:lang w:val="en-US"/>
              </w:rPr>
              <w:t>9</w:t>
            </w:r>
            <w:r>
              <w:rPr>
                <w:rStyle w:val="CaptionLabel"/>
                <w:lang w:val="en-US"/>
              </w:rPr>
              <w:t>.</w:t>
            </w:r>
            <w:r>
              <w:rPr>
                <w:rStyle w:val="CaptionLabel"/>
                <w:noProof/>
                <w:lang w:val="en-US"/>
              </w:rPr>
              <w:t>24</w:t>
            </w:r>
            <w:bookmarkEnd w:id="511"/>
            <w:r>
              <w:rPr>
                <w:lang w:val="en-US"/>
              </w:rPr>
              <w:tab/>
              <w:t>Share of HEPPP funding per activity</w:t>
            </w:r>
            <w:bookmarkEnd w:id="512"/>
            <w:bookmarkEnd w:id="513"/>
          </w:p>
        </w:tc>
      </w:tr>
      <w:tr w:rsidR="00090683" w14:paraId="394A5B99" w14:textId="77777777" w:rsidTr="000B7E9A">
        <w:trPr>
          <w:cantSplit/>
          <w:trHeight w:val="380"/>
        </w:trPr>
        <w:tc>
          <w:tcPr>
            <w:tcW w:w="10994" w:type="dxa"/>
            <w:tcBorders>
              <w:top w:val="nil"/>
              <w:left w:val="nil"/>
              <w:bottom w:val="single" w:sz="4" w:space="0" w:color="auto"/>
              <w:right w:val="nil"/>
            </w:tcBorders>
            <w:hideMark/>
          </w:tcPr>
          <w:p w14:paraId="636F20CE" w14:textId="77777777" w:rsidR="00090683" w:rsidRDefault="00090683" w:rsidP="000B7E9A">
            <w:pPr>
              <w:pStyle w:val="spacer"/>
              <w:rPr>
                <w:lang w:val="en-US"/>
              </w:rPr>
            </w:pPr>
            <w:r>
              <w:rPr>
                <w:noProof/>
                <w:lang w:eastAsia="en-AU"/>
              </w:rPr>
              <mc:AlternateContent>
                <mc:Choice Requires="wps">
                  <w:drawing>
                    <wp:anchor distT="0" distB="0" distL="114300" distR="114300" simplePos="0" relativeHeight="251714048" behindDoc="0" locked="1" layoutInCell="1" allowOverlap="1" wp14:anchorId="4463C213" wp14:editId="4AE4C3A8">
                      <wp:simplePos x="0" y="0"/>
                      <wp:positionH relativeFrom="rightMargin">
                        <wp:posOffset>-772795</wp:posOffset>
                      </wp:positionH>
                      <wp:positionV relativeFrom="page">
                        <wp:posOffset>0</wp:posOffset>
                      </wp:positionV>
                      <wp:extent cx="436880" cy="213360"/>
                      <wp:effectExtent l="0" t="0" r="1270" b="0"/>
                      <wp:wrapNone/>
                      <wp:docPr id="862" name="Freeform 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B9FEC8" id="Freeform 862" o:spid="_x0000_s1026" style="position:absolute;margin-left:-60.85pt;margin-top:0;width:34.4pt;height:16.8pt;z-index:25171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Fcw1uN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14:paraId="0B790772" w14:textId="77777777" w:rsidTr="000B7E9A">
        <w:trPr>
          <w:cantSplit/>
        </w:trPr>
        <w:tc>
          <w:tcPr>
            <w:tcW w:w="10994" w:type="dxa"/>
            <w:tcBorders>
              <w:top w:val="single" w:sz="4" w:space="0" w:color="auto"/>
              <w:left w:val="nil"/>
              <w:bottom w:val="single" w:sz="4" w:space="0" w:color="auto"/>
              <w:right w:val="nil"/>
            </w:tcBorders>
            <w:tcMar>
              <w:top w:w="10" w:type="dxa"/>
              <w:left w:w="0" w:type="dxa"/>
              <w:bottom w:w="10" w:type="dxa"/>
              <w:right w:w="0" w:type="dxa"/>
            </w:tcMar>
            <w:hideMark/>
          </w:tcPr>
          <w:p w14:paraId="74A8D179" w14:textId="77777777" w:rsidR="00090683" w:rsidRDefault="00090683" w:rsidP="000B7E9A">
            <w:pPr>
              <w:pStyle w:val="Figure"/>
              <w:keepLines/>
              <w:rPr>
                <w:lang w:val="en-US"/>
              </w:rPr>
            </w:pPr>
            <w:r>
              <w:rPr>
                <w:lang w:val="en-US"/>
              </w:rPr>
              <w:t xml:space="preserve"> </w:t>
            </w:r>
            <w:r>
              <w:rPr>
                <w:noProof/>
                <w:lang w:eastAsia="en-AU"/>
              </w:rPr>
              <w:drawing>
                <wp:inline distT="0" distB="0" distL="0" distR="0" wp14:anchorId="5CF86E1F" wp14:editId="4532E0DE">
                  <wp:extent cx="6667500" cy="5343525"/>
                  <wp:effectExtent l="0" t="0" r="0" b="0"/>
                  <wp:docPr id="67"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67500" cy="5343525"/>
                          </a:xfrm>
                          <a:prstGeom prst="rect">
                            <a:avLst/>
                          </a:prstGeom>
                          <a:noFill/>
                          <a:ln>
                            <a:noFill/>
                          </a:ln>
                        </pic:spPr>
                      </pic:pic>
                    </a:graphicData>
                  </a:graphic>
                </wp:inline>
              </w:drawing>
            </w:r>
          </w:p>
        </w:tc>
      </w:tr>
      <w:tr w:rsidR="00090683" w14:paraId="76551E53" w14:textId="77777777" w:rsidTr="000B7E9A">
        <w:trPr>
          <w:cantSplit/>
        </w:trPr>
        <w:tc>
          <w:tcPr>
            <w:tcW w:w="10994" w:type="dxa"/>
            <w:tcBorders>
              <w:top w:val="single" w:sz="4" w:space="0" w:color="auto"/>
              <w:left w:val="nil"/>
              <w:bottom w:val="single" w:sz="4" w:space="0" w:color="auto"/>
              <w:right w:val="nil"/>
            </w:tcBorders>
            <w:tcMar>
              <w:top w:w="12" w:type="dxa"/>
              <w:left w:w="0" w:type="dxa"/>
              <w:bottom w:w="113" w:type="dxa"/>
              <w:right w:w="0" w:type="dxa"/>
            </w:tcMar>
            <w:hideMark/>
          </w:tcPr>
          <w:p w14:paraId="3D1F56E3" w14:textId="77777777" w:rsidR="00090683" w:rsidRDefault="00090683" w:rsidP="000B7E9A">
            <w:pPr>
              <w:pStyle w:val="Source"/>
              <w:keepLines/>
              <w:rPr>
                <w:lang w:val="en-US"/>
              </w:rPr>
            </w:pPr>
            <w:r>
              <w:rPr>
                <w:lang w:val="en-US"/>
              </w:rPr>
              <w:t>Source: acil allen modelling using Higher Education Student Data Collection, HEPPP annual reports</w:t>
            </w:r>
          </w:p>
        </w:tc>
      </w:tr>
      <w:tr w:rsidR="00090683" w14:paraId="5A2C873D" w14:textId="77777777" w:rsidTr="000B7E9A">
        <w:trPr>
          <w:trHeight w:val="160"/>
        </w:trPr>
        <w:tc>
          <w:tcPr>
            <w:tcW w:w="10994" w:type="dxa"/>
            <w:tcBorders>
              <w:top w:val="single" w:sz="4" w:space="0" w:color="auto"/>
              <w:left w:val="nil"/>
              <w:bottom w:val="nil"/>
              <w:right w:val="nil"/>
            </w:tcBorders>
          </w:tcPr>
          <w:p w14:paraId="3A794A84" w14:textId="77777777" w:rsidR="00090683" w:rsidRDefault="00090683" w:rsidP="000B7E9A">
            <w:pPr>
              <w:pStyle w:val="spacertbl"/>
              <w:rPr>
                <w:lang w:val="en-US"/>
              </w:rPr>
            </w:pPr>
          </w:p>
        </w:tc>
      </w:tr>
    </w:tbl>
    <w:p w14:paraId="794D0E77" w14:textId="77777777" w:rsidR="00090683" w:rsidRDefault="00090683" w:rsidP="00090683">
      <w:pPr>
        <w:pStyle w:val="BodyText"/>
      </w:pP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14:paraId="1C09CFF8" w14:textId="77777777" w:rsidTr="000B7E9A">
        <w:trPr>
          <w:cantSplit/>
        </w:trPr>
        <w:tc>
          <w:tcPr>
            <w:tcW w:w="8614" w:type="dxa"/>
            <w:tcMar>
              <w:top w:w="160" w:type="dxa"/>
              <w:left w:w="446" w:type="dxa"/>
              <w:bottom w:w="0" w:type="dxa"/>
              <w:right w:w="0" w:type="dxa"/>
            </w:tcMar>
            <w:hideMark/>
          </w:tcPr>
          <w:p w14:paraId="1C30ED3C" w14:textId="77777777" w:rsidR="00090683" w:rsidRDefault="00090683" w:rsidP="000B7E9A">
            <w:pPr>
              <w:pStyle w:val="Caption"/>
              <w:rPr>
                <w:lang w:val="en-US"/>
              </w:rPr>
            </w:pPr>
            <w:r>
              <w:rPr>
                <w:rStyle w:val="CaptionLabel"/>
                <w:lang w:val="en-US"/>
              </w:rPr>
              <w:t>Key Finding </w:t>
            </w:r>
            <w:r>
              <w:rPr>
                <w:rStyle w:val="CaptionLabel"/>
                <w:noProof/>
                <w:lang w:val="en-US"/>
              </w:rPr>
              <w:t>7</w:t>
            </w:r>
            <w:r>
              <w:rPr>
                <w:lang w:val="en-US"/>
              </w:rPr>
              <w:tab/>
              <w:t>overall effectiveness</w:t>
            </w:r>
          </w:p>
        </w:tc>
      </w:tr>
      <w:tr w:rsidR="00090683" w14:paraId="19393F85" w14:textId="77777777" w:rsidTr="000B7E9A">
        <w:trPr>
          <w:cantSplit/>
        </w:trPr>
        <w:tc>
          <w:tcPr>
            <w:tcW w:w="8614" w:type="dxa"/>
            <w:shd w:val="clear" w:color="auto" w:fill="E4E0DD"/>
            <w:tcMar>
              <w:top w:w="276" w:type="dxa"/>
              <w:left w:w="0" w:type="dxa"/>
              <w:bottom w:w="0" w:type="dxa"/>
              <w:right w:w="120" w:type="dxa"/>
            </w:tcMar>
            <w:hideMark/>
          </w:tcPr>
          <w:p w14:paraId="3F7C2746" w14:textId="77777777" w:rsidR="00090683" w:rsidRDefault="00090683" w:rsidP="000B7E9A">
            <w:pPr>
              <w:pStyle w:val="BoxText"/>
              <w:rPr>
                <w:lang w:val="en-US"/>
              </w:rPr>
            </w:pPr>
            <w:r>
              <w:rPr>
                <w:lang w:val="en-US"/>
              </w:rPr>
              <w:t xml:space="preserve">Across a number of measures, low SES individuals are increasingly accessing higher education—the number of low SES individuals applying for, being offered a place at, commencing at and enrolling in university has increased considerably. Growth on each of these measures is highest in the low SES group. </w:t>
            </w:r>
          </w:p>
          <w:p w14:paraId="18FB7B87" w14:textId="77777777" w:rsidR="00090683" w:rsidRDefault="00090683" w:rsidP="000B7E9A">
            <w:pPr>
              <w:pStyle w:val="BoxText"/>
              <w:rPr>
                <w:lang w:val="en-US"/>
              </w:rPr>
            </w:pPr>
            <w:r>
              <w:rPr>
                <w:lang w:val="en-US"/>
              </w:rPr>
              <w:t xml:space="preserve">High enrollment growth for low SES individuals has also pushed up the share of low SES individuals in higher education from 2 per cent to 2.5 per cent. </w:t>
            </w:r>
          </w:p>
          <w:p w14:paraId="02BEAE62" w14:textId="77777777" w:rsidR="00090683" w:rsidRDefault="00090683" w:rsidP="000B7E9A">
            <w:pPr>
              <w:pStyle w:val="BoxText"/>
              <w:rPr>
                <w:lang w:val="en-US"/>
              </w:rPr>
            </w:pPr>
            <w:r>
              <w:rPr>
                <w:lang w:val="en-US"/>
              </w:rPr>
              <w:t xml:space="preserve">It is not possible to disaggregate the impact of HEPPP, the DDS, other government programs and other societal changes on these trends with the currently available data. Other evidence presented in Chapters 4 and 5 suggests it is likely HEPPP is contributing to the increase in applications and enrolments, but the extent of this impact is not able to be quantified. </w:t>
            </w:r>
          </w:p>
          <w:p w14:paraId="68348BE3" w14:textId="77777777" w:rsidR="00090683" w:rsidRDefault="00090683" w:rsidP="000B7E9A">
            <w:pPr>
              <w:pStyle w:val="BoxText"/>
              <w:rPr>
                <w:lang w:val="en-US"/>
              </w:rPr>
            </w:pPr>
            <w:r>
              <w:rPr>
                <w:lang w:val="en-US"/>
              </w:rPr>
              <w:t>Despite the growth, and the share of low SES students rising from 14.8 per cent in 2010 to 16.1 per cent to 2015, low SES students continue to be under-represented in higher education.</w:t>
            </w:r>
          </w:p>
          <w:p w14:paraId="42E77CB4" w14:textId="77777777" w:rsidR="00090683" w:rsidRDefault="00090683" w:rsidP="000B7E9A">
            <w:pPr>
              <w:pStyle w:val="BoxText"/>
              <w:rPr>
                <w:lang w:val="en-US"/>
              </w:rPr>
            </w:pPr>
            <w:r>
              <w:rPr>
                <w:lang w:val="en-US"/>
              </w:rPr>
              <w:t xml:space="preserve">Once at university, low SES students have lower retention, success and completion rates than other students—econometric analysis indicates that this difference has fallen slightly relative to the pre-HEPPP period 2006-2009, though it is not possible to directly attribute this change to the HEPPP. </w:t>
            </w:r>
          </w:p>
          <w:p w14:paraId="45A7CBD3" w14:textId="77777777" w:rsidR="00090683" w:rsidRDefault="00090683" w:rsidP="000B7E9A">
            <w:pPr>
              <w:pStyle w:val="BoxText"/>
              <w:rPr>
                <w:lang w:val="en-US"/>
              </w:rPr>
            </w:pPr>
            <w:r>
              <w:rPr>
                <w:lang w:val="en-US"/>
              </w:rPr>
              <w:t xml:space="preserve">Low SES student outcomes have varied across universities, but there is no apparent pattern that indicates any particular mix or focus of HEPPP activities is correlated with improvements in low SES student retention and success. </w:t>
            </w:r>
          </w:p>
          <w:p w14:paraId="51432D9A" w14:textId="77777777" w:rsidR="00090683" w:rsidRDefault="00090683" w:rsidP="000B7E9A">
            <w:pPr>
              <w:pStyle w:val="BoxText"/>
              <w:rPr>
                <w:lang w:val="en-US"/>
              </w:rPr>
            </w:pPr>
            <w:r>
              <w:rPr>
                <w:lang w:val="en-US"/>
              </w:rPr>
              <w:t>As with enrolment outcomes, other evidence presented in Chapters 6 and 7 suggests it is likely that HEPPP is contributing to improvements in student outcomes, but the extent of this impact is not able to be quantified with currently available data.</w:t>
            </w:r>
          </w:p>
        </w:tc>
      </w:tr>
      <w:tr w:rsidR="00090683" w14:paraId="6158664B" w14:textId="77777777" w:rsidTr="000B7E9A">
        <w:trPr>
          <w:cantSplit/>
          <w:trHeight w:val="376"/>
        </w:trPr>
        <w:tc>
          <w:tcPr>
            <w:tcW w:w="8614" w:type="dxa"/>
            <w:shd w:val="clear" w:color="auto" w:fill="E4E0DD"/>
          </w:tcPr>
          <w:p w14:paraId="44468B3C" w14:textId="77777777" w:rsidR="00090683" w:rsidRDefault="00090683" w:rsidP="000B7E9A">
            <w:pPr>
              <w:pStyle w:val="spacer"/>
              <w:rPr>
                <w:lang w:val="en-US"/>
              </w:rPr>
            </w:pPr>
          </w:p>
        </w:tc>
      </w:tr>
      <w:tr w:rsidR="00090683" w14:paraId="56405D00" w14:textId="77777777" w:rsidTr="000B7E9A">
        <w:trPr>
          <w:cantSplit/>
          <w:trHeight w:val="180"/>
        </w:trPr>
        <w:tc>
          <w:tcPr>
            <w:tcW w:w="8614" w:type="dxa"/>
            <w:tcMar>
              <w:top w:w="0" w:type="dxa"/>
              <w:left w:w="446" w:type="dxa"/>
              <w:bottom w:w="0" w:type="dxa"/>
              <w:right w:w="0" w:type="dxa"/>
            </w:tcMar>
            <w:hideMark/>
          </w:tcPr>
          <w:p w14:paraId="175941DC" w14:textId="77777777" w:rsidR="00090683" w:rsidRDefault="00090683" w:rsidP="000B7E9A">
            <w:pPr>
              <w:pStyle w:val="spacertbl"/>
              <w:rPr>
                <w:lang w:val="en-US"/>
              </w:rPr>
            </w:pPr>
            <w:r>
              <w:rPr>
                <w:noProof/>
                <w:lang w:eastAsia="en-AU"/>
              </w:rPr>
              <mc:AlternateContent>
                <mc:Choice Requires="wps">
                  <w:drawing>
                    <wp:anchor distT="0" distB="0" distL="114300" distR="114300" simplePos="0" relativeHeight="251715072" behindDoc="0" locked="1" layoutInCell="1" allowOverlap="1" wp14:anchorId="06DD11D7" wp14:editId="4BE98083">
                      <wp:simplePos x="0" y="0"/>
                      <wp:positionH relativeFrom="rightMargin">
                        <wp:posOffset>-772795</wp:posOffset>
                      </wp:positionH>
                      <wp:positionV relativeFrom="page">
                        <wp:posOffset>-237490</wp:posOffset>
                      </wp:positionV>
                      <wp:extent cx="436880" cy="213360"/>
                      <wp:effectExtent l="0" t="0" r="1270" b="0"/>
                      <wp:wrapNone/>
                      <wp:docPr id="861" name="Freeform 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1D3AEF" id="Freeform 861" o:spid="_x0000_s1026" style="position:absolute;margin-left:-60.85pt;margin-top:-18.7pt;width:34.4pt;height:16.8pt;z-index:251715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FwcgZnsDAADE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7E3CBF29" w14:textId="77777777" w:rsidR="00090683" w:rsidRDefault="00090683" w:rsidP="00090683">
      <w:pPr>
        <w:pStyle w:val="BodyText"/>
      </w:pPr>
    </w:p>
    <w:p w14:paraId="7B7E72E4" w14:textId="77777777" w:rsidR="00090683" w:rsidRDefault="00090683" w:rsidP="00090683">
      <w:pPr>
        <w:pStyle w:val="BodyText"/>
      </w:pPr>
    </w:p>
    <w:p w14:paraId="3D0A7D5B" w14:textId="77777777" w:rsidR="00090683" w:rsidRDefault="00090683" w:rsidP="00090683">
      <w:pPr>
        <w:pStyle w:val="BodyText"/>
      </w:pPr>
    </w:p>
    <w:p w14:paraId="5677CE85" w14:textId="77777777" w:rsidR="00090683" w:rsidRPr="001A2F85" w:rsidRDefault="00090683" w:rsidP="00090683">
      <w:pPr>
        <w:pStyle w:val="BodyText"/>
      </w:pPr>
    </w:p>
    <w:p w14:paraId="4D3AA293" w14:textId="77777777" w:rsidR="00090683" w:rsidRPr="001A2F85" w:rsidRDefault="00090683" w:rsidP="00090683">
      <w:pPr>
        <w:pStyle w:val="BodyText"/>
      </w:pPr>
    </w:p>
    <w:p w14:paraId="5D7BCE92" w14:textId="77777777" w:rsidR="00090683" w:rsidRPr="001A2F85" w:rsidRDefault="00090683" w:rsidP="00090683">
      <w:pPr>
        <w:pStyle w:val="BodyText"/>
        <w:sectPr w:rsidR="00090683" w:rsidRPr="001A2F85" w:rsidSect="00EA6577">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090683" w:rsidRPr="001A2F85" w14:paraId="62E32833" w14:textId="77777777" w:rsidTr="000B7E9A">
        <w:trPr>
          <w:trHeight w:hRule="exact" w:val="382"/>
        </w:trPr>
        <w:tc>
          <w:tcPr>
            <w:tcW w:w="4738" w:type="dxa"/>
            <w:shd w:val="clear" w:color="auto" w:fill="9D57A6"/>
          </w:tcPr>
          <w:p w14:paraId="71B0A9D4" w14:textId="77777777" w:rsidR="00090683" w:rsidRPr="001A2F85" w:rsidRDefault="00090683" w:rsidP="000B7E9A">
            <w:pPr>
              <w:pStyle w:val="tagchapterBanner"/>
            </w:pPr>
            <w:r>
              <w:rPr>
                <w:noProof/>
                <w:lang w:eastAsia="en-AU"/>
              </w:rPr>
              <mc:AlternateContent>
                <mc:Choice Requires="wps">
                  <w:drawing>
                    <wp:anchor distT="0" distB="0" distL="114300" distR="114300" simplePos="0" relativeHeight="251683328" behindDoc="0" locked="1" layoutInCell="1" allowOverlap="1" wp14:anchorId="6E8F9120" wp14:editId="57F3EF97">
                      <wp:simplePos x="0" y="0"/>
                      <wp:positionH relativeFrom="page">
                        <wp:posOffset>158750</wp:posOffset>
                      </wp:positionH>
                      <wp:positionV relativeFrom="page">
                        <wp:posOffset>6350</wp:posOffset>
                      </wp:positionV>
                      <wp:extent cx="439420" cy="215265"/>
                      <wp:effectExtent l="0" t="0" r="0" b="0"/>
                      <wp:wrapNone/>
                      <wp:docPr id="51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62368A" id="Freeform 5" o:spid="_x0000_s1026" style="position:absolute;margin-left:12.5pt;margin-top:.5pt;width:34.6pt;height:16.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AAmhOS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21700E59" w14:textId="77777777" w:rsidR="00090683" w:rsidRPr="001A2F85" w:rsidRDefault="00090683" w:rsidP="000B7E9A">
            <w:pPr>
              <w:pStyle w:val="spacer"/>
            </w:pPr>
          </w:p>
        </w:tc>
      </w:tr>
      <w:tr w:rsidR="00090683" w:rsidRPr="001A2F85" w14:paraId="1276A95B" w14:textId="77777777" w:rsidTr="000B7E9A">
        <w:trPr>
          <w:trHeight w:hRule="exact" w:val="3665"/>
        </w:trPr>
        <w:tc>
          <w:tcPr>
            <w:tcW w:w="4738" w:type="dxa"/>
            <w:shd w:val="clear" w:color="auto" w:fill="9D57A6"/>
            <w:tcMar>
              <w:left w:w="0" w:type="dxa"/>
              <w:bottom w:w="0" w:type="dxa"/>
            </w:tcMar>
            <w:vAlign w:val="bottom"/>
          </w:tcPr>
          <w:p w14:paraId="3F8A0B63" w14:textId="77777777" w:rsidR="00090683" w:rsidRPr="001A2F85" w:rsidRDefault="00090683" w:rsidP="000B7E9A">
            <w:pPr>
              <w:pStyle w:val="Heading1"/>
              <w:outlineLvl w:val="0"/>
            </w:pPr>
            <w:bookmarkStart w:id="514" w:name="_Ref470083710"/>
            <w:r w:rsidRPr="001A2F85">
              <w:t>Efficiency of the HEPPP</w:t>
            </w:r>
            <w:bookmarkEnd w:id="514"/>
          </w:p>
        </w:tc>
        <w:tc>
          <w:tcPr>
            <w:tcW w:w="3430" w:type="dxa"/>
            <w:shd w:val="clear" w:color="auto" w:fill="9D57A6"/>
            <w:tcMar>
              <w:right w:w="344" w:type="dxa"/>
            </w:tcMar>
          </w:tcPr>
          <w:p w14:paraId="2DE3AD28" w14:textId="77777777" w:rsidR="00090683" w:rsidRPr="001A2F85" w:rsidRDefault="00090683" w:rsidP="000B7E9A">
            <w:pPr>
              <w:pStyle w:val="HeadingChapter"/>
              <w:keepNext/>
            </w:pPr>
            <w:bookmarkStart w:id="515" w:name="_Toc466657156"/>
            <w:r>
              <w:t>10</w:t>
            </w:r>
            <w:bookmarkEnd w:id="515"/>
          </w:p>
        </w:tc>
      </w:tr>
      <w:tr w:rsidR="00090683" w:rsidRPr="001A2F85" w14:paraId="317864E9" w14:textId="77777777" w:rsidTr="000B7E9A">
        <w:trPr>
          <w:trHeight w:hRule="exact" w:val="232"/>
        </w:trPr>
        <w:tc>
          <w:tcPr>
            <w:tcW w:w="4738" w:type="dxa"/>
            <w:shd w:val="clear" w:color="auto" w:fill="9D57A6"/>
          </w:tcPr>
          <w:p w14:paraId="6D4BC905" w14:textId="77777777" w:rsidR="00090683" w:rsidRPr="001A2F85" w:rsidRDefault="00090683" w:rsidP="000B7E9A">
            <w:pPr>
              <w:pStyle w:val="Chpt-Context"/>
            </w:pPr>
          </w:p>
        </w:tc>
        <w:tc>
          <w:tcPr>
            <w:tcW w:w="3430" w:type="dxa"/>
            <w:shd w:val="clear" w:color="auto" w:fill="9D57A6"/>
          </w:tcPr>
          <w:p w14:paraId="0F6BB12B" w14:textId="77777777" w:rsidR="00090683" w:rsidRPr="001A2F85" w:rsidRDefault="00090683" w:rsidP="000B7E9A">
            <w:pPr>
              <w:pStyle w:val="Chpt-Context"/>
            </w:pPr>
            <w:bookmarkStart w:id="516" w:name="_Toc466657157"/>
            <w:r>
              <w:rPr>
                <w:noProof/>
              </w:rPr>
              <w:t>Efficiency of the HEPPP</w:t>
            </w:r>
            <w:bookmarkEnd w:id="516"/>
          </w:p>
        </w:tc>
      </w:tr>
      <w:tr w:rsidR="00090683" w:rsidRPr="001A2F85" w14:paraId="58CEDA7A" w14:textId="77777777" w:rsidTr="000B7E9A">
        <w:trPr>
          <w:trHeight w:hRule="exact" w:val="228"/>
        </w:trPr>
        <w:tc>
          <w:tcPr>
            <w:tcW w:w="4738" w:type="dxa"/>
            <w:tcBorders>
              <w:top w:val="single" w:sz="4" w:space="0" w:color="9D57A6"/>
            </w:tcBorders>
          </w:tcPr>
          <w:p w14:paraId="72C41183" w14:textId="77777777" w:rsidR="00090683" w:rsidRPr="001A2F85" w:rsidRDefault="00090683" w:rsidP="000B7E9A">
            <w:pPr>
              <w:pStyle w:val="Introduction"/>
            </w:pPr>
          </w:p>
        </w:tc>
        <w:tc>
          <w:tcPr>
            <w:tcW w:w="3430" w:type="dxa"/>
            <w:tcBorders>
              <w:top w:val="single" w:sz="4" w:space="0" w:color="9D57A6"/>
            </w:tcBorders>
          </w:tcPr>
          <w:p w14:paraId="66E0CABE" w14:textId="77777777" w:rsidR="00090683" w:rsidRPr="001A2F85" w:rsidRDefault="00090683" w:rsidP="000B7E9A">
            <w:pPr>
              <w:pStyle w:val="spacer"/>
            </w:pPr>
          </w:p>
        </w:tc>
      </w:tr>
    </w:tbl>
    <w:p w14:paraId="12A0530A" w14:textId="77777777" w:rsidR="00090683" w:rsidRDefault="00090683" w:rsidP="00090683">
      <w:pPr>
        <w:pStyle w:val="Introduction"/>
      </w:pPr>
      <w:r>
        <w:t>This chapter examines the efficiency of the HEPPP, including an analysis of HEPPP funding across and within universities.</w:t>
      </w:r>
    </w:p>
    <w:p w14:paraId="2B9E5C82" w14:textId="77777777" w:rsidR="00090683" w:rsidRPr="001A2F85" w:rsidRDefault="00090683" w:rsidP="00090683">
      <w:pPr>
        <w:pStyle w:val="BodyText"/>
      </w:pPr>
      <w:r>
        <w:t xml:space="preserve">The efficiency analysis </w:t>
      </w:r>
      <w:r w:rsidRPr="001A2F85">
        <w:t>examines how HEPPP funding has been allocated across activities, universities and target groups. It also considers the level of HEPPP funding, administration costs, and the extent to which other funding has been leveraged under the HEPPP</w:t>
      </w:r>
      <w:r>
        <w:t>,</w:t>
      </w:r>
      <w:r w:rsidRPr="001A2F85">
        <w:t xml:space="preserve"> based on three main datasets:</w:t>
      </w:r>
    </w:p>
    <w:p w14:paraId="754FB1B4" w14:textId="77777777" w:rsidR="00090683" w:rsidRPr="001A2F85" w:rsidRDefault="00090683" w:rsidP="00090683">
      <w:pPr>
        <w:pStyle w:val="ListBullet"/>
      </w:pPr>
      <w:r w:rsidRPr="001A2F85">
        <w:t>the HEPPP finance dataset which sets out funding under the program</w:t>
      </w:r>
    </w:p>
    <w:p w14:paraId="0D61355D" w14:textId="77777777" w:rsidR="00090683" w:rsidRPr="001A2F85" w:rsidRDefault="00090683" w:rsidP="00090683">
      <w:pPr>
        <w:pStyle w:val="ListBullet"/>
      </w:pPr>
      <w:r w:rsidRPr="001A2F85">
        <w:t>the Higher Education finance dataset which covers all revenue received by universities</w:t>
      </w:r>
    </w:p>
    <w:p w14:paraId="6548E4B5" w14:textId="77777777" w:rsidR="00090683" w:rsidRPr="001A2F85" w:rsidRDefault="00090683" w:rsidP="00090683">
      <w:pPr>
        <w:pStyle w:val="ListBullet"/>
      </w:pPr>
      <w:r w:rsidRPr="001A2F85">
        <w:t xml:space="preserve">the project inventory based on the HEPPP annual reports. </w:t>
      </w:r>
    </w:p>
    <w:p w14:paraId="387AEF3D" w14:textId="77777777" w:rsidR="00090683" w:rsidRPr="001A2F85" w:rsidRDefault="00090683" w:rsidP="00090683">
      <w:pPr>
        <w:pStyle w:val="BodyText"/>
      </w:pPr>
      <w:r w:rsidRPr="001A2F85">
        <w:t xml:space="preserve">The HEPPP finance dataset is the comprehensive source of HEPPP related expenditure. </w:t>
      </w:r>
      <w:r>
        <w:t>While t</w:t>
      </w:r>
      <w:r w:rsidRPr="001A2F85">
        <w:t xml:space="preserve">he project inventory provides a finer level of detail, </w:t>
      </w:r>
      <w:r>
        <w:t>the universities do not account for project expenditure in the annual reports in a consistent manner</w:t>
      </w:r>
      <w:r w:rsidRPr="001A2F85">
        <w:t xml:space="preserve">. As a result the project inventory is primarily used </w:t>
      </w:r>
      <w:r>
        <w:t>for</w:t>
      </w:r>
      <w:r w:rsidRPr="001A2F85">
        <w:t xml:space="preserve"> </w:t>
      </w:r>
      <w:r>
        <w:t xml:space="preserve">funding </w:t>
      </w:r>
      <w:r w:rsidRPr="001A2F85">
        <w:t xml:space="preserve">proportions rather than </w:t>
      </w:r>
      <w:r>
        <w:t xml:space="preserve">funding </w:t>
      </w:r>
      <w:r w:rsidRPr="001A2F85">
        <w:t>levels</w:t>
      </w:r>
      <w:r>
        <w:t xml:space="preserve"> (that is, actual dollar values)</w:t>
      </w:r>
      <w:r w:rsidRPr="001A2F85">
        <w:t>.</w:t>
      </w:r>
    </w:p>
    <w:p w14:paraId="5F38B7D2" w14:textId="77777777" w:rsidR="00090683" w:rsidRPr="001A2F85" w:rsidRDefault="00090683" w:rsidP="00090683">
      <w:pPr>
        <w:pStyle w:val="Heading2"/>
      </w:pPr>
      <w:bookmarkStart w:id="517" w:name="_Toc462246061"/>
      <w:bookmarkStart w:id="518" w:name="_Toc464551905"/>
      <w:bookmarkStart w:id="519" w:name="_Toc466657158"/>
      <w:r w:rsidRPr="001A2F85">
        <w:t>Overview of HEPPP funding</w:t>
      </w:r>
      <w:bookmarkEnd w:id="517"/>
      <w:bookmarkEnd w:id="518"/>
      <w:bookmarkEnd w:id="519"/>
    </w:p>
    <w:p w14:paraId="1DF0EA21" w14:textId="77777777" w:rsidR="00090683" w:rsidRPr="001A2F85" w:rsidRDefault="00090683" w:rsidP="00090683">
      <w:pPr>
        <w:pStyle w:val="BodyText"/>
      </w:pPr>
      <w:r w:rsidRPr="001A2F85">
        <w:t>This section provides a summary of HEPPP funding, including by HEPPP component activity and as a proportion of university funding.</w:t>
      </w:r>
    </w:p>
    <w:p w14:paraId="3E52AA9D" w14:textId="77777777" w:rsidR="00090683" w:rsidRPr="001A2F85" w:rsidRDefault="00090683" w:rsidP="00090683">
      <w:pPr>
        <w:pStyle w:val="Heading3"/>
      </w:pPr>
      <w:r w:rsidRPr="001A2F85">
        <w:t>HEPPP funding by component</w:t>
      </w:r>
    </w:p>
    <w:p w14:paraId="04680C79" w14:textId="77777777" w:rsidR="00090683" w:rsidRPr="001A2F85" w:rsidRDefault="00090683" w:rsidP="00090683">
      <w:pPr>
        <w:pStyle w:val="BodyText"/>
      </w:pPr>
      <w:r>
        <w:t xml:space="preserve">The HEPPP has three components: Participation, Partnerships and NPP (refer </w:t>
      </w:r>
      <w:r w:rsidRPr="001A2F85">
        <w:t>Chapter 2</w:t>
      </w:r>
      <w:r>
        <w:t xml:space="preserve">). </w:t>
      </w:r>
      <w:r w:rsidRPr="001A2F85">
        <w:t xml:space="preserve">Partnership funding </w:t>
      </w:r>
      <w:r>
        <w:t xml:space="preserve">was </w:t>
      </w:r>
      <w:r w:rsidRPr="001A2F85">
        <w:t xml:space="preserve">provided as a base funding component </w:t>
      </w:r>
      <w:r>
        <w:t xml:space="preserve">over </w:t>
      </w:r>
      <w:r w:rsidRPr="001A2F85">
        <w:t>2010-2013 with Partnership project grant rounds in 2011</w:t>
      </w:r>
      <w:r>
        <w:t xml:space="preserve"> </w:t>
      </w:r>
      <w:r w:rsidRPr="001A2F85">
        <w:t>and 201</w:t>
      </w:r>
      <w:r>
        <w:t>3</w:t>
      </w:r>
      <w:r w:rsidRPr="001A2F85">
        <w:t>. In 2015, Partnership funding was allocated with Participation funding on a formula basis (based on the proportion of low SES students at each university). The NPP was introduced in 2014</w:t>
      </w:r>
      <w:r>
        <w:t xml:space="preserve"> (refer</w:t>
      </w:r>
      <w:r w:rsidRPr="001A2F85">
        <w:t xml:space="preserve"> Chapter 8</w:t>
      </w:r>
      <w:r>
        <w:t>)</w:t>
      </w:r>
      <w:r w:rsidRPr="001A2F85">
        <w:t>.</w:t>
      </w:r>
    </w:p>
    <w:p w14:paraId="26B343B8" w14:textId="77777777" w:rsidR="00090683" w:rsidRPr="001A2F85" w:rsidRDefault="00090683" w:rsidP="00090683">
      <w:pPr>
        <w:pStyle w:val="BodyText"/>
      </w:pPr>
      <w:r w:rsidRPr="001A2F85">
        <w:t xml:space="preserve">Total HEPPP funding </w:t>
      </w:r>
      <w:r>
        <w:t>grew</w:t>
      </w:r>
      <w:r w:rsidRPr="001A2F85">
        <w:t xml:space="preserve"> from $56 million in 2010 to a peak of $189 million in 2013, then </w:t>
      </w:r>
      <w:r>
        <w:t>fell</w:t>
      </w:r>
      <w:r w:rsidRPr="001A2F85">
        <w:t xml:space="preserve"> to $172 million in 2015</w:t>
      </w:r>
      <w:r>
        <w:t xml:space="preserve"> (</w:t>
      </w:r>
      <w:r w:rsidRPr="00AD49C8">
        <w:t>Figure 10.1</w:t>
      </w:r>
      <w:r>
        <w:t>)</w:t>
      </w:r>
      <w:r w:rsidRPr="001A2F85">
        <w:t>. Between 2010 and 2014 the majority of funding was provided through the Participation component (69 per cent) followed by the Partnership component (30</w:t>
      </w:r>
      <w:r>
        <w:t> </w:t>
      </w:r>
      <w:r w:rsidRPr="001A2F85">
        <w:t>per</w:t>
      </w:r>
      <w:r>
        <w:t> </w:t>
      </w:r>
      <w:r w:rsidRPr="001A2F85">
        <w:t xml:space="preserve">cent).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2BF33D59" w14:textId="77777777" w:rsidTr="000B7E9A">
        <w:trPr>
          <w:cantSplit/>
          <w:trHeight w:hRule="exact" w:val="160"/>
        </w:trPr>
        <w:tc>
          <w:tcPr>
            <w:tcW w:w="8168" w:type="dxa"/>
            <w:tcBorders>
              <w:bottom w:val="single" w:sz="4" w:space="0" w:color="auto"/>
            </w:tcBorders>
          </w:tcPr>
          <w:p w14:paraId="4639A171" w14:textId="77777777" w:rsidR="00090683" w:rsidRPr="001A2F85" w:rsidRDefault="00090683" w:rsidP="000B7E9A">
            <w:pPr>
              <w:pStyle w:val="spacer"/>
            </w:pPr>
          </w:p>
        </w:tc>
      </w:tr>
      <w:tr w:rsidR="00090683" w:rsidRPr="001A2F85" w14:paraId="7030995A" w14:textId="77777777" w:rsidTr="000B7E9A">
        <w:trPr>
          <w:cantSplit/>
        </w:trPr>
        <w:tc>
          <w:tcPr>
            <w:tcW w:w="8168" w:type="dxa"/>
            <w:tcBorders>
              <w:top w:val="single" w:sz="4" w:space="0" w:color="auto"/>
            </w:tcBorders>
            <w:tcMar>
              <w:left w:w="0" w:type="dxa"/>
            </w:tcMar>
          </w:tcPr>
          <w:p w14:paraId="2D855C3F" w14:textId="77777777" w:rsidR="00090683" w:rsidRPr="001A2F85" w:rsidRDefault="00090683" w:rsidP="000B7E9A">
            <w:pPr>
              <w:pStyle w:val="Caption"/>
            </w:pPr>
            <w:bookmarkStart w:id="520" w:name="_Ref462134157"/>
            <w:bookmarkStart w:id="521" w:name="_Toc462246063"/>
            <w:bookmarkStart w:id="522" w:name="_Toc464551991"/>
            <w:bookmarkStart w:id="523" w:name="_Toc466655713"/>
            <w:r w:rsidRPr="001A2F85">
              <w:rPr>
                <w:rStyle w:val="CaptionLabel"/>
              </w:rPr>
              <w:t>Figure </w:t>
            </w:r>
            <w:r>
              <w:rPr>
                <w:rStyle w:val="CaptionLabel"/>
                <w:noProof/>
              </w:rPr>
              <w:t>10</w:t>
            </w:r>
            <w:r w:rsidRPr="001A2F85">
              <w:rPr>
                <w:rStyle w:val="CaptionLabel"/>
              </w:rPr>
              <w:t>.</w:t>
            </w:r>
            <w:r>
              <w:rPr>
                <w:rStyle w:val="CaptionLabel"/>
                <w:noProof/>
              </w:rPr>
              <w:t>1</w:t>
            </w:r>
            <w:bookmarkEnd w:id="520"/>
            <w:r w:rsidRPr="001A2F85">
              <w:tab/>
              <w:t>Total HEPPP funding by funding stream, 2010-2015</w:t>
            </w:r>
            <w:bookmarkEnd w:id="521"/>
            <w:bookmarkEnd w:id="522"/>
            <w:bookmarkEnd w:id="523"/>
          </w:p>
        </w:tc>
      </w:tr>
      <w:tr w:rsidR="00090683" w:rsidRPr="001A2F85" w14:paraId="7DEF31EB" w14:textId="77777777" w:rsidTr="000B7E9A">
        <w:trPr>
          <w:cantSplit/>
          <w:trHeight w:hRule="exact" w:val="380"/>
        </w:trPr>
        <w:tc>
          <w:tcPr>
            <w:tcW w:w="8168" w:type="dxa"/>
            <w:tcBorders>
              <w:bottom w:val="single" w:sz="4" w:space="0" w:color="auto"/>
            </w:tcBorders>
          </w:tcPr>
          <w:p w14:paraId="137801F1"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89472" behindDoc="0" locked="1" layoutInCell="1" allowOverlap="1" wp14:anchorId="0D71D276" wp14:editId="443B5111">
                      <wp:simplePos x="0" y="0"/>
                      <wp:positionH relativeFrom="rightMargin">
                        <wp:posOffset>-772795</wp:posOffset>
                      </wp:positionH>
                      <wp:positionV relativeFrom="page">
                        <wp:posOffset>0</wp:posOffset>
                      </wp:positionV>
                      <wp:extent cx="436880" cy="213360"/>
                      <wp:effectExtent l="0" t="0" r="1270" b="0"/>
                      <wp:wrapNone/>
                      <wp:docPr id="73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D88A30" id="Freeform 5" o:spid="_x0000_s1026" style="position:absolute;margin-left:-60.85pt;margin-top:0;width:34.4pt;height:16.8pt;z-index:251689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Emfg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1SMBJn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2C215DD6"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5C5B0D7D" w14:textId="77777777" w:rsidR="00090683" w:rsidRPr="001A2F85" w:rsidRDefault="00090683" w:rsidP="000B7E9A">
            <w:pPr>
              <w:pStyle w:val="Figure"/>
            </w:pPr>
            <w:r>
              <w:rPr>
                <w:noProof/>
                <w:lang w:eastAsia="en-AU"/>
              </w:rPr>
              <w:drawing>
                <wp:inline distT="0" distB="0" distL="0" distR="0" wp14:anchorId="3B0C29AB" wp14:editId="32A1D184">
                  <wp:extent cx="5076825" cy="2095500"/>
                  <wp:effectExtent l="0" t="0" r="0" b="0"/>
                  <wp:docPr id="68"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76825" cy="2095500"/>
                          </a:xfrm>
                          <a:prstGeom prst="rect">
                            <a:avLst/>
                          </a:prstGeom>
                          <a:noFill/>
                          <a:ln>
                            <a:noFill/>
                          </a:ln>
                        </pic:spPr>
                      </pic:pic>
                    </a:graphicData>
                  </a:graphic>
                </wp:inline>
              </w:drawing>
            </w:r>
          </w:p>
        </w:tc>
      </w:tr>
      <w:tr w:rsidR="00090683" w:rsidRPr="001A2F85" w14:paraId="4DB64662"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1719A406" w14:textId="77777777" w:rsidR="00090683" w:rsidRPr="001A2F85" w:rsidRDefault="00090683" w:rsidP="000B7E9A">
            <w:pPr>
              <w:pStyle w:val="Source"/>
            </w:pPr>
            <w:r w:rsidRPr="001A2F85">
              <w:t>Source: HEPPP finance data</w:t>
            </w:r>
          </w:p>
        </w:tc>
      </w:tr>
      <w:tr w:rsidR="00090683" w:rsidRPr="001A2F85" w14:paraId="58AFEDB3" w14:textId="77777777" w:rsidTr="000B7E9A">
        <w:trPr>
          <w:trHeight w:hRule="exact" w:val="160"/>
        </w:trPr>
        <w:tc>
          <w:tcPr>
            <w:tcW w:w="8168" w:type="dxa"/>
            <w:tcBorders>
              <w:top w:val="single" w:sz="4" w:space="0" w:color="auto"/>
            </w:tcBorders>
          </w:tcPr>
          <w:p w14:paraId="64B6ED06" w14:textId="77777777" w:rsidR="00090683" w:rsidRPr="001A2F85" w:rsidRDefault="00090683" w:rsidP="000B7E9A">
            <w:pPr>
              <w:pStyle w:val="spacertbl"/>
            </w:pPr>
          </w:p>
        </w:tc>
      </w:tr>
    </w:tbl>
    <w:p w14:paraId="703EC2CB" w14:textId="77777777" w:rsidR="00090683" w:rsidRPr="001A2F85" w:rsidRDefault="00090683" w:rsidP="00090683">
      <w:pPr>
        <w:pStyle w:val="Heading3"/>
      </w:pPr>
      <w:bookmarkStart w:id="524" w:name="_Ref470079873"/>
      <w:r w:rsidRPr="001A2F85">
        <w:t>HEPPP funding as a proportion of university funding</w:t>
      </w:r>
      <w:bookmarkEnd w:id="524"/>
    </w:p>
    <w:p w14:paraId="32C3CCA0" w14:textId="77777777" w:rsidR="00090683" w:rsidRPr="006F1280" w:rsidRDefault="00090683" w:rsidP="00090683">
      <w:r w:rsidRPr="006F1280">
        <w:t>HEPPP funding as a proportion of total university funding has grown from 1 per cent in 2010 to approximately 3 per cent in 2014 (</w:t>
      </w:r>
      <w:r w:rsidRPr="00AD49C8">
        <w:t>Figure 10.2</w:t>
      </w:r>
      <w:r w:rsidRPr="006F1280">
        <w:t xml:space="preserve">). HEPPP funding as a proportion of total university equity funding (defined as funding for HEPPP, the Indigenous Support </w:t>
      </w:r>
      <w:r>
        <w:t>Programme</w:t>
      </w:r>
      <w:r w:rsidRPr="006F1280">
        <w:t xml:space="preserve">, Equity Programmes and Disability Support Programme) has fluctuated year on year but overall has shown an increase from 60 per cent in 2010 to 80 per cent in 2014.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08C0907F" w14:textId="77777777" w:rsidTr="000B7E9A">
        <w:trPr>
          <w:cantSplit/>
          <w:trHeight w:hRule="exact" w:val="160"/>
        </w:trPr>
        <w:tc>
          <w:tcPr>
            <w:tcW w:w="8168" w:type="dxa"/>
            <w:tcBorders>
              <w:bottom w:val="single" w:sz="4" w:space="0" w:color="auto"/>
            </w:tcBorders>
          </w:tcPr>
          <w:p w14:paraId="1C8DD8BD" w14:textId="77777777" w:rsidR="00090683" w:rsidRPr="001A2F85" w:rsidRDefault="00090683" w:rsidP="000B7E9A">
            <w:pPr>
              <w:pStyle w:val="spacer"/>
            </w:pPr>
          </w:p>
        </w:tc>
      </w:tr>
      <w:tr w:rsidR="00090683" w:rsidRPr="001A2F85" w14:paraId="2697C492" w14:textId="77777777" w:rsidTr="000B7E9A">
        <w:trPr>
          <w:cantSplit/>
        </w:trPr>
        <w:tc>
          <w:tcPr>
            <w:tcW w:w="8168" w:type="dxa"/>
            <w:tcBorders>
              <w:top w:val="single" w:sz="4" w:space="0" w:color="auto"/>
            </w:tcBorders>
            <w:tcMar>
              <w:left w:w="0" w:type="dxa"/>
            </w:tcMar>
          </w:tcPr>
          <w:p w14:paraId="5E7416B3" w14:textId="77777777" w:rsidR="00090683" w:rsidRPr="001A2F85" w:rsidRDefault="00090683" w:rsidP="000B7E9A">
            <w:pPr>
              <w:pStyle w:val="Caption"/>
            </w:pPr>
            <w:bookmarkStart w:id="525" w:name="_Ref462246413"/>
            <w:bookmarkStart w:id="526" w:name="_Toc462246065"/>
            <w:bookmarkStart w:id="527" w:name="_Toc464551992"/>
            <w:bookmarkStart w:id="528" w:name="_Toc466655714"/>
            <w:r w:rsidRPr="001A2F85">
              <w:rPr>
                <w:rStyle w:val="CaptionLabel"/>
              </w:rPr>
              <w:t>Figure </w:t>
            </w:r>
            <w:r>
              <w:rPr>
                <w:rStyle w:val="CaptionLabel"/>
                <w:noProof/>
              </w:rPr>
              <w:t>10</w:t>
            </w:r>
            <w:r w:rsidRPr="001A2F85">
              <w:rPr>
                <w:rStyle w:val="CaptionLabel"/>
              </w:rPr>
              <w:t>.</w:t>
            </w:r>
            <w:r>
              <w:rPr>
                <w:rStyle w:val="CaptionLabel"/>
                <w:noProof/>
              </w:rPr>
              <w:t>2</w:t>
            </w:r>
            <w:bookmarkEnd w:id="525"/>
            <w:r w:rsidRPr="001A2F85">
              <w:tab/>
              <w:t>HEPPP funding as a proportion of university funding, 2010-2014</w:t>
            </w:r>
            <w:bookmarkEnd w:id="526"/>
            <w:bookmarkEnd w:id="527"/>
            <w:bookmarkEnd w:id="528"/>
          </w:p>
        </w:tc>
      </w:tr>
      <w:tr w:rsidR="00090683" w:rsidRPr="001A2F85" w14:paraId="2E097BAD" w14:textId="77777777" w:rsidTr="000B7E9A">
        <w:trPr>
          <w:cantSplit/>
          <w:trHeight w:hRule="exact" w:val="380"/>
        </w:trPr>
        <w:tc>
          <w:tcPr>
            <w:tcW w:w="8168" w:type="dxa"/>
            <w:tcBorders>
              <w:bottom w:val="single" w:sz="4" w:space="0" w:color="auto"/>
            </w:tcBorders>
          </w:tcPr>
          <w:p w14:paraId="275CCBF7"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0496" behindDoc="0" locked="1" layoutInCell="1" allowOverlap="1" wp14:anchorId="1BD33677" wp14:editId="04EF94B7">
                      <wp:simplePos x="0" y="0"/>
                      <wp:positionH relativeFrom="rightMargin">
                        <wp:posOffset>-772795</wp:posOffset>
                      </wp:positionH>
                      <wp:positionV relativeFrom="page">
                        <wp:posOffset>0</wp:posOffset>
                      </wp:positionV>
                      <wp:extent cx="436880" cy="213360"/>
                      <wp:effectExtent l="0" t="0" r="1270" b="0"/>
                      <wp:wrapNone/>
                      <wp:docPr id="16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176167" id="Freeform 5" o:spid="_x0000_s1026" style="position:absolute;margin-left:-60.85pt;margin-top:0;width:34.4pt;height:16.8pt;z-index:251690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tTJm93sDAADC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2426AF82"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3CDA777C" w14:textId="77777777" w:rsidR="00090683" w:rsidRPr="001A2F85" w:rsidRDefault="00090683" w:rsidP="000B7E9A">
            <w:pPr>
              <w:pStyle w:val="Figure"/>
            </w:pPr>
            <w:r>
              <w:rPr>
                <w:noProof/>
                <w:lang w:eastAsia="en-AU"/>
              </w:rPr>
              <w:drawing>
                <wp:inline distT="0" distB="0" distL="0" distR="0" wp14:anchorId="101CD42D" wp14:editId="7628E933">
                  <wp:extent cx="5191125" cy="2209800"/>
                  <wp:effectExtent l="0" t="0" r="0" b="0"/>
                  <wp:docPr id="69"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rsidRPr="001A2F85" w14:paraId="611C643D"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7B27D16F" w14:textId="77777777" w:rsidR="00090683" w:rsidRPr="001A2F85" w:rsidRDefault="00090683" w:rsidP="000B7E9A">
            <w:pPr>
              <w:pStyle w:val="Note"/>
            </w:pPr>
            <w:r w:rsidRPr="001A2F85">
              <w:t>Note: Total equity includes the following: HEPPP, Indigenous Support Fund, Equity Programmes and Disability Support Programme.</w:t>
            </w:r>
          </w:p>
          <w:p w14:paraId="419A8CE7" w14:textId="77777777" w:rsidR="00090683" w:rsidRPr="001A2F85" w:rsidRDefault="00090683" w:rsidP="000B7E9A">
            <w:pPr>
              <w:pStyle w:val="Source"/>
            </w:pPr>
            <w:r w:rsidRPr="001A2F85">
              <w:t>Source: HEPPP finance data</w:t>
            </w:r>
            <w:r>
              <w:t>, higher education finance data</w:t>
            </w:r>
          </w:p>
        </w:tc>
      </w:tr>
      <w:tr w:rsidR="00090683" w:rsidRPr="001A2F85" w14:paraId="0B298A25" w14:textId="77777777" w:rsidTr="000B7E9A">
        <w:trPr>
          <w:trHeight w:hRule="exact" w:val="160"/>
        </w:trPr>
        <w:tc>
          <w:tcPr>
            <w:tcW w:w="8168" w:type="dxa"/>
            <w:tcBorders>
              <w:top w:val="single" w:sz="4" w:space="0" w:color="auto"/>
            </w:tcBorders>
          </w:tcPr>
          <w:p w14:paraId="193E6EB3" w14:textId="77777777" w:rsidR="00090683" w:rsidRPr="001A2F85" w:rsidRDefault="00090683" w:rsidP="000B7E9A">
            <w:pPr>
              <w:pStyle w:val="spacertbl"/>
            </w:pPr>
          </w:p>
        </w:tc>
      </w:tr>
    </w:tbl>
    <w:p w14:paraId="53A55AFF" w14:textId="77777777" w:rsidR="00090683" w:rsidRPr="001A2F85" w:rsidRDefault="00090683" w:rsidP="00090683">
      <w:pPr>
        <w:pStyle w:val="BodyText"/>
      </w:pPr>
      <w:r w:rsidRPr="001A2F85">
        <w:t>HEPPP funding accounts for 2 per cent of total funding</w:t>
      </w:r>
      <w:r>
        <w:t xml:space="preserve"> for </w:t>
      </w:r>
      <w:r w:rsidRPr="001A2F85">
        <w:t xml:space="preserve">metropolitan universities, as compared to regional </w:t>
      </w:r>
      <w:r>
        <w:t>universities</w:t>
      </w:r>
      <w:r w:rsidRPr="001A2F85">
        <w:t xml:space="preserve"> where it accounts for 3 per cent</w:t>
      </w:r>
      <w:r>
        <w:t xml:space="preserve"> (</w:t>
      </w:r>
      <w:r w:rsidRPr="00AD49C8">
        <w:t>Figure 10.3</w:t>
      </w:r>
      <w:r>
        <w:t>)</w:t>
      </w:r>
      <w:r w:rsidRPr="001A2F85">
        <w:t>. HEPPP funding accounts for 80</w:t>
      </w:r>
      <w:r>
        <w:t> </w:t>
      </w:r>
      <w:r w:rsidRPr="001A2F85">
        <w:t xml:space="preserve">per cent of total equity funding </w:t>
      </w:r>
      <w:r>
        <w:t xml:space="preserve">for </w:t>
      </w:r>
      <w:r w:rsidRPr="001A2F85">
        <w:t xml:space="preserve">metropolitan universities, and 69 percent </w:t>
      </w:r>
      <w:r>
        <w:t xml:space="preserve">for </w:t>
      </w:r>
      <w:r w:rsidRPr="001A2F85">
        <w:t>regional universities.</w:t>
      </w:r>
      <w:r>
        <w:t xml:space="preserve"> The reasons for this difference are not clear from the data available to the evaluation, although it is may be related to the fact that regional universities are eligible for more funding under the ‘other’ higher education equity programs due to the composition of their student cohorts.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79D57705" w14:textId="77777777" w:rsidTr="000B7E9A">
        <w:trPr>
          <w:cantSplit/>
          <w:trHeight w:hRule="exact" w:val="160"/>
        </w:trPr>
        <w:tc>
          <w:tcPr>
            <w:tcW w:w="8168" w:type="dxa"/>
            <w:tcBorders>
              <w:bottom w:val="single" w:sz="4" w:space="0" w:color="auto"/>
            </w:tcBorders>
          </w:tcPr>
          <w:p w14:paraId="09A0D343" w14:textId="77777777" w:rsidR="00090683" w:rsidRPr="001A2F85" w:rsidRDefault="00090683" w:rsidP="000B7E9A">
            <w:pPr>
              <w:pStyle w:val="spacer"/>
            </w:pPr>
          </w:p>
        </w:tc>
      </w:tr>
      <w:tr w:rsidR="00090683" w:rsidRPr="001A2F85" w14:paraId="0394857B" w14:textId="77777777" w:rsidTr="000B7E9A">
        <w:trPr>
          <w:cantSplit/>
        </w:trPr>
        <w:tc>
          <w:tcPr>
            <w:tcW w:w="8168" w:type="dxa"/>
            <w:tcBorders>
              <w:top w:val="single" w:sz="4" w:space="0" w:color="auto"/>
            </w:tcBorders>
            <w:tcMar>
              <w:left w:w="0" w:type="dxa"/>
            </w:tcMar>
          </w:tcPr>
          <w:p w14:paraId="0D43F82D" w14:textId="77777777" w:rsidR="00090683" w:rsidRPr="001A2F85" w:rsidRDefault="00090683" w:rsidP="000B7E9A">
            <w:pPr>
              <w:pStyle w:val="Caption"/>
            </w:pPr>
            <w:bookmarkStart w:id="529" w:name="_Ref462246481"/>
            <w:bookmarkStart w:id="530" w:name="_Toc462246066"/>
            <w:bookmarkStart w:id="531" w:name="_Toc464551993"/>
            <w:bookmarkStart w:id="532" w:name="_Toc466655715"/>
            <w:r w:rsidRPr="001A2F85">
              <w:rPr>
                <w:rStyle w:val="CaptionLabel"/>
              </w:rPr>
              <w:t>Figure </w:t>
            </w:r>
            <w:r>
              <w:rPr>
                <w:rStyle w:val="CaptionLabel"/>
                <w:noProof/>
              </w:rPr>
              <w:t>10</w:t>
            </w:r>
            <w:r w:rsidRPr="001A2F85">
              <w:rPr>
                <w:rStyle w:val="CaptionLabel"/>
              </w:rPr>
              <w:t>.</w:t>
            </w:r>
            <w:r>
              <w:rPr>
                <w:rStyle w:val="CaptionLabel"/>
                <w:noProof/>
              </w:rPr>
              <w:t>3</w:t>
            </w:r>
            <w:bookmarkEnd w:id="529"/>
            <w:r w:rsidRPr="001A2F85">
              <w:tab/>
              <w:t>HEPPP funding as a proportion of university funding, metropolitan and regional (average of 2010-2014)</w:t>
            </w:r>
            <w:bookmarkEnd w:id="530"/>
            <w:bookmarkEnd w:id="531"/>
            <w:bookmarkEnd w:id="532"/>
          </w:p>
        </w:tc>
      </w:tr>
      <w:tr w:rsidR="00090683" w:rsidRPr="001A2F85" w14:paraId="46AE8CE2" w14:textId="77777777" w:rsidTr="000B7E9A">
        <w:trPr>
          <w:cantSplit/>
          <w:trHeight w:hRule="exact" w:val="380"/>
        </w:trPr>
        <w:tc>
          <w:tcPr>
            <w:tcW w:w="8168" w:type="dxa"/>
            <w:tcBorders>
              <w:bottom w:val="single" w:sz="4" w:space="0" w:color="auto"/>
            </w:tcBorders>
          </w:tcPr>
          <w:p w14:paraId="73D17CD2"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1520" behindDoc="0" locked="1" layoutInCell="1" allowOverlap="1" wp14:anchorId="72DAA6C6" wp14:editId="1A8736A0">
                      <wp:simplePos x="0" y="0"/>
                      <wp:positionH relativeFrom="rightMargin">
                        <wp:posOffset>-772795</wp:posOffset>
                      </wp:positionH>
                      <wp:positionV relativeFrom="page">
                        <wp:posOffset>0</wp:posOffset>
                      </wp:positionV>
                      <wp:extent cx="436880" cy="213360"/>
                      <wp:effectExtent l="0" t="0" r="1270" b="0"/>
                      <wp:wrapNone/>
                      <wp:docPr id="73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243A70" id="Freeform 5" o:spid="_x0000_s1026" style="position:absolute;margin-left:-60.85pt;margin-top:0;width:34.4pt;height:16.8pt;z-index:251691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bfw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KFZGxt/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3B7ECD6E"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315F9909" w14:textId="77777777" w:rsidR="00090683" w:rsidRPr="001A2F85" w:rsidRDefault="00090683" w:rsidP="000B7E9A">
            <w:pPr>
              <w:pStyle w:val="Figure"/>
            </w:pPr>
            <w:r>
              <w:rPr>
                <w:noProof/>
                <w:lang w:eastAsia="en-AU"/>
              </w:rPr>
              <w:drawing>
                <wp:inline distT="0" distB="0" distL="0" distR="0" wp14:anchorId="414C7395" wp14:editId="50475D95">
                  <wp:extent cx="5191125" cy="2209800"/>
                  <wp:effectExtent l="0" t="0" r="0" b="0"/>
                  <wp:docPr id="70"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rsidRPr="001A2F85" w14:paraId="353B428B"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0A9BC2AA" w14:textId="77777777" w:rsidR="00090683" w:rsidRPr="001A2F85" w:rsidRDefault="00090683" w:rsidP="000B7E9A">
            <w:pPr>
              <w:pStyle w:val="Note"/>
            </w:pPr>
            <w:r w:rsidRPr="001A2F85">
              <w:t>Note:  Total equity includes the following:  Indigenous Support Fund, Equity Programmes and Disability Support Programme.</w:t>
            </w:r>
          </w:p>
          <w:p w14:paraId="1487B519" w14:textId="77777777" w:rsidR="00090683" w:rsidRPr="001A2F85" w:rsidRDefault="00090683" w:rsidP="000B7E9A">
            <w:pPr>
              <w:pStyle w:val="Source"/>
            </w:pPr>
            <w:r w:rsidRPr="001A2F85">
              <w:t>Source: HEPPP finance data</w:t>
            </w:r>
          </w:p>
        </w:tc>
      </w:tr>
      <w:tr w:rsidR="00090683" w:rsidRPr="001A2F85" w14:paraId="40145549" w14:textId="77777777" w:rsidTr="000B7E9A">
        <w:trPr>
          <w:trHeight w:hRule="exact" w:val="160"/>
        </w:trPr>
        <w:tc>
          <w:tcPr>
            <w:tcW w:w="8168" w:type="dxa"/>
            <w:tcBorders>
              <w:top w:val="single" w:sz="4" w:space="0" w:color="auto"/>
            </w:tcBorders>
          </w:tcPr>
          <w:p w14:paraId="3D74ACC2" w14:textId="77777777" w:rsidR="00090683" w:rsidRPr="001A2F85" w:rsidRDefault="00090683" w:rsidP="000B7E9A">
            <w:pPr>
              <w:pStyle w:val="spacertbl"/>
            </w:pPr>
          </w:p>
        </w:tc>
      </w:tr>
    </w:tbl>
    <w:p w14:paraId="67189DF2" w14:textId="77777777" w:rsidR="00090683" w:rsidRPr="001A2F85" w:rsidRDefault="00090683" w:rsidP="00090683">
      <w:pPr>
        <w:pStyle w:val="Heading2"/>
      </w:pPr>
      <w:bookmarkStart w:id="533" w:name="_Toc464551906"/>
      <w:bookmarkStart w:id="534" w:name="_Toc466657159"/>
      <w:r w:rsidRPr="001A2F85">
        <w:t>Allocation of HEPPP funding</w:t>
      </w:r>
      <w:bookmarkEnd w:id="533"/>
      <w:bookmarkEnd w:id="534"/>
    </w:p>
    <w:p w14:paraId="3670313E" w14:textId="77777777" w:rsidR="00090683" w:rsidRPr="001A2F85" w:rsidRDefault="00090683" w:rsidP="00090683">
      <w:pPr>
        <w:pStyle w:val="BodyText"/>
      </w:pPr>
      <w:r w:rsidRPr="001A2F85">
        <w:t>This section outlines the distribution of HEPPP funding across universities, university groupings, and jurisdictions.</w:t>
      </w:r>
    </w:p>
    <w:p w14:paraId="091DF9AF" w14:textId="77777777" w:rsidR="00090683" w:rsidRPr="001A2F85" w:rsidRDefault="00090683" w:rsidP="00090683">
      <w:pPr>
        <w:pStyle w:val="Heading4"/>
      </w:pPr>
      <w:r w:rsidRPr="001A2F85">
        <w:t>HEPPP funding across universities</w:t>
      </w:r>
    </w:p>
    <w:p w14:paraId="5E00601A" w14:textId="77777777" w:rsidR="00090683" w:rsidRDefault="00090683" w:rsidP="00090683">
      <w:pPr>
        <w:pStyle w:val="BodyText"/>
      </w:pPr>
      <w:r>
        <w:t>T</w:t>
      </w:r>
      <w:r w:rsidRPr="001A2F85">
        <w:t>he level of HEPPP funding received by universities varies based on each universit</w:t>
      </w:r>
      <w:r>
        <w:t>y</w:t>
      </w:r>
      <w:r w:rsidRPr="001A2F85">
        <w:t>’</w:t>
      </w:r>
      <w:r>
        <w:t>s</w:t>
      </w:r>
      <w:r w:rsidRPr="001A2F85">
        <w:t xml:space="preserve"> share of low SES students and whether universities have been awarded competitive grant funding</w:t>
      </w:r>
      <w:r>
        <w:t xml:space="preserve"> (Section 3.1)</w:t>
      </w:r>
      <w:r w:rsidRPr="001A2F85">
        <w:t xml:space="preserve">. </w:t>
      </w:r>
      <w:r>
        <w:t>There is a clear relationship between a university’s proportion of all low SES and the amount of HEPPP funding received, which is to be expected as the Participation component (and in 2015, the Partnership component) is funded based on each university’s proportion of all low SES students (</w:t>
      </w:r>
      <w:r w:rsidRPr="00AD49C8">
        <w:t>Figure 10.4</w:t>
      </w:r>
      <w:r>
        <w:t xml:space="preserve">). </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4"/>
      </w:tblGrid>
      <w:tr w:rsidR="00090683" w:rsidRPr="00AA4DEE" w14:paraId="221160ED" w14:textId="77777777" w:rsidTr="000B7E9A">
        <w:trPr>
          <w:cantSplit/>
          <w:trHeight w:hRule="exact" w:val="160"/>
        </w:trPr>
        <w:tc>
          <w:tcPr>
            <w:tcW w:w="10994" w:type="dxa"/>
            <w:tcBorders>
              <w:bottom w:val="single" w:sz="4" w:space="0" w:color="auto"/>
            </w:tcBorders>
          </w:tcPr>
          <w:p w14:paraId="4F73A1C2" w14:textId="77777777" w:rsidR="00090683" w:rsidRPr="00AA4DEE" w:rsidRDefault="00090683" w:rsidP="000B7E9A">
            <w:pPr>
              <w:pStyle w:val="spacer"/>
            </w:pPr>
          </w:p>
        </w:tc>
      </w:tr>
      <w:tr w:rsidR="00090683" w:rsidRPr="00897E60" w14:paraId="59E1B6B7" w14:textId="77777777" w:rsidTr="000B7E9A">
        <w:trPr>
          <w:cantSplit/>
        </w:trPr>
        <w:tc>
          <w:tcPr>
            <w:tcW w:w="10994" w:type="dxa"/>
            <w:tcBorders>
              <w:top w:val="single" w:sz="4" w:space="0" w:color="auto"/>
            </w:tcBorders>
            <w:tcMar>
              <w:left w:w="0" w:type="dxa"/>
            </w:tcMar>
          </w:tcPr>
          <w:p w14:paraId="0FC02896" w14:textId="77777777" w:rsidR="00090683" w:rsidRPr="00897E60" w:rsidRDefault="00090683" w:rsidP="000B7E9A">
            <w:pPr>
              <w:pStyle w:val="Caption"/>
            </w:pPr>
            <w:bookmarkStart w:id="535" w:name="_Ref464552050"/>
            <w:bookmarkStart w:id="536" w:name="_Toc464551994"/>
            <w:bookmarkStart w:id="537" w:name="_Toc466655716"/>
            <w:r w:rsidRPr="00897E60">
              <w:rPr>
                <w:rStyle w:val="CaptionLabel"/>
              </w:rPr>
              <w:t>Figure</w:t>
            </w:r>
            <w:r>
              <w:rPr>
                <w:rStyle w:val="CaptionLabel"/>
              </w:rPr>
              <w:t> </w:t>
            </w:r>
            <w:r>
              <w:rPr>
                <w:rStyle w:val="CaptionLabel"/>
                <w:noProof/>
              </w:rPr>
              <w:t>10</w:t>
            </w:r>
            <w:r w:rsidRPr="00897E60">
              <w:rPr>
                <w:rStyle w:val="CaptionLabel"/>
              </w:rPr>
              <w:t>.</w:t>
            </w:r>
            <w:r>
              <w:rPr>
                <w:rStyle w:val="CaptionLabel"/>
                <w:noProof/>
              </w:rPr>
              <w:t>4</w:t>
            </w:r>
            <w:bookmarkEnd w:id="535"/>
            <w:r>
              <w:tab/>
              <w:t>HEPPP funding and proportion of total domestic low SEs enrolments, by university, 2010</w:t>
            </w:r>
            <w:r>
              <w:rPr>
                <w:rStyle w:val="CommentReference"/>
                <w:iCs w:val="0"/>
                <w:caps w:val="0"/>
                <w:color w:val="auto"/>
              </w:rPr>
              <w:t>-</w:t>
            </w:r>
            <w:r>
              <w:t>2015</w:t>
            </w:r>
            <w:bookmarkEnd w:id="536"/>
            <w:bookmarkEnd w:id="537"/>
          </w:p>
        </w:tc>
      </w:tr>
      <w:tr w:rsidR="00090683" w:rsidRPr="00AA4DEE" w14:paraId="762CA77F" w14:textId="77777777" w:rsidTr="000B7E9A">
        <w:trPr>
          <w:cantSplit/>
          <w:trHeight w:hRule="exact" w:val="380"/>
        </w:trPr>
        <w:tc>
          <w:tcPr>
            <w:tcW w:w="10994" w:type="dxa"/>
            <w:tcBorders>
              <w:bottom w:val="single" w:sz="4" w:space="0" w:color="auto"/>
            </w:tcBorders>
          </w:tcPr>
          <w:p w14:paraId="432B7B79"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692544" behindDoc="0" locked="1" layoutInCell="1" allowOverlap="1" wp14:anchorId="3166CD59" wp14:editId="5CDE0594">
                      <wp:simplePos x="0" y="0"/>
                      <wp:positionH relativeFrom="rightMargin">
                        <wp:posOffset>-772795</wp:posOffset>
                      </wp:positionH>
                      <wp:positionV relativeFrom="page">
                        <wp:posOffset>0</wp:posOffset>
                      </wp:positionV>
                      <wp:extent cx="436880" cy="213360"/>
                      <wp:effectExtent l="0" t="0" r="1270" b="0"/>
                      <wp:wrapNone/>
                      <wp:docPr id="86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4E46DF" id="Freeform 5" o:spid="_x0000_s1026" style="position:absolute;margin-left:-60.85pt;margin-top:0;width:34.4pt;height:16.8pt;z-index:251692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xVQSX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0F191002" w14:textId="77777777" w:rsidTr="000B7E9A">
        <w:trPr>
          <w:cantSplit/>
        </w:trPr>
        <w:tc>
          <w:tcPr>
            <w:tcW w:w="10994" w:type="dxa"/>
            <w:tcBorders>
              <w:top w:val="single" w:sz="4" w:space="0" w:color="auto"/>
              <w:bottom w:val="single" w:sz="4" w:space="0" w:color="auto"/>
            </w:tcBorders>
            <w:tcMar>
              <w:top w:w="10" w:type="dxa"/>
              <w:bottom w:w="10" w:type="dxa"/>
              <w:right w:w="0" w:type="dxa"/>
            </w:tcMar>
          </w:tcPr>
          <w:p w14:paraId="2A22AB79" w14:textId="77777777" w:rsidR="00090683" w:rsidRPr="00AA4DEE" w:rsidRDefault="00090683" w:rsidP="000B7E9A">
            <w:pPr>
              <w:pStyle w:val="Figure"/>
            </w:pPr>
            <w:r>
              <w:rPr>
                <w:noProof/>
                <w:lang w:eastAsia="en-AU"/>
              </w:rPr>
              <w:drawing>
                <wp:inline distT="0" distB="0" distL="0" distR="0" wp14:anchorId="7490DF27" wp14:editId="4C88E08C">
                  <wp:extent cx="6905625" cy="3019425"/>
                  <wp:effectExtent l="0" t="0" r="9525" b="9525"/>
                  <wp:docPr id="71"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905625" cy="3019425"/>
                          </a:xfrm>
                          <a:prstGeom prst="rect">
                            <a:avLst/>
                          </a:prstGeom>
                          <a:noFill/>
                          <a:ln>
                            <a:noFill/>
                          </a:ln>
                        </pic:spPr>
                      </pic:pic>
                    </a:graphicData>
                  </a:graphic>
                </wp:inline>
              </w:drawing>
            </w:r>
          </w:p>
        </w:tc>
      </w:tr>
      <w:tr w:rsidR="00090683" w:rsidRPr="00AA4DEE" w14:paraId="09D10464" w14:textId="77777777" w:rsidTr="000B7E9A">
        <w:trPr>
          <w:cantSplit/>
        </w:trPr>
        <w:tc>
          <w:tcPr>
            <w:tcW w:w="10994" w:type="dxa"/>
            <w:tcBorders>
              <w:top w:val="single" w:sz="4" w:space="0" w:color="auto"/>
              <w:bottom w:val="single" w:sz="4" w:space="0" w:color="auto"/>
            </w:tcBorders>
            <w:tcMar>
              <w:top w:w="12" w:type="dxa"/>
              <w:left w:w="0" w:type="dxa"/>
              <w:bottom w:w="113" w:type="dxa"/>
            </w:tcMar>
          </w:tcPr>
          <w:p w14:paraId="4F87E867" w14:textId="77777777" w:rsidR="00090683" w:rsidRPr="00AA4DEE" w:rsidRDefault="00090683" w:rsidP="000B7E9A">
            <w:pPr>
              <w:pStyle w:val="Note"/>
            </w:pPr>
            <w:r w:rsidRPr="00AA4DEE">
              <w:t xml:space="preserve">Note: </w:t>
            </w:r>
            <w:r>
              <w:t>The y-axis represents a universities proportion of all low SES students across all universities.</w:t>
            </w:r>
          </w:p>
          <w:p w14:paraId="2BEBA2CB" w14:textId="77777777" w:rsidR="00090683" w:rsidRPr="00AA4DEE" w:rsidRDefault="00090683" w:rsidP="000B7E9A">
            <w:pPr>
              <w:pStyle w:val="Source"/>
            </w:pPr>
            <w:r w:rsidRPr="00AA4DEE">
              <w:t xml:space="preserve">Source: </w:t>
            </w:r>
            <w:r w:rsidRPr="00E144CC">
              <w:t>HEPPP FINANCE DATA</w:t>
            </w:r>
            <w:r>
              <w:t xml:space="preserve">, </w:t>
            </w:r>
            <w:r>
              <w:rPr>
                <w:lang w:val="en-US"/>
              </w:rPr>
              <w:t>Higher Education Student Data Collection</w:t>
            </w:r>
          </w:p>
        </w:tc>
      </w:tr>
      <w:tr w:rsidR="00090683" w14:paraId="1069F157" w14:textId="77777777" w:rsidTr="000B7E9A">
        <w:trPr>
          <w:trHeight w:hRule="exact" w:val="160"/>
        </w:trPr>
        <w:tc>
          <w:tcPr>
            <w:tcW w:w="10994" w:type="dxa"/>
            <w:tcBorders>
              <w:top w:val="single" w:sz="4" w:space="0" w:color="auto"/>
            </w:tcBorders>
          </w:tcPr>
          <w:p w14:paraId="32A21E1C" w14:textId="77777777" w:rsidR="00090683" w:rsidRDefault="00090683" w:rsidP="000B7E9A">
            <w:pPr>
              <w:pStyle w:val="spacertbl"/>
            </w:pPr>
          </w:p>
        </w:tc>
      </w:tr>
    </w:tbl>
    <w:p w14:paraId="4B5C4FED" w14:textId="77777777" w:rsidR="00090683" w:rsidRDefault="00090683" w:rsidP="00090683">
      <w:pPr>
        <w:pStyle w:val="BodyText"/>
      </w:pPr>
      <w:r>
        <w:t>When Partnership and NPP funding is excluded, the strong relationship between each university’s proportion of all low SES students and the amount of Participation funding received is evident (</w:t>
      </w:r>
      <w:r w:rsidRPr="00AD49C8">
        <w:t>Figure 10.5</w:t>
      </w:r>
      <w:r>
        <w:t>). The relationship is not perfectly linear as from 2010 to 2014 Participation funding was allocated based on each university’s p</w:t>
      </w:r>
      <w:r w:rsidRPr="00AD49C8">
        <w:t>roportion of low SES students (this received a 2/3 weighting) and the proportion of students who meet relevant income support payment criteria</w:t>
      </w:r>
      <w:r>
        <w:t>.</w:t>
      </w:r>
      <w:r>
        <w:rPr>
          <w:rStyle w:val="FootnoteReference"/>
        </w:rPr>
        <w:footnoteReference w:id="47"/>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4"/>
      </w:tblGrid>
      <w:tr w:rsidR="00090683" w:rsidRPr="00AA4DEE" w14:paraId="6C1B7BD5" w14:textId="77777777" w:rsidTr="000B7E9A">
        <w:trPr>
          <w:cantSplit/>
          <w:trHeight w:hRule="exact" w:val="160"/>
        </w:trPr>
        <w:tc>
          <w:tcPr>
            <w:tcW w:w="10994" w:type="dxa"/>
            <w:tcBorders>
              <w:bottom w:val="single" w:sz="4" w:space="0" w:color="auto"/>
            </w:tcBorders>
          </w:tcPr>
          <w:p w14:paraId="2F730F37" w14:textId="77777777" w:rsidR="00090683" w:rsidRPr="00AA4DEE" w:rsidRDefault="00090683" w:rsidP="000B7E9A">
            <w:pPr>
              <w:pStyle w:val="spacer"/>
            </w:pPr>
          </w:p>
        </w:tc>
      </w:tr>
      <w:tr w:rsidR="00090683" w:rsidRPr="00897E60" w14:paraId="129CDBC7" w14:textId="77777777" w:rsidTr="000B7E9A">
        <w:trPr>
          <w:cantSplit/>
        </w:trPr>
        <w:tc>
          <w:tcPr>
            <w:tcW w:w="10994" w:type="dxa"/>
            <w:tcBorders>
              <w:top w:val="single" w:sz="4" w:space="0" w:color="auto"/>
            </w:tcBorders>
            <w:tcMar>
              <w:left w:w="0" w:type="dxa"/>
            </w:tcMar>
          </w:tcPr>
          <w:p w14:paraId="756A85D3" w14:textId="77777777" w:rsidR="00090683" w:rsidRPr="00897E60" w:rsidRDefault="00090683" w:rsidP="000B7E9A">
            <w:pPr>
              <w:pStyle w:val="Caption"/>
            </w:pPr>
            <w:bookmarkStart w:id="538" w:name="_Ref464552458"/>
            <w:bookmarkStart w:id="539" w:name="_Toc464551995"/>
            <w:bookmarkStart w:id="540" w:name="_Toc466655717"/>
            <w:r w:rsidRPr="00897E60">
              <w:rPr>
                <w:rStyle w:val="CaptionLabel"/>
              </w:rPr>
              <w:t>Figure</w:t>
            </w:r>
            <w:r>
              <w:rPr>
                <w:rStyle w:val="CaptionLabel"/>
              </w:rPr>
              <w:t> </w:t>
            </w:r>
            <w:r>
              <w:rPr>
                <w:rStyle w:val="CaptionLabel"/>
                <w:noProof/>
              </w:rPr>
              <w:t>10</w:t>
            </w:r>
            <w:r w:rsidRPr="00897E60">
              <w:rPr>
                <w:rStyle w:val="CaptionLabel"/>
              </w:rPr>
              <w:t>.</w:t>
            </w:r>
            <w:r>
              <w:rPr>
                <w:rStyle w:val="CaptionLabel"/>
                <w:noProof/>
              </w:rPr>
              <w:t>5</w:t>
            </w:r>
            <w:bookmarkEnd w:id="538"/>
            <w:r>
              <w:tab/>
              <w:t>University HEPPP funding and proportion of all universities combined low ses students, 2010 to 2015</w:t>
            </w:r>
            <w:bookmarkEnd w:id="539"/>
            <w:bookmarkEnd w:id="540"/>
          </w:p>
        </w:tc>
      </w:tr>
      <w:tr w:rsidR="00090683" w:rsidRPr="00AA4DEE" w14:paraId="19D29400" w14:textId="77777777" w:rsidTr="000B7E9A">
        <w:trPr>
          <w:cantSplit/>
          <w:trHeight w:hRule="exact" w:val="380"/>
        </w:trPr>
        <w:tc>
          <w:tcPr>
            <w:tcW w:w="10994" w:type="dxa"/>
            <w:tcBorders>
              <w:bottom w:val="single" w:sz="4" w:space="0" w:color="auto"/>
            </w:tcBorders>
          </w:tcPr>
          <w:p w14:paraId="26A818F7"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693568" behindDoc="0" locked="1" layoutInCell="1" allowOverlap="1" wp14:anchorId="14356D93" wp14:editId="3A1B3646">
                      <wp:simplePos x="0" y="0"/>
                      <wp:positionH relativeFrom="rightMargin">
                        <wp:posOffset>-772795</wp:posOffset>
                      </wp:positionH>
                      <wp:positionV relativeFrom="page">
                        <wp:posOffset>0</wp:posOffset>
                      </wp:positionV>
                      <wp:extent cx="436880" cy="213360"/>
                      <wp:effectExtent l="0" t="0" r="1270" b="0"/>
                      <wp:wrapNone/>
                      <wp:docPr id="66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88BD47" id="Freeform 5" o:spid="_x0000_s1026" style="position:absolute;margin-left:-60.85pt;margin-top:0;width:34.4pt;height:16.8pt;z-index:251693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fS7wDH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7AC016CD" w14:textId="77777777" w:rsidTr="000B7E9A">
        <w:trPr>
          <w:cantSplit/>
        </w:trPr>
        <w:tc>
          <w:tcPr>
            <w:tcW w:w="10994" w:type="dxa"/>
            <w:tcBorders>
              <w:top w:val="single" w:sz="4" w:space="0" w:color="auto"/>
              <w:bottom w:val="single" w:sz="4" w:space="0" w:color="auto"/>
            </w:tcBorders>
            <w:tcMar>
              <w:top w:w="10" w:type="dxa"/>
              <w:bottom w:w="10" w:type="dxa"/>
              <w:right w:w="0" w:type="dxa"/>
            </w:tcMar>
          </w:tcPr>
          <w:p w14:paraId="3E84766D" w14:textId="77777777" w:rsidR="00090683" w:rsidRPr="00AA4DEE" w:rsidRDefault="00090683" w:rsidP="000B7E9A">
            <w:pPr>
              <w:pStyle w:val="Figure"/>
            </w:pPr>
            <w:r>
              <w:rPr>
                <w:noProof/>
                <w:lang w:eastAsia="en-AU"/>
              </w:rPr>
              <w:drawing>
                <wp:inline distT="0" distB="0" distL="0" distR="0" wp14:anchorId="4340947A" wp14:editId="40FDE5FC">
                  <wp:extent cx="6905625" cy="3019425"/>
                  <wp:effectExtent l="0" t="0" r="0" b="0"/>
                  <wp:docPr id="72"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905625" cy="3019425"/>
                          </a:xfrm>
                          <a:prstGeom prst="rect">
                            <a:avLst/>
                          </a:prstGeom>
                          <a:noFill/>
                          <a:ln>
                            <a:noFill/>
                          </a:ln>
                        </pic:spPr>
                      </pic:pic>
                    </a:graphicData>
                  </a:graphic>
                </wp:inline>
              </w:drawing>
            </w:r>
          </w:p>
        </w:tc>
      </w:tr>
      <w:tr w:rsidR="00090683" w:rsidRPr="00AA4DEE" w14:paraId="36030801" w14:textId="77777777" w:rsidTr="000B7E9A">
        <w:trPr>
          <w:cantSplit/>
        </w:trPr>
        <w:tc>
          <w:tcPr>
            <w:tcW w:w="10994" w:type="dxa"/>
            <w:tcBorders>
              <w:top w:val="single" w:sz="4" w:space="0" w:color="auto"/>
              <w:bottom w:val="single" w:sz="4" w:space="0" w:color="auto"/>
            </w:tcBorders>
            <w:tcMar>
              <w:top w:w="12" w:type="dxa"/>
              <w:left w:w="0" w:type="dxa"/>
              <w:bottom w:w="113" w:type="dxa"/>
            </w:tcMar>
          </w:tcPr>
          <w:p w14:paraId="3637A332" w14:textId="77777777" w:rsidR="00090683" w:rsidRPr="00AA4DEE" w:rsidRDefault="00090683" w:rsidP="000B7E9A">
            <w:pPr>
              <w:pStyle w:val="Note"/>
            </w:pPr>
            <w:r w:rsidRPr="00AA4DEE">
              <w:t xml:space="preserve">Note: </w:t>
            </w:r>
            <w:r>
              <w:t>The y-axis represents a universities proportion of all low SES students across all universities.</w:t>
            </w:r>
          </w:p>
          <w:p w14:paraId="0F7C7E39" w14:textId="77777777" w:rsidR="00090683" w:rsidRPr="00AA4DEE" w:rsidRDefault="00090683" w:rsidP="000B7E9A">
            <w:pPr>
              <w:pStyle w:val="Source"/>
            </w:pPr>
            <w:r w:rsidRPr="00AA4DEE">
              <w:t xml:space="preserve">Source: </w:t>
            </w:r>
            <w:r w:rsidRPr="00E144CC">
              <w:t>HEPPP FINANCE DATA</w:t>
            </w:r>
            <w:r>
              <w:t xml:space="preserve">, </w:t>
            </w:r>
            <w:r>
              <w:rPr>
                <w:lang w:val="en-US"/>
              </w:rPr>
              <w:t>Higher Education Student Data Collection</w:t>
            </w:r>
          </w:p>
        </w:tc>
      </w:tr>
      <w:tr w:rsidR="00090683" w14:paraId="7A61A132" w14:textId="77777777" w:rsidTr="000B7E9A">
        <w:trPr>
          <w:trHeight w:hRule="exact" w:val="160"/>
        </w:trPr>
        <w:tc>
          <w:tcPr>
            <w:tcW w:w="10994" w:type="dxa"/>
            <w:tcBorders>
              <w:top w:val="single" w:sz="4" w:space="0" w:color="auto"/>
            </w:tcBorders>
          </w:tcPr>
          <w:p w14:paraId="2D56EA27" w14:textId="77777777" w:rsidR="00090683" w:rsidRDefault="00090683" w:rsidP="000B7E9A">
            <w:pPr>
              <w:pStyle w:val="spacertbl"/>
            </w:pPr>
          </w:p>
        </w:tc>
      </w:tr>
    </w:tbl>
    <w:p w14:paraId="0E7202DD" w14:textId="77777777" w:rsidR="00090683" w:rsidRPr="001A2F85" w:rsidRDefault="00090683" w:rsidP="00090683">
      <w:pPr>
        <w:spacing w:before="113" w:after="60"/>
      </w:pPr>
      <w:r w:rsidRPr="00AD49C8">
        <w:t>Figure 10.6</w:t>
      </w:r>
      <w:r w:rsidRPr="001A2F85">
        <w:t xml:space="preserve"> shows the total HEPPP funding each university received from 2010 to 2015, compared to the 2010-2015 proportion of their students that are low SES students, with size of the bubble indicating the number of low SES students enrolled over that time period. </w:t>
      </w:r>
    </w:p>
    <w:p w14:paraId="46E489F6" w14:textId="77777777" w:rsidR="00090683" w:rsidRPr="001A2F85" w:rsidRDefault="00090683" w:rsidP="00090683">
      <w:pPr>
        <w:spacing w:before="113" w:after="60"/>
      </w:pPr>
      <w:r w:rsidRPr="001A2F85">
        <w:t xml:space="preserve">Generally funding is higher for universities with a greater number of low SES students, reflecting the Participation funding formula (as detailed </w:t>
      </w:r>
      <w:r>
        <w:t>above</w:t>
      </w:r>
      <w:r w:rsidRPr="001A2F85">
        <w:t xml:space="preserve">). The chart, however, shows the impact of competitive grants on the overall funding allocation of each university, in that some universities with the same number of low SES students receive significantly different funding amounts—for example the two universities with 48,931 and 49,854 low SES students. </w:t>
      </w:r>
      <w:r>
        <w:t>The chart also shows that some of the smaller universities have a high proportion of their students from low SES backgrounds, but due to their size, not a large share of the total number of low SES students in the higher education system.</w:t>
      </w:r>
    </w:p>
    <w:tbl>
      <w:tblPr>
        <w:tblStyle w:val="TableGrid20"/>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4"/>
      </w:tblGrid>
      <w:tr w:rsidR="00090683" w:rsidRPr="001A2F85" w14:paraId="7958529A" w14:textId="77777777" w:rsidTr="000B7E9A">
        <w:trPr>
          <w:cantSplit/>
          <w:trHeight w:hRule="exact" w:val="160"/>
        </w:trPr>
        <w:tc>
          <w:tcPr>
            <w:tcW w:w="10994" w:type="dxa"/>
            <w:tcBorders>
              <w:bottom w:val="single" w:sz="4" w:space="0" w:color="auto"/>
            </w:tcBorders>
          </w:tcPr>
          <w:p w14:paraId="488D8C9E" w14:textId="77777777" w:rsidR="00090683" w:rsidRPr="001A2F85" w:rsidRDefault="00090683" w:rsidP="000B7E9A">
            <w:pPr>
              <w:keepNext/>
              <w:keepLines/>
              <w:numPr>
                <w:ilvl w:val="2"/>
                <w:numId w:val="0"/>
              </w:numPr>
              <w:spacing w:after="0" w:line="240" w:lineRule="auto"/>
              <w:ind w:left="480" w:hanging="240"/>
              <w:contextualSpacing/>
              <w:rPr>
                <w:rFonts w:cs="Arial"/>
                <w:sz w:val="4"/>
              </w:rPr>
            </w:pPr>
          </w:p>
        </w:tc>
      </w:tr>
      <w:tr w:rsidR="00090683" w:rsidRPr="001A2F85" w14:paraId="77F1AD0A" w14:textId="77777777" w:rsidTr="000B7E9A">
        <w:trPr>
          <w:cantSplit/>
        </w:trPr>
        <w:tc>
          <w:tcPr>
            <w:tcW w:w="10994" w:type="dxa"/>
            <w:tcBorders>
              <w:top w:val="single" w:sz="4" w:space="0" w:color="auto"/>
            </w:tcBorders>
            <w:tcMar>
              <w:left w:w="0" w:type="dxa"/>
            </w:tcMar>
          </w:tcPr>
          <w:p w14:paraId="4C65C98B" w14:textId="77777777" w:rsidR="00090683" w:rsidRPr="001A2F85" w:rsidRDefault="00090683" w:rsidP="000B7E9A">
            <w:pPr>
              <w:keepNext/>
              <w:keepLines/>
              <w:numPr>
                <w:ilvl w:val="2"/>
                <w:numId w:val="0"/>
              </w:numPr>
              <w:spacing w:after="0" w:line="240" w:lineRule="auto"/>
              <w:ind w:left="1308" w:hanging="1308"/>
              <w:contextualSpacing/>
              <w:rPr>
                <w:iCs/>
                <w:caps/>
                <w:color w:val="000100"/>
                <w:szCs w:val="18"/>
              </w:rPr>
            </w:pPr>
            <w:bookmarkStart w:id="541" w:name="_Ref461033454"/>
            <w:bookmarkStart w:id="542" w:name="_Toc462246071"/>
            <w:bookmarkStart w:id="543" w:name="_Toc464551996"/>
            <w:bookmarkStart w:id="544" w:name="_Toc466655718"/>
            <w:r w:rsidRPr="001A2F85">
              <w:rPr>
                <w:b/>
                <w:iCs/>
                <w:caps/>
                <w:color w:val="000100"/>
                <w:szCs w:val="18"/>
              </w:rPr>
              <w:t>Figure </w:t>
            </w:r>
            <w:r>
              <w:rPr>
                <w:b/>
                <w:iCs/>
                <w:caps/>
                <w:noProof/>
                <w:color w:val="000100"/>
                <w:szCs w:val="18"/>
              </w:rPr>
              <w:t>10</w:t>
            </w:r>
            <w:r w:rsidRPr="001A2F85">
              <w:rPr>
                <w:b/>
                <w:iCs/>
                <w:caps/>
                <w:color w:val="000100"/>
                <w:szCs w:val="18"/>
              </w:rPr>
              <w:t>.</w:t>
            </w:r>
            <w:r>
              <w:rPr>
                <w:b/>
                <w:iCs/>
                <w:caps/>
                <w:noProof/>
                <w:color w:val="000100"/>
                <w:szCs w:val="18"/>
              </w:rPr>
              <w:t>6</w:t>
            </w:r>
            <w:bookmarkEnd w:id="541"/>
            <w:r w:rsidRPr="001A2F85">
              <w:rPr>
                <w:iCs/>
                <w:caps/>
                <w:color w:val="000100"/>
                <w:szCs w:val="18"/>
              </w:rPr>
              <w:tab/>
              <w:t>university HEPPP funding and proportion and number of low SES students</w:t>
            </w:r>
            <w:bookmarkEnd w:id="542"/>
            <w:r w:rsidRPr="001A2F85">
              <w:rPr>
                <w:iCs/>
                <w:caps/>
                <w:color w:val="000100"/>
                <w:szCs w:val="18"/>
              </w:rPr>
              <w:t>, 2010</w:t>
            </w:r>
            <w:r w:rsidRPr="001A2F85">
              <w:rPr>
                <w:iCs/>
                <w:caps/>
                <w:color w:val="000100"/>
                <w:szCs w:val="18"/>
              </w:rPr>
              <w:noBreakHyphen/>
              <w:t>2015</w:t>
            </w:r>
            <w:bookmarkEnd w:id="543"/>
            <w:bookmarkEnd w:id="544"/>
          </w:p>
        </w:tc>
      </w:tr>
      <w:tr w:rsidR="00090683" w:rsidRPr="001A2F85" w14:paraId="40101ABB" w14:textId="77777777" w:rsidTr="000B7E9A">
        <w:trPr>
          <w:cantSplit/>
          <w:trHeight w:hRule="exact" w:val="380"/>
        </w:trPr>
        <w:tc>
          <w:tcPr>
            <w:tcW w:w="10994" w:type="dxa"/>
            <w:tcBorders>
              <w:bottom w:val="single" w:sz="4" w:space="0" w:color="auto"/>
            </w:tcBorders>
          </w:tcPr>
          <w:p w14:paraId="0D8846C8" w14:textId="77777777" w:rsidR="00090683" w:rsidRPr="001A2F85" w:rsidRDefault="00090683" w:rsidP="000B7E9A">
            <w:pPr>
              <w:keepNext/>
              <w:keepLines/>
              <w:numPr>
                <w:ilvl w:val="2"/>
                <w:numId w:val="0"/>
              </w:numPr>
              <w:spacing w:after="0" w:line="240" w:lineRule="auto"/>
              <w:ind w:left="480" w:hanging="240"/>
              <w:contextualSpacing/>
              <w:rPr>
                <w:rFonts w:cs="Arial"/>
                <w:sz w:val="4"/>
              </w:rPr>
            </w:pPr>
            <w:r>
              <w:rPr>
                <w:noProof/>
                <w:lang w:eastAsia="en-AU"/>
              </w:rPr>
              <mc:AlternateContent>
                <mc:Choice Requires="wps">
                  <w:drawing>
                    <wp:anchor distT="0" distB="0" distL="114300" distR="114300" simplePos="0" relativeHeight="251700736" behindDoc="0" locked="1" layoutInCell="1" allowOverlap="1" wp14:anchorId="7A2A52CA" wp14:editId="676CC41E">
                      <wp:simplePos x="0" y="0"/>
                      <wp:positionH relativeFrom="rightMargin">
                        <wp:posOffset>-772795</wp:posOffset>
                      </wp:positionH>
                      <wp:positionV relativeFrom="page">
                        <wp:posOffset>0</wp:posOffset>
                      </wp:positionV>
                      <wp:extent cx="436880" cy="213360"/>
                      <wp:effectExtent l="0" t="0" r="1270" b="0"/>
                      <wp:wrapNone/>
                      <wp:docPr id="74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C94911" id="Freeform 5" o:spid="_x0000_s1026" style="position:absolute;margin-left:-60.85pt;margin-top:0;width:34.4pt;height:16.8pt;z-index:251700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ovHpq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21557AB2" w14:textId="77777777" w:rsidTr="000B7E9A">
        <w:trPr>
          <w:cantSplit/>
        </w:trPr>
        <w:tc>
          <w:tcPr>
            <w:tcW w:w="10994" w:type="dxa"/>
            <w:tcBorders>
              <w:top w:val="single" w:sz="4" w:space="0" w:color="auto"/>
              <w:bottom w:val="single" w:sz="4" w:space="0" w:color="auto"/>
            </w:tcBorders>
            <w:tcMar>
              <w:top w:w="10" w:type="dxa"/>
              <w:bottom w:w="10" w:type="dxa"/>
              <w:right w:w="0" w:type="dxa"/>
            </w:tcMar>
          </w:tcPr>
          <w:p w14:paraId="44DE5AFD" w14:textId="77777777" w:rsidR="00090683" w:rsidRPr="001A2F85" w:rsidRDefault="00090683" w:rsidP="000B7E9A">
            <w:pPr>
              <w:keepNext/>
              <w:numPr>
                <w:ilvl w:val="2"/>
                <w:numId w:val="0"/>
              </w:numPr>
              <w:spacing w:after="0" w:line="240" w:lineRule="auto"/>
              <w:contextualSpacing/>
              <w:rPr>
                <w:sz w:val="16"/>
              </w:rPr>
            </w:pPr>
            <w:r>
              <w:rPr>
                <w:noProof/>
                <w:sz w:val="16"/>
                <w:lang w:eastAsia="en-AU"/>
              </w:rPr>
              <w:drawing>
                <wp:inline distT="0" distB="0" distL="0" distR="0" wp14:anchorId="3CBE4C2C" wp14:editId="52ACAF5A">
                  <wp:extent cx="6724650" cy="2943225"/>
                  <wp:effectExtent l="0" t="0" r="0" b="0"/>
                  <wp:docPr id="73"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724650" cy="2943225"/>
                          </a:xfrm>
                          <a:prstGeom prst="rect">
                            <a:avLst/>
                          </a:prstGeom>
                          <a:noFill/>
                          <a:ln>
                            <a:noFill/>
                          </a:ln>
                        </pic:spPr>
                      </pic:pic>
                    </a:graphicData>
                  </a:graphic>
                </wp:inline>
              </w:drawing>
            </w:r>
          </w:p>
        </w:tc>
      </w:tr>
      <w:tr w:rsidR="00090683" w:rsidRPr="001A2F85" w14:paraId="27C335BC" w14:textId="77777777" w:rsidTr="000B7E9A">
        <w:trPr>
          <w:cantSplit/>
        </w:trPr>
        <w:tc>
          <w:tcPr>
            <w:tcW w:w="10994" w:type="dxa"/>
            <w:tcBorders>
              <w:top w:val="single" w:sz="4" w:space="0" w:color="auto"/>
              <w:bottom w:val="single" w:sz="4" w:space="0" w:color="auto"/>
            </w:tcBorders>
            <w:tcMar>
              <w:top w:w="12" w:type="dxa"/>
              <w:left w:w="0" w:type="dxa"/>
              <w:bottom w:w="113" w:type="dxa"/>
            </w:tcMar>
          </w:tcPr>
          <w:p w14:paraId="6750CFE2" w14:textId="77777777" w:rsidR="00090683" w:rsidRPr="00AD49C8" w:rsidRDefault="00090683" w:rsidP="000B7E9A">
            <w:pPr>
              <w:pStyle w:val="ListBullet3"/>
              <w:numPr>
                <w:ilvl w:val="0"/>
                <w:numId w:val="0"/>
              </w:numPr>
              <w:rPr>
                <w:caps/>
                <w:spacing w:val="-3"/>
                <w:sz w:val="14"/>
              </w:rPr>
            </w:pPr>
            <w:r w:rsidRPr="00AD49C8">
              <w:rPr>
                <w:spacing w:val="-3"/>
                <w:sz w:val="14"/>
              </w:rPr>
              <w:t xml:space="preserve">Note: </w:t>
            </w:r>
            <w:r>
              <w:rPr>
                <w:spacing w:val="-3"/>
                <w:sz w:val="14"/>
              </w:rPr>
              <w:t>S</w:t>
            </w:r>
            <w:r w:rsidRPr="00AD49C8">
              <w:rPr>
                <w:spacing w:val="-3"/>
                <w:sz w:val="14"/>
              </w:rPr>
              <w:t xml:space="preserve">ome universities </w:t>
            </w:r>
            <w:r>
              <w:rPr>
                <w:spacing w:val="-3"/>
                <w:sz w:val="14"/>
              </w:rPr>
              <w:t xml:space="preserve">are given </w:t>
            </w:r>
            <w:r w:rsidRPr="00AD49C8">
              <w:rPr>
                <w:spacing w:val="-3"/>
                <w:sz w:val="14"/>
              </w:rPr>
              <w:t>data labels to indicat</w:t>
            </w:r>
            <w:r>
              <w:rPr>
                <w:spacing w:val="-3"/>
                <w:sz w:val="14"/>
              </w:rPr>
              <w:t>e</w:t>
            </w:r>
            <w:r w:rsidRPr="00AD49C8">
              <w:rPr>
                <w:spacing w:val="-3"/>
                <w:sz w:val="14"/>
              </w:rPr>
              <w:t xml:space="preserve"> the relationship between the size of the bubble and the number of low SES students.  </w:t>
            </w:r>
          </w:p>
          <w:p w14:paraId="22440D69" w14:textId="77777777" w:rsidR="00090683" w:rsidRPr="001A2F85" w:rsidRDefault="00090683" w:rsidP="000B7E9A">
            <w:pPr>
              <w:pStyle w:val="ListBullet3"/>
              <w:numPr>
                <w:ilvl w:val="0"/>
                <w:numId w:val="0"/>
              </w:numPr>
              <w:rPr>
                <w:i/>
                <w:caps/>
                <w:spacing w:val="-3"/>
                <w:sz w:val="14"/>
              </w:rPr>
            </w:pPr>
            <w:r w:rsidRPr="001A2F85">
              <w:rPr>
                <w:i/>
                <w:caps/>
                <w:spacing w:val="-3"/>
                <w:sz w:val="14"/>
              </w:rPr>
              <w:t>Source: HEPPP finance data</w:t>
            </w:r>
            <w:r>
              <w:rPr>
                <w:i/>
                <w:caps/>
                <w:spacing w:val="-3"/>
                <w:sz w:val="14"/>
              </w:rPr>
              <w:t xml:space="preserve">, </w:t>
            </w:r>
            <w:r w:rsidRPr="00A67FA3">
              <w:rPr>
                <w:i/>
                <w:caps/>
                <w:spacing w:val="-3"/>
                <w:sz w:val="14"/>
              </w:rPr>
              <w:t>HIGHER EDUCATION STUDENT DATA COLLECTION</w:t>
            </w:r>
          </w:p>
        </w:tc>
      </w:tr>
      <w:tr w:rsidR="00090683" w:rsidRPr="001A2F85" w14:paraId="6ED03794" w14:textId="77777777" w:rsidTr="000B7E9A">
        <w:trPr>
          <w:trHeight w:hRule="exact" w:val="160"/>
        </w:trPr>
        <w:tc>
          <w:tcPr>
            <w:tcW w:w="10994" w:type="dxa"/>
            <w:tcBorders>
              <w:top w:val="single" w:sz="4" w:space="0" w:color="auto"/>
            </w:tcBorders>
          </w:tcPr>
          <w:p w14:paraId="06F136CE" w14:textId="77777777" w:rsidR="00090683" w:rsidRPr="001A2F85" w:rsidRDefault="00090683" w:rsidP="000B7E9A">
            <w:pPr>
              <w:widowControl w:val="0"/>
              <w:numPr>
                <w:ilvl w:val="2"/>
                <w:numId w:val="0"/>
              </w:numPr>
              <w:adjustRightInd w:val="0"/>
              <w:snapToGrid w:val="0"/>
              <w:spacing w:after="0" w:line="240" w:lineRule="auto"/>
              <w:ind w:left="480" w:hanging="240"/>
              <w:contextualSpacing/>
              <w:rPr>
                <w:rFonts w:ascii="Arial" w:hAnsi="Arial" w:cs="Arial"/>
                <w:sz w:val="4"/>
              </w:rPr>
            </w:pPr>
          </w:p>
        </w:tc>
      </w:tr>
    </w:tbl>
    <w:p w14:paraId="44F11231" w14:textId="77777777" w:rsidR="00090683" w:rsidRPr="001A2F85" w:rsidRDefault="00090683" w:rsidP="00090683">
      <w:pPr>
        <w:pStyle w:val="Heading4"/>
      </w:pPr>
      <w:bookmarkStart w:id="545" w:name="_Toc462246062"/>
      <w:r w:rsidRPr="001A2F85">
        <w:t>Average HEPPP funding per university grouping</w:t>
      </w:r>
    </w:p>
    <w:p w14:paraId="6F53AB27" w14:textId="77777777" w:rsidR="00090683" w:rsidRPr="001A2F85" w:rsidRDefault="00090683" w:rsidP="00090683">
      <w:pPr>
        <w:pStyle w:val="BodyText"/>
      </w:pPr>
      <w:r w:rsidRPr="001A2F85">
        <w:t>On average ATN universities received the most HEPPP funding per university, averaging $30 million</w:t>
      </w:r>
      <w:r>
        <w:t xml:space="preserve"> (</w:t>
      </w:r>
      <w:r w:rsidRPr="00AD49C8">
        <w:t>Figure 10.7</w:t>
      </w:r>
      <w:r>
        <w:t>)</w:t>
      </w:r>
      <w:r w:rsidRPr="001A2F85">
        <w:t xml:space="preserve">. Unaligned universities received an average of $25 million per university, followed by IRU ($23 million), Go8 ($19 million) and RUN ($17 million). </w:t>
      </w:r>
      <w:r>
        <w:t>HEPPP funding across the university groupings varies due to a number of factors including differences in the number of low SES students and students receiving income support across universities, and differences in Partnership and NPP project grant funding awarded.</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7EF3F4D7" w14:textId="77777777" w:rsidTr="000B7E9A">
        <w:trPr>
          <w:cantSplit/>
          <w:trHeight w:hRule="exact" w:val="160"/>
        </w:trPr>
        <w:tc>
          <w:tcPr>
            <w:tcW w:w="8168" w:type="dxa"/>
            <w:tcBorders>
              <w:bottom w:val="single" w:sz="4" w:space="0" w:color="auto"/>
            </w:tcBorders>
          </w:tcPr>
          <w:p w14:paraId="77D9F0B3" w14:textId="77777777" w:rsidR="00090683" w:rsidRPr="001A2F85" w:rsidRDefault="00090683" w:rsidP="000B7E9A">
            <w:pPr>
              <w:pStyle w:val="spacer"/>
            </w:pPr>
          </w:p>
        </w:tc>
      </w:tr>
      <w:tr w:rsidR="00090683" w:rsidRPr="001A2F85" w14:paraId="05061A24" w14:textId="77777777" w:rsidTr="000B7E9A">
        <w:trPr>
          <w:cantSplit/>
        </w:trPr>
        <w:tc>
          <w:tcPr>
            <w:tcW w:w="8168" w:type="dxa"/>
            <w:tcBorders>
              <w:top w:val="single" w:sz="4" w:space="0" w:color="auto"/>
            </w:tcBorders>
            <w:tcMar>
              <w:left w:w="0" w:type="dxa"/>
            </w:tcMar>
          </w:tcPr>
          <w:p w14:paraId="7004D902" w14:textId="77777777" w:rsidR="00090683" w:rsidRPr="001A2F85" w:rsidRDefault="00090683" w:rsidP="000B7E9A">
            <w:pPr>
              <w:pStyle w:val="Caption"/>
            </w:pPr>
            <w:bookmarkStart w:id="546" w:name="_Ref462246242"/>
            <w:bookmarkStart w:id="547" w:name="_Toc462246069"/>
            <w:bookmarkStart w:id="548" w:name="_Toc464551998"/>
            <w:bookmarkStart w:id="549" w:name="_Toc466655719"/>
            <w:r w:rsidRPr="001A2F85">
              <w:rPr>
                <w:rStyle w:val="CaptionLabel"/>
              </w:rPr>
              <w:t>Figure </w:t>
            </w:r>
            <w:r>
              <w:rPr>
                <w:rStyle w:val="CaptionLabel"/>
                <w:noProof/>
              </w:rPr>
              <w:t>10</w:t>
            </w:r>
            <w:r w:rsidRPr="001A2F85">
              <w:rPr>
                <w:rStyle w:val="CaptionLabel"/>
              </w:rPr>
              <w:t>.</w:t>
            </w:r>
            <w:r>
              <w:rPr>
                <w:rStyle w:val="CaptionLabel"/>
                <w:noProof/>
              </w:rPr>
              <w:t>7</w:t>
            </w:r>
            <w:bookmarkEnd w:id="546"/>
            <w:r w:rsidRPr="001A2F85">
              <w:tab/>
              <w:t>Average HEPPP funding per university by university grouping</w:t>
            </w:r>
            <w:bookmarkEnd w:id="547"/>
            <w:r w:rsidRPr="001A2F85">
              <w:t>, 2010-2015</w:t>
            </w:r>
            <w:bookmarkEnd w:id="548"/>
            <w:bookmarkEnd w:id="549"/>
          </w:p>
        </w:tc>
      </w:tr>
      <w:tr w:rsidR="00090683" w:rsidRPr="001A2F85" w14:paraId="78ABC1FB" w14:textId="77777777" w:rsidTr="000B7E9A">
        <w:trPr>
          <w:cantSplit/>
          <w:trHeight w:hRule="exact" w:val="380"/>
        </w:trPr>
        <w:tc>
          <w:tcPr>
            <w:tcW w:w="8168" w:type="dxa"/>
            <w:tcBorders>
              <w:bottom w:val="single" w:sz="4" w:space="0" w:color="auto"/>
            </w:tcBorders>
          </w:tcPr>
          <w:p w14:paraId="562586A8"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703808" behindDoc="0" locked="1" layoutInCell="1" allowOverlap="1" wp14:anchorId="3706CF25" wp14:editId="45D00495">
                      <wp:simplePos x="0" y="0"/>
                      <wp:positionH relativeFrom="rightMargin">
                        <wp:posOffset>-772795</wp:posOffset>
                      </wp:positionH>
                      <wp:positionV relativeFrom="page">
                        <wp:posOffset>0</wp:posOffset>
                      </wp:positionV>
                      <wp:extent cx="436880" cy="213360"/>
                      <wp:effectExtent l="0" t="0" r="1270" b="0"/>
                      <wp:wrapNone/>
                      <wp:docPr id="74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FF54E" id="Freeform 5" o:spid="_x0000_s1026" style="position:absolute;margin-left:-60.85pt;margin-top:0;width:34.4pt;height:16.8pt;z-index:251703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4Qfw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ABIThB/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08B195E9"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703DAA0D" w14:textId="77777777" w:rsidR="00090683" w:rsidRPr="001A2F85" w:rsidRDefault="00090683" w:rsidP="000B7E9A">
            <w:pPr>
              <w:pStyle w:val="Figure"/>
            </w:pPr>
            <w:r>
              <w:rPr>
                <w:noProof/>
                <w:lang w:eastAsia="en-AU"/>
              </w:rPr>
              <w:drawing>
                <wp:inline distT="0" distB="0" distL="0" distR="0" wp14:anchorId="56ED1F77" wp14:editId="584CAFC1">
                  <wp:extent cx="5172075" cy="2143125"/>
                  <wp:effectExtent l="0" t="0" r="0" b="0"/>
                  <wp:docPr id="74"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72075" cy="2143125"/>
                          </a:xfrm>
                          <a:prstGeom prst="rect">
                            <a:avLst/>
                          </a:prstGeom>
                          <a:noFill/>
                          <a:ln>
                            <a:noFill/>
                          </a:ln>
                        </pic:spPr>
                      </pic:pic>
                    </a:graphicData>
                  </a:graphic>
                </wp:inline>
              </w:drawing>
            </w:r>
          </w:p>
        </w:tc>
      </w:tr>
      <w:tr w:rsidR="00090683" w:rsidRPr="001A2F85" w14:paraId="23E53518"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1FD0AF63" w14:textId="77777777" w:rsidR="00090683" w:rsidRPr="001A2F85" w:rsidRDefault="00090683" w:rsidP="000B7E9A">
            <w:pPr>
              <w:pStyle w:val="Source"/>
            </w:pPr>
            <w:r w:rsidRPr="001A2F85">
              <w:t>Source: HEPPP finance data</w:t>
            </w:r>
          </w:p>
        </w:tc>
      </w:tr>
      <w:tr w:rsidR="00090683" w:rsidRPr="001A2F85" w14:paraId="508464A0" w14:textId="77777777" w:rsidTr="000B7E9A">
        <w:trPr>
          <w:trHeight w:hRule="exact" w:val="160"/>
        </w:trPr>
        <w:tc>
          <w:tcPr>
            <w:tcW w:w="8168" w:type="dxa"/>
            <w:tcBorders>
              <w:top w:val="single" w:sz="4" w:space="0" w:color="auto"/>
            </w:tcBorders>
          </w:tcPr>
          <w:p w14:paraId="2B32A22D" w14:textId="77777777" w:rsidR="00090683" w:rsidRPr="001A2F85" w:rsidRDefault="00090683" w:rsidP="000B7E9A">
            <w:pPr>
              <w:pStyle w:val="spacertbl"/>
            </w:pPr>
          </w:p>
        </w:tc>
      </w:tr>
    </w:tbl>
    <w:p w14:paraId="02152485" w14:textId="77777777" w:rsidR="00090683" w:rsidRPr="001A2F85" w:rsidRDefault="00090683" w:rsidP="00090683">
      <w:pPr>
        <w:pStyle w:val="BodyText"/>
      </w:pPr>
      <w:r w:rsidRPr="001A2F85">
        <w:t xml:space="preserve">On average </w:t>
      </w:r>
      <w:r>
        <w:t>metropolitan</w:t>
      </w:r>
      <w:r w:rsidRPr="001A2F85">
        <w:t xml:space="preserve"> universities</w:t>
      </w:r>
      <w:r w:rsidRPr="00333998">
        <w:t xml:space="preserve"> </w:t>
      </w:r>
      <w:r>
        <w:t>(</w:t>
      </w:r>
      <w:r w:rsidRPr="001A2F85">
        <w:t>$</w:t>
      </w:r>
      <w:r>
        <w:t>22.4</w:t>
      </w:r>
      <w:r w:rsidRPr="001A2F85">
        <w:t xml:space="preserve"> million</w:t>
      </w:r>
      <w:r>
        <w:t xml:space="preserve">) </w:t>
      </w:r>
      <w:r w:rsidRPr="001A2F85">
        <w:t xml:space="preserve">received </w:t>
      </w:r>
      <w:r>
        <w:t>slightly more</w:t>
      </w:r>
      <w:r w:rsidRPr="001A2F85">
        <w:t xml:space="preserve"> HEPPP funding per university</w:t>
      </w:r>
      <w:r>
        <w:t xml:space="preserve"> than regional universities ($21.9 million), due primarily to differences in the amount of Partnership project funding received (</w:t>
      </w:r>
      <w:r w:rsidRPr="00AD49C8">
        <w:t>Figure 10.8</w:t>
      </w:r>
      <w:r>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6A9441D6" w14:textId="77777777" w:rsidTr="000B7E9A">
        <w:trPr>
          <w:cantSplit/>
          <w:trHeight w:hRule="exact" w:val="160"/>
        </w:trPr>
        <w:tc>
          <w:tcPr>
            <w:tcW w:w="8168" w:type="dxa"/>
            <w:tcBorders>
              <w:bottom w:val="single" w:sz="4" w:space="0" w:color="auto"/>
            </w:tcBorders>
          </w:tcPr>
          <w:p w14:paraId="0026C65B" w14:textId="77777777" w:rsidR="00090683" w:rsidRPr="001A2F85" w:rsidRDefault="00090683" w:rsidP="000B7E9A">
            <w:pPr>
              <w:pStyle w:val="spacer"/>
            </w:pPr>
          </w:p>
        </w:tc>
      </w:tr>
      <w:tr w:rsidR="00090683" w:rsidRPr="001A2F85" w14:paraId="4B99DF0D" w14:textId="77777777" w:rsidTr="000B7E9A">
        <w:trPr>
          <w:cantSplit/>
        </w:trPr>
        <w:tc>
          <w:tcPr>
            <w:tcW w:w="8168" w:type="dxa"/>
            <w:tcBorders>
              <w:top w:val="single" w:sz="4" w:space="0" w:color="auto"/>
            </w:tcBorders>
            <w:tcMar>
              <w:left w:w="0" w:type="dxa"/>
            </w:tcMar>
          </w:tcPr>
          <w:p w14:paraId="54AEA918" w14:textId="77777777" w:rsidR="00090683" w:rsidRPr="001A2F85" w:rsidRDefault="00090683" w:rsidP="000B7E9A">
            <w:pPr>
              <w:pStyle w:val="Caption"/>
            </w:pPr>
            <w:bookmarkStart w:id="550" w:name="_Ref464472449"/>
            <w:bookmarkStart w:id="551" w:name="_Toc464551999"/>
            <w:bookmarkStart w:id="552" w:name="_Toc466655720"/>
            <w:r w:rsidRPr="001A2F85">
              <w:rPr>
                <w:rStyle w:val="CaptionLabel"/>
              </w:rPr>
              <w:t>Figure </w:t>
            </w:r>
            <w:r>
              <w:rPr>
                <w:rStyle w:val="CaptionLabel"/>
                <w:noProof/>
              </w:rPr>
              <w:t>10</w:t>
            </w:r>
            <w:r w:rsidRPr="001A2F85">
              <w:rPr>
                <w:rStyle w:val="CaptionLabel"/>
              </w:rPr>
              <w:t>.</w:t>
            </w:r>
            <w:r>
              <w:rPr>
                <w:rStyle w:val="CaptionLabel"/>
                <w:noProof/>
              </w:rPr>
              <w:t>8</w:t>
            </w:r>
            <w:bookmarkEnd w:id="550"/>
            <w:r w:rsidRPr="001A2F85">
              <w:tab/>
              <w:t xml:space="preserve">Average HEPPP funding per university by </w:t>
            </w:r>
            <w:r>
              <w:t>location</w:t>
            </w:r>
            <w:r w:rsidRPr="001A2F85">
              <w:t>, 2010-2015</w:t>
            </w:r>
            <w:bookmarkEnd w:id="551"/>
            <w:bookmarkEnd w:id="552"/>
          </w:p>
        </w:tc>
      </w:tr>
      <w:tr w:rsidR="00090683" w:rsidRPr="001A2F85" w14:paraId="77F5BC37" w14:textId="77777777" w:rsidTr="000B7E9A">
        <w:trPr>
          <w:cantSplit/>
          <w:trHeight w:hRule="exact" w:val="380"/>
        </w:trPr>
        <w:tc>
          <w:tcPr>
            <w:tcW w:w="8168" w:type="dxa"/>
            <w:tcBorders>
              <w:bottom w:val="single" w:sz="4" w:space="0" w:color="auto"/>
            </w:tcBorders>
          </w:tcPr>
          <w:p w14:paraId="690ECDB0"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4592" behindDoc="0" locked="1" layoutInCell="1" allowOverlap="1" wp14:anchorId="780542C1" wp14:editId="10FF60F9">
                      <wp:simplePos x="0" y="0"/>
                      <wp:positionH relativeFrom="rightMargin">
                        <wp:posOffset>-772795</wp:posOffset>
                      </wp:positionH>
                      <wp:positionV relativeFrom="page">
                        <wp:posOffset>0</wp:posOffset>
                      </wp:positionV>
                      <wp:extent cx="436880" cy="213360"/>
                      <wp:effectExtent l="0" t="0" r="1270" b="0"/>
                      <wp:wrapNone/>
                      <wp:docPr id="65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672EF1" id="Freeform 5" o:spid="_x0000_s1026" style="position:absolute;margin-left:-60.85pt;margin-top:0;width:34.4pt;height:16.8pt;z-index:2516945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71fQ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c3w71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76DBF457"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29427DAC" w14:textId="77777777" w:rsidR="00090683" w:rsidRPr="001A2F85" w:rsidRDefault="00090683" w:rsidP="000B7E9A">
            <w:pPr>
              <w:pStyle w:val="Figure"/>
            </w:pPr>
            <w:r>
              <w:rPr>
                <w:noProof/>
                <w:lang w:eastAsia="en-AU"/>
              </w:rPr>
              <w:drawing>
                <wp:inline distT="0" distB="0" distL="0" distR="0" wp14:anchorId="0D9B4A29" wp14:editId="3037EC7A">
                  <wp:extent cx="5191125" cy="2228850"/>
                  <wp:effectExtent l="0" t="0" r="0" b="0"/>
                  <wp:docPr id="75"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91125" cy="2228850"/>
                          </a:xfrm>
                          <a:prstGeom prst="rect">
                            <a:avLst/>
                          </a:prstGeom>
                          <a:noFill/>
                          <a:ln>
                            <a:noFill/>
                          </a:ln>
                        </pic:spPr>
                      </pic:pic>
                    </a:graphicData>
                  </a:graphic>
                </wp:inline>
              </w:drawing>
            </w:r>
          </w:p>
        </w:tc>
      </w:tr>
      <w:tr w:rsidR="00090683" w:rsidRPr="001A2F85" w14:paraId="126354CF"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6F39AB08" w14:textId="77777777" w:rsidR="00090683" w:rsidRPr="001A2F85" w:rsidRDefault="00090683" w:rsidP="000B7E9A">
            <w:pPr>
              <w:pStyle w:val="Source"/>
            </w:pPr>
            <w:r w:rsidRPr="001A2F85">
              <w:t>Source: HEPPP finance data</w:t>
            </w:r>
          </w:p>
        </w:tc>
      </w:tr>
      <w:tr w:rsidR="00090683" w:rsidRPr="001A2F85" w14:paraId="6A3C74CA" w14:textId="77777777" w:rsidTr="000B7E9A">
        <w:trPr>
          <w:trHeight w:hRule="exact" w:val="160"/>
        </w:trPr>
        <w:tc>
          <w:tcPr>
            <w:tcW w:w="8168" w:type="dxa"/>
            <w:tcBorders>
              <w:top w:val="single" w:sz="4" w:space="0" w:color="auto"/>
            </w:tcBorders>
          </w:tcPr>
          <w:p w14:paraId="07B94944" w14:textId="77777777" w:rsidR="00090683" w:rsidRPr="001A2F85" w:rsidRDefault="00090683" w:rsidP="000B7E9A">
            <w:pPr>
              <w:pStyle w:val="spacertbl"/>
            </w:pPr>
          </w:p>
        </w:tc>
      </w:tr>
    </w:tbl>
    <w:p w14:paraId="2C596757" w14:textId="77777777" w:rsidR="00090683" w:rsidRPr="001A2F85" w:rsidRDefault="00090683" w:rsidP="00090683">
      <w:pPr>
        <w:pStyle w:val="BodyText"/>
      </w:pPr>
      <w:r w:rsidRPr="001A2F85">
        <w:t xml:space="preserve">The average HEPPP funding per university fluctuates by jurisdiction with NSW receiving the most funding per university at $29 million. NSW is followed closely by Tasmania at $28 million. The ACT on average received the lowest amount of HEPPP funding per university at $5 million, </w:t>
      </w:r>
      <w:r>
        <w:t>largely</w:t>
      </w:r>
      <w:r w:rsidRPr="001A2F85">
        <w:t xml:space="preserve"> due to the low number of low SES students in the ACT</w:t>
      </w:r>
      <w:r>
        <w:t xml:space="preserve"> (</w:t>
      </w:r>
      <w:r w:rsidRPr="00AD49C8">
        <w:t>Figure 10.9</w:t>
      </w:r>
      <w:r>
        <w:t>)</w:t>
      </w:r>
      <w:r w:rsidRPr="001A2F85">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73A5C8ED" w14:textId="77777777" w:rsidTr="000B7E9A">
        <w:trPr>
          <w:cantSplit/>
          <w:trHeight w:hRule="exact" w:val="160"/>
        </w:trPr>
        <w:tc>
          <w:tcPr>
            <w:tcW w:w="8168" w:type="dxa"/>
            <w:tcBorders>
              <w:bottom w:val="single" w:sz="4" w:space="0" w:color="auto"/>
            </w:tcBorders>
          </w:tcPr>
          <w:p w14:paraId="7CDE350A" w14:textId="77777777" w:rsidR="00090683" w:rsidRPr="001A2F85" w:rsidRDefault="00090683" w:rsidP="000B7E9A">
            <w:pPr>
              <w:pStyle w:val="spacer"/>
            </w:pPr>
          </w:p>
        </w:tc>
      </w:tr>
      <w:tr w:rsidR="00090683" w:rsidRPr="001A2F85" w14:paraId="15B87F0A" w14:textId="77777777" w:rsidTr="000B7E9A">
        <w:trPr>
          <w:cantSplit/>
        </w:trPr>
        <w:tc>
          <w:tcPr>
            <w:tcW w:w="8168" w:type="dxa"/>
            <w:tcBorders>
              <w:top w:val="single" w:sz="4" w:space="0" w:color="auto"/>
            </w:tcBorders>
            <w:tcMar>
              <w:left w:w="0" w:type="dxa"/>
            </w:tcMar>
          </w:tcPr>
          <w:p w14:paraId="3A1A1586" w14:textId="77777777" w:rsidR="00090683" w:rsidRPr="001A2F85" w:rsidRDefault="00090683" w:rsidP="000B7E9A">
            <w:pPr>
              <w:pStyle w:val="Caption"/>
            </w:pPr>
            <w:bookmarkStart w:id="553" w:name="_Ref462246277"/>
            <w:bookmarkStart w:id="554" w:name="_Toc462246070"/>
            <w:bookmarkStart w:id="555" w:name="_Toc464552000"/>
            <w:bookmarkStart w:id="556" w:name="_Toc466655721"/>
            <w:r w:rsidRPr="001A2F85">
              <w:rPr>
                <w:rStyle w:val="CaptionLabel"/>
              </w:rPr>
              <w:t>Figure </w:t>
            </w:r>
            <w:r>
              <w:rPr>
                <w:rStyle w:val="CaptionLabel"/>
                <w:noProof/>
              </w:rPr>
              <w:t>10</w:t>
            </w:r>
            <w:r w:rsidRPr="001A2F85">
              <w:rPr>
                <w:rStyle w:val="CaptionLabel"/>
              </w:rPr>
              <w:t>.</w:t>
            </w:r>
            <w:r>
              <w:rPr>
                <w:rStyle w:val="CaptionLabel"/>
                <w:noProof/>
              </w:rPr>
              <w:t>9</w:t>
            </w:r>
            <w:bookmarkEnd w:id="553"/>
            <w:r w:rsidRPr="001A2F85">
              <w:tab/>
              <w:t>Average heppp funding per university by jurisdiction, 2010-2015</w:t>
            </w:r>
            <w:bookmarkEnd w:id="554"/>
            <w:bookmarkEnd w:id="555"/>
            <w:bookmarkEnd w:id="556"/>
          </w:p>
        </w:tc>
      </w:tr>
      <w:tr w:rsidR="00090683" w:rsidRPr="001A2F85" w14:paraId="0E6A6D5B" w14:textId="77777777" w:rsidTr="000B7E9A">
        <w:trPr>
          <w:cantSplit/>
          <w:trHeight w:hRule="exact" w:val="380"/>
        </w:trPr>
        <w:tc>
          <w:tcPr>
            <w:tcW w:w="8168" w:type="dxa"/>
            <w:tcBorders>
              <w:bottom w:val="single" w:sz="4" w:space="0" w:color="auto"/>
            </w:tcBorders>
          </w:tcPr>
          <w:p w14:paraId="61EE4F70"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704832" behindDoc="0" locked="1" layoutInCell="1" allowOverlap="1" wp14:anchorId="476A61FE" wp14:editId="6C77CAC0">
                      <wp:simplePos x="0" y="0"/>
                      <wp:positionH relativeFrom="rightMargin">
                        <wp:posOffset>-772795</wp:posOffset>
                      </wp:positionH>
                      <wp:positionV relativeFrom="page">
                        <wp:posOffset>0</wp:posOffset>
                      </wp:positionV>
                      <wp:extent cx="436880" cy="213360"/>
                      <wp:effectExtent l="0" t="0" r="1270" b="0"/>
                      <wp:wrapNone/>
                      <wp:docPr id="74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42D383" id="Freeform 5" o:spid="_x0000_s1026" style="position:absolute;margin-left:-60.85pt;margin-top:0;width:34.4pt;height:16.8pt;z-index:251704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HQyVC1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16A6E81B"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23F20497" w14:textId="77777777" w:rsidR="00090683" w:rsidRPr="001A2F85" w:rsidRDefault="00090683" w:rsidP="000B7E9A">
            <w:pPr>
              <w:pStyle w:val="Figure"/>
            </w:pPr>
            <w:r>
              <w:rPr>
                <w:noProof/>
                <w:lang w:eastAsia="en-AU"/>
              </w:rPr>
              <w:drawing>
                <wp:inline distT="0" distB="0" distL="0" distR="0" wp14:anchorId="0943B49F" wp14:editId="4AAA1E10">
                  <wp:extent cx="5191125" cy="2162175"/>
                  <wp:effectExtent l="0" t="0" r="0" b="0"/>
                  <wp:docPr id="76"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91125" cy="2162175"/>
                          </a:xfrm>
                          <a:prstGeom prst="rect">
                            <a:avLst/>
                          </a:prstGeom>
                          <a:noFill/>
                          <a:ln>
                            <a:noFill/>
                          </a:ln>
                        </pic:spPr>
                      </pic:pic>
                    </a:graphicData>
                  </a:graphic>
                </wp:inline>
              </w:drawing>
            </w:r>
          </w:p>
        </w:tc>
      </w:tr>
      <w:tr w:rsidR="00090683" w:rsidRPr="001A2F85" w14:paraId="05B8FA42"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1C22FFB8" w14:textId="77777777" w:rsidR="00090683" w:rsidRPr="001A2F85" w:rsidRDefault="00090683" w:rsidP="000B7E9A">
            <w:pPr>
              <w:pStyle w:val="Source"/>
            </w:pPr>
            <w:r w:rsidRPr="001A2F85">
              <w:t>Source: HEPPP finance data</w:t>
            </w:r>
          </w:p>
        </w:tc>
      </w:tr>
      <w:tr w:rsidR="00090683" w:rsidRPr="001A2F85" w14:paraId="609CC38B" w14:textId="77777777" w:rsidTr="000B7E9A">
        <w:trPr>
          <w:trHeight w:hRule="exact" w:val="160"/>
        </w:trPr>
        <w:tc>
          <w:tcPr>
            <w:tcW w:w="8168" w:type="dxa"/>
            <w:tcBorders>
              <w:top w:val="single" w:sz="4" w:space="0" w:color="auto"/>
            </w:tcBorders>
          </w:tcPr>
          <w:p w14:paraId="2465633C" w14:textId="77777777" w:rsidR="00090683" w:rsidRPr="001A2F85" w:rsidRDefault="00090683" w:rsidP="000B7E9A">
            <w:pPr>
              <w:pStyle w:val="spacertbl"/>
            </w:pPr>
          </w:p>
        </w:tc>
      </w:tr>
    </w:tbl>
    <w:p w14:paraId="7906A806" w14:textId="77777777" w:rsidR="00090683" w:rsidRPr="001A2F85" w:rsidRDefault="00090683" w:rsidP="00090683">
      <w:pPr>
        <w:pStyle w:val="Heading2"/>
      </w:pPr>
      <w:bookmarkStart w:id="557" w:name="_Toc464551907"/>
      <w:bookmarkStart w:id="558" w:name="_Toc466657160"/>
      <w:r w:rsidRPr="001A2F85">
        <w:t xml:space="preserve">HEPPP </w:t>
      </w:r>
      <w:bookmarkEnd w:id="545"/>
      <w:r w:rsidRPr="001A2F85">
        <w:t>funding levels, administrative costs and leveraging of other funding</w:t>
      </w:r>
      <w:bookmarkEnd w:id="557"/>
      <w:bookmarkEnd w:id="558"/>
    </w:p>
    <w:p w14:paraId="0F68EA0A" w14:textId="77777777" w:rsidR="00090683" w:rsidRPr="001A2F85" w:rsidRDefault="00090683" w:rsidP="00090683">
      <w:pPr>
        <w:pStyle w:val="BodyText"/>
      </w:pPr>
      <w:r w:rsidRPr="001A2F85">
        <w:t>This section examines the suitability of the current and projected HEPPP funding level, administration costs of the program, and the extent to which HEPPP is leveraging other sources of funds.</w:t>
      </w:r>
    </w:p>
    <w:p w14:paraId="46E73ED9" w14:textId="77777777" w:rsidR="00090683" w:rsidRPr="001A2F85" w:rsidRDefault="00090683" w:rsidP="00090683">
      <w:pPr>
        <w:pStyle w:val="Heading3"/>
      </w:pPr>
      <w:r w:rsidRPr="001A2F85">
        <w:t>HEPPP funding levels relative to key review recommendations</w:t>
      </w:r>
    </w:p>
    <w:p w14:paraId="3062F408" w14:textId="77777777" w:rsidR="00090683" w:rsidRPr="001A2F85" w:rsidRDefault="00090683" w:rsidP="00090683">
      <w:pPr>
        <w:pStyle w:val="BodyText"/>
        <w:keepNext/>
      </w:pPr>
      <w:r w:rsidRPr="001A2F85">
        <w:t>The Bradley Review, which provided the impetus for the establishment of the HEPPP, recommended:</w:t>
      </w:r>
    </w:p>
    <w:p w14:paraId="5F38B1A5" w14:textId="77777777" w:rsidR="00090683" w:rsidRPr="001A2F85" w:rsidRDefault="00090683" w:rsidP="00090683">
      <w:pPr>
        <w:pStyle w:val="Quote"/>
      </w:pPr>
      <w:r w:rsidRPr="001A2F85">
        <w:t>That the Australian Government increase the funding for the access and participation of under-represented groups of students to a level equivalent to 4 per cent of the total grants for teaching. This would be allocated through a new program for outreach activities and a loading paid to institutions enrolling students from low socio-economic backgrounds. Funding for the Disability Support Program would be increased to $20 million per year.</w:t>
      </w:r>
    </w:p>
    <w:p w14:paraId="1D03DF82" w14:textId="77777777" w:rsidR="00090683" w:rsidRPr="001A2F85" w:rsidRDefault="00090683" w:rsidP="00090683">
      <w:pPr>
        <w:pStyle w:val="QuoteSource"/>
      </w:pPr>
      <w:r w:rsidRPr="001A2F85">
        <w:t>The Bradley Review 2008</w:t>
      </w:r>
      <w:r>
        <w:t>,</w:t>
      </w:r>
      <w:r w:rsidRPr="001A2F85">
        <w:t xml:space="preserve"> Recommendation 31</w:t>
      </w:r>
    </w:p>
    <w:p w14:paraId="38A24C87" w14:textId="77777777" w:rsidR="00090683" w:rsidRPr="001A2F85" w:rsidRDefault="00090683" w:rsidP="00090683">
      <w:pPr>
        <w:pStyle w:val="BodyText"/>
      </w:pPr>
      <w:r w:rsidRPr="001A2F85">
        <w:t xml:space="preserve">A number of written submissions to the review </w:t>
      </w:r>
      <w:r>
        <w:t>(for example, IRU (Submission 96), UA (Submission 79) and Go8 (Submission 109)), noted</w:t>
      </w:r>
      <w:r w:rsidRPr="001A2F85">
        <w:t xml:space="preserve"> that total HEPPP funding was below the recommended level set out in the Bradley Review</w:t>
      </w:r>
      <w:r>
        <w:t xml:space="preserve">. </w:t>
      </w:r>
      <w:r w:rsidRPr="00B32432">
        <w:t xml:space="preserve">When HEPPP was introduced </w:t>
      </w:r>
      <w:r>
        <w:t>the program funding goal was 2 per cent of teaching and learning</w:t>
      </w:r>
      <w:r w:rsidRPr="00B32432">
        <w:t xml:space="preserve"> funding, </w:t>
      </w:r>
      <w:r>
        <w:t>increasing to 4 per cent by 2012-</w:t>
      </w:r>
      <w:r w:rsidRPr="00B32432">
        <w:t>13</w:t>
      </w:r>
      <w:r>
        <w:t xml:space="preserve"> (UA, Submission 79). HEPPP funding </w:t>
      </w:r>
      <w:r w:rsidRPr="001A2F85">
        <w:t xml:space="preserve">for 2010 to </w:t>
      </w:r>
      <w:r>
        <w:t xml:space="preserve">2013 fell below this trajectory and did not reach the 4 per cent </w:t>
      </w:r>
      <w:r w:rsidRPr="001A2F85">
        <w:t xml:space="preserve">Bradley Review recommendation </w:t>
      </w:r>
      <w:r>
        <w:t>in 2014 (</w:t>
      </w:r>
      <w:r w:rsidRPr="00AD49C8">
        <w:t>Figure 10.10</w:t>
      </w:r>
      <w:r>
        <w:t>).</w:t>
      </w:r>
      <w:r>
        <w:rPr>
          <w:rStyle w:val="FootnoteReference"/>
        </w:rPr>
        <w:footnoteReference w:id="48"/>
      </w:r>
      <w:r>
        <w:t xml:space="preserve"> In 2014, HEPPP funding was equal to 2.7 per cent of teaching and learning</w:t>
      </w:r>
      <w:r w:rsidRPr="00B32432">
        <w:t xml:space="preserve"> </w:t>
      </w:r>
      <w:r>
        <w:t>funding.</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5BA38C0F" w14:textId="77777777" w:rsidTr="000B7E9A">
        <w:trPr>
          <w:cantSplit/>
          <w:trHeight w:hRule="exact" w:val="160"/>
        </w:trPr>
        <w:tc>
          <w:tcPr>
            <w:tcW w:w="8168" w:type="dxa"/>
            <w:tcBorders>
              <w:bottom w:val="single" w:sz="4" w:space="0" w:color="auto"/>
            </w:tcBorders>
          </w:tcPr>
          <w:p w14:paraId="455EA9C4" w14:textId="77777777" w:rsidR="00090683" w:rsidRPr="001A2F85" w:rsidRDefault="00090683" w:rsidP="000B7E9A">
            <w:pPr>
              <w:pStyle w:val="spacer"/>
            </w:pPr>
          </w:p>
        </w:tc>
      </w:tr>
      <w:tr w:rsidR="00090683" w:rsidRPr="001A2F85" w14:paraId="542B7CC0" w14:textId="77777777" w:rsidTr="000B7E9A">
        <w:trPr>
          <w:cantSplit/>
        </w:trPr>
        <w:tc>
          <w:tcPr>
            <w:tcW w:w="8168" w:type="dxa"/>
            <w:tcBorders>
              <w:top w:val="single" w:sz="4" w:space="0" w:color="auto"/>
            </w:tcBorders>
            <w:tcMar>
              <w:left w:w="0" w:type="dxa"/>
            </w:tcMar>
          </w:tcPr>
          <w:p w14:paraId="2C40FCB5" w14:textId="77777777" w:rsidR="00090683" w:rsidRPr="001A2F85" w:rsidRDefault="00090683" w:rsidP="000B7E9A">
            <w:pPr>
              <w:pStyle w:val="Caption"/>
            </w:pPr>
            <w:bookmarkStart w:id="559" w:name="_Ref462312900"/>
            <w:bookmarkStart w:id="560" w:name="_Toc462246064"/>
            <w:bookmarkStart w:id="561" w:name="_Toc464552001"/>
            <w:bookmarkStart w:id="562" w:name="_Toc466655722"/>
            <w:r w:rsidRPr="001A2F85">
              <w:rPr>
                <w:rStyle w:val="CaptionLabel"/>
              </w:rPr>
              <w:t>Figure </w:t>
            </w:r>
            <w:r>
              <w:rPr>
                <w:rStyle w:val="CaptionLabel"/>
                <w:noProof/>
              </w:rPr>
              <w:t>10</w:t>
            </w:r>
            <w:r w:rsidRPr="001A2F85">
              <w:rPr>
                <w:rStyle w:val="CaptionLabel"/>
              </w:rPr>
              <w:t>.</w:t>
            </w:r>
            <w:r>
              <w:rPr>
                <w:rStyle w:val="CaptionLabel"/>
                <w:noProof/>
              </w:rPr>
              <w:t>10</w:t>
            </w:r>
            <w:bookmarkEnd w:id="559"/>
            <w:r w:rsidRPr="001A2F85">
              <w:tab/>
              <w:t>Total HEPPP funding compared to the Bradley review recommendations</w:t>
            </w:r>
            <w:bookmarkEnd w:id="560"/>
            <w:bookmarkEnd w:id="561"/>
            <w:bookmarkEnd w:id="562"/>
          </w:p>
        </w:tc>
      </w:tr>
      <w:tr w:rsidR="00090683" w:rsidRPr="001A2F85" w14:paraId="5D94DA1E" w14:textId="77777777" w:rsidTr="000B7E9A">
        <w:trPr>
          <w:cantSplit/>
          <w:trHeight w:hRule="exact" w:val="380"/>
        </w:trPr>
        <w:tc>
          <w:tcPr>
            <w:tcW w:w="8168" w:type="dxa"/>
            <w:tcBorders>
              <w:bottom w:val="single" w:sz="4" w:space="0" w:color="auto"/>
            </w:tcBorders>
          </w:tcPr>
          <w:p w14:paraId="235DB927"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701760" behindDoc="0" locked="1" layoutInCell="1" allowOverlap="1" wp14:anchorId="70F89A43" wp14:editId="7B501E75">
                      <wp:simplePos x="0" y="0"/>
                      <wp:positionH relativeFrom="rightMargin">
                        <wp:posOffset>-772795</wp:posOffset>
                      </wp:positionH>
                      <wp:positionV relativeFrom="page">
                        <wp:posOffset>0</wp:posOffset>
                      </wp:positionV>
                      <wp:extent cx="436880" cy="213360"/>
                      <wp:effectExtent l="0" t="0" r="1270" b="0"/>
                      <wp:wrapNone/>
                      <wp:docPr id="14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4A148" id="Freeform 5" o:spid="_x0000_s1026" style="position:absolute;margin-left:-60.85pt;margin-top:0;width:34.4pt;height:16.8pt;z-index:251701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kjfQ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DjmPkj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0B794241"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32809FA5" w14:textId="77777777" w:rsidR="00090683" w:rsidRPr="001A2F85" w:rsidRDefault="00090683" w:rsidP="000B7E9A">
            <w:pPr>
              <w:pStyle w:val="Figure"/>
            </w:pPr>
            <w:r>
              <w:t xml:space="preserve"> </w:t>
            </w:r>
            <w:r w:rsidRPr="00C86348">
              <w:rPr>
                <w:noProof/>
                <w:lang w:eastAsia="en-AU"/>
              </w:rPr>
              <w:drawing>
                <wp:inline distT="0" distB="0" distL="0" distR="0" wp14:anchorId="7DFF5359" wp14:editId="4BAD55C1">
                  <wp:extent cx="5160645" cy="2226310"/>
                  <wp:effectExtent l="0" t="0" r="1905" b="254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60645" cy="2226310"/>
                          </a:xfrm>
                          <a:prstGeom prst="rect">
                            <a:avLst/>
                          </a:prstGeom>
                          <a:noFill/>
                          <a:ln>
                            <a:noFill/>
                          </a:ln>
                        </pic:spPr>
                      </pic:pic>
                    </a:graphicData>
                  </a:graphic>
                </wp:inline>
              </w:drawing>
            </w:r>
          </w:p>
        </w:tc>
      </w:tr>
      <w:tr w:rsidR="00090683" w:rsidRPr="001A2F85" w14:paraId="3A8255F3"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45EF6BC3" w14:textId="77777777" w:rsidR="00090683" w:rsidRPr="001A2F85" w:rsidRDefault="00090683" w:rsidP="000B7E9A">
            <w:pPr>
              <w:pStyle w:val="Note"/>
            </w:pPr>
            <w:r w:rsidRPr="001A2F85">
              <w:t>Note: The Bradley Review recommend</w:t>
            </w:r>
            <w:r>
              <w:t xml:space="preserve">ation </w:t>
            </w:r>
            <w:r w:rsidRPr="001A2F85">
              <w:t xml:space="preserve">funding </w:t>
            </w:r>
            <w:r>
              <w:t xml:space="preserve">trajectory is based on </w:t>
            </w:r>
            <w:r w:rsidRPr="001A2F85">
              <w:t xml:space="preserve">2 per cent </w:t>
            </w:r>
            <w:r>
              <w:t>of the teaching and learning</w:t>
            </w:r>
            <w:r w:rsidRPr="00B32432">
              <w:t xml:space="preserve"> </w:t>
            </w:r>
            <w:r>
              <w:t xml:space="preserve">in </w:t>
            </w:r>
            <w:r w:rsidRPr="001A2F85">
              <w:t>2010</w:t>
            </w:r>
            <w:r>
              <w:t xml:space="preserve"> rising linearly to </w:t>
            </w:r>
            <w:r w:rsidRPr="001A2F85">
              <w:t>4 per cent</w:t>
            </w:r>
            <w:r>
              <w:t xml:space="preserve"> in 2013</w:t>
            </w:r>
            <w:r w:rsidRPr="001A2F85">
              <w:t>.</w:t>
            </w:r>
            <w:r>
              <w:t xml:space="preserve"> It is not possible to calculate the funding level required to meet the 4 per cent recommendation for </w:t>
            </w:r>
            <w:r w:rsidRPr="001A2F85">
              <w:t xml:space="preserve">2015 and 2016 </w:t>
            </w:r>
            <w:r>
              <w:t xml:space="preserve">as </w:t>
            </w:r>
            <w:r w:rsidRPr="001A2F85">
              <w:t xml:space="preserve">Higher Education Finance </w:t>
            </w:r>
            <w:r>
              <w:t xml:space="preserve">data, </w:t>
            </w:r>
            <w:r w:rsidRPr="001A2F85">
              <w:t xml:space="preserve">which reports </w:t>
            </w:r>
            <w:r>
              <w:t>the teaching and learning</w:t>
            </w:r>
            <w:r w:rsidRPr="00B32432">
              <w:t xml:space="preserve"> </w:t>
            </w:r>
            <w:r>
              <w:t>funding levels, is not yet available for 2015 and 2016</w:t>
            </w:r>
            <w:r w:rsidRPr="001A2F85">
              <w:t>.</w:t>
            </w:r>
          </w:p>
          <w:p w14:paraId="0D0601DE" w14:textId="77777777" w:rsidR="00090683" w:rsidRPr="001A2F85" w:rsidRDefault="00090683" w:rsidP="000B7E9A">
            <w:pPr>
              <w:pStyle w:val="Source"/>
            </w:pPr>
            <w:r w:rsidRPr="001A2F85">
              <w:t>Source: HEPPP finance data, Australian Government budget</w:t>
            </w:r>
            <w:r>
              <w:t>, higher education finance data</w:t>
            </w:r>
          </w:p>
        </w:tc>
      </w:tr>
      <w:tr w:rsidR="00090683" w:rsidRPr="001A2F85" w14:paraId="5EE88FCB" w14:textId="77777777" w:rsidTr="000B7E9A">
        <w:trPr>
          <w:trHeight w:hRule="exact" w:val="160"/>
        </w:trPr>
        <w:tc>
          <w:tcPr>
            <w:tcW w:w="8168" w:type="dxa"/>
            <w:tcBorders>
              <w:top w:val="single" w:sz="4" w:space="0" w:color="auto"/>
            </w:tcBorders>
          </w:tcPr>
          <w:p w14:paraId="35281CE0" w14:textId="77777777" w:rsidR="00090683" w:rsidRPr="001A2F85" w:rsidRDefault="00090683" w:rsidP="000B7E9A">
            <w:pPr>
              <w:pStyle w:val="spacertbl"/>
            </w:pPr>
          </w:p>
        </w:tc>
      </w:tr>
    </w:tbl>
    <w:p w14:paraId="1AE15775" w14:textId="77777777" w:rsidR="00090683" w:rsidRPr="001A2F85" w:rsidRDefault="00090683" w:rsidP="00090683">
      <w:pPr>
        <w:pStyle w:val="BodyText"/>
      </w:pPr>
      <w:r>
        <w:t>Some interviewees</w:t>
      </w:r>
      <w:r w:rsidRPr="001A2F85">
        <w:t xml:space="preserve"> pointed to the 2011 Australian Government commissioned review of universities base funding as an indication of a suitable level of HEPPP funding. The ‘Higher Education Base Funding Review’ recommended:</w:t>
      </w:r>
    </w:p>
    <w:p w14:paraId="51E4EEE2" w14:textId="77777777" w:rsidR="00090683" w:rsidRPr="001A2F85" w:rsidRDefault="00090683" w:rsidP="00090683">
      <w:pPr>
        <w:pStyle w:val="Quote"/>
      </w:pPr>
      <w:r w:rsidRPr="001A2F85">
        <w:t>The participation component of the Higher Education Participation and Partnerships Program (HEPPP) should be uncapped and paid on a demand driven basis to universities as a low socioeconomic status (SES) loading on base funding. In order to maintain the value at full implementation of the HEPPP in 2012 of about $1,000 per low SES student equivalent full-time student load, the funding allocation should be increased.</w:t>
      </w:r>
    </w:p>
    <w:p w14:paraId="56AD2399" w14:textId="77777777" w:rsidR="00090683" w:rsidRPr="001A2F85" w:rsidRDefault="00090683" w:rsidP="00090683">
      <w:pPr>
        <w:pStyle w:val="QuoteSource"/>
      </w:pPr>
      <w:r w:rsidRPr="001A2F85">
        <w:t>Higher Education Base funding Review, Recommendation 27</w:t>
      </w:r>
    </w:p>
    <w:p w14:paraId="4B3B9A12" w14:textId="77777777" w:rsidR="00090683" w:rsidRDefault="00090683" w:rsidP="00090683">
      <w:pPr>
        <w:pStyle w:val="BodyText"/>
      </w:pPr>
      <w:r w:rsidRPr="001A2F85">
        <w:t>The $1,000 per low SES student equivalent full-time student load (EFTSL) is based on feedback</w:t>
      </w:r>
      <w:r>
        <w:t xml:space="preserve"> from universities</w:t>
      </w:r>
      <w:r w:rsidRPr="001A2F85">
        <w:t xml:space="preserve"> on the additional cost of supporting a low SES student the Base Funding Review received from universities.</w:t>
      </w:r>
      <w:r>
        <w:rPr>
          <w:rStyle w:val="FootnoteReference"/>
        </w:rPr>
        <w:footnoteReference w:id="49"/>
      </w:r>
      <w:r w:rsidRPr="001A2F85">
        <w:t xml:space="preserve"> </w:t>
      </w:r>
      <w:r>
        <w:t>U</w:t>
      </w:r>
      <w:r w:rsidRPr="00212233">
        <w:t>niversities</w:t>
      </w:r>
      <w:r>
        <w:t xml:space="preserve"> reported to t</w:t>
      </w:r>
      <w:r w:rsidRPr="00212233">
        <w:t>he Base Funding Review that ‘low SES students are more expensive to teach an</w:t>
      </w:r>
      <w:r>
        <w:t xml:space="preserve">d support than other students’ and the </w:t>
      </w:r>
      <w:r w:rsidRPr="00212233">
        <w:t>Base Funding Review argues that ‘if low SES students are to achieve outcomes comparable to other students and they are associated with higher costs of teaching and support, these costs should be recognised by government and reflected appropriately in the funding model.’</w:t>
      </w:r>
    </w:p>
    <w:p w14:paraId="4892772F" w14:textId="77777777" w:rsidR="00090683" w:rsidRPr="001A2F85" w:rsidRDefault="00090683" w:rsidP="00090683">
      <w:pPr>
        <w:pStyle w:val="BodyText"/>
      </w:pPr>
      <w:r>
        <w:t xml:space="preserve">The Base Funding Review estimate is from 2011, which is largely prior to the DDS, and universities may have different estimates for the additional cost of supporting a low SES student in 2016. Adjusting only for inflation, $1,000 in 2016 dollars equates to </w:t>
      </w:r>
      <w:r w:rsidRPr="00C67CF1">
        <w:t>$1,090</w:t>
      </w:r>
      <w:r>
        <w:t xml:space="preserve"> per low SES student.</w:t>
      </w:r>
    </w:p>
    <w:p w14:paraId="35F32D54" w14:textId="77777777" w:rsidR="00090683" w:rsidRPr="001A2F85" w:rsidRDefault="00090683" w:rsidP="00090683">
      <w:r w:rsidRPr="006F1280">
        <w:t>HEPPP Participation funding exceeded the Base Funding Review recommended level in 2012-2014, before dropping below it in 2015 (</w:t>
      </w:r>
      <w:r w:rsidRPr="00AD49C8">
        <w:t>Figure 10.11</w:t>
      </w:r>
      <w:r w:rsidRPr="006F1280">
        <w:t xml:space="preserve"> shows the average HEPPP Participation funding per low SES student EFTSL and an estimate of the Base Funding Review funding level for each year). Based on the forward estimates, funding will continue to be below the Base Funding Review recommendation over the coming years. </w:t>
      </w:r>
      <w:r w:rsidRPr="001A2F85">
        <w:t xml:space="preserve">The difference between </w:t>
      </w:r>
      <w:r>
        <w:t>the forward estimates of HEPPP</w:t>
      </w:r>
      <w:r w:rsidRPr="001A2F85">
        <w:t xml:space="preserve"> funding and </w:t>
      </w:r>
      <w:r>
        <w:t xml:space="preserve">the </w:t>
      </w:r>
      <w:r w:rsidRPr="001A2F85">
        <w:t xml:space="preserve">Base Funding Review recommended level grows to an estimated $166 million by 2020.  </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4"/>
      </w:tblGrid>
      <w:tr w:rsidR="00090683" w:rsidRPr="001A2F85" w14:paraId="2D1A6808" w14:textId="77777777" w:rsidTr="000B7E9A">
        <w:trPr>
          <w:cantSplit/>
          <w:trHeight w:hRule="exact" w:val="160"/>
        </w:trPr>
        <w:tc>
          <w:tcPr>
            <w:tcW w:w="10994" w:type="dxa"/>
            <w:tcBorders>
              <w:bottom w:val="single" w:sz="4" w:space="0" w:color="auto"/>
            </w:tcBorders>
          </w:tcPr>
          <w:p w14:paraId="4D1EAE88" w14:textId="77777777" w:rsidR="00090683" w:rsidRPr="001A2F85" w:rsidRDefault="00090683" w:rsidP="000B7E9A">
            <w:pPr>
              <w:pStyle w:val="spacer"/>
            </w:pPr>
          </w:p>
        </w:tc>
      </w:tr>
      <w:tr w:rsidR="00090683" w:rsidRPr="001A2F85" w14:paraId="025F19CB" w14:textId="77777777" w:rsidTr="000B7E9A">
        <w:trPr>
          <w:cantSplit/>
        </w:trPr>
        <w:tc>
          <w:tcPr>
            <w:tcW w:w="10994" w:type="dxa"/>
            <w:tcBorders>
              <w:top w:val="single" w:sz="4" w:space="0" w:color="auto"/>
            </w:tcBorders>
            <w:tcMar>
              <w:left w:w="0" w:type="dxa"/>
            </w:tcMar>
          </w:tcPr>
          <w:p w14:paraId="6915BF77" w14:textId="77777777" w:rsidR="00090683" w:rsidRPr="001A2F85" w:rsidRDefault="00090683" w:rsidP="000B7E9A">
            <w:pPr>
              <w:pStyle w:val="Caption"/>
            </w:pPr>
            <w:bookmarkStart w:id="563" w:name="_Ref462931956"/>
            <w:bookmarkStart w:id="564" w:name="_Toc464552002"/>
            <w:bookmarkStart w:id="565" w:name="_Toc466655723"/>
            <w:r w:rsidRPr="001A2F85">
              <w:rPr>
                <w:rStyle w:val="CaptionLabel"/>
              </w:rPr>
              <w:t>Figure </w:t>
            </w:r>
            <w:r>
              <w:rPr>
                <w:rStyle w:val="CaptionLabel"/>
                <w:noProof/>
              </w:rPr>
              <w:t>10</w:t>
            </w:r>
            <w:r w:rsidRPr="001A2F85">
              <w:rPr>
                <w:rStyle w:val="CaptionLabel"/>
              </w:rPr>
              <w:t>.</w:t>
            </w:r>
            <w:r>
              <w:rPr>
                <w:rStyle w:val="CaptionLabel"/>
                <w:noProof/>
              </w:rPr>
              <w:t>11</w:t>
            </w:r>
            <w:bookmarkEnd w:id="563"/>
            <w:r w:rsidRPr="001A2F85">
              <w:tab/>
              <w:t>HEPPP Participation funding per low SES EFTSL 2010 to 2020</w:t>
            </w:r>
            <w:bookmarkEnd w:id="564"/>
            <w:bookmarkEnd w:id="565"/>
          </w:p>
        </w:tc>
      </w:tr>
      <w:tr w:rsidR="00090683" w:rsidRPr="001A2F85" w14:paraId="1693A1C0" w14:textId="77777777" w:rsidTr="000B7E9A">
        <w:trPr>
          <w:cantSplit/>
          <w:trHeight w:hRule="exact" w:val="380"/>
        </w:trPr>
        <w:tc>
          <w:tcPr>
            <w:tcW w:w="10994" w:type="dxa"/>
            <w:tcBorders>
              <w:bottom w:val="single" w:sz="4" w:space="0" w:color="auto"/>
            </w:tcBorders>
          </w:tcPr>
          <w:p w14:paraId="156D20E5"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702784" behindDoc="0" locked="1" layoutInCell="1" allowOverlap="1" wp14:anchorId="354FF873" wp14:editId="53BFB2A4">
                      <wp:simplePos x="0" y="0"/>
                      <wp:positionH relativeFrom="rightMargin">
                        <wp:posOffset>-772795</wp:posOffset>
                      </wp:positionH>
                      <wp:positionV relativeFrom="page">
                        <wp:posOffset>0</wp:posOffset>
                      </wp:positionV>
                      <wp:extent cx="436880" cy="213360"/>
                      <wp:effectExtent l="0" t="0" r="1270" b="0"/>
                      <wp:wrapNone/>
                      <wp:docPr id="14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353735" id="Freeform 5" o:spid="_x0000_s1026" style="position:absolute;margin-left:-60.85pt;margin-top:0;width:34.4pt;height:16.8pt;z-index:251702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Jfi4x5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79A06CB2" w14:textId="77777777" w:rsidTr="000B7E9A">
        <w:trPr>
          <w:cantSplit/>
        </w:trPr>
        <w:tc>
          <w:tcPr>
            <w:tcW w:w="10994" w:type="dxa"/>
            <w:tcBorders>
              <w:top w:val="single" w:sz="4" w:space="0" w:color="auto"/>
              <w:bottom w:val="single" w:sz="4" w:space="0" w:color="auto"/>
            </w:tcBorders>
            <w:tcMar>
              <w:top w:w="10" w:type="dxa"/>
              <w:bottom w:w="10" w:type="dxa"/>
              <w:right w:w="0" w:type="dxa"/>
            </w:tcMar>
          </w:tcPr>
          <w:p w14:paraId="38B101D7" w14:textId="77777777" w:rsidR="00090683" w:rsidRPr="001A2F85" w:rsidRDefault="00090683" w:rsidP="000B7E9A">
            <w:pPr>
              <w:pStyle w:val="Figure"/>
            </w:pPr>
            <w:r>
              <w:rPr>
                <w:noProof/>
                <w:lang w:eastAsia="en-AU"/>
              </w:rPr>
              <w:drawing>
                <wp:inline distT="0" distB="0" distL="0" distR="0" wp14:anchorId="573A98CA" wp14:editId="7C351C22">
                  <wp:extent cx="6724650" cy="2886075"/>
                  <wp:effectExtent l="0" t="0" r="0" b="0"/>
                  <wp:docPr id="78"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24650" cy="2886075"/>
                          </a:xfrm>
                          <a:prstGeom prst="rect">
                            <a:avLst/>
                          </a:prstGeom>
                          <a:noFill/>
                          <a:ln>
                            <a:noFill/>
                          </a:ln>
                        </pic:spPr>
                      </pic:pic>
                    </a:graphicData>
                  </a:graphic>
                </wp:inline>
              </w:drawing>
            </w:r>
          </w:p>
        </w:tc>
      </w:tr>
      <w:tr w:rsidR="00090683" w:rsidRPr="001A2F85" w14:paraId="7381103E" w14:textId="77777777" w:rsidTr="000B7E9A">
        <w:trPr>
          <w:cantSplit/>
        </w:trPr>
        <w:tc>
          <w:tcPr>
            <w:tcW w:w="10994" w:type="dxa"/>
            <w:tcBorders>
              <w:top w:val="single" w:sz="4" w:space="0" w:color="auto"/>
              <w:bottom w:val="single" w:sz="4" w:space="0" w:color="auto"/>
            </w:tcBorders>
            <w:tcMar>
              <w:top w:w="12" w:type="dxa"/>
              <w:left w:w="0" w:type="dxa"/>
              <w:bottom w:w="113" w:type="dxa"/>
            </w:tcMar>
          </w:tcPr>
          <w:p w14:paraId="1A76CF78" w14:textId="77777777" w:rsidR="00090683" w:rsidRPr="001A2F85" w:rsidRDefault="00090683" w:rsidP="000B7E9A">
            <w:pPr>
              <w:pStyle w:val="Note"/>
            </w:pPr>
            <w:r w:rsidRPr="001A2F85">
              <w:t xml:space="preserve">Note: </w:t>
            </w:r>
            <w:r>
              <w:t xml:space="preserve">Unlike in 2010-2014, in 2015 Participation and Partnership funding was provided as one funding allocation to universities. The 2015 Participation funding amount used in this chart was estimated by applying the ratio of Participation to Partnership funding for 2010-2014 to the 2015 joint component allocation. </w:t>
            </w:r>
            <w:r>
              <w:br/>
            </w:r>
            <w:r w:rsidRPr="001A2F85">
              <w:t>Forward estimates of Participation funding were estimated using the annual change in funding from the Australian Government Budget. Forward estimates of EFTSL were estimated using the average compound annual growth rate from 2010 to 2015 of 5 per cent.</w:t>
            </w:r>
          </w:p>
          <w:p w14:paraId="5B01EA29" w14:textId="77777777" w:rsidR="00090683" w:rsidRPr="001A2F85" w:rsidRDefault="00090683" w:rsidP="000B7E9A">
            <w:pPr>
              <w:pStyle w:val="Source"/>
            </w:pPr>
            <w:r w:rsidRPr="001A2F85">
              <w:t>Source: HEPPP FINANCE DATA</w:t>
            </w:r>
            <w:r>
              <w:t xml:space="preserve">, </w:t>
            </w:r>
            <w:r>
              <w:rPr>
                <w:lang w:val="en-US"/>
              </w:rPr>
              <w:t>Higher Education Student Data Collection</w:t>
            </w:r>
          </w:p>
        </w:tc>
      </w:tr>
      <w:tr w:rsidR="00090683" w:rsidRPr="001A2F85" w14:paraId="26DC8BED" w14:textId="77777777" w:rsidTr="000B7E9A">
        <w:trPr>
          <w:trHeight w:hRule="exact" w:val="160"/>
        </w:trPr>
        <w:tc>
          <w:tcPr>
            <w:tcW w:w="10994" w:type="dxa"/>
            <w:tcBorders>
              <w:top w:val="single" w:sz="4" w:space="0" w:color="auto"/>
            </w:tcBorders>
          </w:tcPr>
          <w:p w14:paraId="39590333" w14:textId="77777777" w:rsidR="00090683" w:rsidRPr="001A2F85" w:rsidRDefault="00090683" w:rsidP="000B7E9A">
            <w:pPr>
              <w:pStyle w:val="spacertbl"/>
            </w:pPr>
          </w:p>
        </w:tc>
      </w:tr>
    </w:tbl>
    <w:p w14:paraId="75F0D91D" w14:textId="77777777" w:rsidR="00090683" w:rsidRPr="001A2F85" w:rsidRDefault="00090683" w:rsidP="00090683">
      <w:pPr>
        <w:pStyle w:val="Heading4"/>
      </w:pPr>
      <w:r w:rsidRPr="001A2F85">
        <w:t>HEPPP administration costs</w:t>
      </w:r>
    </w:p>
    <w:p w14:paraId="33C61B75" w14:textId="77777777" w:rsidR="00090683" w:rsidRPr="001A2F85" w:rsidRDefault="00090683" w:rsidP="00090683">
      <w:pPr>
        <w:pStyle w:val="BodyText"/>
      </w:pPr>
      <w:r w:rsidRPr="001A2F85">
        <w:t>The term ‘administrative costs’ generally refers to the costs not associated with the direct delivery of a service (ACNC 2016). Outside of this general definition, there is no Australian Government, higher education sector or HEPPP defined set of activities that are considered administrative. In part due to lack of consistent definition and measurement, there is little conclusive evidence on university administrative costs (Graves et al</w:t>
      </w:r>
      <w:r>
        <w:t>.</w:t>
      </w:r>
      <w:r w:rsidRPr="001A2F85">
        <w:t xml:space="preserve"> 2013, </w:t>
      </w:r>
      <w:r>
        <w:t xml:space="preserve">The </w:t>
      </w:r>
      <w:r w:rsidRPr="001A2F85">
        <w:t xml:space="preserve">Allen Consulting Group 2008). </w:t>
      </w:r>
    </w:p>
    <w:p w14:paraId="52181CF6" w14:textId="77777777" w:rsidR="00090683" w:rsidRPr="001A2F85" w:rsidRDefault="00090683" w:rsidP="00090683">
      <w:pPr>
        <w:pStyle w:val="BodyText"/>
      </w:pPr>
      <w:r w:rsidRPr="001A2F85">
        <w:t>As universities have not been required to</w:t>
      </w:r>
      <w:r>
        <w:t xml:space="preserve"> report</w:t>
      </w:r>
      <w:r w:rsidRPr="001A2F85">
        <w:t xml:space="preserve"> HEPPP administrative expenditure, the university</w:t>
      </w:r>
      <w:r>
        <w:noBreakHyphen/>
      </w:r>
      <w:r w:rsidRPr="001A2F85">
        <w:t>related administrative costs of the HEPPP have been examined by reviewing university annual reports and classifying those activities not directly associated with the delivery of a HEPPP project</w:t>
      </w:r>
      <w:r>
        <w:t xml:space="preserve"> (or research)</w:t>
      </w:r>
      <w:r w:rsidRPr="001A2F85">
        <w:t xml:space="preserve"> as administrative costs. Such classification should be treated cautiously,</w:t>
      </w:r>
      <w:r>
        <w:t xml:space="preserve"> due to</w:t>
      </w:r>
      <w:r w:rsidRPr="001A2F85">
        <w:t xml:space="preserve"> potential inconsistencies in reporting</w:t>
      </w:r>
      <w:r>
        <w:t>. Furthermore</w:t>
      </w:r>
      <w:r w:rsidRPr="001A2F85">
        <w:t>,</w:t>
      </w:r>
      <w:r w:rsidRPr="001A2F85" w:rsidDel="00A038D1">
        <w:t xml:space="preserve"> </w:t>
      </w:r>
      <w:r>
        <w:t>based on consultations undertaken for this evaluation,</w:t>
      </w:r>
      <w:r w:rsidRPr="001A2F85">
        <w:t xml:space="preserve"> some universities have funded all HEPPP administrative costs through non</w:t>
      </w:r>
      <w:r w:rsidRPr="001A2F85">
        <w:noBreakHyphen/>
        <w:t>HEPPP sources, which could lead to an underestimate of overall program administrative costs.</w:t>
      </w:r>
    </w:p>
    <w:p w14:paraId="021BF1D2" w14:textId="77777777" w:rsidR="00090683" w:rsidRPr="001A2F85" w:rsidRDefault="00090683" w:rsidP="00090683">
      <w:pPr>
        <w:pStyle w:val="BodyText"/>
      </w:pPr>
      <w:r w:rsidRPr="001A2F85">
        <w:t xml:space="preserve">The non-direct HEPPP costs reported in the annual reports are shown in </w:t>
      </w:r>
      <w:r w:rsidRPr="00AD49C8">
        <w:t>Figure 10.12</w:t>
      </w:r>
      <w:r w:rsidRPr="001A2F85">
        <w:t xml:space="preserve"> as a proportion of total HEPPP project budget, by university groupings</w:t>
      </w:r>
      <w:r>
        <w:t>—t</w:t>
      </w:r>
      <w:r w:rsidRPr="001A2F85">
        <w:t xml:space="preserve">he average across all universities is </w:t>
      </w:r>
      <w:r>
        <w:t>2 </w:t>
      </w:r>
      <w:r w:rsidRPr="001A2F85">
        <w:t>per</w:t>
      </w:r>
      <w:r>
        <w:t> </w:t>
      </w:r>
      <w:r w:rsidRPr="001A2F85">
        <w:t xml:space="preserve">cent. This is </w:t>
      </w:r>
      <w:r>
        <w:t>noticeably lower than</w:t>
      </w:r>
      <w:r w:rsidRPr="001A2F85">
        <w:t xml:space="preserve"> the administration costs of the Bridges to Higher Education program (14 per cent) (KPMG 2015) </w:t>
      </w:r>
      <w:r>
        <w:t>a</w:t>
      </w:r>
      <w:r w:rsidRPr="001A2F85">
        <w:t xml:space="preserve">nd is significantly lower than some estimates of </w:t>
      </w:r>
      <w:r>
        <w:t xml:space="preserve">general </w:t>
      </w:r>
      <w:r w:rsidRPr="001A2F85">
        <w:t>university administrative costs (Graves et al</w:t>
      </w:r>
      <w:r>
        <w:t>.</w:t>
      </w:r>
      <w:r w:rsidRPr="001A2F85">
        <w:t xml:space="preserve"> 2013).</w:t>
      </w:r>
      <w:r>
        <w:t xml:space="preserve"> As noted above however, this is likely an underestimation of the administrative costs of the HEPPP.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21A5BB2C" w14:textId="77777777" w:rsidTr="000B7E9A">
        <w:trPr>
          <w:cantSplit/>
          <w:trHeight w:hRule="exact" w:val="160"/>
        </w:trPr>
        <w:tc>
          <w:tcPr>
            <w:tcW w:w="8168" w:type="dxa"/>
            <w:tcBorders>
              <w:bottom w:val="single" w:sz="4" w:space="0" w:color="auto"/>
            </w:tcBorders>
          </w:tcPr>
          <w:p w14:paraId="0518C0B6" w14:textId="77777777" w:rsidR="00090683" w:rsidRPr="001A2F85" w:rsidRDefault="00090683" w:rsidP="000B7E9A">
            <w:pPr>
              <w:pStyle w:val="spacer"/>
            </w:pPr>
          </w:p>
        </w:tc>
      </w:tr>
      <w:tr w:rsidR="00090683" w:rsidRPr="001A2F85" w14:paraId="1A99493F" w14:textId="77777777" w:rsidTr="000B7E9A">
        <w:trPr>
          <w:cantSplit/>
        </w:trPr>
        <w:tc>
          <w:tcPr>
            <w:tcW w:w="8168" w:type="dxa"/>
            <w:tcBorders>
              <w:top w:val="single" w:sz="4" w:space="0" w:color="auto"/>
            </w:tcBorders>
            <w:tcMar>
              <w:left w:w="0" w:type="dxa"/>
            </w:tcMar>
          </w:tcPr>
          <w:p w14:paraId="6E0A422A" w14:textId="77777777" w:rsidR="00090683" w:rsidRPr="001A2F85" w:rsidRDefault="00090683" w:rsidP="000B7E9A">
            <w:pPr>
              <w:pStyle w:val="Caption"/>
            </w:pPr>
            <w:bookmarkStart w:id="566" w:name="_Ref462247140"/>
            <w:bookmarkStart w:id="567" w:name="_Toc462246072"/>
            <w:bookmarkStart w:id="568" w:name="_Toc464552003"/>
            <w:bookmarkStart w:id="569" w:name="_Toc466655724"/>
            <w:r w:rsidRPr="001A2F85">
              <w:rPr>
                <w:rStyle w:val="CaptionLabel"/>
              </w:rPr>
              <w:t>Figure </w:t>
            </w:r>
            <w:r>
              <w:rPr>
                <w:rStyle w:val="CaptionLabel"/>
                <w:noProof/>
              </w:rPr>
              <w:t>10</w:t>
            </w:r>
            <w:r w:rsidRPr="001A2F85">
              <w:rPr>
                <w:rStyle w:val="CaptionLabel"/>
              </w:rPr>
              <w:t>.</w:t>
            </w:r>
            <w:r>
              <w:rPr>
                <w:rStyle w:val="CaptionLabel"/>
                <w:noProof/>
              </w:rPr>
              <w:t>12</w:t>
            </w:r>
            <w:bookmarkEnd w:id="566"/>
            <w:r w:rsidRPr="001A2F85">
              <w:tab/>
              <w:t>Administration costs as a proportion of total HEPPP project budget by university groupings</w:t>
            </w:r>
            <w:bookmarkEnd w:id="567"/>
            <w:bookmarkEnd w:id="568"/>
            <w:bookmarkEnd w:id="569"/>
          </w:p>
        </w:tc>
      </w:tr>
      <w:tr w:rsidR="00090683" w:rsidRPr="001A2F85" w14:paraId="426387F0" w14:textId="77777777" w:rsidTr="000B7E9A">
        <w:trPr>
          <w:cantSplit/>
          <w:trHeight w:hRule="exact" w:val="380"/>
        </w:trPr>
        <w:tc>
          <w:tcPr>
            <w:tcW w:w="8168" w:type="dxa"/>
            <w:tcBorders>
              <w:bottom w:val="single" w:sz="4" w:space="0" w:color="auto"/>
            </w:tcBorders>
          </w:tcPr>
          <w:p w14:paraId="059BBB0D"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6640" behindDoc="0" locked="1" layoutInCell="1" allowOverlap="1" wp14:anchorId="08874C64" wp14:editId="1C854D66">
                      <wp:simplePos x="0" y="0"/>
                      <wp:positionH relativeFrom="rightMargin">
                        <wp:posOffset>-772795</wp:posOffset>
                      </wp:positionH>
                      <wp:positionV relativeFrom="page">
                        <wp:posOffset>0</wp:posOffset>
                      </wp:positionV>
                      <wp:extent cx="436880" cy="213360"/>
                      <wp:effectExtent l="0" t="0" r="1270" b="0"/>
                      <wp:wrapNone/>
                      <wp:docPr id="74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D4D07E" id="Freeform 5" o:spid="_x0000_s1026" style="position:absolute;margin-left:-60.85pt;margin-top:0;width:34.4pt;height:16.8pt;z-index:251696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ROefw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DhVE55/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0C892246"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7F62CE16" w14:textId="77777777" w:rsidR="00090683" w:rsidRPr="001A2F85" w:rsidRDefault="00090683" w:rsidP="000B7E9A">
            <w:pPr>
              <w:pStyle w:val="Figure"/>
            </w:pPr>
            <w:r>
              <w:rPr>
                <w:noProof/>
                <w:lang w:eastAsia="en-AU"/>
              </w:rPr>
              <w:drawing>
                <wp:inline distT="0" distB="0" distL="0" distR="0" wp14:anchorId="58BBF8D1" wp14:editId="40F6FE13">
                  <wp:extent cx="5143500" cy="2190750"/>
                  <wp:effectExtent l="0" t="0" r="0" b="0"/>
                  <wp:docPr id="79"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43500" cy="2190750"/>
                          </a:xfrm>
                          <a:prstGeom prst="rect">
                            <a:avLst/>
                          </a:prstGeom>
                          <a:noFill/>
                          <a:ln>
                            <a:noFill/>
                          </a:ln>
                        </pic:spPr>
                      </pic:pic>
                    </a:graphicData>
                  </a:graphic>
                </wp:inline>
              </w:drawing>
            </w:r>
          </w:p>
        </w:tc>
      </w:tr>
      <w:tr w:rsidR="00090683" w:rsidRPr="001A2F85" w14:paraId="421446C8"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03F489B6" w14:textId="77777777" w:rsidR="00090683" w:rsidRPr="001A2F85" w:rsidRDefault="00090683" w:rsidP="000B7E9A">
            <w:pPr>
              <w:pStyle w:val="Note"/>
            </w:pPr>
            <w:r w:rsidRPr="001A2F85">
              <w:t xml:space="preserve">Note: The chart shows average values of the 2010 to 2015 period. </w:t>
            </w:r>
          </w:p>
          <w:p w14:paraId="5753BA05" w14:textId="77777777" w:rsidR="00090683" w:rsidRPr="001A2F85" w:rsidRDefault="00090683" w:rsidP="000B7E9A">
            <w:pPr>
              <w:pStyle w:val="Source"/>
            </w:pPr>
            <w:r w:rsidRPr="001A2F85">
              <w:t xml:space="preserve">Source: </w:t>
            </w:r>
            <w:r>
              <w:t xml:space="preserve">UNIVERSITY </w:t>
            </w:r>
            <w:r w:rsidRPr="001A2F85">
              <w:t>HEPPP ANNUAL REPORTS</w:t>
            </w:r>
            <w:r>
              <w:t xml:space="preserve"> </w:t>
            </w:r>
          </w:p>
        </w:tc>
      </w:tr>
      <w:tr w:rsidR="00090683" w:rsidRPr="001A2F85" w14:paraId="65CF9833" w14:textId="77777777" w:rsidTr="000B7E9A">
        <w:trPr>
          <w:trHeight w:hRule="exact" w:val="160"/>
        </w:trPr>
        <w:tc>
          <w:tcPr>
            <w:tcW w:w="8168" w:type="dxa"/>
            <w:tcBorders>
              <w:top w:val="single" w:sz="4" w:space="0" w:color="auto"/>
            </w:tcBorders>
          </w:tcPr>
          <w:p w14:paraId="1EEC2EE4" w14:textId="77777777" w:rsidR="00090683" w:rsidRPr="001A2F85" w:rsidRDefault="00090683" w:rsidP="000B7E9A">
            <w:pPr>
              <w:pStyle w:val="spacertbl"/>
            </w:pPr>
          </w:p>
        </w:tc>
      </w:tr>
    </w:tbl>
    <w:p w14:paraId="680EBF48" w14:textId="77777777" w:rsidR="00090683" w:rsidRPr="001A2F85" w:rsidRDefault="00090683" w:rsidP="00090683">
      <w:pPr>
        <w:pStyle w:val="BodyText"/>
      </w:pPr>
      <w:r>
        <w:t>Metropolitan</w:t>
      </w:r>
      <w:r w:rsidRPr="001A2F85">
        <w:t xml:space="preserve"> universities on average spent a larger proportion of the HEPPP project budget on administration activities. </w:t>
      </w:r>
      <w:r>
        <w:t>It is not clear whether this is due to differences in the way the two groups of universities report administration costs in their annual reports or other due to other factors (</w:t>
      </w:r>
      <w:r w:rsidRPr="00AD49C8">
        <w:t>Figure 10.13</w:t>
      </w:r>
      <w:r>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0EE25BAC" w14:textId="77777777" w:rsidTr="000B7E9A">
        <w:trPr>
          <w:cantSplit/>
          <w:trHeight w:hRule="exact" w:val="160"/>
        </w:trPr>
        <w:tc>
          <w:tcPr>
            <w:tcW w:w="8168" w:type="dxa"/>
            <w:tcBorders>
              <w:bottom w:val="single" w:sz="4" w:space="0" w:color="auto"/>
            </w:tcBorders>
          </w:tcPr>
          <w:p w14:paraId="18CD166F" w14:textId="77777777" w:rsidR="00090683" w:rsidRPr="001A2F85" w:rsidRDefault="00090683" w:rsidP="000B7E9A">
            <w:pPr>
              <w:pStyle w:val="spacer"/>
            </w:pPr>
          </w:p>
        </w:tc>
      </w:tr>
      <w:tr w:rsidR="00090683" w:rsidRPr="001A2F85" w14:paraId="5F3B2059" w14:textId="77777777" w:rsidTr="000B7E9A">
        <w:trPr>
          <w:cantSplit/>
        </w:trPr>
        <w:tc>
          <w:tcPr>
            <w:tcW w:w="8168" w:type="dxa"/>
            <w:tcBorders>
              <w:top w:val="single" w:sz="4" w:space="0" w:color="auto"/>
            </w:tcBorders>
            <w:tcMar>
              <w:left w:w="0" w:type="dxa"/>
            </w:tcMar>
          </w:tcPr>
          <w:p w14:paraId="1CE38391" w14:textId="77777777" w:rsidR="00090683" w:rsidRPr="001A2F85" w:rsidRDefault="00090683" w:rsidP="000B7E9A">
            <w:pPr>
              <w:pStyle w:val="Caption"/>
            </w:pPr>
            <w:bookmarkStart w:id="570" w:name="_Ref462247184"/>
            <w:bookmarkStart w:id="571" w:name="_Toc462246073"/>
            <w:bookmarkStart w:id="572" w:name="_Toc464552004"/>
            <w:bookmarkStart w:id="573" w:name="_Toc466655725"/>
            <w:r w:rsidRPr="001A2F85">
              <w:rPr>
                <w:rStyle w:val="CaptionLabel"/>
              </w:rPr>
              <w:t>Figure </w:t>
            </w:r>
            <w:r>
              <w:rPr>
                <w:rStyle w:val="CaptionLabel"/>
                <w:noProof/>
              </w:rPr>
              <w:t>10</w:t>
            </w:r>
            <w:r w:rsidRPr="001A2F85">
              <w:rPr>
                <w:rStyle w:val="CaptionLabel"/>
              </w:rPr>
              <w:t>.</w:t>
            </w:r>
            <w:r>
              <w:rPr>
                <w:rStyle w:val="CaptionLabel"/>
                <w:noProof/>
              </w:rPr>
              <w:t>13</w:t>
            </w:r>
            <w:bookmarkEnd w:id="570"/>
            <w:r w:rsidRPr="001A2F85">
              <w:tab/>
              <w:t>Administration costs as a proportion of Total HEPPP project budget by METROPOLITAN/regional</w:t>
            </w:r>
            <w:bookmarkEnd w:id="571"/>
            <w:bookmarkEnd w:id="572"/>
            <w:bookmarkEnd w:id="573"/>
          </w:p>
        </w:tc>
      </w:tr>
      <w:tr w:rsidR="00090683" w:rsidRPr="001A2F85" w14:paraId="26EA89CF" w14:textId="77777777" w:rsidTr="000B7E9A">
        <w:trPr>
          <w:cantSplit/>
          <w:trHeight w:hRule="exact" w:val="380"/>
        </w:trPr>
        <w:tc>
          <w:tcPr>
            <w:tcW w:w="8168" w:type="dxa"/>
            <w:tcBorders>
              <w:bottom w:val="single" w:sz="4" w:space="0" w:color="auto"/>
            </w:tcBorders>
          </w:tcPr>
          <w:p w14:paraId="7A54EBE4"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7664" behindDoc="0" locked="1" layoutInCell="1" allowOverlap="1" wp14:anchorId="066D1807" wp14:editId="5E7DE555">
                      <wp:simplePos x="0" y="0"/>
                      <wp:positionH relativeFrom="rightMargin">
                        <wp:posOffset>-772795</wp:posOffset>
                      </wp:positionH>
                      <wp:positionV relativeFrom="page">
                        <wp:posOffset>0</wp:posOffset>
                      </wp:positionV>
                      <wp:extent cx="436880" cy="213360"/>
                      <wp:effectExtent l="0" t="0" r="1270" b="0"/>
                      <wp:wrapNone/>
                      <wp:docPr id="74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3B0EF2" id="Freeform 5" o:spid="_x0000_s1026" style="position:absolute;margin-left:-60.85pt;margin-top:0;width:34.4pt;height:16.8pt;z-index:251697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mjfw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EwvCaN/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6507977B"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0EB586F8" w14:textId="77777777" w:rsidR="00090683" w:rsidRPr="001A2F85" w:rsidRDefault="00090683" w:rsidP="000B7E9A">
            <w:pPr>
              <w:pStyle w:val="Figure"/>
            </w:pPr>
            <w:r>
              <w:rPr>
                <w:noProof/>
                <w:lang w:eastAsia="en-AU"/>
              </w:rPr>
              <w:drawing>
                <wp:inline distT="0" distB="0" distL="0" distR="0" wp14:anchorId="79509973" wp14:editId="1ED3E431">
                  <wp:extent cx="5181600" cy="2209800"/>
                  <wp:effectExtent l="0" t="0" r="0" b="0"/>
                  <wp:docPr id="80"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81600" cy="2209800"/>
                          </a:xfrm>
                          <a:prstGeom prst="rect">
                            <a:avLst/>
                          </a:prstGeom>
                          <a:noFill/>
                          <a:ln>
                            <a:noFill/>
                          </a:ln>
                        </pic:spPr>
                      </pic:pic>
                    </a:graphicData>
                  </a:graphic>
                </wp:inline>
              </w:drawing>
            </w:r>
          </w:p>
        </w:tc>
      </w:tr>
      <w:tr w:rsidR="00090683" w:rsidRPr="001A2F85" w14:paraId="2218D5B2"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6F4B3D25" w14:textId="77777777" w:rsidR="00090683" w:rsidRPr="001A2F85" w:rsidRDefault="00090683" w:rsidP="000B7E9A">
            <w:pPr>
              <w:pStyle w:val="Note"/>
            </w:pPr>
            <w:r w:rsidRPr="001A2F85">
              <w:t xml:space="preserve">Note: The chart shows average values of the 2010 to 2015 period. </w:t>
            </w:r>
          </w:p>
          <w:p w14:paraId="3475B120" w14:textId="77777777" w:rsidR="00090683" w:rsidRPr="001A2F85" w:rsidRDefault="00090683" w:rsidP="000B7E9A">
            <w:pPr>
              <w:pStyle w:val="Source"/>
            </w:pPr>
            <w:r w:rsidRPr="001A2F85">
              <w:t xml:space="preserve">Source: </w:t>
            </w:r>
            <w:r>
              <w:t xml:space="preserve">UNIVERSITY </w:t>
            </w:r>
            <w:r w:rsidRPr="001A2F85">
              <w:t>HEPPP ANNUAL REPORTS</w:t>
            </w:r>
            <w:r>
              <w:t xml:space="preserve"> </w:t>
            </w:r>
          </w:p>
        </w:tc>
      </w:tr>
      <w:tr w:rsidR="00090683" w:rsidRPr="001A2F85" w14:paraId="5696F14B" w14:textId="77777777" w:rsidTr="000B7E9A">
        <w:trPr>
          <w:trHeight w:hRule="exact" w:val="160"/>
        </w:trPr>
        <w:tc>
          <w:tcPr>
            <w:tcW w:w="8168" w:type="dxa"/>
            <w:tcBorders>
              <w:top w:val="single" w:sz="4" w:space="0" w:color="auto"/>
            </w:tcBorders>
          </w:tcPr>
          <w:p w14:paraId="2DCAC291" w14:textId="77777777" w:rsidR="00090683" w:rsidRPr="001A2F85" w:rsidRDefault="00090683" w:rsidP="000B7E9A">
            <w:pPr>
              <w:pStyle w:val="spacertbl"/>
            </w:pPr>
          </w:p>
        </w:tc>
      </w:tr>
    </w:tbl>
    <w:p w14:paraId="77B3A20F" w14:textId="77777777" w:rsidR="00090683" w:rsidRPr="001A2F85" w:rsidRDefault="00090683" w:rsidP="00090683">
      <w:pPr>
        <w:pStyle w:val="ListBullet"/>
        <w:numPr>
          <w:ilvl w:val="0"/>
          <w:numId w:val="0"/>
        </w:numPr>
      </w:pPr>
      <w:r w:rsidRPr="001A2F85">
        <w:t>The</w:t>
      </w:r>
      <w:r>
        <w:t>re</w:t>
      </w:r>
      <w:r w:rsidRPr="001A2F85">
        <w:t xml:space="preserve"> </w:t>
      </w:r>
      <w:r>
        <w:t>is a weak negative</w:t>
      </w:r>
      <w:r w:rsidRPr="001A2F85">
        <w:t xml:space="preserve"> relationship between proportion of low SES students and proportion of the HEPPP project budget spent on administration</w:t>
      </w:r>
      <w:r>
        <w:t xml:space="preserve"> (</w:t>
      </w:r>
      <w:r w:rsidRPr="00AD49C8">
        <w:t>Figure 10.14</w:t>
      </w:r>
      <w:r>
        <w:t>)</w:t>
      </w:r>
      <w:r w:rsidRPr="001A2F85">
        <w:t xml:space="preserve">. </w:t>
      </w:r>
      <w:r>
        <w:t>A</w:t>
      </w:r>
      <w:r w:rsidRPr="001A2F85">
        <w:t>s the proportion of SES students increases, the proportion of the HEPPP budget spent on administration fall</w:t>
      </w:r>
      <w:r>
        <w:t>s, this may be</w:t>
      </w:r>
      <w:r w:rsidRPr="001A2F85">
        <w:t xml:space="preserve"> due to scale efficiencies for those universities with high concentrations of low SES students, </w:t>
      </w:r>
      <w:r>
        <w:t xml:space="preserve">however </w:t>
      </w:r>
      <w:r w:rsidRPr="001A2F85">
        <w:t xml:space="preserve">there </w:t>
      </w:r>
      <w:r>
        <w:t>are issues around the definition and reporting of administrative costs as noted above</w:t>
      </w:r>
      <w:r w:rsidRPr="001A2F85">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2B01752D" w14:textId="77777777" w:rsidTr="000B7E9A">
        <w:trPr>
          <w:cantSplit/>
          <w:trHeight w:hRule="exact" w:val="160"/>
        </w:trPr>
        <w:tc>
          <w:tcPr>
            <w:tcW w:w="8168" w:type="dxa"/>
            <w:tcBorders>
              <w:bottom w:val="single" w:sz="4" w:space="0" w:color="auto"/>
            </w:tcBorders>
          </w:tcPr>
          <w:p w14:paraId="415D1528" w14:textId="77777777" w:rsidR="00090683" w:rsidRPr="001A2F85" w:rsidRDefault="00090683" w:rsidP="000B7E9A">
            <w:pPr>
              <w:pStyle w:val="spacer"/>
            </w:pPr>
          </w:p>
        </w:tc>
      </w:tr>
      <w:tr w:rsidR="00090683" w:rsidRPr="001A2F85" w14:paraId="7A11D195" w14:textId="77777777" w:rsidTr="000B7E9A">
        <w:trPr>
          <w:cantSplit/>
        </w:trPr>
        <w:tc>
          <w:tcPr>
            <w:tcW w:w="8168" w:type="dxa"/>
            <w:tcBorders>
              <w:top w:val="single" w:sz="4" w:space="0" w:color="auto"/>
            </w:tcBorders>
            <w:tcMar>
              <w:left w:w="0" w:type="dxa"/>
            </w:tcMar>
          </w:tcPr>
          <w:p w14:paraId="71F90A6C" w14:textId="77777777" w:rsidR="00090683" w:rsidRPr="001A2F85" w:rsidRDefault="00090683" w:rsidP="000B7E9A">
            <w:pPr>
              <w:pStyle w:val="Caption"/>
            </w:pPr>
            <w:bookmarkStart w:id="574" w:name="_Ref462247208"/>
            <w:bookmarkStart w:id="575" w:name="_Toc462246074"/>
            <w:bookmarkStart w:id="576" w:name="_Toc464552005"/>
            <w:bookmarkStart w:id="577" w:name="_Toc466655726"/>
            <w:r w:rsidRPr="001A2F85">
              <w:rPr>
                <w:rStyle w:val="CaptionLabel"/>
              </w:rPr>
              <w:t>Figure </w:t>
            </w:r>
            <w:r>
              <w:rPr>
                <w:rStyle w:val="CaptionLabel"/>
                <w:noProof/>
              </w:rPr>
              <w:t>10</w:t>
            </w:r>
            <w:r w:rsidRPr="001A2F85">
              <w:rPr>
                <w:rStyle w:val="CaptionLabel"/>
              </w:rPr>
              <w:t>.</w:t>
            </w:r>
            <w:r>
              <w:rPr>
                <w:rStyle w:val="CaptionLabel"/>
                <w:noProof/>
              </w:rPr>
              <w:t>14</w:t>
            </w:r>
            <w:bookmarkEnd w:id="574"/>
            <w:r w:rsidRPr="001A2F85">
              <w:tab/>
              <w:t>Relationship between proportion low SES students and administration costs</w:t>
            </w:r>
            <w:bookmarkEnd w:id="575"/>
            <w:bookmarkEnd w:id="576"/>
            <w:bookmarkEnd w:id="577"/>
          </w:p>
        </w:tc>
      </w:tr>
      <w:tr w:rsidR="00090683" w:rsidRPr="001A2F85" w14:paraId="2491618A" w14:textId="77777777" w:rsidTr="000B7E9A">
        <w:trPr>
          <w:cantSplit/>
          <w:trHeight w:hRule="exact" w:val="380"/>
        </w:trPr>
        <w:tc>
          <w:tcPr>
            <w:tcW w:w="8168" w:type="dxa"/>
            <w:tcBorders>
              <w:bottom w:val="single" w:sz="4" w:space="0" w:color="auto"/>
            </w:tcBorders>
          </w:tcPr>
          <w:p w14:paraId="18A2472E"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8688" behindDoc="0" locked="1" layoutInCell="1" allowOverlap="1" wp14:anchorId="584454EA" wp14:editId="41E5FE5F">
                      <wp:simplePos x="0" y="0"/>
                      <wp:positionH relativeFrom="rightMargin">
                        <wp:posOffset>-772795</wp:posOffset>
                      </wp:positionH>
                      <wp:positionV relativeFrom="page">
                        <wp:posOffset>0</wp:posOffset>
                      </wp:positionV>
                      <wp:extent cx="436880" cy="213360"/>
                      <wp:effectExtent l="0" t="0" r="1270" b="0"/>
                      <wp:wrapNone/>
                      <wp:docPr id="74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610F08" id="Freeform 5" o:spid="_x0000_s1026" style="position:absolute;margin-left:-60.85pt;margin-top:0;width:34.4pt;height:16.8pt;z-index:251698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NChJ+R/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58F8C3F7"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7857BCF4" w14:textId="77777777" w:rsidR="00090683" w:rsidRPr="001A2F85" w:rsidRDefault="00090683" w:rsidP="000B7E9A">
            <w:pPr>
              <w:pStyle w:val="Figure"/>
            </w:pPr>
            <w:r w:rsidRPr="001A2F85">
              <w:t xml:space="preserve"> </w:t>
            </w:r>
            <w:r>
              <w:rPr>
                <w:noProof/>
                <w:lang w:eastAsia="en-AU"/>
              </w:rPr>
              <w:drawing>
                <wp:inline distT="0" distB="0" distL="0" distR="0" wp14:anchorId="06768FED" wp14:editId="2F5C62CC">
                  <wp:extent cx="5153025" cy="2190750"/>
                  <wp:effectExtent l="0" t="0" r="0" b="0"/>
                  <wp:docPr id="8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53025" cy="2190750"/>
                          </a:xfrm>
                          <a:prstGeom prst="rect">
                            <a:avLst/>
                          </a:prstGeom>
                          <a:noFill/>
                          <a:ln>
                            <a:noFill/>
                          </a:ln>
                        </pic:spPr>
                      </pic:pic>
                    </a:graphicData>
                  </a:graphic>
                </wp:inline>
              </w:drawing>
            </w:r>
          </w:p>
        </w:tc>
      </w:tr>
      <w:tr w:rsidR="00090683" w:rsidRPr="001A2F85" w14:paraId="4CE8B264"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5A82C727" w14:textId="77777777" w:rsidR="00090683" w:rsidRPr="001A2F85" w:rsidRDefault="00090683" w:rsidP="000B7E9A">
            <w:pPr>
              <w:pStyle w:val="Note"/>
            </w:pPr>
            <w:r w:rsidRPr="001A2F85">
              <w:t>Note: The chart shows average values of the 2010 to 2015 period.</w:t>
            </w:r>
            <w:r>
              <w:t xml:space="preserve"> Correlation: r=-0.198</w:t>
            </w:r>
          </w:p>
          <w:p w14:paraId="661EF6A3" w14:textId="77777777" w:rsidR="00090683" w:rsidRPr="001A2F85" w:rsidRDefault="00090683" w:rsidP="000B7E9A">
            <w:pPr>
              <w:pStyle w:val="Source"/>
            </w:pPr>
            <w:r w:rsidRPr="001A2F85">
              <w:t xml:space="preserve">Source: </w:t>
            </w:r>
            <w:r>
              <w:t xml:space="preserve">UNIVERSITY </w:t>
            </w:r>
            <w:r w:rsidRPr="001A2F85">
              <w:t>HEPPP ANNUAL REPORTS</w:t>
            </w:r>
            <w:r>
              <w:t xml:space="preserve">, </w:t>
            </w:r>
            <w:r>
              <w:rPr>
                <w:lang w:val="en-US"/>
              </w:rPr>
              <w:t>Higher Education Student Data Collection</w:t>
            </w:r>
            <w:r w:rsidRPr="001A2F85" w:rsidDel="00745720">
              <w:t xml:space="preserve"> </w:t>
            </w:r>
          </w:p>
        </w:tc>
      </w:tr>
      <w:tr w:rsidR="00090683" w:rsidRPr="001A2F85" w14:paraId="12C11B68" w14:textId="77777777" w:rsidTr="000B7E9A">
        <w:trPr>
          <w:trHeight w:hRule="exact" w:val="160"/>
        </w:trPr>
        <w:tc>
          <w:tcPr>
            <w:tcW w:w="8168" w:type="dxa"/>
            <w:tcBorders>
              <w:top w:val="single" w:sz="4" w:space="0" w:color="auto"/>
            </w:tcBorders>
          </w:tcPr>
          <w:p w14:paraId="161084BE" w14:textId="77777777" w:rsidR="00090683" w:rsidRPr="001A2F85" w:rsidRDefault="00090683" w:rsidP="000B7E9A">
            <w:pPr>
              <w:pStyle w:val="spacertbl"/>
            </w:pPr>
          </w:p>
        </w:tc>
      </w:tr>
    </w:tbl>
    <w:p w14:paraId="154528F8" w14:textId="77777777" w:rsidR="00090683" w:rsidRPr="001A2F85" w:rsidRDefault="00090683" w:rsidP="00090683">
      <w:pPr>
        <w:pStyle w:val="BodyText"/>
      </w:pPr>
      <w:r w:rsidRPr="001A2F85">
        <w:t>An additional data source for a subset of the administrative costs of the HEPPP is the Australian Government commissioned ‘Review of Reporting Requirements for Universities’ (PhillipsKPA 2012). The review found that the average (mean) per university cost of HEPPP reporting requirements were 23 days of staffing effort and $13,574 of recurrent costs.</w:t>
      </w:r>
      <w:r w:rsidRPr="001A2F85">
        <w:rPr>
          <w:rStyle w:val="FootnoteReference"/>
        </w:rPr>
        <w:footnoteReference w:id="50"/>
      </w:r>
      <w:r w:rsidRPr="001A2F85">
        <w:t xml:space="preserve"> This is assumed to cover the annual reports of formula allocated funding and reporting for grant-based funding. These costs are broadly similar to other Australian Government university equity programs, when adjusted for program size (</w:t>
      </w:r>
      <w:r w:rsidRPr="00AD49C8">
        <w:t>Table 10.1</w:t>
      </w:r>
      <w:r w:rsidRPr="001A2F85">
        <w:t>).</w:t>
      </w:r>
    </w:p>
    <w:p w14:paraId="194170D0" w14:textId="77777777" w:rsidR="00090683" w:rsidRPr="001A2F85" w:rsidRDefault="00090683" w:rsidP="00090683">
      <w:pPr>
        <w:pStyle w:val="Caption"/>
        <w:spacing w:before="160"/>
      </w:pPr>
      <w:bookmarkStart w:id="578" w:name="_Ref466642672"/>
      <w:bookmarkStart w:id="579" w:name="_Toc464552022"/>
      <w:bookmarkStart w:id="580" w:name="_Toc466655768"/>
      <w:r w:rsidRPr="001A2F85">
        <w:rPr>
          <w:rStyle w:val="CaptionLabel"/>
        </w:rPr>
        <w:t>Table </w:t>
      </w:r>
      <w:r>
        <w:rPr>
          <w:rStyle w:val="CaptionLabel"/>
          <w:noProof/>
        </w:rPr>
        <w:t>10</w:t>
      </w:r>
      <w:r w:rsidRPr="001A2F85">
        <w:rPr>
          <w:rStyle w:val="CaptionLabel"/>
        </w:rPr>
        <w:t>.</w:t>
      </w:r>
      <w:r>
        <w:rPr>
          <w:rStyle w:val="CaptionLabel"/>
          <w:noProof/>
        </w:rPr>
        <w:t>1</w:t>
      </w:r>
      <w:bookmarkEnd w:id="578"/>
      <w:r w:rsidRPr="001A2F85">
        <w:tab/>
        <w:t>REporting costs of heppp and three other AUSTRALIAN government UNIVERSITY equity programs</w:t>
      </w:r>
      <w:bookmarkEnd w:id="579"/>
      <w:bookmarkEnd w:id="580"/>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3"/>
        <w:gridCol w:w="2042"/>
        <w:gridCol w:w="2042"/>
        <w:gridCol w:w="2042"/>
        <w:gridCol w:w="2043"/>
      </w:tblGrid>
      <w:tr w:rsidR="00090683" w:rsidRPr="001A2F85" w14:paraId="3AEBD307" w14:textId="77777777" w:rsidTr="000B7E9A">
        <w:trPr>
          <w:cantSplit/>
          <w:tblHeader/>
        </w:trPr>
        <w:tc>
          <w:tcPr>
            <w:tcW w:w="1447" w:type="pct"/>
            <w:gridSpan w:val="2"/>
            <w:shd w:val="clear" w:color="auto" w:fill="9D57A6"/>
            <w:tcMar>
              <w:left w:w="454" w:type="dxa"/>
              <w:bottom w:w="0" w:type="dxa"/>
            </w:tcMar>
          </w:tcPr>
          <w:p w14:paraId="7E91904F" w14:textId="77777777" w:rsidR="00090683" w:rsidRPr="001A2F85" w:rsidRDefault="00090683" w:rsidP="000B7E9A">
            <w:pPr>
              <w:pStyle w:val="Tablecolumnheadings"/>
            </w:pPr>
            <w:r w:rsidRPr="001A2F85">
              <w:t>Program</w:t>
            </w:r>
          </w:p>
        </w:tc>
        <w:tc>
          <w:tcPr>
            <w:tcW w:w="1184" w:type="pct"/>
            <w:shd w:val="clear" w:color="auto" w:fill="9D57A6"/>
            <w:tcMar>
              <w:bottom w:w="0" w:type="dxa"/>
            </w:tcMar>
            <w:vAlign w:val="center"/>
          </w:tcPr>
          <w:p w14:paraId="315A221B" w14:textId="77777777" w:rsidR="00090683" w:rsidRPr="001A2F85" w:rsidRDefault="00090683" w:rsidP="000B7E9A">
            <w:pPr>
              <w:pStyle w:val="Tablecolumnheadings"/>
              <w:jc w:val="center"/>
            </w:pPr>
            <w:r w:rsidRPr="001A2F85">
              <w:t>2011 staff effort in days</w:t>
            </w:r>
            <w:r w:rsidRPr="001A2F85">
              <w:br/>
              <w:t>(adjusted mean)</w:t>
            </w:r>
          </w:p>
        </w:tc>
        <w:tc>
          <w:tcPr>
            <w:tcW w:w="1184" w:type="pct"/>
            <w:shd w:val="clear" w:color="auto" w:fill="9D57A6"/>
            <w:tcMar>
              <w:bottom w:w="0" w:type="dxa"/>
            </w:tcMar>
            <w:vAlign w:val="center"/>
          </w:tcPr>
          <w:p w14:paraId="69DB45F0" w14:textId="77777777" w:rsidR="00090683" w:rsidRPr="001A2F85" w:rsidRDefault="00090683" w:rsidP="000B7E9A">
            <w:pPr>
              <w:pStyle w:val="Tablecolumnheadings"/>
              <w:jc w:val="center"/>
            </w:pPr>
            <w:r w:rsidRPr="001A2F85">
              <w:t>2011 recurrent cost (adjusted mean)</w:t>
            </w:r>
          </w:p>
        </w:tc>
        <w:tc>
          <w:tcPr>
            <w:tcW w:w="1185" w:type="pct"/>
            <w:shd w:val="clear" w:color="auto" w:fill="9D57A6"/>
            <w:tcMar>
              <w:bottom w:w="0" w:type="dxa"/>
            </w:tcMar>
            <w:vAlign w:val="center"/>
          </w:tcPr>
          <w:p w14:paraId="1C170A1E" w14:textId="77777777" w:rsidR="00090683" w:rsidRPr="001A2F85" w:rsidRDefault="00090683" w:rsidP="000B7E9A">
            <w:pPr>
              <w:pStyle w:val="Tablecolumnheadings"/>
              <w:jc w:val="center"/>
            </w:pPr>
            <w:r w:rsidRPr="001A2F85">
              <w:t>2011 expenditure</w:t>
            </w:r>
          </w:p>
        </w:tc>
      </w:tr>
      <w:tr w:rsidR="00090683" w:rsidRPr="001A2F85" w14:paraId="3BB55D90" w14:textId="77777777" w:rsidTr="000B7E9A">
        <w:tblPrEx>
          <w:tblBorders>
            <w:bottom w:val="single" w:sz="4" w:space="0" w:color="646464"/>
            <w:insideH w:val="single" w:sz="4" w:space="0" w:color="646464"/>
          </w:tblBorders>
        </w:tblPrEx>
        <w:trPr>
          <w:gridBefore w:val="1"/>
          <w:wBefore w:w="263" w:type="pct"/>
          <w:cantSplit/>
        </w:trPr>
        <w:tc>
          <w:tcPr>
            <w:tcW w:w="1184" w:type="pct"/>
            <w:tcBorders>
              <w:top w:val="nil"/>
            </w:tcBorders>
          </w:tcPr>
          <w:p w14:paraId="040B7AE1" w14:textId="77777777" w:rsidR="00090683" w:rsidRPr="001A2F85" w:rsidRDefault="00090683" w:rsidP="000B7E9A">
            <w:pPr>
              <w:pStyle w:val="Tabletext"/>
            </w:pPr>
            <w:r w:rsidRPr="001A2F85">
              <w:t>HEPPP</w:t>
            </w:r>
          </w:p>
        </w:tc>
        <w:tc>
          <w:tcPr>
            <w:tcW w:w="1184" w:type="pct"/>
            <w:tcBorders>
              <w:top w:val="nil"/>
            </w:tcBorders>
            <w:vAlign w:val="center"/>
          </w:tcPr>
          <w:p w14:paraId="4775BA37" w14:textId="77777777" w:rsidR="00090683" w:rsidRPr="001A2F85" w:rsidRDefault="00090683" w:rsidP="000B7E9A">
            <w:pPr>
              <w:pStyle w:val="Tabletext"/>
              <w:jc w:val="center"/>
            </w:pPr>
            <w:r w:rsidRPr="001A2F85">
              <w:t>23</w:t>
            </w:r>
          </w:p>
        </w:tc>
        <w:tc>
          <w:tcPr>
            <w:tcW w:w="1184" w:type="pct"/>
            <w:tcBorders>
              <w:top w:val="nil"/>
            </w:tcBorders>
            <w:vAlign w:val="center"/>
          </w:tcPr>
          <w:p w14:paraId="0A75BDD4" w14:textId="77777777" w:rsidR="00090683" w:rsidRPr="001A2F85" w:rsidRDefault="00090683" w:rsidP="000B7E9A">
            <w:pPr>
              <w:pStyle w:val="Tabletext"/>
              <w:jc w:val="center"/>
            </w:pPr>
            <w:r w:rsidRPr="001A2F85">
              <w:t>$13,574</w:t>
            </w:r>
          </w:p>
        </w:tc>
        <w:tc>
          <w:tcPr>
            <w:tcW w:w="1185" w:type="pct"/>
            <w:tcBorders>
              <w:top w:val="nil"/>
            </w:tcBorders>
            <w:vAlign w:val="center"/>
          </w:tcPr>
          <w:p w14:paraId="62002C6E" w14:textId="77777777" w:rsidR="00090683" w:rsidRPr="001A2F85" w:rsidRDefault="00090683" w:rsidP="000B7E9A">
            <w:pPr>
              <w:pStyle w:val="Tabletext"/>
              <w:jc w:val="center"/>
            </w:pPr>
            <w:r w:rsidRPr="001A2F85">
              <w:t>$113 million</w:t>
            </w:r>
          </w:p>
        </w:tc>
      </w:tr>
      <w:tr w:rsidR="00090683" w:rsidRPr="001A2F85" w14:paraId="5958441A" w14:textId="77777777" w:rsidTr="000B7E9A">
        <w:tblPrEx>
          <w:tblBorders>
            <w:bottom w:val="single" w:sz="4" w:space="0" w:color="646464"/>
            <w:insideH w:val="single" w:sz="4" w:space="0" w:color="646464"/>
          </w:tblBorders>
        </w:tblPrEx>
        <w:trPr>
          <w:gridBefore w:val="1"/>
          <w:wBefore w:w="263" w:type="pct"/>
          <w:cantSplit/>
        </w:trPr>
        <w:tc>
          <w:tcPr>
            <w:tcW w:w="1184" w:type="pct"/>
          </w:tcPr>
          <w:p w14:paraId="37D342D7" w14:textId="77777777" w:rsidR="00090683" w:rsidRPr="001A2F85" w:rsidRDefault="00090683" w:rsidP="000B7E9A">
            <w:pPr>
              <w:pStyle w:val="Tabletext"/>
            </w:pPr>
            <w:r w:rsidRPr="001A2F85">
              <w:t>Commonwealth Scholarships Programme</w:t>
            </w:r>
          </w:p>
        </w:tc>
        <w:tc>
          <w:tcPr>
            <w:tcW w:w="1184" w:type="pct"/>
            <w:vAlign w:val="center"/>
          </w:tcPr>
          <w:p w14:paraId="3EB810AA" w14:textId="77777777" w:rsidR="00090683" w:rsidRPr="001A2F85" w:rsidRDefault="00090683" w:rsidP="000B7E9A">
            <w:pPr>
              <w:pStyle w:val="Tabletext"/>
              <w:jc w:val="center"/>
            </w:pPr>
            <w:r w:rsidRPr="001A2F85">
              <w:t>12</w:t>
            </w:r>
          </w:p>
        </w:tc>
        <w:tc>
          <w:tcPr>
            <w:tcW w:w="1184" w:type="pct"/>
            <w:vAlign w:val="center"/>
          </w:tcPr>
          <w:p w14:paraId="36642C70" w14:textId="77777777" w:rsidR="00090683" w:rsidRPr="001A2F85" w:rsidRDefault="00090683" w:rsidP="000B7E9A">
            <w:pPr>
              <w:pStyle w:val="Tabletext"/>
              <w:jc w:val="center"/>
            </w:pPr>
            <w:r w:rsidRPr="001A2F85">
              <w:t>$4,530</w:t>
            </w:r>
          </w:p>
        </w:tc>
        <w:tc>
          <w:tcPr>
            <w:tcW w:w="1185" w:type="pct"/>
            <w:vAlign w:val="center"/>
          </w:tcPr>
          <w:p w14:paraId="3C09A6FE" w14:textId="77777777" w:rsidR="00090683" w:rsidRPr="001A2F85" w:rsidRDefault="00090683" w:rsidP="000B7E9A">
            <w:pPr>
              <w:pStyle w:val="Tabletext"/>
              <w:jc w:val="center"/>
            </w:pPr>
            <w:r w:rsidRPr="001A2F85">
              <w:t>$75 million</w:t>
            </w:r>
          </w:p>
        </w:tc>
      </w:tr>
      <w:tr w:rsidR="00090683" w:rsidRPr="001A2F85" w14:paraId="1DDD04E3" w14:textId="77777777" w:rsidTr="000B7E9A">
        <w:tblPrEx>
          <w:tblBorders>
            <w:bottom w:val="single" w:sz="4" w:space="0" w:color="646464"/>
            <w:insideH w:val="single" w:sz="4" w:space="0" w:color="646464"/>
          </w:tblBorders>
        </w:tblPrEx>
        <w:trPr>
          <w:gridBefore w:val="1"/>
          <w:wBefore w:w="263" w:type="pct"/>
          <w:cantSplit/>
        </w:trPr>
        <w:tc>
          <w:tcPr>
            <w:tcW w:w="1184" w:type="pct"/>
          </w:tcPr>
          <w:p w14:paraId="2A396D84" w14:textId="77777777" w:rsidR="00090683" w:rsidRPr="001A2F85" w:rsidRDefault="00090683" w:rsidP="000B7E9A">
            <w:pPr>
              <w:pStyle w:val="Tabletext"/>
            </w:pPr>
            <w:r w:rsidRPr="001A2F85">
              <w:t>Indigenous Support Programme</w:t>
            </w:r>
          </w:p>
        </w:tc>
        <w:tc>
          <w:tcPr>
            <w:tcW w:w="1184" w:type="pct"/>
            <w:vAlign w:val="center"/>
          </w:tcPr>
          <w:p w14:paraId="782B3325" w14:textId="77777777" w:rsidR="00090683" w:rsidRPr="001A2F85" w:rsidRDefault="00090683" w:rsidP="000B7E9A">
            <w:pPr>
              <w:pStyle w:val="Tabletext"/>
              <w:jc w:val="center"/>
            </w:pPr>
            <w:r w:rsidRPr="001A2F85">
              <w:t>10</w:t>
            </w:r>
          </w:p>
        </w:tc>
        <w:tc>
          <w:tcPr>
            <w:tcW w:w="1184" w:type="pct"/>
            <w:vAlign w:val="center"/>
          </w:tcPr>
          <w:p w14:paraId="2C561C9C" w14:textId="77777777" w:rsidR="00090683" w:rsidRPr="001A2F85" w:rsidRDefault="00090683" w:rsidP="000B7E9A">
            <w:pPr>
              <w:pStyle w:val="Tabletext"/>
              <w:jc w:val="center"/>
            </w:pPr>
            <w:r w:rsidRPr="001A2F85">
              <w:t>$5,004</w:t>
            </w:r>
          </w:p>
        </w:tc>
        <w:tc>
          <w:tcPr>
            <w:tcW w:w="1185" w:type="pct"/>
            <w:vAlign w:val="center"/>
          </w:tcPr>
          <w:p w14:paraId="7E946469" w14:textId="77777777" w:rsidR="00090683" w:rsidRPr="001A2F85" w:rsidRDefault="00090683" w:rsidP="000B7E9A">
            <w:pPr>
              <w:pStyle w:val="Tabletext"/>
              <w:jc w:val="center"/>
            </w:pPr>
            <w:r w:rsidRPr="001A2F85">
              <w:t>$36 million</w:t>
            </w:r>
          </w:p>
        </w:tc>
      </w:tr>
      <w:tr w:rsidR="00090683" w:rsidRPr="001A2F85" w14:paraId="58A72573" w14:textId="77777777" w:rsidTr="000B7E9A">
        <w:tblPrEx>
          <w:tblBorders>
            <w:bottom w:val="single" w:sz="4" w:space="0" w:color="646464"/>
            <w:insideH w:val="single" w:sz="4" w:space="0" w:color="646464"/>
          </w:tblBorders>
        </w:tblPrEx>
        <w:trPr>
          <w:gridBefore w:val="1"/>
          <w:wBefore w:w="263" w:type="pct"/>
          <w:cantSplit/>
        </w:trPr>
        <w:tc>
          <w:tcPr>
            <w:tcW w:w="1184" w:type="pct"/>
          </w:tcPr>
          <w:p w14:paraId="43112BF1" w14:textId="77777777" w:rsidR="00090683" w:rsidRPr="001A2F85" w:rsidRDefault="00090683" w:rsidP="000B7E9A">
            <w:pPr>
              <w:pStyle w:val="Tabletext"/>
            </w:pPr>
            <w:r w:rsidRPr="001A2F85">
              <w:t>Disability Support Programme</w:t>
            </w:r>
          </w:p>
        </w:tc>
        <w:tc>
          <w:tcPr>
            <w:tcW w:w="1184" w:type="pct"/>
            <w:vAlign w:val="center"/>
          </w:tcPr>
          <w:p w14:paraId="04CF8E3A" w14:textId="77777777" w:rsidR="00090683" w:rsidRPr="001A2F85" w:rsidRDefault="00090683" w:rsidP="000B7E9A">
            <w:pPr>
              <w:pStyle w:val="Tabletext"/>
              <w:jc w:val="center"/>
            </w:pPr>
            <w:r w:rsidRPr="001A2F85">
              <w:t>15</w:t>
            </w:r>
          </w:p>
        </w:tc>
        <w:tc>
          <w:tcPr>
            <w:tcW w:w="1184" w:type="pct"/>
            <w:vAlign w:val="center"/>
          </w:tcPr>
          <w:p w14:paraId="298FFA19" w14:textId="77777777" w:rsidR="00090683" w:rsidRPr="001A2F85" w:rsidRDefault="00090683" w:rsidP="000B7E9A">
            <w:pPr>
              <w:pStyle w:val="Tabletext"/>
              <w:jc w:val="center"/>
            </w:pPr>
            <w:r w:rsidRPr="001A2F85">
              <w:t>$6,056</w:t>
            </w:r>
          </w:p>
        </w:tc>
        <w:tc>
          <w:tcPr>
            <w:tcW w:w="1185" w:type="pct"/>
            <w:vAlign w:val="center"/>
          </w:tcPr>
          <w:p w14:paraId="137A5F4F" w14:textId="77777777" w:rsidR="00090683" w:rsidRPr="001A2F85" w:rsidRDefault="00090683" w:rsidP="000B7E9A">
            <w:pPr>
              <w:pStyle w:val="Tabletext"/>
              <w:jc w:val="center"/>
            </w:pPr>
            <w:r w:rsidRPr="001A2F85">
              <w:t>$6 million</w:t>
            </w:r>
          </w:p>
        </w:tc>
      </w:tr>
      <w:tr w:rsidR="00090683" w:rsidRPr="001A2F85" w14:paraId="3868272D" w14:textId="77777777" w:rsidTr="000B7E9A">
        <w:tblPrEx>
          <w:tblBorders>
            <w:bottom w:val="single" w:sz="4" w:space="0" w:color="646464"/>
            <w:insideH w:val="single" w:sz="4" w:space="0" w:color="646464"/>
          </w:tblBorders>
        </w:tblPrEx>
        <w:trPr>
          <w:gridBefore w:val="1"/>
          <w:wBefore w:w="263" w:type="pct"/>
          <w:cantSplit/>
        </w:trPr>
        <w:tc>
          <w:tcPr>
            <w:tcW w:w="4737" w:type="pct"/>
            <w:gridSpan w:val="4"/>
          </w:tcPr>
          <w:p w14:paraId="1F549F1F" w14:textId="77777777" w:rsidR="00090683" w:rsidRPr="00AD49C8" w:rsidRDefault="00090683" w:rsidP="000B7E9A">
            <w:pPr>
              <w:pStyle w:val="Source"/>
              <w:rPr>
                <w:i w:val="0"/>
              </w:rPr>
            </w:pPr>
            <w:r w:rsidRPr="00AD49C8">
              <w:rPr>
                <w:i w:val="0"/>
                <w:caps w:val="0"/>
              </w:rPr>
              <w:t>Note: adjusted mean is calculated by excluding any universities whose estimate of cost was identified as a major outlier.</w:t>
            </w:r>
          </w:p>
          <w:p w14:paraId="0C6922C9" w14:textId="77777777" w:rsidR="00090683" w:rsidRPr="001A2F85" w:rsidRDefault="00090683" w:rsidP="000B7E9A">
            <w:pPr>
              <w:pStyle w:val="Source"/>
            </w:pPr>
            <w:r w:rsidRPr="001A2F85">
              <w:t xml:space="preserve">Source: HEPPP FINANCE data, PhillipsKPA 2012, </w:t>
            </w:r>
            <w:r>
              <w:t>DEPARTment of education and training 2014</w:t>
            </w:r>
          </w:p>
        </w:tc>
      </w:tr>
      <w:tr w:rsidR="00090683" w:rsidRPr="001A2F85" w14:paraId="20B2E15B" w14:textId="77777777" w:rsidTr="000B7E9A">
        <w:tblPrEx>
          <w:tblBorders>
            <w:bottom w:val="single" w:sz="4" w:space="0" w:color="646464"/>
            <w:insideH w:val="single" w:sz="4" w:space="0" w:color="646464"/>
          </w:tblBorders>
        </w:tblPrEx>
        <w:trPr>
          <w:gridBefore w:val="1"/>
          <w:wBefore w:w="263" w:type="pct"/>
          <w:cantSplit/>
          <w:trHeight w:hRule="exact" w:val="120"/>
        </w:trPr>
        <w:tc>
          <w:tcPr>
            <w:tcW w:w="4737" w:type="pct"/>
            <w:gridSpan w:val="4"/>
            <w:tcBorders>
              <w:bottom w:val="nil"/>
            </w:tcBorders>
          </w:tcPr>
          <w:p w14:paraId="0EB3BEFE" w14:textId="77777777" w:rsidR="00090683" w:rsidRPr="001A2F85" w:rsidRDefault="00090683" w:rsidP="000B7E9A">
            <w:pPr>
              <w:pStyle w:val="spacertbl"/>
            </w:pPr>
          </w:p>
        </w:tc>
      </w:tr>
    </w:tbl>
    <w:p w14:paraId="097C13B0" w14:textId="77777777" w:rsidR="00090683" w:rsidRPr="009A7A12" w:rsidRDefault="00090683" w:rsidP="00090683">
      <w:pPr>
        <w:pStyle w:val="Heading4"/>
      </w:pPr>
      <w:r w:rsidRPr="009A7A12">
        <w:t xml:space="preserve">Displacement and additionality of funding </w:t>
      </w:r>
    </w:p>
    <w:p w14:paraId="780C002E" w14:textId="61C19BC2" w:rsidR="00090683" w:rsidRPr="009A7A12" w:rsidRDefault="00090683" w:rsidP="00090683">
      <w:pPr>
        <w:pStyle w:val="BodyText"/>
      </w:pPr>
      <w:r w:rsidRPr="009A7A12">
        <w:t xml:space="preserve">A program such as HEPPP, which provides funding for activities </w:t>
      </w:r>
      <w:r w:rsidR="00FE03F3" w:rsidRPr="009A7A12">
        <w:t>universities,</w:t>
      </w:r>
      <w:r w:rsidRPr="009A7A12">
        <w:t xml:space="preserve"> might conceivably carry out regardless, and which provide considerable programmatic autonomy for universities, may lead to universities redirecting other funds that they would have spent on HEPPP-type activities. </w:t>
      </w:r>
    </w:p>
    <w:p w14:paraId="7F6FDC38" w14:textId="77777777" w:rsidR="00090683" w:rsidRPr="001A2F85" w:rsidRDefault="00090683" w:rsidP="00090683">
      <w:pPr>
        <w:pStyle w:val="BodyText"/>
      </w:pPr>
      <w:r w:rsidRPr="009A7A12">
        <w:t>Conversely, the existence of the HEPPP may encourage universities to leverage other resources to supplement HEPPP funding and therefore lead to more activity to support low SES students.</w:t>
      </w:r>
      <w:r w:rsidRPr="001A2F85">
        <w:t xml:space="preserve"> </w:t>
      </w:r>
    </w:p>
    <w:p w14:paraId="016045C3" w14:textId="77777777" w:rsidR="00090683" w:rsidRPr="001A2F85" w:rsidRDefault="00090683" w:rsidP="00090683">
      <w:pPr>
        <w:pStyle w:val="BodyText"/>
      </w:pPr>
      <w:r w:rsidRPr="001A2F85">
        <w:t>Stakeholders were asked in interviews whether HEPPP funding was displacing funding that universities would normally spend on outreach and students support services for low SES students. Most reported that outreach activities in particular would not have been undertaken in the absence of the HEPPP.</w:t>
      </w:r>
    </w:p>
    <w:p w14:paraId="6560EF3A" w14:textId="77777777" w:rsidR="00090683" w:rsidRPr="001A2F85" w:rsidRDefault="00090683" w:rsidP="00090683">
      <w:pPr>
        <w:spacing w:before="113" w:after="60"/>
      </w:pPr>
      <w:r w:rsidRPr="001A2F85">
        <w:t>The survey of university staff indicated 20 per cent reporting that HEPPP funding had led to their university redirecting funds that might previously have been used for similar activities, while 25 per cent disagreed (</w:t>
      </w:r>
      <w:r w:rsidRPr="00AD49C8">
        <w:t>Figure 10.15</w:t>
      </w:r>
      <w:r w:rsidRPr="001A2F85">
        <w:t>).</w:t>
      </w:r>
      <w:r>
        <w:t xml:space="preserve"> Note </w:t>
      </w:r>
      <w:r w:rsidRPr="00BE3EB6">
        <w:t>that 55 per cent indicated that they neither agree nor disagree.</w:t>
      </w:r>
      <w:r>
        <w:t xml:space="preserv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22B9867E" w14:textId="77777777" w:rsidTr="000B7E9A">
        <w:trPr>
          <w:cantSplit/>
          <w:trHeight w:hRule="exact" w:val="160"/>
        </w:trPr>
        <w:tc>
          <w:tcPr>
            <w:tcW w:w="8168" w:type="dxa"/>
            <w:tcBorders>
              <w:bottom w:val="single" w:sz="4" w:space="0" w:color="auto"/>
            </w:tcBorders>
          </w:tcPr>
          <w:p w14:paraId="52C67669" w14:textId="77777777" w:rsidR="00090683" w:rsidRPr="001A2F85" w:rsidRDefault="00090683" w:rsidP="000B7E9A">
            <w:pPr>
              <w:pStyle w:val="spacer"/>
            </w:pPr>
          </w:p>
        </w:tc>
      </w:tr>
      <w:tr w:rsidR="00090683" w:rsidRPr="001A2F85" w14:paraId="5F05D4BA" w14:textId="77777777" w:rsidTr="000B7E9A">
        <w:trPr>
          <w:cantSplit/>
        </w:trPr>
        <w:tc>
          <w:tcPr>
            <w:tcW w:w="8168" w:type="dxa"/>
            <w:tcBorders>
              <w:top w:val="single" w:sz="4" w:space="0" w:color="auto"/>
            </w:tcBorders>
            <w:tcMar>
              <w:left w:w="0" w:type="dxa"/>
            </w:tcMar>
          </w:tcPr>
          <w:p w14:paraId="42695C47" w14:textId="77777777" w:rsidR="00090683" w:rsidRPr="001A2F85" w:rsidRDefault="00090683" w:rsidP="000B7E9A">
            <w:pPr>
              <w:pStyle w:val="Caption"/>
            </w:pPr>
            <w:bookmarkStart w:id="581" w:name="_Ref464482682"/>
            <w:bookmarkStart w:id="582" w:name="_Toc464552006"/>
            <w:bookmarkStart w:id="583" w:name="_Toc466655727"/>
            <w:r w:rsidRPr="001A2F85">
              <w:rPr>
                <w:rStyle w:val="CaptionLabel"/>
              </w:rPr>
              <w:t>Figure </w:t>
            </w:r>
            <w:r>
              <w:rPr>
                <w:rStyle w:val="CaptionLabel"/>
                <w:noProof/>
              </w:rPr>
              <w:t>10</w:t>
            </w:r>
            <w:r w:rsidRPr="001A2F85">
              <w:rPr>
                <w:rStyle w:val="CaptionLabel"/>
              </w:rPr>
              <w:t>.</w:t>
            </w:r>
            <w:r>
              <w:rPr>
                <w:rStyle w:val="CaptionLabel"/>
                <w:noProof/>
              </w:rPr>
              <w:t>15</w:t>
            </w:r>
            <w:bookmarkEnd w:id="581"/>
            <w:r w:rsidRPr="001A2F85">
              <w:tab/>
            </w:r>
            <w:r>
              <w:t xml:space="preserve">University </w:t>
            </w:r>
            <w:r w:rsidRPr="001A2F85">
              <w:t>Staff survey, HEPPP and university Funding</w:t>
            </w:r>
            <w:bookmarkEnd w:id="582"/>
            <w:bookmarkEnd w:id="583"/>
            <w:r w:rsidRPr="001A2F85">
              <w:t xml:space="preserve"> </w:t>
            </w:r>
          </w:p>
        </w:tc>
      </w:tr>
      <w:tr w:rsidR="00090683" w:rsidRPr="001A2F85" w14:paraId="1A162F94" w14:textId="77777777" w:rsidTr="000B7E9A">
        <w:trPr>
          <w:cantSplit/>
          <w:trHeight w:hRule="exact" w:val="380"/>
        </w:trPr>
        <w:tc>
          <w:tcPr>
            <w:tcW w:w="8168" w:type="dxa"/>
            <w:tcBorders>
              <w:bottom w:val="single" w:sz="4" w:space="0" w:color="auto"/>
            </w:tcBorders>
          </w:tcPr>
          <w:p w14:paraId="7DBEC19A"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706880" behindDoc="0" locked="1" layoutInCell="1" allowOverlap="1" wp14:anchorId="70E72AA6" wp14:editId="0646EF40">
                      <wp:simplePos x="0" y="0"/>
                      <wp:positionH relativeFrom="rightMargin">
                        <wp:posOffset>-772795</wp:posOffset>
                      </wp:positionH>
                      <wp:positionV relativeFrom="page">
                        <wp:posOffset>0</wp:posOffset>
                      </wp:positionV>
                      <wp:extent cx="436880" cy="213360"/>
                      <wp:effectExtent l="0" t="0" r="1270" b="0"/>
                      <wp:wrapNone/>
                      <wp:docPr id="16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D85E22" id="Freeform 5" o:spid="_x0000_s1026" style="position:absolute;margin-left:-60.85pt;margin-top:0;width:34.4pt;height:16.8pt;z-index:251706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Cm8SLB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112341C0"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602BF357" w14:textId="77777777" w:rsidR="00090683" w:rsidRPr="001A2F85" w:rsidRDefault="00090683" w:rsidP="000B7E9A">
            <w:pPr>
              <w:pStyle w:val="Figure"/>
            </w:pPr>
            <w:r>
              <w:rPr>
                <w:noProof/>
                <w:lang w:eastAsia="en-AU"/>
              </w:rPr>
              <w:drawing>
                <wp:inline distT="0" distB="0" distL="0" distR="0" wp14:anchorId="38E1B239" wp14:editId="6A551422">
                  <wp:extent cx="5133975" cy="2438400"/>
                  <wp:effectExtent l="0" t="0" r="0" b="0"/>
                  <wp:docPr id="8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33975" cy="2438400"/>
                          </a:xfrm>
                          <a:prstGeom prst="rect">
                            <a:avLst/>
                          </a:prstGeom>
                          <a:noFill/>
                          <a:ln>
                            <a:noFill/>
                          </a:ln>
                        </pic:spPr>
                      </pic:pic>
                    </a:graphicData>
                  </a:graphic>
                </wp:inline>
              </w:drawing>
            </w:r>
          </w:p>
        </w:tc>
      </w:tr>
      <w:tr w:rsidR="00090683" w:rsidRPr="001A2F85" w14:paraId="7AB18EE2"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109E20DE" w14:textId="77777777" w:rsidR="00090683" w:rsidRPr="000C4E9C" w:rsidRDefault="00090683" w:rsidP="000B7E9A">
            <w:pPr>
              <w:pStyle w:val="Note"/>
            </w:pPr>
            <w:r w:rsidRPr="004D495F">
              <w:t xml:space="preserve">Note: </w:t>
            </w:r>
            <w:r w:rsidRPr="000C4E9C">
              <w:t>From top to bottom: n=321, 339</w:t>
            </w:r>
          </w:p>
          <w:p w14:paraId="1D5FAE61" w14:textId="77777777" w:rsidR="00090683" w:rsidRPr="001A2F85" w:rsidRDefault="00090683" w:rsidP="000B7E9A">
            <w:pPr>
              <w:pStyle w:val="Source"/>
            </w:pPr>
            <w:r w:rsidRPr="000C4E9C">
              <w:t>Source: survey of university staff 2016</w:t>
            </w:r>
          </w:p>
        </w:tc>
      </w:tr>
      <w:tr w:rsidR="00090683" w:rsidRPr="001A2F85" w14:paraId="4DCD4099" w14:textId="77777777" w:rsidTr="000B7E9A">
        <w:trPr>
          <w:trHeight w:hRule="exact" w:val="160"/>
        </w:trPr>
        <w:tc>
          <w:tcPr>
            <w:tcW w:w="8168" w:type="dxa"/>
            <w:tcBorders>
              <w:top w:val="single" w:sz="4" w:space="0" w:color="auto"/>
            </w:tcBorders>
          </w:tcPr>
          <w:p w14:paraId="08C37788" w14:textId="77777777" w:rsidR="00090683" w:rsidRPr="001A2F85" w:rsidRDefault="00090683" w:rsidP="000B7E9A">
            <w:pPr>
              <w:pStyle w:val="spacertbl"/>
            </w:pPr>
          </w:p>
        </w:tc>
      </w:tr>
    </w:tbl>
    <w:p w14:paraId="5633FD28" w14:textId="77777777" w:rsidR="00090683" w:rsidRPr="001A2F85" w:rsidRDefault="00090683" w:rsidP="00090683">
      <w:pPr>
        <w:spacing w:before="113" w:after="60"/>
      </w:pPr>
      <w:r w:rsidRPr="001A2F85">
        <w:t xml:space="preserve">The survey also indicated that most university staff saw HEPPP funding as encouraging leverage funding from other sources into HEPPP projects to support people from low SES backgrounds (57 per cent). </w:t>
      </w:r>
    </w:p>
    <w:p w14:paraId="2383BDA0" w14:textId="77777777" w:rsidR="00090683" w:rsidRPr="001A2F85" w:rsidRDefault="00090683" w:rsidP="00090683">
      <w:pPr>
        <w:spacing w:before="113" w:after="60"/>
      </w:pPr>
      <w:r w:rsidRPr="001A2F85">
        <w:t>The survey results in relation to leverage funding are supported by the evaluation’s analysis of the HEPPP annual reports, with on average 1</w:t>
      </w:r>
      <w:r>
        <w:t>8</w:t>
      </w:r>
      <w:r w:rsidRPr="001A2F85">
        <w:t xml:space="preserve"> per cent of funding for HEPPP projects since 2010 coming from non-HEPPP sources (</w:t>
      </w:r>
      <w:r w:rsidRPr="00AD49C8">
        <w:t>Figure 10.16</w:t>
      </w:r>
      <w:r w:rsidRPr="001A2F85">
        <w:t>). This is likely an underestimate of the funding leverage by the HEPPP, as universities report providing significant in-kind support for the HEPPP, for example staff time.</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152AD4EF" w14:textId="77777777" w:rsidTr="000B7E9A">
        <w:trPr>
          <w:cantSplit/>
          <w:trHeight w:hRule="exact" w:val="160"/>
        </w:trPr>
        <w:tc>
          <w:tcPr>
            <w:tcW w:w="8168" w:type="dxa"/>
            <w:tcBorders>
              <w:bottom w:val="single" w:sz="4" w:space="0" w:color="auto"/>
            </w:tcBorders>
          </w:tcPr>
          <w:p w14:paraId="100E71A7" w14:textId="77777777" w:rsidR="00090683" w:rsidRPr="001A2F85" w:rsidRDefault="00090683" w:rsidP="000B7E9A">
            <w:pPr>
              <w:pStyle w:val="spacer"/>
            </w:pPr>
          </w:p>
        </w:tc>
      </w:tr>
      <w:tr w:rsidR="00090683" w:rsidRPr="001A2F85" w14:paraId="19A855CF" w14:textId="77777777" w:rsidTr="000B7E9A">
        <w:trPr>
          <w:cantSplit/>
        </w:trPr>
        <w:tc>
          <w:tcPr>
            <w:tcW w:w="8168" w:type="dxa"/>
            <w:tcBorders>
              <w:top w:val="single" w:sz="4" w:space="0" w:color="auto"/>
            </w:tcBorders>
            <w:tcMar>
              <w:left w:w="0" w:type="dxa"/>
            </w:tcMar>
          </w:tcPr>
          <w:p w14:paraId="27379052" w14:textId="77777777" w:rsidR="00090683" w:rsidRPr="001A2F85" w:rsidRDefault="00090683" w:rsidP="000B7E9A">
            <w:pPr>
              <w:pStyle w:val="Caption"/>
            </w:pPr>
            <w:bookmarkStart w:id="584" w:name="_Ref462247652"/>
            <w:bookmarkStart w:id="585" w:name="_Toc462246075"/>
            <w:bookmarkStart w:id="586" w:name="_Toc464552007"/>
            <w:bookmarkStart w:id="587" w:name="_Toc466655728"/>
            <w:r w:rsidRPr="001A2F85">
              <w:rPr>
                <w:rStyle w:val="CaptionLabel"/>
              </w:rPr>
              <w:t>Figure </w:t>
            </w:r>
            <w:r>
              <w:rPr>
                <w:rStyle w:val="CaptionLabel"/>
                <w:noProof/>
              </w:rPr>
              <w:t>10</w:t>
            </w:r>
            <w:r w:rsidRPr="001A2F85">
              <w:rPr>
                <w:rStyle w:val="CaptionLabel"/>
              </w:rPr>
              <w:t>.</w:t>
            </w:r>
            <w:r>
              <w:rPr>
                <w:rStyle w:val="CaptionLabel"/>
                <w:noProof/>
              </w:rPr>
              <w:t>16</w:t>
            </w:r>
            <w:bookmarkEnd w:id="584"/>
            <w:r w:rsidRPr="001A2F85">
              <w:tab/>
              <w:t>Proportion of total HEPPP budget by source</w:t>
            </w:r>
            <w:bookmarkEnd w:id="585"/>
            <w:bookmarkEnd w:id="586"/>
            <w:bookmarkEnd w:id="587"/>
          </w:p>
        </w:tc>
      </w:tr>
      <w:tr w:rsidR="00090683" w:rsidRPr="001A2F85" w14:paraId="511B92CD" w14:textId="77777777" w:rsidTr="000B7E9A">
        <w:trPr>
          <w:cantSplit/>
          <w:trHeight w:hRule="exact" w:val="380"/>
        </w:trPr>
        <w:tc>
          <w:tcPr>
            <w:tcW w:w="8168" w:type="dxa"/>
            <w:tcBorders>
              <w:bottom w:val="single" w:sz="4" w:space="0" w:color="auto"/>
            </w:tcBorders>
          </w:tcPr>
          <w:p w14:paraId="69F0ACA1"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5616" behindDoc="0" locked="1" layoutInCell="1" allowOverlap="1" wp14:anchorId="363B6416" wp14:editId="5CF24ACB">
                      <wp:simplePos x="0" y="0"/>
                      <wp:positionH relativeFrom="rightMargin">
                        <wp:posOffset>-772795</wp:posOffset>
                      </wp:positionH>
                      <wp:positionV relativeFrom="page">
                        <wp:posOffset>0</wp:posOffset>
                      </wp:positionV>
                      <wp:extent cx="436880" cy="213360"/>
                      <wp:effectExtent l="0" t="0" r="1270" b="0"/>
                      <wp:wrapNone/>
                      <wp:docPr id="15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A93B41" id="Freeform 5" o:spid="_x0000_s1026" style="position:absolute;margin-left:-60.85pt;margin-top:0;width:34.4pt;height:16.8pt;z-index:25169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XeIOR3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67F1A747"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29DB950C" w14:textId="77777777" w:rsidR="00090683" w:rsidRPr="001A2F85" w:rsidRDefault="00090683" w:rsidP="000B7E9A">
            <w:pPr>
              <w:pStyle w:val="Figure"/>
            </w:pPr>
            <w:r>
              <w:rPr>
                <w:noProof/>
                <w:lang w:eastAsia="en-AU"/>
              </w:rPr>
              <w:drawing>
                <wp:inline distT="0" distB="0" distL="0" distR="0" wp14:anchorId="5AD621E6" wp14:editId="562C43E8">
                  <wp:extent cx="5191125" cy="2209800"/>
                  <wp:effectExtent l="0" t="0" r="0" b="0"/>
                  <wp:docPr id="83"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91125" cy="2209800"/>
                          </a:xfrm>
                          <a:prstGeom prst="rect">
                            <a:avLst/>
                          </a:prstGeom>
                          <a:noFill/>
                          <a:ln>
                            <a:noFill/>
                          </a:ln>
                        </pic:spPr>
                      </pic:pic>
                    </a:graphicData>
                  </a:graphic>
                </wp:inline>
              </w:drawing>
            </w:r>
          </w:p>
        </w:tc>
      </w:tr>
      <w:tr w:rsidR="00090683" w:rsidRPr="001A2F85" w14:paraId="57918137"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3CAB384B" w14:textId="77777777" w:rsidR="00090683" w:rsidRPr="001A2F85" w:rsidRDefault="00090683" w:rsidP="000B7E9A">
            <w:pPr>
              <w:pStyle w:val="Note"/>
            </w:pPr>
            <w:r w:rsidRPr="001A2F85">
              <w:t>Note: This includes HEPPP funding and additional funding sources used to support HEPPP projects. Annual report funding data does not always match the HEPPP Finance Data collection due to reporting differences.</w:t>
            </w:r>
          </w:p>
          <w:p w14:paraId="0F9B657F" w14:textId="77777777" w:rsidR="00090683" w:rsidRPr="001A2F85" w:rsidRDefault="00090683" w:rsidP="000B7E9A">
            <w:pPr>
              <w:pStyle w:val="Source"/>
            </w:pPr>
            <w:r w:rsidRPr="001A2F85">
              <w:t xml:space="preserve">Source: </w:t>
            </w:r>
            <w:r>
              <w:t xml:space="preserve">UNIVERSITY </w:t>
            </w:r>
            <w:r w:rsidRPr="001A2F85">
              <w:t>HEPPP ANNUAL REPORTS</w:t>
            </w:r>
            <w:r>
              <w:t xml:space="preserve"> </w:t>
            </w:r>
          </w:p>
        </w:tc>
      </w:tr>
      <w:tr w:rsidR="00090683" w:rsidRPr="001A2F85" w14:paraId="03F97D14" w14:textId="77777777" w:rsidTr="000B7E9A">
        <w:trPr>
          <w:trHeight w:hRule="exact" w:val="160"/>
        </w:trPr>
        <w:tc>
          <w:tcPr>
            <w:tcW w:w="8168" w:type="dxa"/>
            <w:tcBorders>
              <w:top w:val="single" w:sz="4" w:space="0" w:color="auto"/>
            </w:tcBorders>
          </w:tcPr>
          <w:p w14:paraId="04171125" w14:textId="77777777" w:rsidR="00090683" w:rsidRPr="001A2F85" w:rsidRDefault="00090683" w:rsidP="000B7E9A">
            <w:pPr>
              <w:pStyle w:val="spacertbl"/>
            </w:pPr>
          </w:p>
        </w:tc>
      </w:tr>
    </w:tbl>
    <w:p w14:paraId="15402A6E" w14:textId="77777777" w:rsidR="00090683" w:rsidRPr="001A2F85" w:rsidRDefault="00090683" w:rsidP="00090683">
      <w:pPr>
        <w:pStyle w:val="ListNumber"/>
        <w:numPr>
          <w:ilvl w:val="0"/>
          <w:numId w:val="0"/>
        </w:numPr>
      </w:pPr>
      <w:r w:rsidRPr="001A2F85">
        <w:t>The majority of additional funding to HEPPP projects is contributed from university budgets (4</w:t>
      </w:r>
      <w:r>
        <w:t>8 </w:t>
      </w:r>
      <w:r w:rsidRPr="001A2F85">
        <w:t>per</w:t>
      </w:r>
      <w:r>
        <w:t> </w:t>
      </w:r>
      <w:r w:rsidRPr="001A2F85">
        <w:t>cent), followed by philanthropic contributions (</w:t>
      </w:r>
      <w:r>
        <w:t>20</w:t>
      </w:r>
      <w:r w:rsidRPr="001A2F85">
        <w:t> per cent) (</w:t>
      </w:r>
      <w:r w:rsidRPr="00AD49C8">
        <w:t>Figure 10.17</w:t>
      </w:r>
      <w:r w:rsidRPr="001A2F85">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1A2F85" w14:paraId="3050ADA0" w14:textId="77777777" w:rsidTr="000B7E9A">
        <w:trPr>
          <w:cantSplit/>
          <w:trHeight w:hRule="exact" w:val="160"/>
        </w:trPr>
        <w:tc>
          <w:tcPr>
            <w:tcW w:w="8168" w:type="dxa"/>
            <w:tcBorders>
              <w:bottom w:val="single" w:sz="4" w:space="0" w:color="auto"/>
            </w:tcBorders>
          </w:tcPr>
          <w:p w14:paraId="59A88059" w14:textId="77777777" w:rsidR="00090683" w:rsidRPr="001A2F85" w:rsidRDefault="00090683" w:rsidP="000B7E9A">
            <w:pPr>
              <w:pStyle w:val="spacer"/>
            </w:pPr>
          </w:p>
        </w:tc>
      </w:tr>
      <w:tr w:rsidR="00090683" w:rsidRPr="001A2F85" w14:paraId="7EB94B22" w14:textId="77777777" w:rsidTr="000B7E9A">
        <w:trPr>
          <w:cantSplit/>
        </w:trPr>
        <w:tc>
          <w:tcPr>
            <w:tcW w:w="8168" w:type="dxa"/>
            <w:tcBorders>
              <w:top w:val="single" w:sz="4" w:space="0" w:color="auto"/>
            </w:tcBorders>
            <w:tcMar>
              <w:left w:w="0" w:type="dxa"/>
            </w:tcMar>
          </w:tcPr>
          <w:p w14:paraId="22219E0E" w14:textId="77777777" w:rsidR="00090683" w:rsidRPr="001A2F85" w:rsidRDefault="00090683" w:rsidP="000B7E9A">
            <w:pPr>
              <w:pStyle w:val="Caption"/>
            </w:pPr>
            <w:bookmarkStart w:id="588" w:name="_Ref462247801"/>
            <w:bookmarkStart w:id="589" w:name="_Toc462246076"/>
            <w:bookmarkStart w:id="590" w:name="_Toc464552008"/>
            <w:bookmarkStart w:id="591" w:name="_Toc466655729"/>
            <w:r w:rsidRPr="001A2F85">
              <w:rPr>
                <w:rStyle w:val="CaptionLabel"/>
              </w:rPr>
              <w:t>Figure </w:t>
            </w:r>
            <w:r>
              <w:rPr>
                <w:rStyle w:val="CaptionLabel"/>
                <w:noProof/>
              </w:rPr>
              <w:t>10</w:t>
            </w:r>
            <w:r w:rsidRPr="001A2F85">
              <w:rPr>
                <w:rStyle w:val="CaptionLabel"/>
              </w:rPr>
              <w:t>.</w:t>
            </w:r>
            <w:r>
              <w:rPr>
                <w:rStyle w:val="CaptionLabel"/>
                <w:noProof/>
              </w:rPr>
              <w:t>17</w:t>
            </w:r>
            <w:bookmarkEnd w:id="588"/>
            <w:r w:rsidRPr="001A2F85">
              <w:tab/>
              <w:t>Proportion of additional HEPPP funding by source</w:t>
            </w:r>
            <w:bookmarkEnd w:id="589"/>
            <w:bookmarkEnd w:id="590"/>
            <w:bookmarkEnd w:id="591"/>
          </w:p>
        </w:tc>
      </w:tr>
      <w:tr w:rsidR="00090683" w:rsidRPr="001A2F85" w14:paraId="63393C39" w14:textId="77777777" w:rsidTr="000B7E9A">
        <w:trPr>
          <w:cantSplit/>
          <w:trHeight w:hRule="exact" w:val="380"/>
        </w:trPr>
        <w:tc>
          <w:tcPr>
            <w:tcW w:w="8168" w:type="dxa"/>
            <w:tcBorders>
              <w:bottom w:val="single" w:sz="4" w:space="0" w:color="auto"/>
            </w:tcBorders>
          </w:tcPr>
          <w:p w14:paraId="25846591" w14:textId="77777777" w:rsidR="00090683" w:rsidRPr="001A2F85" w:rsidRDefault="00090683" w:rsidP="000B7E9A">
            <w:pPr>
              <w:pStyle w:val="spacer"/>
            </w:pPr>
            <w:r>
              <w:rPr>
                <w:noProof/>
                <w:lang w:eastAsia="en-AU"/>
              </w:rPr>
              <mc:AlternateContent>
                <mc:Choice Requires="wps">
                  <w:drawing>
                    <wp:anchor distT="0" distB="0" distL="114300" distR="114300" simplePos="0" relativeHeight="251699712" behindDoc="0" locked="1" layoutInCell="1" allowOverlap="1" wp14:anchorId="0D0819BD" wp14:editId="7B360647">
                      <wp:simplePos x="0" y="0"/>
                      <wp:positionH relativeFrom="rightMargin">
                        <wp:posOffset>-772795</wp:posOffset>
                      </wp:positionH>
                      <wp:positionV relativeFrom="page">
                        <wp:posOffset>0</wp:posOffset>
                      </wp:positionV>
                      <wp:extent cx="436880" cy="213360"/>
                      <wp:effectExtent l="0" t="0" r="1270" b="0"/>
                      <wp:wrapNone/>
                      <wp:docPr id="15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CBF30D" id="Freeform 5" o:spid="_x0000_s1026" style="position:absolute;margin-left:-60.85pt;margin-top:0;width:34.4pt;height:16.8pt;z-index:251699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CmYFHp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1A2F85" w14:paraId="0D7F4B13"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25C83AAA" w14:textId="77777777" w:rsidR="00090683" w:rsidRPr="001A2F85" w:rsidRDefault="00090683" w:rsidP="000B7E9A">
            <w:pPr>
              <w:pStyle w:val="Figure"/>
            </w:pPr>
            <w:r>
              <w:rPr>
                <w:noProof/>
                <w:lang w:eastAsia="en-AU"/>
              </w:rPr>
              <w:drawing>
                <wp:inline distT="0" distB="0" distL="0" distR="0" wp14:anchorId="701D77CF" wp14:editId="629BBA51">
                  <wp:extent cx="5191125" cy="2190750"/>
                  <wp:effectExtent l="0" t="0" r="0" b="0"/>
                  <wp:docPr id="84"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91125" cy="2190750"/>
                          </a:xfrm>
                          <a:prstGeom prst="rect">
                            <a:avLst/>
                          </a:prstGeom>
                          <a:noFill/>
                          <a:ln>
                            <a:noFill/>
                          </a:ln>
                        </pic:spPr>
                      </pic:pic>
                    </a:graphicData>
                  </a:graphic>
                </wp:inline>
              </w:drawing>
            </w:r>
          </w:p>
        </w:tc>
      </w:tr>
      <w:tr w:rsidR="00090683" w:rsidRPr="001A2F85" w14:paraId="7A9DD7CE"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676FDE08" w14:textId="77777777" w:rsidR="00090683" w:rsidRPr="001A2F85" w:rsidRDefault="00090683" w:rsidP="000B7E9A">
            <w:pPr>
              <w:pStyle w:val="Note"/>
            </w:pPr>
            <w:r w:rsidRPr="001A2F85">
              <w:t>Note: This includes additional funding sources used to support HEPPP projects. Annual report funding data does not always match the HEPPP Finance Data collection due to reporting differences.</w:t>
            </w:r>
          </w:p>
          <w:p w14:paraId="49A5D9B5" w14:textId="77777777" w:rsidR="00090683" w:rsidRPr="001A2F85" w:rsidRDefault="00090683" w:rsidP="000B7E9A">
            <w:pPr>
              <w:pStyle w:val="Source"/>
            </w:pPr>
            <w:r w:rsidRPr="001A2F85">
              <w:t xml:space="preserve">Source: </w:t>
            </w:r>
            <w:r>
              <w:t xml:space="preserve">UNIVERSITY </w:t>
            </w:r>
            <w:r w:rsidRPr="001A2F85">
              <w:t>HEPPP ANNUAL REPORTS</w:t>
            </w:r>
            <w:r>
              <w:t xml:space="preserve"> </w:t>
            </w:r>
          </w:p>
        </w:tc>
      </w:tr>
      <w:tr w:rsidR="00090683" w:rsidRPr="001A2F85" w14:paraId="347EDAD8" w14:textId="77777777" w:rsidTr="000B7E9A">
        <w:trPr>
          <w:trHeight w:hRule="exact" w:val="160"/>
        </w:trPr>
        <w:tc>
          <w:tcPr>
            <w:tcW w:w="8168" w:type="dxa"/>
            <w:tcBorders>
              <w:top w:val="single" w:sz="4" w:space="0" w:color="auto"/>
            </w:tcBorders>
          </w:tcPr>
          <w:p w14:paraId="146CFEFD" w14:textId="77777777" w:rsidR="00090683" w:rsidRPr="001A2F85" w:rsidRDefault="00090683" w:rsidP="000B7E9A">
            <w:pPr>
              <w:pStyle w:val="spacertbl"/>
            </w:pPr>
          </w:p>
        </w:tc>
      </w:tr>
    </w:tbl>
    <w:p w14:paraId="019E6D62" w14:textId="77777777" w:rsidR="00090683" w:rsidRPr="001A2F85" w:rsidRDefault="00090683" w:rsidP="00090683">
      <w:pPr>
        <w:pStyle w:val="BodyText"/>
      </w:pPr>
      <w:r>
        <w:t>Overall, t</w:t>
      </w:r>
      <w:r w:rsidRPr="009A7A12">
        <w:t>here is evidence that the HEPPP is displacing some funding universities would otherwise expend on student support services, although it is not possible to judge the extent of this. Conversely, HEPPP is being leveraged with additional sources of funding sources to enhance or extend equity projects. There are insufficient quantitative data available to indicate the net of these displacement and leveraging effects.</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1A2F85" w14:paraId="14EA4D6C" w14:textId="77777777" w:rsidTr="000B7E9A">
        <w:trPr>
          <w:cantSplit/>
        </w:trPr>
        <w:tc>
          <w:tcPr>
            <w:tcW w:w="8614" w:type="dxa"/>
            <w:tcMar>
              <w:top w:w="160" w:type="dxa"/>
              <w:left w:w="446" w:type="dxa"/>
            </w:tcMar>
          </w:tcPr>
          <w:p w14:paraId="35D70512" w14:textId="77777777" w:rsidR="00090683" w:rsidRPr="001A2F85" w:rsidRDefault="00090683" w:rsidP="000B7E9A">
            <w:pPr>
              <w:pStyle w:val="Caption"/>
            </w:pPr>
            <w:r w:rsidRPr="001A2F85">
              <w:rPr>
                <w:rStyle w:val="CaptionLabel"/>
              </w:rPr>
              <w:t>Key Finding </w:t>
            </w:r>
            <w:r>
              <w:rPr>
                <w:rStyle w:val="CaptionLabel"/>
                <w:noProof/>
              </w:rPr>
              <w:t>8</w:t>
            </w:r>
            <w:r w:rsidRPr="001A2F85">
              <w:tab/>
              <w:t>EFFICIENCY of the HEPPP</w:t>
            </w:r>
          </w:p>
        </w:tc>
      </w:tr>
      <w:tr w:rsidR="00090683" w:rsidRPr="001A2F85" w14:paraId="522062B5" w14:textId="77777777" w:rsidTr="000B7E9A">
        <w:trPr>
          <w:cantSplit/>
        </w:trPr>
        <w:tc>
          <w:tcPr>
            <w:tcW w:w="8614" w:type="dxa"/>
            <w:shd w:val="clear" w:color="auto" w:fill="E4E0DD"/>
            <w:tcMar>
              <w:top w:w="276" w:type="dxa"/>
              <w:bottom w:w="0" w:type="dxa"/>
              <w:right w:w="120" w:type="dxa"/>
            </w:tcMar>
          </w:tcPr>
          <w:p w14:paraId="7BA8EAEB" w14:textId="77777777" w:rsidR="00090683" w:rsidRDefault="00090683" w:rsidP="000B7E9A">
            <w:pPr>
              <w:pStyle w:val="BoxText"/>
            </w:pPr>
            <w:r w:rsidRPr="00F84DDC">
              <w:t>There is considerable variety in HEPPP outputs, as implemented by universities, and a lack of compreh</w:t>
            </w:r>
            <w:r>
              <w:t>en</w:t>
            </w:r>
            <w:r w:rsidRPr="00F84DDC">
              <w:t>sive data on program participation. As such, it is not possible to determine a cost per output for the program.</w:t>
            </w:r>
          </w:p>
          <w:p w14:paraId="1A492C8A" w14:textId="77777777" w:rsidR="00090683" w:rsidRPr="001A2F85" w:rsidRDefault="00090683" w:rsidP="000B7E9A">
            <w:pPr>
              <w:pStyle w:val="BoxText"/>
            </w:pPr>
            <w:r w:rsidRPr="001A2F85">
              <w:t xml:space="preserve">HEPPP funding rose from 2010-2013, before falling </w:t>
            </w:r>
            <w:r>
              <w:t>in</w:t>
            </w:r>
            <w:r w:rsidRPr="001A2F85">
              <w:t xml:space="preserve"> 2014-2015. The majority of HEPPP funding is allocated on a formula basis, with around a quarter allocated through grants processes. Funding levels per university differ based on the share of low SES students and the success of each university at winning competitive grants under the program. HEPPP funding is split relatively evenly on a per university basis between metropolitan and regional universities. </w:t>
            </w:r>
          </w:p>
          <w:p w14:paraId="043E64A8" w14:textId="77777777" w:rsidR="00090683" w:rsidRPr="001A2F85" w:rsidRDefault="00090683" w:rsidP="000B7E9A">
            <w:pPr>
              <w:pStyle w:val="BoxText"/>
            </w:pPr>
            <w:r w:rsidRPr="001A2F85">
              <w:t>HEPPP funding has been consistently below the Bradley Review recommendation of 4 per cent of the total grants for teaching. Participation funding was above the Base Funding Review recommended level for 2012-2014, before dipping below this level in 2015.</w:t>
            </w:r>
          </w:p>
          <w:p w14:paraId="68A82F2F" w14:textId="5B8159BC" w:rsidR="00090683" w:rsidRPr="001A2F85" w:rsidRDefault="00090683" w:rsidP="000B7E9A">
            <w:pPr>
              <w:pStyle w:val="BoxText"/>
            </w:pPr>
            <w:r w:rsidRPr="001A2F85">
              <w:t xml:space="preserve">There is no clear definition of administrative costs under the HEPPP (or in the higher education sector more broadly). Based on an analysis of university HEPPP reporting, the </w:t>
            </w:r>
            <w:r w:rsidR="00FE03F3" w:rsidRPr="001A2F85">
              <w:t>share of administrative costs relative to total expenditure is</w:t>
            </w:r>
            <w:r w:rsidRPr="001A2F85">
              <w:t xml:space="preserve"> around </w:t>
            </w:r>
            <w:r>
              <w:t>2</w:t>
            </w:r>
            <w:r w:rsidRPr="001A2F85">
              <w:t xml:space="preserve"> per cent of the total HEPPP budget. </w:t>
            </w:r>
          </w:p>
          <w:p w14:paraId="17271A15" w14:textId="77777777" w:rsidR="00090683" w:rsidRPr="001A2F85" w:rsidRDefault="00090683" w:rsidP="000B7E9A">
            <w:pPr>
              <w:pStyle w:val="BoxText"/>
            </w:pPr>
            <w:r w:rsidRPr="001A2F85">
              <w:t xml:space="preserve">There is evidence that the HEPPP is displacing some funding universities would otherwise expend on student support services, </w:t>
            </w:r>
            <w:r>
              <w:t>al</w:t>
            </w:r>
            <w:r w:rsidRPr="001A2F85">
              <w:t xml:space="preserve">though </w:t>
            </w:r>
            <w:r>
              <w:t>it is not possible to judge the extent of this</w:t>
            </w:r>
            <w:r w:rsidRPr="001A2F85">
              <w:t xml:space="preserve">. Conversely, HEPPP is being leveraged with additional sources of funding sources to enhance or extend equity projects. There are insufficient quantitative data available to indicate the net of these displacement and leveraging effects. </w:t>
            </w:r>
          </w:p>
        </w:tc>
      </w:tr>
      <w:tr w:rsidR="00090683" w:rsidRPr="001A2F85" w14:paraId="696BBFA1" w14:textId="77777777" w:rsidTr="000B7E9A">
        <w:trPr>
          <w:cantSplit/>
          <w:trHeight w:hRule="exact" w:val="376"/>
        </w:trPr>
        <w:tc>
          <w:tcPr>
            <w:tcW w:w="8614" w:type="dxa"/>
            <w:shd w:val="clear" w:color="auto" w:fill="E4E0DD"/>
            <w:tcMar>
              <w:top w:w="0" w:type="dxa"/>
              <w:bottom w:w="0" w:type="dxa"/>
              <w:right w:w="0" w:type="dxa"/>
            </w:tcMar>
          </w:tcPr>
          <w:p w14:paraId="3F7793BE" w14:textId="77777777" w:rsidR="00090683" w:rsidRPr="001A2F85" w:rsidRDefault="00090683" w:rsidP="000B7E9A">
            <w:pPr>
              <w:pStyle w:val="spacer"/>
            </w:pPr>
          </w:p>
        </w:tc>
      </w:tr>
      <w:tr w:rsidR="00090683" w:rsidRPr="001A2F85" w14:paraId="4BB27DF9" w14:textId="77777777" w:rsidTr="000B7E9A">
        <w:trPr>
          <w:cantSplit/>
          <w:trHeight w:hRule="exact" w:val="180"/>
        </w:trPr>
        <w:tc>
          <w:tcPr>
            <w:tcW w:w="8614" w:type="dxa"/>
            <w:tcMar>
              <w:top w:w="0" w:type="dxa"/>
              <w:left w:w="446" w:type="dxa"/>
              <w:bottom w:w="0" w:type="dxa"/>
            </w:tcMar>
          </w:tcPr>
          <w:p w14:paraId="65A37AFF" w14:textId="77777777" w:rsidR="00090683" w:rsidRPr="001A2F85" w:rsidRDefault="00090683" w:rsidP="000B7E9A">
            <w:pPr>
              <w:pStyle w:val="spacertbl"/>
            </w:pPr>
            <w:r>
              <w:rPr>
                <w:noProof/>
                <w:lang w:eastAsia="en-AU"/>
              </w:rPr>
              <mc:AlternateContent>
                <mc:Choice Requires="wps">
                  <w:drawing>
                    <wp:anchor distT="0" distB="0" distL="114300" distR="114300" simplePos="0" relativeHeight="251705856" behindDoc="0" locked="1" layoutInCell="1" allowOverlap="1" wp14:anchorId="1481F968" wp14:editId="0B479E41">
                      <wp:simplePos x="0" y="0"/>
                      <wp:positionH relativeFrom="rightMargin">
                        <wp:posOffset>-772795</wp:posOffset>
                      </wp:positionH>
                      <wp:positionV relativeFrom="page">
                        <wp:posOffset>-237490</wp:posOffset>
                      </wp:positionV>
                      <wp:extent cx="436880" cy="213360"/>
                      <wp:effectExtent l="0" t="0" r="1270" b="0"/>
                      <wp:wrapNone/>
                      <wp:docPr id="15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1D04A3" id="Freeform 5" o:spid="_x0000_s1026" style="position:absolute;margin-left:-60.85pt;margin-top:-18.7pt;width:34.4pt;height:16.8pt;z-index:251705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pHew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s4MaR3sDAADC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1997A488" w14:textId="77777777" w:rsidR="00090683" w:rsidRPr="001A2F85" w:rsidRDefault="00090683" w:rsidP="00090683">
      <w:pPr>
        <w:pStyle w:val="BodyText"/>
      </w:pPr>
    </w:p>
    <w:p w14:paraId="698FBE89" w14:textId="77777777" w:rsidR="00090683" w:rsidRPr="001A2F85" w:rsidRDefault="00090683" w:rsidP="00090683">
      <w:pPr>
        <w:pStyle w:val="BodyText"/>
      </w:pPr>
    </w:p>
    <w:p w14:paraId="4A8D7266" w14:textId="77777777" w:rsidR="00090683" w:rsidRPr="001A2F85" w:rsidRDefault="00090683" w:rsidP="00090683">
      <w:pPr>
        <w:pStyle w:val="BodyText"/>
      </w:pPr>
    </w:p>
    <w:p w14:paraId="2F6A8AB9" w14:textId="77777777" w:rsidR="00090683" w:rsidRPr="001A2F85" w:rsidRDefault="00090683" w:rsidP="00090683">
      <w:pPr>
        <w:pStyle w:val="BodyText"/>
      </w:pPr>
    </w:p>
    <w:p w14:paraId="2558A29E" w14:textId="77777777" w:rsidR="00090683" w:rsidRPr="001A2F85" w:rsidRDefault="00090683" w:rsidP="00090683">
      <w:pPr>
        <w:pStyle w:val="BodyText"/>
        <w:sectPr w:rsidR="00090683" w:rsidRPr="001A2F85" w:rsidSect="00EA6577">
          <w:pgSz w:w="11907" w:h="16839" w:code="9"/>
          <w:pgMar w:top="1100" w:right="443" w:bottom="1320" w:left="3296" w:header="456" w:footer="262" w:gutter="0"/>
          <w:cols w:space="708"/>
          <w:docGrid w:linePitch="360"/>
        </w:sect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3119"/>
      </w:tblGrid>
      <w:tr w:rsidR="00090683" w:rsidRPr="001A2F85" w14:paraId="7BE912F3" w14:textId="77777777" w:rsidTr="000B7E9A">
        <w:trPr>
          <w:trHeight w:hRule="exact" w:val="382"/>
        </w:trPr>
        <w:tc>
          <w:tcPr>
            <w:tcW w:w="5103" w:type="dxa"/>
            <w:shd w:val="clear" w:color="auto" w:fill="9D57A6"/>
          </w:tcPr>
          <w:p w14:paraId="54633ED8" w14:textId="77777777" w:rsidR="00090683" w:rsidRPr="001A2F85" w:rsidRDefault="00090683" w:rsidP="000B7E9A">
            <w:pPr>
              <w:pStyle w:val="tagpartBanner"/>
              <w:keepNext/>
            </w:pPr>
            <w:r>
              <w:rPr>
                <w:noProof/>
                <w:lang w:eastAsia="en-AU"/>
              </w:rPr>
              <mc:AlternateContent>
                <mc:Choice Requires="wps">
                  <w:drawing>
                    <wp:anchor distT="0" distB="0" distL="114300" distR="114300" simplePos="0" relativeHeight="251684352" behindDoc="0" locked="1" layoutInCell="1" allowOverlap="1" wp14:anchorId="013F2BAC" wp14:editId="558EDB82">
                      <wp:simplePos x="0" y="0"/>
                      <wp:positionH relativeFrom="page">
                        <wp:posOffset>158750</wp:posOffset>
                      </wp:positionH>
                      <wp:positionV relativeFrom="page">
                        <wp:posOffset>6350</wp:posOffset>
                      </wp:positionV>
                      <wp:extent cx="439420" cy="215265"/>
                      <wp:effectExtent l="0" t="0" r="0" b="0"/>
                      <wp:wrapNone/>
                      <wp:docPr id="52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49892E" id="Freeform 5" o:spid="_x0000_s1026" style="position:absolute;margin-left:12.5pt;margin-top:.5pt;width:34.6pt;height:16.9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119" w:type="dxa"/>
            <w:shd w:val="clear" w:color="auto" w:fill="9D57A6"/>
          </w:tcPr>
          <w:p w14:paraId="7E6ECE30" w14:textId="77777777" w:rsidR="00090683" w:rsidRPr="001A2F85" w:rsidRDefault="00090683" w:rsidP="000B7E9A">
            <w:pPr>
              <w:pStyle w:val="spacer"/>
            </w:pPr>
          </w:p>
        </w:tc>
      </w:tr>
      <w:tr w:rsidR="00090683" w:rsidRPr="001A2F85" w14:paraId="1A718413" w14:textId="77777777" w:rsidTr="000B7E9A">
        <w:trPr>
          <w:trHeight w:hRule="exact" w:val="3665"/>
        </w:trPr>
        <w:tc>
          <w:tcPr>
            <w:tcW w:w="5103" w:type="dxa"/>
            <w:shd w:val="clear" w:color="auto" w:fill="9D57A6"/>
            <w:tcMar>
              <w:left w:w="0" w:type="dxa"/>
            </w:tcMar>
            <w:vAlign w:val="bottom"/>
          </w:tcPr>
          <w:p w14:paraId="3788FCDF" w14:textId="77777777" w:rsidR="00090683" w:rsidRPr="001A2F85" w:rsidRDefault="00090683" w:rsidP="000B7E9A">
            <w:pPr>
              <w:pStyle w:val="Part-HeadingBanner"/>
              <w:keepNext/>
              <w:ind w:right="-517"/>
            </w:pPr>
            <w:r w:rsidRPr="001A2F85">
              <w:t>Part 3: Appropriateness and recommendations</w:t>
            </w:r>
          </w:p>
        </w:tc>
        <w:tc>
          <w:tcPr>
            <w:tcW w:w="3119" w:type="dxa"/>
            <w:shd w:val="clear" w:color="auto" w:fill="9D57A6"/>
            <w:tcMar>
              <w:right w:w="316" w:type="dxa"/>
            </w:tcMar>
          </w:tcPr>
          <w:p w14:paraId="1D59D5F3" w14:textId="77777777" w:rsidR="00090683" w:rsidRPr="001A2F85" w:rsidRDefault="00090683" w:rsidP="000B7E9A">
            <w:pPr>
              <w:pStyle w:val="Part-Number"/>
            </w:pPr>
            <w:r>
              <w:rPr>
                <w:noProof/>
              </w:rPr>
              <w:t>III</w:t>
            </w:r>
          </w:p>
        </w:tc>
      </w:tr>
      <w:tr w:rsidR="00090683" w:rsidRPr="001A2F85" w14:paraId="74A8BBC3" w14:textId="77777777" w:rsidTr="000B7E9A">
        <w:trPr>
          <w:trHeight w:hRule="exact" w:val="232"/>
        </w:trPr>
        <w:tc>
          <w:tcPr>
            <w:tcW w:w="5103" w:type="dxa"/>
            <w:shd w:val="clear" w:color="auto" w:fill="9D57A6"/>
            <w:tcMar>
              <w:left w:w="0" w:type="dxa"/>
            </w:tcMar>
          </w:tcPr>
          <w:p w14:paraId="0FE49A9B" w14:textId="77777777" w:rsidR="00090683" w:rsidRPr="001A2F85" w:rsidRDefault="00090683" w:rsidP="000B7E9A">
            <w:pPr>
              <w:pStyle w:val="spacer"/>
            </w:pPr>
          </w:p>
        </w:tc>
        <w:tc>
          <w:tcPr>
            <w:tcW w:w="3119" w:type="dxa"/>
            <w:shd w:val="clear" w:color="auto" w:fill="9D57A6"/>
            <w:tcMar>
              <w:right w:w="344" w:type="dxa"/>
            </w:tcMar>
          </w:tcPr>
          <w:p w14:paraId="500BEDA5" w14:textId="77777777" w:rsidR="00090683" w:rsidRPr="001A2F85" w:rsidRDefault="00090683" w:rsidP="000B7E9A">
            <w:pPr>
              <w:pStyle w:val="Partxx"/>
              <w:keepNext/>
            </w:pPr>
            <w:bookmarkStart w:id="592" w:name="_Toc415731115"/>
            <w:bookmarkStart w:id="593" w:name="_Toc415731126"/>
            <w:bookmarkStart w:id="594" w:name="_Toc415731301"/>
            <w:bookmarkStart w:id="595" w:name="_Toc415731338"/>
            <w:bookmarkStart w:id="596" w:name="_Toc415731367"/>
            <w:bookmarkStart w:id="597" w:name="_Toc415731402"/>
            <w:bookmarkStart w:id="598" w:name="_Toc415733024"/>
            <w:bookmarkStart w:id="599" w:name="_Toc415735517"/>
            <w:bookmarkStart w:id="600" w:name="_Toc415735619"/>
            <w:bookmarkStart w:id="601" w:name="_Toc415735820"/>
            <w:bookmarkStart w:id="602" w:name="_Toc415736181"/>
            <w:bookmarkStart w:id="603" w:name="_Toc415736427"/>
            <w:bookmarkStart w:id="604" w:name="_Toc415736485"/>
            <w:bookmarkStart w:id="605" w:name="_Toc415736787"/>
            <w:bookmarkStart w:id="606" w:name="_Toc415736877"/>
            <w:bookmarkStart w:id="607" w:name="_Toc415736949"/>
            <w:bookmarkStart w:id="608" w:name="_Toc415736993"/>
            <w:bookmarkStart w:id="609" w:name="_Toc415737037"/>
            <w:bookmarkStart w:id="610" w:name="_Toc415737217"/>
            <w:bookmarkStart w:id="611" w:name="_Toc415738166"/>
            <w:bookmarkStart w:id="612" w:name="_Toc415738251"/>
            <w:bookmarkStart w:id="613" w:name="_Toc415738292"/>
            <w:bookmarkStart w:id="614" w:name="_Toc415738360"/>
            <w:bookmarkStart w:id="615" w:name="_Toc415738506"/>
            <w:bookmarkStart w:id="616" w:name="_Toc415738548"/>
            <w:bookmarkStart w:id="617" w:name="_Toc415739268"/>
            <w:bookmarkStart w:id="618" w:name="_Toc415739311"/>
            <w:bookmarkStart w:id="619" w:name="_Toc415740127"/>
            <w:bookmarkStart w:id="620" w:name="_Toc415743543"/>
            <w:bookmarkStart w:id="621" w:name="_Toc415743592"/>
            <w:bookmarkStart w:id="622" w:name="_Toc415743640"/>
            <w:bookmarkStart w:id="623" w:name="_Toc415743689"/>
            <w:bookmarkStart w:id="624" w:name="_Toc415743737"/>
            <w:bookmarkStart w:id="625" w:name="_Toc415743786"/>
            <w:bookmarkStart w:id="626" w:name="_Toc415745591"/>
            <w:bookmarkStart w:id="627" w:name="_Toc466657161"/>
            <w:r w:rsidRPr="001A2F85">
              <w:t xml:space="preserve">PART </w:t>
            </w:r>
            <w:r>
              <w:rPr>
                <w:noProof/>
              </w:rPr>
              <w:t>III</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tc>
      </w:tr>
      <w:tr w:rsidR="00090683" w:rsidRPr="001A2F85" w14:paraId="40F143CD" w14:textId="77777777" w:rsidTr="000B7E9A">
        <w:trPr>
          <w:trHeight w:hRule="exact" w:val="228"/>
        </w:trPr>
        <w:tc>
          <w:tcPr>
            <w:tcW w:w="5103" w:type="dxa"/>
            <w:tcBorders>
              <w:top w:val="single" w:sz="4" w:space="0" w:color="9D57A6"/>
            </w:tcBorders>
          </w:tcPr>
          <w:p w14:paraId="08382C77" w14:textId="77777777" w:rsidR="00090683" w:rsidRPr="001A2F85" w:rsidRDefault="00090683" w:rsidP="000B7E9A">
            <w:pPr>
              <w:pStyle w:val="spacer"/>
            </w:pPr>
          </w:p>
        </w:tc>
        <w:tc>
          <w:tcPr>
            <w:tcW w:w="3119" w:type="dxa"/>
            <w:tcBorders>
              <w:top w:val="single" w:sz="4" w:space="0" w:color="9D57A6"/>
            </w:tcBorders>
          </w:tcPr>
          <w:p w14:paraId="6E0E982F" w14:textId="77777777" w:rsidR="00090683" w:rsidRPr="001A2F85" w:rsidRDefault="00090683" w:rsidP="000B7E9A">
            <w:pPr>
              <w:pStyle w:val="spacer"/>
            </w:pPr>
          </w:p>
        </w:tc>
      </w:tr>
    </w:tbl>
    <w:p w14:paraId="02C2EBB7" w14:textId="77777777" w:rsidR="00090683" w:rsidRPr="001A2F85" w:rsidRDefault="00090683" w:rsidP="00090683">
      <w:pPr>
        <w:pStyle w:val="BodyText"/>
      </w:pPr>
    </w:p>
    <w:p w14:paraId="0AD96F99" w14:textId="77777777" w:rsidR="00090683" w:rsidRPr="001A2F85" w:rsidRDefault="00090683" w:rsidP="00090683">
      <w:pPr>
        <w:pStyle w:val="BodyText"/>
      </w:pPr>
    </w:p>
    <w:p w14:paraId="529B0930" w14:textId="77777777" w:rsidR="00090683" w:rsidRPr="001A2F85" w:rsidRDefault="00090683" w:rsidP="00090683">
      <w:pPr>
        <w:pStyle w:val="BodyText"/>
      </w:pPr>
    </w:p>
    <w:p w14:paraId="20BC67A6" w14:textId="77777777" w:rsidR="00090683" w:rsidRPr="001A2F85" w:rsidRDefault="00090683" w:rsidP="00090683">
      <w:pPr>
        <w:pStyle w:val="BodyText"/>
      </w:pPr>
    </w:p>
    <w:p w14:paraId="76E1011A" w14:textId="77777777" w:rsidR="00090683" w:rsidRPr="001A2F85" w:rsidRDefault="00090683" w:rsidP="00090683">
      <w:pPr>
        <w:pStyle w:val="BodyText"/>
      </w:pPr>
    </w:p>
    <w:p w14:paraId="30F42C52" w14:textId="77777777" w:rsidR="00090683" w:rsidRPr="001A2F85" w:rsidRDefault="00090683" w:rsidP="00090683">
      <w:pPr>
        <w:pStyle w:val="BodyText"/>
      </w:pPr>
    </w:p>
    <w:p w14:paraId="22551298" w14:textId="77777777" w:rsidR="00090683" w:rsidRPr="001A2F85" w:rsidRDefault="00090683" w:rsidP="00090683">
      <w:pPr>
        <w:pStyle w:val="BodyText"/>
      </w:pPr>
    </w:p>
    <w:p w14:paraId="34B70BAA" w14:textId="77777777" w:rsidR="00090683" w:rsidRPr="001A2F85" w:rsidRDefault="00090683" w:rsidP="00090683">
      <w:pPr>
        <w:pStyle w:val="BodyText"/>
      </w:pPr>
    </w:p>
    <w:p w14:paraId="6D47464E" w14:textId="77777777" w:rsidR="00090683" w:rsidRPr="001A2F85" w:rsidRDefault="00090683" w:rsidP="00090683">
      <w:pPr>
        <w:pStyle w:val="BodyText"/>
      </w:pPr>
    </w:p>
    <w:p w14:paraId="62611E76" w14:textId="77777777" w:rsidR="00090683" w:rsidRPr="001A2F85" w:rsidRDefault="00090683" w:rsidP="00090683">
      <w:pPr>
        <w:pStyle w:val="BodyText"/>
      </w:pPr>
    </w:p>
    <w:p w14:paraId="42DA8616" w14:textId="77777777" w:rsidR="00090683" w:rsidRPr="001A2F85" w:rsidRDefault="00090683" w:rsidP="00090683">
      <w:pPr>
        <w:pStyle w:val="BodyText"/>
      </w:pPr>
    </w:p>
    <w:p w14:paraId="5456BF13" w14:textId="77777777" w:rsidR="00090683" w:rsidRPr="001A2F85" w:rsidRDefault="00090683" w:rsidP="00090683">
      <w:pPr>
        <w:pStyle w:val="BodyText"/>
      </w:pPr>
    </w:p>
    <w:p w14:paraId="1EED27E0" w14:textId="77777777" w:rsidR="00090683" w:rsidRPr="001A2F85" w:rsidRDefault="00090683" w:rsidP="00090683">
      <w:pPr>
        <w:pStyle w:val="BodyText"/>
      </w:pPr>
    </w:p>
    <w:p w14:paraId="0B1F8C67" w14:textId="77777777" w:rsidR="00090683" w:rsidRPr="001A2F85" w:rsidRDefault="00090683" w:rsidP="00090683">
      <w:pPr>
        <w:pStyle w:val="BodyText"/>
      </w:pPr>
    </w:p>
    <w:p w14:paraId="5459FE98" w14:textId="77777777" w:rsidR="00090683" w:rsidRPr="001A2F85" w:rsidRDefault="00090683" w:rsidP="00090683">
      <w:pPr>
        <w:pStyle w:val="BodyText"/>
      </w:pPr>
    </w:p>
    <w:p w14:paraId="1B88E962" w14:textId="77777777" w:rsidR="00090683" w:rsidRPr="001A2F85" w:rsidRDefault="00090683" w:rsidP="00090683">
      <w:pPr>
        <w:pStyle w:val="BodyText"/>
      </w:pPr>
    </w:p>
    <w:p w14:paraId="6E6E181C" w14:textId="77777777" w:rsidR="00090683" w:rsidRPr="001A2F85" w:rsidRDefault="00090683" w:rsidP="00090683">
      <w:pPr>
        <w:pStyle w:val="BodyText"/>
      </w:pPr>
    </w:p>
    <w:p w14:paraId="109FDD44" w14:textId="77777777" w:rsidR="00090683" w:rsidRPr="001A2F85" w:rsidRDefault="00090683" w:rsidP="00090683">
      <w:pPr>
        <w:pStyle w:val="BodyText"/>
        <w:sectPr w:rsidR="00090683" w:rsidRPr="001A2F85" w:rsidSect="000B6604">
          <w:pgSz w:w="11907" w:h="16839" w:code="9"/>
          <w:pgMar w:top="1100" w:right="443" w:bottom="1320" w:left="3296" w:header="456" w:footer="262" w:gutter="0"/>
          <w:cols w:space="708"/>
          <w:docGrid w:linePitch="360"/>
        </w:sect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2977"/>
      </w:tblGrid>
      <w:tr w:rsidR="00090683" w:rsidRPr="001A2F85" w14:paraId="045CFBFF" w14:textId="77777777" w:rsidTr="000B7E9A">
        <w:trPr>
          <w:trHeight w:hRule="exact" w:val="382"/>
        </w:trPr>
        <w:tc>
          <w:tcPr>
            <w:tcW w:w="5245" w:type="dxa"/>
            <w:shd w:val="clear" w:color="auto" w:fill="9D57A6"/>
          </w:tcPr>
          <w:p w14:paraId="5FF82D2D" w14:textId="77777777" w:rsidR="00090683" w:rsidRPr="001A2F85" w:rsidRDefault="00090683" w:rsidP="000B7E9A">
            <w:pPr>
              <w:pStyle w:val="tagchapterBanner"/>
            </w:pPr>
            <w:r>
              <w:rPr>
                <w:noProof/>
                <w:lang w:eastAsia="en-AU"/>
              </w:rPr>
              <mc:AlternateContent>
                <mc:Choice Requires="wps">
                  <w:drawing>
                    <wp:anchor distT="0" distB="0" distL="114300" distR="114300" simplePos="0" relativeHeight="251685376" behindDoc="0" locked="1" layoutInCell="1" allowOverlap="1" wp14:anchorId="613FBE1D" wp14:editId="6487F765">
                      <wp:simplePos x="0" y="0"/>
                      <wp:positionH relativeFrom="page">
                        <wp:posOffset>158750</wp:posOffset>
                      </wp:positionH>
                      <wp:positionV relativeFrom="page">
                        <wp:posOffset>6350</wp:posOffset>
                      </wp:positionV>
                      <wp:extent cx="439420" cy="215265"/>
                      <wp:effectExtent l="0" t="0" r="0" b="0"/>
                      <wp:wrapNone/>
                      <wp:docPr id="53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3551A6" id="Freeform 5" o:spid="_x0000_s1026" style="position:absolute;margin-left:12.5pt;margin-top:.5pt;width:34.6pt;height:16.9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2977" w:type="dxa"/>
            <w:shd w:val="clear" w:color="auto" w:fill="9D57A6"/>
          </w:tcPr>
          <w:p w14:paraId="4EEA0F62" w14:textId="77777777" w:rsidR="00090683" w:rsidRPr="001A2F85" w:rsidRDefault="00090683" w:rsidP="000B7E9A">
            <w:pPr>
              <w:pStyle w:val="spacer"/>
            </w:pPr>
          </w:p>
        </w:tc>
      </w:tr>
      <w:tr w:rsidR="00090683" w:rsidRPr="001A2F85" w14:paraId="5A8F90AA" w14:textId="77777777" w:rsidTr="000B7E9A">
        <w:trPr>
          <w:trHeight w:hRule="exact" w:val="3665"/>
        </w:trPr>
        <w:tc>
          <w:tcPr>
            <w:tcW w:w="5245" w:type="dxa"/>
            <w:shd w:val="clear" w:color="auto" w:fill="9D57A6"/>
            <w:tcMar>
              <w:left w:w="0" w:type="dxa"/>
              <w:bottom w:w="0" w:type="dxa"/>
            </w:tcMar>
            <w:vAlign w:val="bottom"/>
          </w:tcPr>
          <w:p w14:paraId="7E3C0D7F" w14:textId="77777777" w:rsidR="00090683" w:rsidRPr="001A2F85" w:rsidRDefault="00090683" w:rsidP="000B7E9A">
            <w:pPr>
              <w:pStyle w:val="Heading1"/>
              <w:spacing w:line="240" w:lineRule="auto"/>
              <w:outlineLvl w:val="0"/>
            </w:pPr>
            <w:bookmarkStart w:id="628" w:name="_Ref466156241"/>
            <w:r w:rsidRPr="001A2F85">
              <w:t>Recomme</w:t>
            </w:r>
            <w:r>
              <w:t>n</w:t>
            </w:r>
            <w:r w:rsidRPr="001A2F85">
              <w:t>dations</w:t>
            </w:r>
            <w:bookmarkEnd w:id="628"/>
          </w:p>
        </w:tc>
        <w:tc>
          <w:tcPr>
            <w:tcW w:w="2977" w:type="dxa"/>
            <w:shd w:val="clear" w:color="auto" w:fill="9D57A6"/>
            <w:tcMar>
              <w:right w:w="344" w:type="dxa"/>
            </w:tcMar>
          </w:tcPr>
          <w:p w14:paraId="60DEB340" w14:textId="77777777" w:rsidR="00090683" w:rsidRPr="002C7BFE" w:rsidRDefault="00090683" w:rsidP="000B7E9A">
            <w:pPr>
              <w:pStyle w:val="HeadingChapter"/>
              <w:keepNext/>
              <w:rPr>
                <w:sz w:val="280"/>
                <w:szCs w:val="280"/>
              </w:rPr>
            </w:pPr>
            <w:bookmarkStart w:id="629" w:name="_Toc413151233"/>
            <w:bookmarkStart w:id="630" w:name="_Toc466657162"/>
            <w:r>
              <w:rPr>
                <w:sz w:val="280"/>
                <w:szCs w:val="280"/>
              </w:rPr>
              <w:t>11</w:t>
            </w:r>
            <w:bookmarkEnd w:id="629"/>
            <w:bookmarkEnd w:id="630"/>
          </w:p>
        </w:tc>
      </w:tr>
      <w:tr w:rsidR="00090683" w:rsidRPr="001A2F85" w14:paraId="79884E8E" w14:textId="77777777" w:rsidTr="000B7E9A">
        <w:trPr>
          <w:trHeight w:hRule="exact" w:val="232"/>
        </w:trPr>
        <w:tc>
          <w:tcPr>
            <w:tcW w:w="5245" w:type="dxa"/>
            <w:shd w:val="clear" w:color="auto" w:fill="9D57A6"/>
          </w:tcPr>
          <w:p w14:paraId="50ADB19C" w14:textId="77777777" w:rsidR="00090683" w:rsidRPr="001A2F85" w:rsidRDefault="00090683" w:rsidP="000B7E9A">
            <w:pPr>
              <w:pStyle w:val="Chpt-Context"/>
            </w:pPr>
          </w:p>
        </w:tc>
        <w:tc>
          <w:tcPr>
            <w:tcW w:w="2977" w:type="dxa"/>
            <w:shd w:val="clear" w:color="auto" w:fill="9D57A6"/>
          </w:tcPr>
          <w:p w14:paraId="32837E12" w14:textId="77777777" w:rsidR="00090683" w:rsidRPr="001A2F85" w:rsidRDefault="00090683" w:rsidP="000B7E9A">
            <w:pPr>
              <w:pStyle w:val="Chpt-Context"/>
            </w:pPr>
            <w:bookmarkStart w:id="631" w:name="_Toc413151234"/>
            <w:bookmarkStart w:id="632" w:name="_Toc466657163"/>
            <w:r>
              <w:rPr>
                <w:noProof/>
              </w:rPr>
              <w:t>Recommendations</w:t>
            </w:r>
            <w:bookmarkEnd w:id="631"/>
            <w:bookmarkEnd w:id="632"/>
          </w:p>
        </w:tc>
      </w:tr>
      <w:tr w:rsidR="00090683" w:rsidRPr="001A2F85" w14:paraId="7FF48518" w14:textId="77777777" w:rsidTr="000B7E9A">
        <w:trPr>
          <w:trHeight w:hRule="exact" w:val="228"/>
        </w:trPr>
        <w:tc>
          <w:tcPr>
            <w:tcW w:w="5245" w:type="dxa"/>
            <w:tcBorders>
              <w:top w:val="single" w:sz="4" w:space="0" w:color="9D57A6"/>
            </w:tcBorders>
          </w:tcPr>
          <w:p w14:paraId="7D3A8B81" w14:textId="77777777" w:rsidR="00090683" w:rsidRPr="001A2F85" w:rsidRDefault="00090683" w:rsidP="000B7E9A">
            <w:pPr>
              <w:pStyle w:val="spacer"/>
            </w:pPr>
          </w:p>
        </w:tc>
        <w:tc>
          <w:tcPr>
            <w:tcW w:w="2977" w:type="dxa"/>
            <w:tcBorders>
              <w:top w:val="single" w:sz="4" w:space="0" w:color="9D57A6"/>
            </w:tcBorders>
          </w:tcPr>
          <w:p w14:paraId="4A06BFAF" w14:textId="77777777" w:rsidR="00090683" w:rsidRPr="001A2F85" w:rsidRDefault="00090683" w:rsidP="000B7E9A">
            <w:pPr>
              <w:pStyle w:val="spacer"/>
            </w:pPr>
          </w:p>
        </w:tc>
      </w:tr>
    </w:tbl>
    <w:p w14:paraId="62A2F8D4" w14:textId="77777777" w:rsidR="00090683" w:rsidRDefault="00090683" w:rsidP="00090683">
      <w:pPr>
        <w:pStyle w:val="Introduction"/>
      </w:pPr>
      <w:r>
        <w:t xml:space="preserve">This chapter sets out recommendations that address the evaluation’s terms of reference, drawing on the evidence presented in the preceding chapters of this report. </w:t>
      </w:r>
    </w:p>
    <w:p w14:paraId="2130DAD3" w14:textId="77777777" w:rsidR="00090683" w:rsidRPr="00CE393F" w:rsidRDefault="00090683" w:rsidP="00090683">
      <w:pPr>
        <w:pStyle w:val="Heading2"/>
      </w:pPr>
      <w:bookmarkStart w:id="633" w:name="_Toc466657164"/>
      <w:r>
        <w:t>Continuing HEPPP</w:t>
      </w:r>
      <w:bookmarkEnd w:id="633"/>
    </w:p>
    <w:p w14:paraId="6A478327" w14:textId="77777777" w:rsidR="00090683" w:rsidRDefault="00090683" w:rsidP="00090683">
      <w:pPr>
        <w:pStyle w:val="BodyText"/>
      </w:pPr>
      <w:r>
        <w:t>HEPPP funding has encouraged universities to implement a wide variety of activities and projects aimed at increasing the number of low SES students interested in attending university, being prepared for and admitted to university, and progressing through and graduating from university.</w:t>
      </w:r>
      <w:r w:rsidRPr="009C3370">
        <w:t xml:space="preserve"> </w:t>
      </w:r>
      <w:r>
        <w:t xml:space="preserve">Some 2,700 projects have been initiated </w:t>
      </w:r>
      <w:r w:rsidRPr="00C52A98">
        <w:t>as a result</w:t>
      </w:r>
      <w:r>
        <w:t xml:space="preserve"> of the funding and have conservatively involved some 310,000 university students and 2,900 school and other partner organisations since the inception of HEPPP in 2010. </w:t>
      </w:r>
    </w:p>
    <w:p w14:paraId="547F5957" w14:textId="77777777" w:rsidR="00090683" w:rsidRDefault="00090683" w:rsidP="00090683">
      <w:pPr>
        <w:pStyle w:val="BodyText"/>
      </w:pPr>
      <w:r>
        <w:t>While a large number of evaluations have been carried out by universities, these have been primarily aimed at establishing student views on the projects and how to make improvements to the projects. The impacts identified by these evaluations are almost universally positive, and accord with the consultations carried out as part of this evaluation (including interviews, written submissions, and surveys).</w:t>
      </w:r>
    </w:p>
    <w:p w14:paraId="34934735" w14:textId="77777777" w:rsidR="00090683" w:rsidRDefault="00090683" w:rsidP="00090683">
      <w:pPr>
        <w:pStyle w:val="BodyText"/>
      </w:pPr>
      <w:r>
        <w:t xml:space="preserve">Administrative data also show that the key indicators HEPPP is designed to impact are mostly moving in the right direction. Importantly, low SES enrolments have increased considerably since 2010, including as a share of all enrolments, even though retention and completion rates are trending down among the low SES cohort consistent with overall student trends. </w:t>
      </w:r>
    </w:p>
    <w:p w14:paraId="111F859D" w14:textId="77777777" w:rsidR="00090683" w:rsidRDefault="00090683" w:rsidP="00090683">
      <w:pPr>
        <w:pStyle w:val="BodyText"/>
      </w:pPr>
      <w:r>
        <w:t xml:space="preserve">Overall, while the funding for the HEPPP is not a large proportion of government funding for universities (at less than 3 per cent—see section 10.1), the HEPPP appears to be positively influencing the quantity and rigour of higher education equity activities and policies. As such, it or an equivalent needs to be continued if the low SES equity target is to be achieved. </w:t>
      </w:r>
    </w:p>
    <w:p w14:paraId="015584D9" w14:textId="77777777" w:rsidR="00090683" w:rsidRDefault="00090683" w:rsidP="00090683">
      <w:pPr>
        <w:pStyle w:val="BodyText"/>
      </w:pPr>
      <w:r>
        <w:t xml:space="preserve">The direct impact of HEPPP, however, is difficult to measure, for reasons including the long time horizon over which impacts are to be expected, confounding factors such as the co-incident introduction of the DDS, and an absence of meaningful counterfactuals in the evaluations and data collected to date (self-selection into such programs is difficult to measure, particularly after the event). </w:t>
      </w:r>
    </w:p>
    <w:p w14:paraId="48D61DC5" w14:textId="77777777" w:rsidR="00090683" w:rsidRDefault="00090683" w:rsidP="00090683">
      <w:pPr>
        <w:pStyle w:val="BodyText"/>
      </w:pPr>
      <w:r>
        <w:t xml:space="preserve">Surveys conducted with university staff show that, while the majority of respondents agree that the present design of the HEPPP meets the current and future needs of low SES students, over 15 per cent disagreed (see </w:t>
      </w:r>
      <w:r w:rsidRPr="00A025EA">
        <w:t xml:space="preserve">Appendix </w:t>
      </w:r>
      <w:r>
        <w:t>D.2). Areas for improvement most commonly identified by these respondents were the length and level of the funding cycle, greater accountability and evaluation requirements regarding how the HEPPP funding is spent and the impact it makes, and a review of the equity groups.</w:t>
      </w:r>
    </w:p>
    <w:p w14:paraId="5940FD76" w14:textId="0C5C6F98" w:rsidR="00090683" w:rsidRDefault="00090683" w:rsidP="00090683">
      <w:pPr>
        <w:pStyle w:val="BodyText"/>
      </w:pPr>
      <w:r>
        <w:t xml:space="preserve">The evaluation has identified that not all of the HEPPP funding is necessarily targeting its intended low SES </w:t>
      </w:r>
      <w:r w:rsidR="00FE03F3">
        <w:t>cohort;</w:t>
      </w:r>
      <w:r>
        <w:t xml:space="preserve"> with evidence of some HEPPP projects aimed at other equity groups, in some cases even the broader student cohort. It is also not clear the extent to which </w:t>
      </w:r>
      <w:r w:rsidRPr="00C52A98">
        <w:t>some of the</w:t>
      </w:r>
      <w:r>
        <w:t xml:space="preserve"> projects funded are additional to what would be implemented as part of normal university operations.</w:t>
      </w:r>
    </w:p>
    <w:p w14:paraId="2D487694" w14:textId="77777777" w:rsidR="00090683" w:rsidRDefault="00090683" w:rsidP="00090683">
      <w:pPr>
        <w:pStyle w:val="BodyText"/>
      </w:pPr>
      <w:r>
        <w:t xml:space="preserve">As such, improvements are required in a number of areas to further increase the effectiveness of the HEPPP—first in sharpening its focus on the activities, projects and equity groups to be targeted, second in revising the funding arrangements to support this focus, and third in designing and embedding a stronger evaluation framework with which to collect the necessary data to better measure and monitor its impact and inform future improvements.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3E9457E1" w14:textId="77777777" w:rsidTr="000B7E9A">
        <w:trPr>
          <w:cantSplit/>
        </w:trPr>
        <w:tc>
          <w:tcPr>
            <w:tcW w:w="8614" w:type="dxa"/>
            <w:tcMar>
              <w:top w:w="160" w:type="dxa"/>
              <w:left w:w="446" w:type="dxa"/>
            </w:tcMar>
          </w:tcPr>
          <w:p w14:paraId="4FF9D605"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1</w:t>
            </w:r>
            <w:r>
              <w:tab/>
            </w:r>
          </w:p>
        </w:tc>
      </w:tr>
      <w:tr w:rsidR="00090683" w14:paraId="762FA573" w14:textId="77777777" w:rsidTr="000B7E9A">
        <w:trPr>
          <w:cantSplit/>
        </w:trPr>
        <w:tc>
          <w:tcPr>
            <w:tcW w:w="8614" w:type="dxa"/>
            <w:shd w:val="clear" w:color="auto" w:fill="E4E0DD"/>
            <w:tcMar>
              <w:top w:w="276" w:type="dxa"/>
              <w:bottom w:w="0" w:type="dxa"/>
              <w:right w:w="120" w:type="dxa"/>
            </w:tcMar>
          </w:tcPr>
          <w:p w14:paraId="5BFC3950" w14:textId="77777777" w:rsidR="00090683" w:rsidRDefault="00090683" w:rsidP="000B7E9A">
            <w:pPr>
              <w:pStyle w:val="BoxText"/>
            </w:pPr>
            <w:r>
              <w:t xml:space="preserve">That, given the </w:t>
            </w:r>
            <w:r w:rsidRPr="000B3B11">
              <w:t xml:space="preserve">evidence of emerging impact </w:t>
            </w:r>
            <w:r>
              <w:t xml:space="preserve">on student access and equity, </w:t>
            </w:r>
            <w:r w:rsidRPr="000B3B11">
              <w:t xml:space="preserve">HEPPP be </w:t>
            </w:r>
            <w:r>
              <w:t>continued</w:t>
            </w:r>
            <w:r w:rsidRPr="000B3B11">
              <w:t xml:space="preserve"> as a funded program </w:t>
            </w:r>
            <w:r>
              <w:t>to further encourage and build on the progress achieved. At the same time, there are a number of areas which have been identified as requiring improvement or development. The</w:t>
            </w:r>
            <w:r w:rsidRPr="001C5235">
              <w:t xml:space="preserve"> focus </w:t>
            </w:r>
            <w:r>
              <w:t>of</w:t>
            </w:r>
            <w:r w:rsidRPr="001C5235">
              <w:t xml:space="preserve"> the activities, projects and equity groups to be targeted</w:t>
            </w:r>
            <w:r>
              <w:t xml:space="preserve"> and</w:t>
            </w:r>
            <w:r w:rsidRPr="001C5235">
              <w:t xml:space="preserve"> the funding arrangements to support this focus</w:t>
            </w:r>
            <w:r>
              <w:t xml:space="preserve"> requires improvement.</w:t>
            </w:r>
            <w:r w:rsidRPr="001C5235">
              <w:t xml:space="preserve"> </w:t>
            </w:r>
            <w:r>
              <w:t>Also required is the development of an embedded</w:t>
            </w:r>
            <w:r w:rsidRPr="001C5235">
              <w:t xml:space="preserve"> evaluation framework with which to collect the necessary data to better measure and monitor impact</w:t>
            </w:r>
            <w:r>
              <w:t>, and inform future improvements.</w:t>
            </w:r>
          </w:p>
        </w:tc>
      </w:tr>
      <w:tr w:rsidR="00090683" w:rsidRPr="008B3E19" w14:paraId="0396FD0A" w14:textId="77777777" w:rsidTr="000B7E9A">
        <w:trPr>
          <w:cantSplit/>
          <w:trHeight w:hRule="exact" w:val="376"/>
        </w:trPr>
        <w:tc>
          <w:tcPr>
            <w:tcW w:w="8614" w:type="dxa"/>
            <w:shd w:val="clear" w:color="auto" w:fill="E4E0DD"/>
            <w:tcMar>
              <w:top w:w="0" w:type="dxa"/>
              <w:bottom w:w="0" w:type="dxa"/>
              <w:right w:w="0" w:type="dxa"/>
            </w:tcMar>
          </w:tcPr>
          <w:p w14:paraId="1CEB227E" w14:textId="77777777" w:rsidR="00090683" w:rsidRPr="008B3E19" w:rsidRDefault="00090683" w:rsidP="000B7E9A">
            <w:pPr>
              <w:pStyle w:val="spacer"/>
            </w:pPr>
          </w:p>
        </w:tc>
      </w:tr>
      <w:tr w:rsidR="00090683" w:rsidRPr="008B3E19" w14:paraId="1954C202" w14:textId="77777777" w:rsidTr="000B7E9A">
        <w:trPr>
          <w:cantSplit/>
          <w:trHeight w:hRule="exact" w:val="180"/>
        </w:trPr>
        <w:tc>
          <w:tcPr>
            <w:tcW w:w="8614" w:type="dxa"/>
            <w:tcMar>
              <w:top w:w="0" w:type="dxa"/>
              <w:left w:w="446" w:type="dxa"/>
              <w:bottom w:w="0" w:type="dxa"/>
            </w:tcMar>
          </w:tcPr>
          <w:p w14:paraId="52762420"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27360" behindDoc="0" locked="1" layoutInCell="1" allowOverlap="1" wp14:anchorId="2F26125A" wp14:editId="4F2AD07B">
                      <wp:simplePos x="0" y="0"/>
                      <wp:positionH relativeFrom="rightMargin">
                        <wp:posOffset>-772795</wp:posOffset>
                      </wp:positionH>
                      <wp:positionV relativeFrom="page">
                        <wp:posOffset>-237490</wp:posOffset>
                      </wp:positionV>
                      <wp:extent cx="436880" cy="213360"/>
                      <wp:effectExtent l="0" t="0" r="1270" b="0"/>
                      <wp:wrapNone/>
                      <wp:docPr id="55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53848D" id="Freeform 5" o:spid="_x0000_s1026" style="position:absolute;margin-left:-60.85pt;margin-top:-18.7pt;width:34.4pt;height:16.8pt;z-index:251727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63A38D28" w14:textId="77777777" w:rsidR="00090683" w:rsidRDefault="00090683" w:rsidP="00090683">
      <w:pPr>
        <w:pStyle w:val="Heading2"/>
      </w:pPr>
      <w:bookmarkStart w:id="634" w:name="_Toc466657165"/>
      <w:r>
        <w:t>Focusing the HEPPP</w:t>
      </w:r>
      <w:bookmarkEnd w:id="634"/>
    </w:p>
    <w:p w14:paraId="146B2DD9" w14:textId="77777777" w:rsidR="00090683" w:rsidRPr="00535C2C" w:rsidRDefault="00090683" w:rsidP="00090683">
      <w:pPr>
        <w:pStyle w:val="BodyText"/>
      </w:pPr>
      <w:r>
        <w:t>T</w:t>
      </w:r>
      <w:r w:rsidRPr="00535C2C">
        <w:t>he three HEPPP components have distinct goals</w:t>
      </w:r>
      <w:r>
        <w:t xml:space="preserve"> (refer </w:t>
      </w:r>
      <w:r w:rsidRPr="00535C2C">
        <w:t>Chapter 2</w:t>
      </w:r>
      <w:r>
        <w:t>)</w:t>
      </w:r>
      <w:r w:rsidRPr="00535C2C">
        <w:t xml:space="preserve">, </w:t>
      </w:r>
      <w:r>
        <w:t xml:space="preserve">and there is some evidence of achievements under each component (refer Chapters 5-9). </w:t>
      </w:r>
    </w:p>
    <w:p w14:paraId="6ECA8A0A" w14:textId="77777777" w:rsidR="00090683" w:rsidRDefault="00090683" w:rsidP="00090683">
      <w:pPr>
        <w:pStyle w:val="BodyText"/>
      </w:pPr>
      <w:r>
        <w:t>Measured f</w:t>
      </w:r>
      <w:r w:rsidRPr="00535C2C">
        <w:t xml:space="preserve">unding for Partnership </w:t>
      </w:r>
      <w:r>
        <w:t>projects</w:t>
      </w:r>
      <w:r w:rsidRPr="00535C2C">
        <w:t xml:space="preserve"> (</w:t>
      </w:r>
      <w:r>
        <w:t>which is tied to</w:t>
      </w:r>
      <w:r w:rsidRPr="00535C2C">
        <w:t xml:space="preserve"> outreach</w:t>
      </w:r>
      <w:r>
        <w:t xml:space="preserve"> activities</w:t>
      </w:r>
      <w:r w:rsidRPr="00535C2C">
        <w:t xml:space="preserve">) </w:t>
      </w:r>
      <w:r>
        <w:t xml:space="preserve">over 2010-2014 </w:t>
      </w:r>
      <w:r w:rsidRPr="00535C2C">
        <w:t xml:space="preserve">has averaged around </w:t>
      </w:r>
      <w:r>
        <w:t>30 </w:t>
      </w:r>
      <w:r w:rsidRPr="00535C2C">
        <w:t>per cent of total funding</w:t>
      </w:r>
      <w:r>
        <w:rPr>
          <w:rStyle w:val="FootnoteReference"/>
        </w:rPr>
        <w:footnoteReference w:id="51"/>
      </w:r>
      <w:r>
        <w:t>.</w:t>
      </w:r>
      <w:r w:rsidRPr="00535C2C">
        <w:t xml:space="preserve"> </w:t>
      </w:r>
      <w:r>
        <w:t>T</w:t>
      </w:r>
      <w:r w:rsidRPr="00535C2C">
        <w:t>he research component</w:t>
      </w:r>
      <w:r>
        <w:t xml:space="preserve"> (NPP</w:t>
      </w:r>
      <w:r w:rsidRPr="00535C2C">
        <w:t xml:space="preserve">) </w:t>
      </w:r>
      <w:r>
        <w:t xml:space="preserve">funding </w:t>
      </w:r>
      <w:r w:rsidRPr="00535C2C">
        <w:t>has average</w:t>
      </w:r>
      <w:r>
        <w:t>d</w:t>
      </w:r>
      <w:r w:rsidRPr="00535C2C">
        <w:t xml:space="preserve"> around 5 per cent (for the two years </w:t>
      </w:r>
      <w:r>
        <w:t xml:space="preserve">(2014 and 2015) </w:t>
      </w:r>
      <w:r w:rsidRPr="00535C2C">
        <w:t xml:space="preserve">it has been </w:t>
      </w:r>
      <w:r>
        <w:t>in place) with the remaining 65 </w:t>
      </w:r>
      <w:r w:rsidRPr="00535C2C">
        <w:t>per</w:t>
      </w:r>
      <w:r>
        <w:t> </w:t>
      </w:r>
      <w:r w:rsidRPr="00535C2C">
        <w:t xml:space="preserve">cent allocated to the Participation component, which </w:t>
      </w:r>
      <w:r>
        <w:t xml:space="preserve">universities can allocate to activities aimed at improving retention and success, or use for additional outreach activities. </w:t>
      </w:r>
    </w:p>
    <w:p w14:paraId="6B1E81EA" w14:textId="77777777" w:rsidR="00090683" w:rsidRPr="00535C2C" w:rsidRDefault="00090683" w:rsidP="00090683">
      <w:pPr>
        <w:pStyle w:val="BodyText"/>
      </w:pPr>
      <w:r>
        <w:t xml:space="preserve">There is </w:t>
      </w:r>
      <w:r w:rsidRPr="00535C2C">
        <w:t xml:space="preserve">evidence </w:t>
      </w:r>
      <w:r>
        <w:t xml:space="preserve">that each is a </w:t>
      </w:r>
      <w:r w:rsidRPr="00535C2C">
        <w:t xml:space="preserve">valid </w:t>
      </w:r>
      <w:r>
        <w:t>component</w:t>
      </w:r>
      <w:r w:rsidRPr="00535C2C">
        <w:t xml:space="preserve"> of</w:t>
      </w:r>
      <w:r>
        <w:t xml:space="preserve"> a</w:t>
      </w:r>
      <w:r w:rsidRPr="00535C2C">
        <w:t xml:space="preserve"> portfolio approach</w:t>
      </w:r>
      <w:r w:rsidRPr="001F1923">
        <w:t xml:space="preserve"> </w:t>
      </w:r>
      <w:r>
        <w:t>to improving student equity in higher education</w:t>
      </w:r>
      <w:r w:rsidRPr="00535C2C">
        <w:t>, based on theory, international practice and feedback from program recipients</w:t>
      </w:r>
      <w:r>
        <w:t>. Q</w:t>
      </w:r>
      <w:r w:rsidRPr="00535C2C">
        <w:t xml:space="preserve">uantifying how much should be spent on each component </w:t>
      </w:r>
      <w:r>
        <w:t xml:space="preserve">is hindered by the lack of direct evaluative evidence available at this time in relation to the relative impact of outreach, participation or research. </w:t>
      </w:r>
    </w:p>
    <w:p w14:paraId="0C6AD796" w14:textId="77777777" w:rsidR="00090683" w:rsidRPr="00535C2C" w:rsidRDefault="00090683" w:rsidP="00090683">
      <w:pPr>
        <w:pStyle w:val="BodyText"/>
      </w:pPr>
      <w:r w:rsidRPr="00535C2C">
        <w:t xml:space="preserve">Given </w:t>
      </w:r>
      <w:r>
        <w:t xml:space="preserve">the </w:t>
      </w:r>
      <w:r w:rsidRPr="00535C2C">
        <w:t>complexity of</w:t>
      </w:r>
      <w:r>
        <w:t xml:space="preserve"> and the interrelationships between the HEPPP components, more data need to be collected </w:t>
      </w:r>
      <w:r w:rsidRPr="00535C2C">
        <w:t xml:space="preserve">at the subcomponent level to assist with </w:t>
      </w:r>
      <w:r>
        <w:t xml:space="preserve">any further refinement of </w:t>
      </w:r>
      <w:r w:rsidRPr="00535C2C">
        <w:t>f</w:t>
      </w:r>
      <w:r>
        <w:t xml:space="preserve">unding allocations. In particular, it will be important to gather information on which types of outreach/support programs are the most effective, and how such programs should be designed and implemented to be most successful. </w:t>
      </w:r>
    </w:p>
    <w:p w14:paraId="79DD466B" w14:textId="77777777" w:rsidR="00090683" w:rsidRDefault="00090683" w:rsidP="00090683">
      <w:pPr>
        <w:pStyle w:val="Heading5"/>
      </w:pPr>
      <w:r>
        <w:t>Participation component</w:t>
      </w:r>
    </w:p>
    <w:p w14:paraId="38E3682A" w14:textId="77777777" w:rsidR="00090683" w:rsidRDefault="00090683" w:rsidP="00090683">
      <w:pPr>
        <w:pStyle w:val="BodyText"/>
      </w:pPr>
      <w:r>
        <w:t>There is a wide spectrum of activity carried out using the Participation component of the HEPPP, as detailed in Chapter 3. The autonomy granted to universities under the HEPPP allows universities to develop interventions suitable for their students and local conditions.</w:t>
      </w:r>
    </w:p>
    <w:p w14:paraId="071FDF50" w14:textId="77777777" w:rsidR="00090683" w:rsidRDefault="00090683" w:rsidP="00090683">
      <w:pPr>
        <w:pStyle w:val="BodyText"/>
      </w:pPr>
      <w:r>
        <w:t>Due to the difficulties in understanding how best to prioritise interventions, universities have largely taken a portfolio approach to allocating Participation funding (refer Chapter 3). That is, funding within a university is normally allocated across a broad range of services designed to support low SES students, including entry processes, transitioning to university programs, mentoring, study skills, and scholarships/bursaries.</w:t>
      </w:r>
    </w:p>
    <w:p w14:paraId="6CC6C18C" w14:textId="77777777" w:rsidR="00090683" w:rsidRDefault="00090683" w:rsidP="00090683">
      <w:pPr>
        <w:pStyle w:val="BodyText"/>
      </w:pPr>
      <w:r>
        <w:t xml:space="preserve">Consultations and university reporting indicate that many HEPPP projects are open to all students, that is, there is often not specific targeting of HEPPP Participation projects to low SES students. Universities report this as due to the practicalities of identifying low SES students, and a broadly held principle among universities that any identification or targeting of low SES students risks stigmatising these students. In practice, universities design some projects to address the kinds of issues low SES students may face with the assumption that such projects will primarily attract low SES students, while other projects are simply delivered to all students. </w:t>
      </w:r>
    </w:p>
    <w:p w14:paraId="1FFC0E9F" w14:textId="77777777" w:rsidR="00090683" w:rsidRDefault="00090683" w:rsidP="00090683">
      <w:pPr>
        <w:pStyle w:val="BodyText"/>
      </w:pPr>
      <w:r>
        <w:t xml:space="preserve">University consultations indicated that Go8 universities are more likely to use Participation funding for outreach activities, as a result of the proportion of low SES students in their university student bodies and the relative strength of their existing university support services. </w:t>
      </w:r>
    </w:p>
    <w:p w14:paraId="23C9BFDB" w14:textId="77777777" w:rsidR="00090683" w:rsidRDefault="00090683" w:rsidP="00090683">
      <w:pPr>
        <w:pStyle w:val="BodyText"/>
      </w:pPr>
      <w:r>
        <w:t>Based on the evidence collected through this evaluation, there are three key issues to be considered for the Participation component:</w:t>
      </w:r>
    </w:p>
    <w:p w14:paraId="0DD20316" w14:textId="77777777" w:rsidR="00090683" w:rsidRDefault="00090683" w:rsidP="00090683">
      <w:pPr>
        <w:pStyle w:val="ListBullet"/>
      </w:pPr>
      <w:r>
        <w:t>The program needs to provide universities with a clear incentive to target HEPPP projects at low SES students, and to ensure HEPPP projects are additional to what they would otherwise deliver in the area of university student support.</w:t>
      </w:r>
      <w:r w:rsidRPr="001014EA">
        <w:t xml:space="preserve"> </w:t>
      </w:r>
      <w:r>
        <w:t>The current HEPPP participation component does provide some incentive for universities to enrol and retain low SES students (as, all things being equal, funding increases for each low SES student a university has enrolled), but as discussed above current practice suggests that this could be strengthened.</w:t>
      </w:r>
    </w:p>
    <w:p w14:paraId="4CCD2441" w14:textId="77777777" w:rsidR="00090683" w:rsidRDefault="00090683" w:rsidP="00090683">
      <w:pPr>
        <w:pStyle w:val="ListBullet"/>
      </w:pPr>
      <w:r>
        <w:t xml:space="preserve">Incentives around success and completion could also be strengthened—success and completion rates for low SES students continue to track below those of medium and high SES students. </w:t>
      </w:r>
    </w:p>
    <w:p w14:paraId="74F4B377" w14:textId="77777777" w:rsidR="00090683" w:rsidRDefault="00090683" w:rsidP="00090683">
      <w:pPr>
        <w:pStyle w:val="ListBullet"/>
      </w:pPr>
      <w:r>
        <w:t>There needs to be greater data on whether Participation activities are impacting low SES students’ retention, success and completion rates—to help universities evaluate and determine which types of equity projects are the most effective to implement.</w:t>
      </w:r>
    </w:p>
    <w:p w14:paraId="6A95E4F9" w14:textId="7CDE57B8" w:rsidR="00090683" w:rsidRDefault="00FE03F3" w:rsidP="00090683">
      <w:pPr>
        <w:pStyle w:val="BodyText"/>
      </w:pPr>
      <w:r>
        <w:t>The current literature, reinforced by the evaluation’s interviews with universities and written submissions, points to three program design elements that could assist in addressing these issues:</w:t>
      </w:r>
    </w:p>
    <w:p w14:paraId="137E1155" w14:textId="77777777" w:rsidR="00090683" w:rsidRDefault="00090683" w:rsidP="00090683">
      <w:pPr>
        <w:pStyle w:val="ListBullet"/>
      </w:pPr>
      <w:r>
        <w:t>Performance measures using centrally collected student level data</w:t>
      </w:r>
    </w:p>
    <w:p w14:paraId="666B9A6E" w14:textId="77777777" w:rsidR="00090683" w:rsidRDefault="00090683" w:rsidP="00090683">
      <w:pPr>
        <w:pStyle w:val="ListBullet"/>
      </w:pPr>
      <w:r>
        <w:t>Pre-agreement of HEPPP activities/outputs between universities and the Department</w:t>
      </w:r>
    </w:p>
    <w:p w14:paraId="491062C6" w14:textId="77777777" w:rsidR="00090683" w:rsidRDefault="00090683" w:rsidP="00090683">
      <w:pPr>
        <w:pStyle w:val="ListBullet"/>
      </w:pPr>
      <w:r>
        <w:t>Rigorous evaluation of performance data regarding HEPPP outcomes.</w:t>
      </w:r>
    </w:p>
    <w:p w14:paraId="14AA2697" w14:textId="77777777" w:rsidR="00090683" w:rsidRDefault="00090683" w:rsidP="00090683">
      <w:pPr>
        <w:pStyle w:val="BodyText"/>
      </w:pPr>
      <w:r>
        <w:t xml:space="preserve">The HEPPP builds in these aspects to some degree. The program currently funds universities based on their share of enrolments and so provides universities an incentive to enrol and retain low SES students. The HEPPP Guidelines also establish some pre-agreement between the Department and all universities on what activities can be carried out with Participation funding, although there is limited accounting of this. The current HEPPP also includes a program level evaluation, but does not require project-level evaluations, although universities have to varying degrees carried out evaluations of many of their projects. </w:t>
      </w:r>
    </w:p>
    <w:p w14:paraId="5E972E78" w14:textId="77777777" w:rsidR="00090683" w:rsidRDefault="00090683" w:rsidP="00090683">
      <w:pPr>
        <w:pStyle w:val="BodyText"/>
      </w:pPr>
      <w:r>
        <w:t xml:space="preserve">There a number of ways in which these elements could be adjusted as discussed below.  </w:t>
      </w:r>
    </w:p>
    <w:p w14:paraId="68DE9399" w14:textId="77777777" w:rsidR="00090683" w:rsidRDefault="00090683" w:rsidP="00090683">
      <w:pPr>
        <w:pStyle w:val="Heading5nonumber"/>
      </w:pPr>
      <w:r>
        <w:t>Option 1—Funding based on low SES enrolments</w:t>
      </w:r>
    </w:p>
    <w:p w14:paraId="3DD144E6" w14:textId="77777777" w:rsidR="00090683" w:rsidRDefault="00090683" w:rsidP="00090683">
      <w:pPr>
        <w:pStyle w:val="BodyText"/>
      </w:pPr>
      <w:r>
        <w:t xml:space="preserve">This option acknowledges and makes explicit the current practice whereby universities largely determine the most appropriate ways in which to target the funding. It draws from the Bradley Review model and the IRU written submission (see </w:t>
      </w:r>
      <w:r w:rsidRPr="00A025EA">
        <w:t xml:space="preserve">Appendix </w:t>
      </w:r>
      <w:r>
        <w:t xml:space="preserve">D.3 for a summary of the IRU proposal), and provides a high degree of autonomy to universities. Funding would be allocated based on enrolments, but with no cap on the total amount of funding—universities would be funded on the number of low SES enrolments (not their share of the total number of low SES students). Funding would flow through the Commonwealth Grants Scheme (CGS), with no specification or reporting of what activities universities are to deliver with the Participation funding. </w:t>
      </w:r>
    </w:p>
    <w:p w14:paraId="204D101C" w14:textId="77777777" w:rsidR="00090683" w:rsidRDefault="00090683" w:rsidP="00090683">
      <w:pPr>
        <w:pStyle w:val="BodyText"/>
      </w:pPr>
      <w:r>
        <w:t>As this option does little in the way of performance measures or pre</w:t>
      </w:r>
      <w:r>
        <w:noBreakHyphen/>
        <w:t>agreements, it would be difficult to request an evaluation requirement at the university level, so a whole-of-program evaluation would also likely be limited.</w:t>
      </w:r>
    </w:p>
    <w:p w14:paraId="476FD2DF" w14:textId="77777777" w:rsidR="00090683" w:rsidRDefault="00090683" w:rsidP="00090683">
      <w:pPr>
        <w:pStyle w:val="Heading5nonumber"/>
      </w:pPr>
      <w:r>
        <w:t>Option 2—Funding linked to outcome performance</w:t>
      </w:r>
    </w:p>
    <w:p w14:paraId="27F9808B" w14:textId="77777777" w:rsidR="00090683" w:rsidRDefault="00090683" w:rsidP="00090683">
      <w:pPr>
        <w:pStyle w:val="BodyText"/>
      </w:pPr>
      <w:r>
        <w:t xml:space="preserve">This option has a strong focus on performance funding and, similar to Option 1, provides considerable autonomy to universities. Funding would be allocated based on a mix of low SES </w:t>
      </w:r>
      <w:r w:rsidRPr="001E2628">
        <w:t>enrolments, success and completions</w:t>
      </w:r>
      <w:r>
        <w:t xml:space="preserve">, with a greater weighting for success and completions to incentivise universities to offer the necessary supports needed by low SES students to improve their success and completion rates. </w:t>
      </w:r>
    </w:p>
    <w:p w14:paraId="29C50B92" w14:textId="77777777" w:rsidR="00090683" w:rsidRDefault="00090683" w:rsidP="00090683">
      <w:pPr>
        <w:pStyle w:val="BodyText"/>
      </w:pPr>
      <w:r>
        <w:t>Similar to Option 1, universities would not face any reporting or evaluation requirements, or any requirement to specify the activities they will undertake with the funding.</w:t>
      </w:r>
      <w:r w:rsidRPr="00645052">
        <w:t xml:space="preserve"> </w:t>
      </w:r>
    </w:p>
    <w:p w14:paraId="0759A6ED" w14:textId="77777777" w:rsidR="00090683" w:rsidRDefault="00090683" w:rsidP="00090683">
      <w:pPr>
        <w:pStyle w:val="Heading5nonumber"/>
      </w:pPr>
      <w:r>
        <w:t>Option 3—Funding linked to pre-agreements</w:t>
      </w:r>
    </w:p>
    <w:p w14:paraId="15657F22" w14:textId="77777777" w:rsidR="00090683" w:rsidRDefault="00090683" w:rsidP="00090683">
      <w:pPr>
        <w:pStyle w:val="BodyText"/>
      </w:pPr>
      <w:r>
        <w:t>This option would have a greater focus on defining the activities universities will undertake with Participation funding, and draws from the i</w:t>
      </w:r>
      <w:r w:rsidRPr="005554B8">
        <w:t>nstitutional access agreements</w:t>
      </w:r>
      <w:r>
        <w:t xml:space="preserve"> policy in place in England. Each university would have a multiple year HEPPP agreement with the Department which would set out the university’s Participation activities for the coming years and how the activities will support the university’s equity strategy. There would be a </w:t>
      </w:r>
      <w:r w:rsidRPr="00CB7BA5">
        <w:t xml:space="preserve">requirement </w:t>
      </w:r>
      <w:r>
        <w:t xml:space="preserve">on universities </w:t>
      </w:r>
      <w:r w:rsidRPr="00CB7BA5">
        <w:t xml:space="preserve">to evaluate </w:t>
      </w:r>
      <w:r>
        <w:t xml:space="preserve">HEPPP </w:t>
      </w:r>
      <w:r w:rsidRPr="00CB7BA5">
        <w:t xml:space="preserve">projects using </w:t>
      </w:r>
      <w:r>
        <w:t xml:space="preserve">a </w:t>
      </w:r>
      <w:r w:rsidRPr="00CB7BA5">
        <w:t xml:space="preserve">standardised framework, and </w:t>
      </w:r>
      <w:r>
        <w:t xml:space="preserve">a </w:t>
      </w:r>
      <w:r w:rsidRPr="00CB7BA5">
        <w:t>program level evaluation</w:t>
      </w:r>
      <w:r>
        <w:t xml:space="preserve"> would also take place. Funding would be based on enrolments and success of low SES students, with the former receiving a greater weighting for administrative ease. </w:t>
      </w:r>
    </w:p>
    <w:p w14:paraId="71CAF532" w14:textId="77777777" w:rsidR="00090683" w:rsidRDefault="00090683" w:rsidP="00090683">
      <w:pPr>
        <w:pStyle w:val="Heading5nonumber"/>
      </w:pPr>
      <w:r>
        <w:t>Option 4—Evaluation driven funding</w:t>
      </w:r>
      <w:r w:rsidRPr="00CB7BA5">
        <w:t xml:space="preserve"> </w:t>
      </w:r>
    </w:p>
    <w:p w14:paraId="122D61B3" w14:textId="77777777" w:rsidR="00090683" w:rsidRDefault="00090683" w:rsidP="00090683">
      <w:pPr>
        <w:pStyle w:val="BodyText"/>
      </w:pPr>
      <w:r>
        <w:t>This option combines a focus on university autonomy with a strong emphasis on evaluation. As with Option 3, funding would be based on low SES enrolments and success (weighted towards enrolments), but it would maintain the current Guidelines approach to provide broad direction to universities on the activities which should be delivered rather than the level prescribed in Option 3. Funding would be contingent on universities evaluating</w:t>
      </w:r>
      <w:r w:rsidRPr="00CB7BA5">
        <w:t xml:space="preserve"> </w:t>
      </w:r>
      <w:r>
        <w:t xml:space="preserve">HEPPP </w:t>
      </w:r>
      <w:r w:rsidRPr="00CB7BA5">
        <w:t xml:space="preserve">projects using </w:t>
      </w:r>
      <w:r>
        <w:t xml:space="preserve">a </w:t>
      </w:r>
      <w:r w:rsidRPr="00CB7BA5">
        <w:t>standardised framework</w:t>
      </w:r>
      <w:r>
        <w:t>, allowing both individual project and an overall program evaluation to take place.</w:t>
      </w:r>
    </w:p>
    <w:p w14:paraId="7209BE1B" w14:textId="77777777" w:rsidR="00090683" w:rsidRDefault="00090683" w:rsidP="00090683">
      <w:pPr>
        <w:pStyle w:val="Heading5"/>
      </w:pPr>
      <w:r>
        <w:t>Comparing the options</w:t>
      </w:r>
    </w:p>
    <w:p w14:paraId="7ACF06D8" w14:textId="77777777" w:rsidR="00090683" w:rsidRDefault="00090683" w:rsidP="00090683">
      <w:pPr>
        <w:pStyle w:val="BodyText"/>
      </w:pPr>
      <w:r>
        <w:t xml:space="preserve">While Option 1 provides universities significant autonomy and minimises reporting burden, it provides the Department only one policy lever with which to influence university practice—namely the current funding arrangement linked to each low SES student enrolled. Furthermore, relative to the current HEPPP, there would not be a more systematic approach to HEPPP activity evaluation. </w:t>
      </w:r>
    </w:p>
    <w:p w14:paraId="7346822E" w14:textId="77777777" w:rsidR="00090683" w:rsidRDefault="00090683" w:rsidP="00090683">
      <w:pPr>
        <w:pStyle w:val="BodyText"/>
      </w:pPr>
      <w:r>
        <w:t xml:space="preserve">Option 2 also provides considerable university autonomy with minimal reporting, instead relying on sharpened performance-based funding to improve outcomes under the HEPPP. There are, however, a number of issues associated with this approach. </w:t>
      </w:r>
    </w:p>
    <w:p w14:paraId="72FD0656" w14:textId="77777777" w:rsidR="00090683" w:rsidRDefault="00090683" w:rsidP="00090683">
      <w:pPr>
        <w:pStyle w:val="BodyText"/>
      </w:pPr>
      <w:r>
        <w:t>First, outcomes measures such as success and completion can be a product of a number of factors, not just the actions of the university, and will need to take some account of each university’s unique student cohort. Finding a broadly acceptable approach to this is likely to prove difficult. There is also the possibility that some of the performance indicators may operate to counteract each other. For example, the fact that low SES students have in general a lower success rate than other students, may result in enrolments being steered towards low SES students that are likely to have a high success rate.</w:t>
      </w:r>
    </w:p>
    <w:p w14:paraId="6FE8F32C" w14:textId="77777777" w:rsidR="00090683" w:rsidRDefault="00090683" w:rsidP="00090683">
      <w:pPr>
        <w:pStyle w:val="BodyText"/>
      </w:pPr>
      <w:r>
        <w:t>Second, a payment on performance approach would also require some accounting provision for adjustments-in-arrears, such as through claw-back or reduction in future years’ funding, which may be complex to implement.</w:t>
      </w:r>
    </w:p>
    <w:p w14:paraId="56C5C868" w14:textId="77777777" w:rsidR="00090683" w:rsidRDefault="00090683" w:rsidP="00090683">
      <w:pPr>
        <w:pStyle w:val="BodyText"/>
      </w:pPr>
      <w:r>
        <w:t xml:space="preserve">Given these difficulties, the sole use of performance funding to drive improved outcomes under HEPPP is considered to pose both administrative complexity and an unduly high risk of unintended consequences which may not drive the intended improvements in key equity outcomes. </w:t>
      </w:r>
    </w:p>
    <w:p w14:paraId="7CA62D7F" w14:textId="77777777" w:rsidR="00090683" w:rsidRDefault="00090683" w:rsidP="00090683">
      <w:pPr>
        <w:pStyle w:val="BodyText"/>
      </w:pPr>
      <w:r>
        <w:t>Option 3 relies for its effectiveness on strong pre-agreements between universities and the Department</w:t>
      </w:r>
      <w:r w:rsidRPr="0083619C">
        <w:t xml:space="preserve"> </w:t>
      </w:r>
      <w:r>
        <w:t xml:space="preserve">to ensure that HEPPP projects are effectively targeted. However, these agreements would require universities to specify their HEPPP activities in detail over say a three year period, and are likely to require substantial administrative effort in their establishment and ongoing tracking, as well in providing adequate flexibility to allow new projects or continuous refinement of existing projects. </w:t>
      </w:r>
    </w:p>
    <w:p w14:paraId="0E2C5AAC" w14:textId="77777777" w:rsidR="00090683" w:rsidRDefault="00090683" w:rsidP="00090683">
      <w:pPr>
        <w:pStyle w:val="BodyText"/>
      </w:pPr>
      <w:r>
        <w:t xml:space="preserve">Option 4 addresses the above issues in that it provides a high level of autonomy to universities, and uses a standard evaluation framework to drive and report on outputs and outcomes within this autonomy rather than requiring the intensive effort of establishing pre-agreements. As with </w:t>
      </w:r>
      <w:r w:rsidRPr="00F1690D">
        <w:t>Option</w:t>
      </w:r>
      <w:r>
        <w:t> 3, it</w:t>
      </w:r>
      <w:r w:rsidRPr="00F1690D">
        <w:t xml:space="preserve"> incorporates a</w:t>
      </w:r>
      <w:r>
        <w:t xml:space="preserve"> performance-based funding component</w:t>
      </w:r>
      <w:r w:rsidRPr="00F1690D">
        <w:t xml:space="preserve">, although not </w:t>
      </w:r>
      <w:r>
        <w:t xml:space="preserve">to the same extent, </w:t>
      </w:r>
      <w:r w:rsidRPr="00F1690D">
        <w:t xml:space="preserve">relying more on the requirement that universities carry out </w:t>
      </w:r>
      <w:r>
        <w:t xml:space="preserve">and report on </w:t>
      </w:r>
      <w:r w:rsidRPr="00F1690D">
        <w:t>evaluations to drive improvements in HEPPP-related outcomes.</w:t>
      </w:r>
      <w:r>
        <w:t xml:space="preserve"> Moreover, the availability and use of such an evaluation framework was strongly called for in consultations conducted with universities.</w:t>
      </w:r>
    </w:p>
    <w:p w14:paraId="569F43F0" w14:textId="77777777" w:rsidR="00090683" w:rsidRPr="00AD49C8" w:rsidRDefault="00090683" w:rsidP="00090683">
      <w:pPr>
        <w:pStyle w:val="BodyText"/>
      </w:pPr>
      <w:r>
        <w:t xml:space="preserve">A key feature of this option is in its balance of metrics, agreements and evaluation to drive the intended outcomes with much fewer administrative overheads than Options 2 and 3, and with greater focus—equally less risk—than Option 1. Its effectiveness rests heavily on the design and strength of the evaluation framework adopted. The key elements of the evaluation are outlined in Section 11.3. Universities would need to show the impact of HEPPP on low SES student outcomes, and demonstrate </w:t>
      </w:r>
      <w:r w:rsidRPr="00F1690D">
        <w:t xml:space="preserve">a causal relationship between these outcomes and HEPPP funded projects.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4ED10C09" w14:textId="77777777" w:rsidTr="000B7E9A">
        <w:trPr>
          <w:cantSplit/>
        </w:trPr>
        <w:tc>
          <w:tcPr>
            <w:tcW w:w="8614" w:type="dxa"/>
            <w:tcMar>
              <w:top w:w="160" w:type="dxa"/>
              <w:left w:w="446" w:type="dxa"/>
            </w:tcMar>
          </w:tcPr>
          <w:p w14:paraId="36FE24A8"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2</w:t>
            </w:r>
            <w:r>
              <w:tab/>
            </w:r>
          </w:p>
        </w:tc>
      </w:tr>
      <w:tr w:rsidR="00090683" w14:paraId="35C4629D" w14:textId="77777777" w:rsidTr="000B7E9A">
        <w:trPr>
          <w:cantSplit/>
        </w:trPr>
        <w:tc>
          <w:tcPr>
            <w:tcW w:w="8614" w:type="dxa"/>
            <w:shd w:val="clear" w:color="auto" w:fill="E4E0DD"/>
            <w:tcMar>
              <w:top w:w="276" w:type="dxa"/>
              <w:bottom w:w="0" w:type="dxa"/>
              <w:right w:w="120" w:type="dxa"/>
            </w:tcMar>
          </w:tcPr>
          <w:p w14:paraId="44C7884A" w14:textId="77777777" w:rsidR="00090683" w:rsidRDefault="00090683" w:rsidP="000B7E9A">
            <w:pPr>
              <w:pStyle w:val="BoxText"/>
            </w:pPr>
            <w:r>
              <w:t>That t</w:t>
            </w:r>
            <w:r w:rsidRPr="000B3B11">
              <w:t xml:space="preserve">he Participation component of the HEPPP be </w:t>
            </w:r>
            <w:r>
              <w:t>re</w:t>
            </w:r>
            <w:r w:rsidRPr="000B3B11">
              <w:t xml:space="preserve">tained </w:t>
            </w:r>
            <w:r>
              <w:t>with a requirement that universities adhere to and report using a standardised HEPPP evaluation framework to</w:t>
            </w:r>
            <w:r w:rsidRPr="000B3B11">
              <w:t xml:space="preserve"> </w:t>
            </w:r>
            <w:r>
              <w:t xml:space="preserve">ensure universities are targeting low SES students and are improving outcomes for low SES </w:t>
            </w:r>
            <w:r w:rsidRPr="00F1690D">
              <w:t xml:space="preserve">students. The funding formula for the Participation component should </w:t>
            </w:r>
            <w:r>
              <w:t>include a component</w:t>
            </w:r>
            <w:r w:rsidRPr="00F1690D">
              <w:t xml:space="preserve"> </w:t>
            </w:r>
            <w:r>
              <w:t xml:space="preserve">which accounts </w:t>
            </w:r>
            <w:r w:rsidRPr="00F1690D">
              <w:t>for the success rate of low SES students at each university.</w:t>
            </w:r>
            <w:r>
              <w:t xml:space="preserve"> </w:t>
            </w:r>
          </w:p>
        </w:tc>
      </w:tr>
      <w:tr w:rsidR="00090683" w:rsidRPr="008B3E19" w14:paraId="2DD464B2" w14:textId="77777777" w:rsidTr="000B7E9A">
        <w:trPr>
          <w:cantSplit/>
          <w:trHeight w:hRule="exact" w:val="376"/>
        </w:trPr>
        <w:tc>
          <w:tcPr>
            <w:tcW w:w="8614" w:type="dxa"/>
            <w:shd w:val="clear" w:color="auto" w:fill="E4E0DD"/>
            <w:tcMar>
              <w:top w:w="0" w:type="dxa"/>
              <w:bottom w:w="0" w:type="dxa"/>
              <w:right w:w="0" w:type="dxa"/>
            </w:tcMar>
          </w:tcPr>
          <w:p w14:paraId="4A07F1CF" w14:textId="77777777" w:rsidR="00090683" w:rsidRPr="008B3E19" w:rsidRDefault="00090683" w:rsidP="000B7E9A">
            <w:pPr>
              <w:pStyle w:val="spacer"/>
            </w:pPr>
          </w:p>
        </w:tc>
      </w:tr>
      <w:tr w:rsidR="00090683" w:rsidRPr="008B3E19" w14:paraId="3BE23971" w14:textId="77777777" w:rsidTr="000B7E9A">
        <w:trPr>
          <w:cantSplit/>
          <w:trHeight w:hRule="exact" w:val="180"/>
        </w:trPr>
        <w:tc>
          <w:tcPr>
            <w:tcW w:w="8614" w:type="dxa"/>
            <w:tcMar>
              <w:top w:w="0" w:type="dxa"/>
              <w:left w:w="446" w:type="dxa"/>
              <w:bottom w:w="0" w:type="dxa"/>
            </w:tcMar>
          </w:tcPr>
          <w:p w14:paraId="4827D9FA"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29408" behindDoc="0" locked="1" layoutInCell="1" allowOverlap="1" wp14:anchorId="689F50B8" wp14:editId="388CE303">
                      <wp:simplePos x="0" y="0"/>
                      <wp:positionH relativeFrom="rightMargin">
                        <wp:posOffset>-772795</wp:posOffset>
                      </wp:positionH>
                      <wp:positionV relativeFrom="page">
                        <wp:posOffset>-237490</wp:posOffset>
                      </wp:positionV>
                      <wp:extent cx="436880" cy="213360"/>
                      <wp:effectExtent l="0" t="0" r="1270" b="0"/>
                      <wp:wrapNone/>
                      <wp:docPr id="553" name="Freeform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AEE91C" id="Freeform 553" o:spid="_x0000_s1026" style="position:absolute;margin-left:-60.85pt;margin-top:-18.7pt;width:34.4pt;height:16.8pt;z-index:251729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70C273EC" w14:textId="77777777" w:rsidR="00090683" w:rsidRDefault="00090683" w:rsidP="00090683">
      <w:pPr>
        <w:pStyle w:val="Heading4"/>
      </w:pPr>
      <w:r>
        <w:t>Partnership component</w:t>
      </w:r>
    </w:p>
    <w:p w14:paraId="6EE616B3" w14:textId="77777777" w:rsidR="00090683" w:rsidRDefault="00090683" w:rsidP="00090683">
      <w:pPr>
        <w:pStyle w:val="BodyText"/>
      </w:pPr>
      <w:r>
        <w:t xml:space="preserve">Universities’ Partnership projects generally focus on schools (around 95 per cent of projects), with some activity around TAFE and other adult education delivery, and community groups (around 5 per cent of projects). </w:t>
      </w:r>
    </w:p>
    <w:p w14:paraId="0C01B582" w14:textId="77777777" w:rsidR="00090683" w:rsidRDefault="00090683" w:rsidP="00090683">
      <w:pPr>
        <w:pStyle w:val="BodyText"/>
      </w:pPr>
      <w:r>
        <w:t>Evidence gathered through the evaluation points to two key issues that may be impacting the effectiveness of the Partnership component—the unintended use of HEPPP funding for university</w:t>
      </w:r>
      <w:r>
        <w:noBreakHyphen/>
        <w:t>specific promotion/recruitment, and the potential for over- or under-servicing some schools with Partnership activities. These issues are discussed in turn.</w:t>
      </w:r>
    </w:p>
    <w:p w14:paraId="389D0608" w14:textId="77777777" w:rsidR="00090683" w:rsidRDefault="00090683" w:rsidP="00090683">
      <w:pPr>
        <w:pStyle w:val="BodyText"/>
      </w:pPr>
      <w:r>
        <w:t>The Guidelines which govern the HEPPP stipulate that ‘Partnership activities, strategies and messages from providers are to promote the benefits of and encourage participation in higher education generally… [rather than] … directed at promoting the benefits of a single provider.’</w:t>
      </w:r>
      <w:r>
        <w:rPr>
          <w:rStyle w:val="FootnoteReference"/>
        </w:rPr>
        <w:footnoteReference w:id="52"/>
      </w:r>
      <w:r>
        <w:t xml:space="preserve"> Some stakeholders reported that this was not always the case in practice. The 2015 university annual reports provide a certain level of support for this view, describing activities which focus heavily on their specific institution rather than the higher education sector in general. The Behrendt</w:t>
      </w:r>
      <w:r w:rsidRPr="0096138B">
        <w:t xml:space="preserve"> </w:t>
      </w:r>
      <w:r>
        <w:t xml:space="preserve">review received similar feedback in regards to HEPPP Partnership activities and recommended that Partnership </w:t>
      </w:r>
      <w:r w:rsidRPr="0096138B">
        <w:t xml:space="preserve">funding should be </w:t>
      </w:r>
      <w:r>
        <w:t>better ‘</w:t>
      </w:r>
      <w:r w:rsidRPr="0096138B">
        <w:t>targeted at generic promotion of higher education rather than promotion of universities’ individual courses</w:t>
      </w:r>
      <w:r>
        <w:t>’</w:t>
      </w:r>
      <w:r w:rsidRPr="0096138B">
        <w:t>.</w:t>
      </w:r>
    </w:p>
    <w:p w14:paraId="7AFD3785" w14:textId="77777777" w:rsidR="00090683" w:rsidRDefault="00090683" w:rsidP="00090683">
      <w:pPr>
        <w:pStyle w:val="BodyText"/>
      </w:pPr>
      <w:r>
        <w:t>The universities themselves interviewed for this evaluation reported a strong distinction between their Partnership projects and their promotion/recruitment activities, and that it is general practice for them to have separate parts of their organisation undertake the delivery of outreach and promotion/recruitment activities—although this does not remove the possibility that Partnerships activities are used to promote the benefits of a single provider.</w:t>
      </w:r>
    </w:p>
    <w:p w14:paraId="5F47E89E" w14:textId="77777777" w:rsidR="00090683" w:rsidRDefault="00090683" w:rsidP="00090683">
      <w:pPr>
        <w:pStyle w:val="BodyText"/>
      </w:pPr>
      <w:r>
        <w:t xml:space="preserve">In relation to the second issue, some stakeholders argued that under-servicing was concentrated in regional areas due to the higher costs of delivering Partnership activities, whereas over-servicing was more likely to occur in capital cities close to university campuses. Here over-servicing refers to a school receiving HEPPP activities that would be better delivered to another school, rather than receiving HEPPP activities that it does not want—schools can decide to turn down the offer of HEPPP activities. </w:t>
      </w:r>
    </w:p>
    <w:p w14:paraId="64B3E69D" w14:textId="77777777" w:rsidR="00090683" w:rsidRDefault="00090683" w:rsidP="00090683">
      <w:pPr>
        <w:pStyle w:val="BodyText"/>
      </w:pPr>
      <w:r>
        <w:t xml:space="preserve">While there is insufficient direct evidence to draw any strong conclusions regarding the extent to which Partnerships funding is being used for institution-specific promotion/recruitment, or the level of under- or over-servicing, certain program changes could decrease the risk of unintended practices. </w:t>
      </w:r>
    </w:p>
    <w:p w14:paraId="64A3007B" w14:textId="77777777" w:rsidR="00090683" w:rsidRDefault="00090683" w:rsidP="00090683">
      <w:pPr>
        <w:pStyle w:val="BodyText"/>
      </w:pPr>
      <w:r>
        <w:t xml:space="preserve">The Partnership component should be redesigned to facilitate greater collaboration between universities, which would assist with ensuring better coverage of schools and further encourage universities to promote higher education, rather than their individual institution. Greater collaboration could be achieved through a return to the grant-based approach used in 2011 and 2013 for the Partnership component. The grant process could require universities to bid in consortia and define how their activities will ensure coverage of relevant schools within a geographic area and how such activities will promote higher education generally. </w:t>
      </w:r>
    </w:p>
    <w:p w14:paraId="5C565AA7" w14:textId="77777777" w:rsidR="00090683" w:rsidRDefault="00090683" w:rsidP="00090683">
      <w:pPr>
        <w:pStyle w:val="BodyText"/>
      </w:pPr>
      <w:r>
        <w:t xml:space="preserve">Another option could be to maintain the current Partnership funding approach (that is, allocated by the same formula as the Participation component) but make the funding conditional on universities collaborating. Universities within a set geographical region would be required set out how they will ensure all relevant schools receive an appropriate level of Partnership activity, and their approach for ensuring activities do not unduly promote individual institutions. This design could provide a number of advantages over the grant-based approach, including ensuring all universities receive some Partnership funding, and so are all playing their part in increasing access of low SES individuals to higher education, and driving Australia-wide coverage of Partnership activities. It also offers a ready approach to ensure all relevant schools receive Partnership activities and does not rely on the grant process to produce the required collaborations. Moreover, while more rigorous </w:t>
      </w:r>
      <w:r w:rsidRPr="00C52A98">
        <w:t>than</w:t>
      </w:r>
      <w:r>
        <w:t xml:space="preserve"> the current Partnerships model, it would require less administrative effort for the Department and for universities than a grant-based approach. </w:t>
      </w:r>
    </w:p>
    <w:p w14:paraId="77E0AF0D" w14:textId="77777777" w:rsidR="00090683" w:rsidRDefault="00090683" w:rsidP="00090683">
      <w:pPr>
        <w:pStyle w:val="BodyText"/>
      </w:pPr>
      <w:r>
        <w:t xml:space="preserve">Two Partnership projects provide an insight into the possible benefits of universities working together on Partnership activities. The </w:t>
      </w:r>
      <w:r w:rsidRPr="001A2F85">
        <w:t xml:space="preserve">Widening Participation </w:t>
      </w:r>
      <w:r>
        <w:t xml:space="preserve">project, </w:t>
      </w:r>
      <w:r w:rsidRPr="001A2F85">
        <w:t>a collaboration between the eight public universities in Queensland</w:t>
      </w:r>
      <w:r>
        <w:t xml:space="preserve">, led to the minimisation of ‘gaps and duplication… </w:t>
      </w:r>
      <w:r w:rsidRPr="00561FBD">
        <w:t>across the State</w:t>
      </w:r>
      <w:r>
        <w:t xml:space="preserve">’ and where </w:t>
      </w:r>
      <w:r w:rsidRPr="00561FBD">
        <w:t>schools have had m</w:t>
      </w:r>
      <w:r>
        <w:t>ore than one university partner, ‘</w:t>
      </w:r>
      <w:r w:rsidRPr="00561FBD">
        <w:t>communication between universities has ensured program offerings were complementary and program coherence was maintained for schools.</w:t>
      </w:r>
      <w:r>
        <w:t>’</w:t>
      </w:r>
    </w:p>
    <w:p w14:paraId="01A885A1" w14:textId="77777777" w:rsidR="00090683" w:rsidRDefault="00090683" w:rsidP="00090683">
      <w:pPr>
        <w:pStyle w:val="BodyText"/>
      </w:pPr>
      <w:r>
        <w:t xml:space="preserve">The </w:t>
      </w:r>
      <w:r w:rsidRPr="001A2F85">
        <w:t>Widening Participation</w:t>
      </w:r>
      <w:r>
        <w:t xml:space="preserve"> consortium also reports that:</w:t>
      </w:r>
    </w:p>
    <w:p w14:paraId="391B275D" w14:textId="77777777" w:rsidR="00090683" w:rsidRDefault="00090683" w:rsidP="00090683">
      <w:pPr>
        <w:pStyle w:val="Quote"/>
      </w:pPr>
      <w:r>
        <w:t xml:space="preserve">Queensland universities have seen program benefits in taking a collaborative approach to school outreach including improving the quality of their outreach work, sharing expertise and improved focus on prioritised low SES schools.  The Consortium approach has also enabled universities to undertake some large scale evaluation tasks </w:t>
      </w:r>
      <w:r w:rsidRPr="00094162">
        <w:t>and access data on schools and tertiary applications and enrolments.</w:t>
      </w:r>
    </w:p>
    <w:p w14:paraId="61C1E543" w14:textId="77777777" w:rsidR="00090683" w:rsidRDefault="00090683" w:rsidP="00090683">
      <w:pPr>
        <w:pStyle w:val="BodyText"/>
      </w:pPr>
      <w:r>
        <w:t xml:space="preserve">The Bridges to Higher Education project was delivered by five universities and an evaluation of the project indicates that the ‘collaboration between the five universities promoted access to a wide-ranging academic speakers’ and developed ‘communities of practice [which] have enhanced the capacity to share lessons and experiences between universities and problem solve collectively.’ Similar to the </w:t>
      </w:r>
      <w:r w:rsidRPr="001A2F85">
        <w:t>Widening Participation</w:t>
      </w:r>
      <w:r>
        <w:t>, ‘schools observed a more coordinated approach’ under Bridges and reach was ‘enhanced through the development of shared resources’.</w:t>
      </w:r>
    </w:p>
    <w:p w14:paraId="668535C5" w14:textId="77777777" w:rsidR="00090683" w:rsidRPr="00561FBD" w:rsidRDefault="00090683" w:rsidP="00090683">
      <w:pPr>
        <w:pStyle w:val="BodyText"/>
      </w:pPr>
      <w:r>
        <w:t>Some stakeholders suggested that a more competitive higher education landscape may be leading to a reduction in collaboration between universities, including in how Partnerships projects are implemented. For example, the Queensland Widening Participation has seen the withdrawal of some universities in recent times. Changes to the Partnership component which encourage universities to collaborate provide an opportunity to address this trend to the extent that it exists but in any event should improve school coverage and reduce the extent of university specific promotion/recruitment.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29ED126E" w14:textId="77777777" w:rsidTr="000B7E9A">
        <w:trPr>
          <w:cantSplit/>
        </w:trPr>
        <w:tc>
          <w:tcPr>
            <w:tcW w:w="8614" w:type="dxa"/>
            <w:tcMar>
              <w:top w:w="160" w:type="dxa"/>
              <w:left w:w="446" w:type="dxa"/>
            </w:tcMar>
          </w:tcPr>
          <w:p w14:paraId="1F6CBF21"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3</w:t>
            </w:r>
            <w:r>
              <w:tab/>
            </w:r>
          </w:p>
        </w:tc>
      </w:tr>
      <w:tr w:rsidR="00090683" w14:paraId="2E8E10C4" w14:textId="77777777" w:rsidTr="000B7E9A">
        <w:trPr>
          <w:cantSplit/>
        </w:trPr>
        <w:tc>
          <w:tcPr>
            <w:tcW w:w="8614" w:type="dxa"/>
            <w:shd w:val="clear" w:color="auto" w:fill="E4E0DD"/>
            <w:tcMar>
              <w:top w:w="276" w:type="dxa"/>
              <w:bottom w:w="0" w:type="dxa"/>
              <w:right w:w="120" w:type="dxa"/>
            </w:tcMar>
          </w:tcPr>
          <w:p w14:paraId="06E8DDB5" w14:textId="77777777" w:rsidR="00090683" w:rsidRDefault="00090683" w:rsidP="000B7E9A">
            <w:pPr>
              <w:pStyle w:val="BoxText"/>
            </w:pPr>
            <w:r w:rsidRPr="000B3B11">
              <w:t>T</w:t>
            </w:r>
            <w:r>
              <w:t>hat t</w:t>
            </w:r>
            <w:r w:rsidRPr="000B3B11">
              <w:t xml:space="preserve">he Partnership component of the HEPPP be </w:t>
            </w:r>
            <w:r>
              <w:t>re</w:t>
            </w:r>
            <w:r w:rsidRPr="000B3B11">
              <w:t xml:space="preserve">tained, with </w:t>
            </w:r>
            <w:r>
              <w:t>universities required to collaborate within defined geographical regions to ensure coverage of relevant schools and to reduce the extent to which Partnership activities promote any particular institution</w:t>
            </w:r>
            <w:r w:rsidRPr="000B3B11">
              <w:t>.</w:t>
            </w:r>
          </w:p>
        </w:tc>
      </w:tr>
      <w:tr w:rsidR="00090683" w:rsidRPr="008B3E19" w14:paraId="1D2FFCEE" w14:textId="77777777" w:rsidTr="000B7E9A">
        <w:trPr>
          <w:cantSplit/>
          <w:trHeight w:hRule="exact" w:val="376"/>
        </w:trPr>
        <w:tc>
          <w:tcPr>
            <w:tcW w:w="8614" w:type="dxa"/>
            <w:shd w:val="clear" w:color="auto" w:fill="E4E0DD"/>
            <w:tcMar>
              <w:top w:w="0" w:type="dxa"/>
              <w:bottom w:w="0" w:type="dxa"/>
              <w:right w:w="0" w:type="dxa"/>
            </w:tcMar>
          </w:tcPr>
          <w:p w14:paraId="1B2608E5" w14:textId="77777777" w:rsidR="00090683" w:rsidRPr="008B3E19" w:rsidRDefault="00090683" w:rsidP="000B7E9A">
            <w:pPr>
              <w:pStyle w:val="spacer"/>
            </w:pPr>
          </w:p>
        </w:tc>
      </w:tr>
      <w:tr w:rsidR="00090683" w:rsidRPr="008B3E19" w14:paraId="0674606A" w14:textId="77777777" w:rsidTr="000B7E9A">
        <w:trPr>
          <w:cantSplit/>
          <w:trHeight w:hRule="exact" w:val="180"/>
        </w:trPr>
        <w:tc>
          <w:tcPr>
            <w:tcW w:w="8614" w:type="dxa"/>
            <w:tcMar>
              <w:top w:w="0" w:type="dxa"/>
              <w:left w:w="446" w:type="dxa"/>
              <w:bottom w:w="0" w:type="dxa"/>
            </w:tcMar>
          </w:tcPr>
          <w:p w14:paraId="5506F1BA"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22240" behindDoc="0" locked="1" layoutInCell="1" allowOverlap="1" wp14:anchorId="6DE141C7" wp14:editId="0FEDCC40">
                      <wp:simplePos x="0" y="0"/>
                      <wp:positionH relativeFrom="rightMargin">
                        <wp:posOffset>-772795</wp:posOffset>
                      </wp:positionH>
                      <wp:positionV relativeFrom="page">
                        <wp:posOffset>-237490</wp:posOffset>
                      </wp:positionV>
                      <wp:extent cx="436880" cy="213360"/>
                      <wp:effectExtent l="0" t="0" r="1270" b="0"/>
                      <wp:wrapNone/>
                      <wp:docPr id="55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80211B" id="Freeform 5" o:spid="_x0000_s1026" style="position:absolute;margin-left:-60.85pt;margin-top:-18.7pt;width:34.4pt;height:16.8pt;z-index:251722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39A36EF1" w14:textId="77777777" w:rsidR="00090683" w:rsidRDefault="00090683" w:rsidP="00090683">
      <w:pPr>
        <w:pStyle w:val="Heading4"/>
      </w:pPr>
      <w:r>
        <w:t>National Priorities Pool component</w:t>
      </w:r>
    </w:p>
    <w:p w14:paraId="4DE3E260" w14:textId="77777777" w:rsidR="00090683" w:rsidRDefault="00090683" w:rsidP="00090683">
      <w:pPr>
        <w:pStyle w:val="BodyText"/>
      </w:pPr>
      <w:r>
        <w:t xml:space="preserve">The NPP component has been in operation since 2014 to fund universities to undertake research and trials to support ‘effective implementation of the HEPPP nationally and at an institutional level.’ Chapter 8 details evidence, including conference presentations and journal article submissions, regarding how the NPP is supporting HEPPP implementation and informing broader higher education equity practice. As an example, the EIF is widely accepted by equity practitioners within universities and has informed HEPPP implementation at many of the universities. </w:t>
      </w:r>
    </w:p>
    <w:p w14:paraId="3A705A03" w14:textId="77777777" w:rsidR="00090683" w:rsidRDefault="00090683" w:rsidP="00090683">
      <w:pPr>
        <w:pStyle w:val="BodyText"/>
      </w:pPr>
      <w:r>
        <w:t>Having said this, the NPP component is still in its formative period</w:t>
      </w:r>
      <w:r w:rsidDel="000F452B">
        <w:t xml:space="preserve"> </w:t>
      </w:r>
      <w:r>
        <w:t xml:space="preserve">with more than half of projects funded under NPP still to be completed. Additionally, there is a time lag between research/trials being undertaken and their impact on practice, so it is too early to be conclusive on the impact of the NPP. Consultations indicate that university HEPPP implementation could be improved by greater access to evidence on what works, but that this kind of research is unlikely to be generated by universities without dedicated funding. </w:t>
      </w:r>
    </w:p>
    <w:p w14:paraId="0339F677" w14:textId="00D4DE82" w:rsidR="00090683" w:rsidRDefault="00090683" w:rsidP="00090683">
      <w:pPr>
        <w:pStyle w:val="BodyText"/>
      </w:pPr>
      <w:r>
        <w:t xml:space="preserve">At the same time, </w:t>
      </w:r>
      <w:r w:rsidR="00A76D77">
        <w:t>a review of the projects commissioned under the NPP indicates</w:t>
      </w:r>
      <w:r>
        <w:t xml:space="preserve"> that they do not clearly point to research that will provide evidence to fill the key HEPPP-related knowledge gaps identified through this evaluation, namely:</w:t>
      </w:r>
    </w:p>
    <w:p w14:paraId="61B0F0BF" w14:textId="77777777" w:rsidR="00090683" w:rsidRDefault="00090683" w:rsidP="00090683">
      <w:pPr>
        <w:pStyle w:val="ListBullet"/>
      </w:pPr>
      <w:r>
        <w:t>Which types of activities are more effective than other types of activities (for example, are mentor programs or scholarships more effective in increasing completion rates?)—this will assist universities to allocate funding between different types of activities.</w:t>
      </w:r>
    </w:p>
    <w:p w14:paraId="5C10AE19" w14:textId="77777777" w:rsidR="00090683" w:rsidRDefault="00090683" w:rsidP="00090683">
      <w:pPr>
        <w:pStyle w:val="ListBullet"/>
      </w:pPr>
      <w:r>
        <w:t>Within a type of activity, what are the characteristics of effective projects (for example, what are the characteristics of successful mentoring programs?)—this will guide universities’ design of projects.</w:t>
      </w:r>
    </w:p>
    <w:p w14:paraId="06F3D658" w14:textId="77777777" w:rsidR="00090683" w:rsidRDefault="00090683" w:rsidP="00090683">
      <w:pPr>
        <w:pStyle w:val="ListBullet"/>
      </w:pPr>
      <w:r>
        <w:t xml:space="preserve">What sustains educational inequity (for example, why do </w:t>
      </w:r>
      <w:r w:rsidRPr="00021A04">
        <w:t xml:space="preserve">intergenerational inequalities </w:t>
      </w:r>
      <w:r>
        <w:t>in educational mobility continue to persist?)—this will also guide universities’ design of projects.</w:t>
      </w:r>
    </w:p>
    <w:p w14:paraId="5372989A" w14:textId="77777777" w:rsidR="00090683" w:rsidRDefault="00090683" w:rsidP="00090683">
      <w:pPr>
        <w:pStyle w:val="BodyText"/>
      </w:pPr>
      <w:r>
        <w:t xml:space="preserve">These are most likely to be addressed by more rigorous evaluative research using, for example, quasi-experimental or experimental design, and longitudinal studies, which allow for stronger conclusions to drawn on the causal impact of program interventions or social factors. Such research is normally more resource intensive than the projects funded by the NPP, but would be more effective at building a body of knowledge to inform HEPPP implementation.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559FAA48" w14:textId="77777777" w:rsidTr="000B7E9A">
        <w:trPr>
          <w:cantSplit/>
        </w:trPr>
        <w:tc>
          <w:tcPr>
            <w:tcW w:w="8614" w:type="dxa"/>
            <w:tcMar>
              <w:top w:w="160" w:type="dxa"/>
              <w:left w:w="446" w:type="dxa"/>
            </w:tcMar>
          </w:tcPr>
          <w:p w14:paraId="6E553358"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4</w:t>
            </w:r>
            <w:r>
              <w:tab/>
            </w:r>
          </w:p>
        </w:tc>
      </w:tr>
      <w:tr w:rsidR="00090683" w14:paraId="68FE9518" w14:textId="77777777" w:rsidTr="000B7E9A">
        <w:trPr>
          <w:cantSplit/>
        </w:trPr>
        <w:tc>
          <w:tcPr>
            <w:tcW w:w="8614" w:type="dxa"/>
            <w:shd w:val="clear" w:color="auto" w:fill="E4E0DD"/>
            <w:tcMar>
              <w:top w:w="276" w:type="dxa"/>
              <w:bottom w:w="0" w:type="dxa"/>
              <w:right w:w="120" w:type="dxa"/>
            </w:tcMar>
          </w:tcPr>
          <w:p w14:paraId="69547AF9" w14:textId="77777777" w:rsidR="00090683" w:rsidRDefault="00090683" w:rsidP="000B7E9A">
            <w:pPr>
              <w:pStyle w:val="BoxText"/>
            </w:pPr>
            <w:r w:rsidRPr="000B3B11">
              <w:t>T</w:t>
            </w:r>
            <w:r>
              <w:t>hat t</w:t>
            </w:r>
            <w:r w:rsidRPr="000B3B11">
              <w:t xml:space="preserve">he NPP be </w:t>
            </w:r>
            <w:r>
              <w:t>re</w:t>
            </w:r>
            <w:r w:rsidRPr="000B3B11">
              <w:t xml:space="preserve">tained </w:t>
            </w:r>
            <w:r>
              <w:t xml:space="preserve">to support research on higher education equity, but </w:t>
            </w:r>
            <w:r w:rsidRPr="000B3B11">
              <w:t xml:space="preserve">with a greater focus on </w:t>
            </w:r>
            <w:r>
              <w:t>more rigorous evaluative research that can help identify the most effective approaches</w:t>
            </w:r>
            <w:r w:rsidRPr="000B3B11">
              <w:t xml:space="preserve">. </w:t>
            </w:r>
          </w:p>
        </w:tc>
      </w:tr>
      <w:tr w:rsidR="00090683" w:rsidRPr="008B3E19" w14:paraId="75272A5A" w14:textId="77777777" w:rsidTr="000B7E9A">
        <w:trPr>
          <w:cantSplit/>
          <w:trHeight w:hRule="exact" w:val="376"/>
        </w:trPr>
        <w:tc>
          <w:tcPr>
            <w:tcW w:w="8614" w:type="dxa"/>
            <w:shd w:val="clear" w:color="auto" w:fill="E4E0DD"/>
            <w:tcMar>
              <w:top w:w="0" w:type="dxa"/>
              <w:bottom w:w="0" w:type="dxa"/>
              <w:right w:w="0" w:type="dxa"/>
            </w:tcMar>
          </w:tcPr>
          <w:p w14:paraId="09AAB67A" w14:textId="77777777" w:rsidR="00090683" w:rsidRPr="008B3E19" w:rsidRDefault="00090683" w:rsidP="000B7E9A">
            <w:pPr>
              <w:pStyle w:val="spacer"/>
            </w:pPr>
          </w:p>
        </w:tc>
      </w:tr>
      <w:tr w:rsidR="00090683" w:rsidRPr="008B3E19" w14:paraId="1D90D3F6" w14:textId="77777777" w:rsidTr="000B7E9A">
        <w:trPr>
          <w:cantSplit/>
          <w:trHeight w:hRule="exact" w:val="180"/>
        </w:trPr>
        <w:tc>
          <w:tcPr>
            <w:tcW w:w="8614" w:type="dxa"/>
            <w:tcMar>
              <w:top w:w="0" w:type="dxa"/>
              <w:left w:w="446" w:type="dxa"/>
              <w:bottom w:w="0" w:type="dxa"/>
            </w:tcMar>
          </w:tcPr>
          <w:p w14:paraId="7A90BC32"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23264" behindDoc="0" locked="1" layoutInCell="1" allowOverlap="1" wp14:anchorId="61D964C0" wp14:editId="30C164C7">
                      <wp:simplePos x="0" y="0"/>
                      <wp:positionH relativeFrom="rightMargin">
                        <wp:posOffset>-772795</wp:posOffset>
                      </wp:positionH>
                      <wp:positionV relativeFrom="page">
                        <wp:posOffset>-237490</wp:posOffset>
                      </wp:positionV>
                      <wp:extent cx="436880" cy="213360"/>
                      <wp:effectExtent l="0" t="0" r="1270" b="0"/>
                      <wp:wrapNone/>
                      <wp:docPr id="56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80B12F" id="Freeform 5" o:spid="_x0000_s1026" style="position:absolute;margin-left:-60.85pt;margin-top:-18.7pt;width:34.4pt;height:16.8pt;z-index:251723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8203957" w14:textId="77777777" w:rsidR="00090683" w:rsidRPr="00E94210" w:rsidRDefault="00090683" w:rsidP="00090683">
      <w:pPr>
        <w:pStyle w:val="Heading4"/>
      </w:pPr>
      <w:r>
        <w:t>Equity groups</w:t>
      </w:r>
    </w:p>
    <w:p w14:paraId="6744A88D" w14:textId="437AD50B" w:rsidR="00090683" w:rsidRDefault="00090683" w:rsidP="00090683">
      <w:pPr>
        <w:pStyle w:val="BodyText"/>
      </w:pPr>
      <w:r>
        <w:t xml:space="preserve">The design of the HEPPP explicitly targets individuals </w:t>
      </w:r>
      <w:r w:rsidRPr="005F33BF">
        <w:t>from low SES backgrounds</w:t>
      </w:r>
      <w:r>
        <w:t xml:space="preserve">. </w:t>
      </w:r>
      <w:r w:rsidR="00A76D77">
        <w:t xml:space="preserve">This is evident in the Guidelines which set out the HEPPP’s objectives and the manner in which Participation and Partnership funding is currently allocated to universities based on each university’s share of low SES students. </w:t>
      </w:r>
    </w:p>
    <w:p w14:paraId="50032348" w14:textId="77777777" w:rsidR="00090683" w:rsidRDefault="00090683" w:rsidP="00090683">
      <w:pPr>
        <w:pStyle w:val="BodyText"/>
      </w:pPr>
      <w:r>
        <w:t>Chapter 2 discusses that higher education equity policy focuses on six equity groups as</w:t>
      </w:r>
      <w:r w:rsidRPr="002200B0">
        <w:rPr>
          <w:i/>
        </w:rPr>
        <w:t xml:space="preserve"> </w:t>
      </w:r>
      <w:r w:rsidRPr="00AD49C8">
        <w:t xml:space="preserve">identified in </w:t>
      </w:r>
      <w:r w:rsidRPr="00D049DE">
        <w:rPr>
          <w:i/>
        </w:rPr>
        <w:t>A Fair Chance for All</w:t>
      </w:r>
      <w:r>
        <w:t xml:space="preserve"> in 1990:</w:t>
      </w:r>
    </w:p>
    <w:p w14:paraId="236D56E0" w14:textId="77777777" w:rsidR="00090683" w:rsidRDefault="00090683" w:rsidP="00090683">
      <w:pPr>
        <w:pStyle w:val="ListBullet"/>
      </w:pPr>
      <w:r>
        <w:t>Indigenous Australians</w:t>
      </w:r>
    </w:p>
    <w:p w14:paraId="34AAA16C" w14:textId="77777777" w:rsidR="00090683" w:rsidRDefault="00090683" w:rsidP="00090683">
      <w:pPr>
        <w:pStyle w:val="ListBullet"/>
      </w:pPr>
      <w:r>
        <w:t>people from low SES backgrounds</w:t>
      </w:r>
    </w:p>
    <w:p w14:paraId="10FF821B" w14:textId="77777777" w:rsidR="00090683" w:rsidRDefault="00090683" w:rsidP="00090683">
      <w:pPr>
        <w:pStyle w:val="ListBullet"/>
      </w:pPr>
      <w:r>
        <w:t>people from non-English speaking backgrounds (NESB)</w:t>
      </w:r>
    </w:p>
    <w:p w14:paraId="352EFF6E" w14:textId="77777777" w:rsidR="00090683" w:rsidRDefault="00090683" w:rsidP="00090683">
      <w:pPr>
        <w:pStyle w:val="ListBullet"/>
      </w:pPr>
      <w:r>
        <w:t>people from regional and remote areas</w:t>
      </w:r>
    </w:p>
    <w:p w14:paraId="6709EC96" w14:textId="77777777" w:rsidR="00090683" w:rsidRDefault="00090683" w:rsidP="00090683">
      <w:pPr>
        <w:pStyle w:val="ListBullet"/>
      </w:pPr>
      <w:r>
        <w:t>people with disability</w:t>
      </w:r>
    </w:p>
    <w:p w14:paraId="02C6173B" w14:textId="77777777" w:rsidR="00090683" w:rsidRDefault="00090683" w:rsidP="00090683">
      <w:pPr>
        <w:pStyle w:val="ListBullet"/>
      </w:pPr>
      <w:r>
        <w:t>women in non-traditional subject areas (WINTA).</w:t>
      </w:r>
    </w:p>
    <w:p w14:paraId="0475D2A8" w14:textId="77777777" w:rsidR="00090683" w:rsidRDefault="00090683" w:rsidP="00090683">
      <w:pPr>
        <w:pStyle w:val="BodyText"/>
      </w:pPr>
      <w:r>
        <w:t>Despite the design of the HEPPP as a low SES program, these other equity groups have also received project focus under the HEPPP. In part, this is because there is an overlap between low SES and other equity groups which has been reflected in the administration of the HEPPP—for example, i</w:t>
      </w:r>
      <w:r w:rsidRPr="00EA281E">
        <w:t xml:space="preserve">n 2013, </w:t>
      </w:r>
      <w:r>
        <w:t xml:space="preserve">the Partnership grant round was for projects targeted at low SES Indigenous individuals. This has also led to some universities targeting HEPPP projects at other equity groups, as well as that universities find it difficult to target low SES students as a specific cohort. </w:t>
      </w:r>
    </w:p>
    <w:p w14:paraId="371F2E8E" w14:textId="77777777" w:rsidR="00090683" w:rsidRDefault="00090683" w:rsidP="00090683">
      <w:pPr>
        <w:pStyle w:val="BodyText"/>
      </w:pPr>
      <w:r>
        <w:t xml:space="preserve">There is also evidence that some universities target HEPPP projects at other equity groups, regardless of their overlap with the low SES cohort. In some cases this is based on universities’ own analysis and identification of groups they see as facing barriers to higher education participation and success. In other cases, universities are focusing on the non-low SES </w:t>
      </w:r>
      <w:r w:rsidRPr="00F41A2C">
        <w:rPr>
          <w:i/>
        </w:rPr>
        <w:t>A Fair Chance for All</w:t>
      </w:r>
      <w:r>
        <w:t xml:space="preserve"> equity groups, this apparently driven by the fact that these are government-approved equity groups in higher education and the belief that the HEPPP has a broad equity focus. Some universities even argued for more clarity on whether non-low SES equity groups can be targeted with HEPPP funding.  </w:t>
      </w:r>
    </w:p>
    <w:p w14:paraId="4249DEE9" w14:textId="77777777" w:rsidR="00090683" w:rsidRDefault="00090683" w:rsidP="00090683">
      <w:pPr>
        <w:pStyle w:val="BodyText"/>
      </w:pPr>
      <w:r>
        <w:t xml:space="preserve">This evaluation has been tasked to examine the following research questions: </w:t>
      </w:r>
    </w:p>
    <w:p w14:paraId="26F95954" w14:textId="77777777" w:rsidR="00090683" w:rsidRDefault="00090683" w:rsidP="00090683">
      <w:pPr>
        <w:pStyle w:val="Quote"/>
      </w:pPr>
      <w:r>
        <w:t>Is it appropriate that the HEPPP target people from low SES backgrounds? Are there people from other disadvantaged backgrounds who should be supported in addition to, or instead of, low SES?</w:t>
      </w:r>
    </w:p>
    <w:p w14:paraId="46E4A656" w14:textId="77777777" w:rsidR="00090683" w:rsidRDefault="00090683" w:rsidP="00090683">
      <w:pPr>
        <w:pStyle w:val="BodyText"/>
      </w:pPr>
      <w:r>
        <w:t xml:space="preserve">Relevant to this, there is currently underway a NPP funded </w:t>
      </w:r>
      <w:r w:rsidRPr="00A36B23">
        <w:t>Review of Identified Equity Groups</w:t>
      </w:r>
      <w:r>
        <w:t xml:space="preserve">. This is expected to report in November 2017 and will be able to examine the research questions in more depth. As such, the following discussion does not intend to pre-empt the Review’s findings, but rather draws out evidence collected through this evaluation. (For context, </w:t>
      </w:r>
      <w:r w:rsidRPr="00AD49C8">
        <w:t>Table 11.1</w:t>
      </w:r>
      <w:r>
        <w:t xml:space="preserve"> contains each equity group’s share of </w:t>
      </w:r>
      <w:r w:rsidRPr="004A7CF1">
        <w:t>undergraduate enrolments</w:t>
      </w:r>
      <w:r>
        <w:t xml:space="preserve"> and the proportion of the population aged 15-64 years old.)</w:t>
      </w:r>
    </w:p>
    <w:p w14:paraId="4CCDFB45" w14:textId="77777777" w:rsidR="00090683" w:rsidRDefault="00090683" w:rsidP="00090683">
      <w:pPr>
        <w:pStyle w:val="Caption"/>
        <w:spacing w:before="160"/>
      </w:pPr>
      <w:bookmarkStart w:id="635" w:name="_Ref465689943"/>
      <w:bookmarkStart w:id="636" w:name="_Toc466655769"/>
      <w:r w:rsidRPr="00FC29C8">
        <w:rPr>
          <w:rStyle w:val="CaptionLabel"/>
        </w:rPr>
        <w:t>Table</w:t>
      </w:r>
      <w:r>
        <w:rPr>
          <w:rStyle w:val="CaptionLabel"/>
        </w:rPr>
        <w:t> </w:t>
      </w:r>
      <w:r>
        <w:rPr>
          <w:rStyle w:val="CaptionLabel"/>
          <w:noProof/>
        </w:rPr>
        <w:t>11</w:t>
      </w:r>
      <w:r w:rsidRPr="00FC29C8">
        <w:rPr>
          <w:rStyle w:val="CaptionLabel"/>
        </w:rPr>
        <w:t>.</w:t>
      </w:r>
      <w:r>
        <w:rPr>
          <w:rStyle w:val="CaptionLabel"/>
          <w:noProof/>
        </w:rPr>
        <w:t>1</w:t>
      </w:r>
      <w:bookmarkEnd w:id="635"/>
      <w:r>
        <w:tab/>
        <w:t>equity groups share of ENROLMENTS and population, 2015</w:t>
      </w:r>
      <w:bookmarkEnd w:id="636"/>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4"/>
        <w:gridCol w:w="3545"/>
        <w:gridCol w:w="2311"/>
        <w:gridCol w:w="2312"/>
      </w:tblGrid>
      <w:tr w:rsidR="00090683" w14:paraId="298F4AFC" w14:textId="77777777" w:rsidTr="000B7E9A">
        <w:trPr>
          <w:cantSplit/>
          <w:tblHeader/>
        </w:trPr>
        <w:tc>
          <w:tcPr>
            <w:tcW w:w="2319" w:type="pct"/>
            <w:gridSpan w:val="2"/>
            <w:shd w:val="clear" w:color="auto" w:fill="9D57A6"/>
            <w:tcMar>
              <w:left w:w="454" w:type="dxa"/>
              <w:bottom w:w="0" w:type="dxa"/>
            </w:tcMar>
          </w:tcPr>
          <w:p w14:paraId="152D7197" w14:textId="77777777" w:rsidR="00090683" w:rsidRDefault="00090683" w:rsidP="000B7E9A">
            <w:pPr>
              <w:pStyle w:val="Tablecolumnheadings"/>
              <w:keepLines/>
            </w:pPr>
          </w:p>
        </w:tc>
        <w:tc>
          <w:tcPr>
            <w:tcW w:w="1340" w:type="pct"/>
            <w:shd w:val="clear" w:color="auto" w:fill="9D57A6"/>
            <w:tcMar>
              <w:bottom w:w="0" w:type="dxa"/>
            </w:tcMar>
          </w:tcPr>
          <w:p w14:paraId="0B6B7A70" w14:textId="77777777" w:rsidR="00090683" w:rsidRDefault="00090683" w:rsidP="000B7E9A">
            <w:pPr>
              <w:pStyle w:val="Tablecolumnheadings"/>
              <w:keepLines/>
              <w:jc w:val="center"/>
            </w:pPr>
            <w:r>
              <w:t>S</w:t>
            </w:r>
            <w:r w:rsidRPr="004A7CF1">
              <w:t>hare of undergraduate enrolments</w:t>
            </w:r>
            <w:r w:rsidRPr="006640EC">
              <w:rPr>
                <w:vertAlign w:val="superscript"/>
              </w:rPr>
              <w:t>a</w:t>
            </w:r>
          </w:p>
        </w:tc>
        <w:tc>
          <w:tcPr>
            <w:tcW w:w="1341" w:type="pct"/>
            <w:shd w:val="clear" w:color="auto" w:fill="9D57A6"/>
            <w:tcMar>
              <w:bottom w:w="0" w:type="dxa"/>
            </w:tcMar>
          </w:tcPr>
          <w:p w14:paraId="3544C03A" w14:textId="77777777" w:rsidR="00090683" w:rsidRDefault="00090683" w:rsidP="000B7E9A">
            <w:pPr>
              <w:pStyle w:val="Tablecolumnheadings"/>
              <w:keepLines/>
              <w:jc w:val="center"/>
            </w:pPr>
            <w:r>
              <w:t>S</w:t>
            </w:r>
            <w:r w:rsidRPr="004A7CF1">
              <w:t xml:space="preserve">hare of 15-64 </w:t>
            </w:r>
            <w:r>
              <w:t xml:space="preserve">years old </w:t>
            </w:r>
            <w:r w:rsidRPr="004A7CF1">
              <w:t>Australian population</w:t>
            </w:r>
          </w:p>
        </w:tc>
      </w:tr>
      <w:tr w:rsidR="00090683" w14:paraId="65BACD07" w14:textId="77777777" w:rsidTr="000B7E9A">
        <w:tblPrEx>
          <w:tblBorders>
            <w:bottom w:val="single" w:sz="4" w:space="0" w:color="646464"/>
            <w:insideH w:val="single" w:sz="4" w:space="0" w:color="646464"/>
          </w:tblBorders>
        </w:tblPrEx>
        <w:trPr>
          <w:gridBefore w:val="1"/>
          <w:wBefore w:w="263" w:type="pct"/>
          <w:cantSplit/>
        </w:trPr>
        <w:tc>
          <w:tcPr>
            <w:tcW w:w="2056" w:type="pct"/>
            <w:tcBorders>
              <w:top w:val="nil"/>
            </w:tcBorders>
            <w:vAlign w:val="bottom"/>
          </w:tcPr>
          <w:p w14:paraId="793C7E2F" w14:textId="77777777" w:rsidR="00090683" w:rsidRDefault="00090683" w:rsidP="000B7E9A">
            <w:pPr>
              <w:pStyle w:val="Tabletext"/>
              <w:keepNext/>
              <w:keepLines/>
            </w:pPr>
            <w:r>
              <w:t>Low SES</w:t>
            </w:r>
          </w:p>
        </w:tc>
        <w:tc>
          <w:tcPr>
            <w:tcW w:w="1340" w:type="pct"/>
            <w:tcBorders>
              <w:top w:val="nil"/>
            </w:tcBorders>
            <w:vAlign w:val="center"/>
          </w:tcPr>
          <w:p w14:paraId="20C1CCB5" w14:textId="77777777" w:rsidR="00090683" w:rsidRDefault="00090683" w:rsidP="000B7E9A">
            <w:pPr>
              <w:pStyle w:val="Tabletext"/>
              <w:keepNext/>
              <w:keepLines/>
              <w:jc w:val="center"/>
            </w:pPr>
            <w:r>
              <w:t>16.1%</w:t>
            </w:r>
          </w:p>
        </w:tc>
        <w:tc>
          <w:tcPr>
            <w:tcW w:w="1341" w:type="pct"/>
            <w:tcBorders>
              <w:top w:val="nil"/>
            </w:tcBorders>
            <w:vAlign w:val="center"/>
          </w:tcPr>
          <w:p w14:paraId="45D70A81" w14:textId="77777777" w:rsidR="00090683" w:rsidRDefault="00090683" w:rsidP="000B7E9A">
            <w:pPr>
              <w:pStyle w:val="Tabletext"/>
              <w:keepNext/>
              <w:keepLines/>
              <w:jc w:val="center"/>
            </w:pPr>
            <w:r>
              <w:t>25.0%</w:t>
            </w:r>
          </w:p>
        </w:tc>
      </w:tr>
      <w:tr w:rsidR="00090683" w14:paraId="6387E491" w14:textId="77777777" w:rsidTr="000B7E9A">
        <w:tblPrEx>
          <w:tblBorders>
            <w:bottom w:val="single" w:sz="4" w:space="0" w:color="646464"/>
            <w:insideH w:val="single" w:sz="4" w:space="0" w:color="646464"/>
          </w:tblBorders>
        </w:tblPrEx>
        <w:trPr>
          <w:gridBefore w:val="1"/>
          <w:wBefore w:w="263" w:type="pct"/>
          <w:cantSplit/>
        </w:trPr>
        <w:tc>
          <w:tcPr>
            <w:tcW w:w="2056" w:type="pct"/>
            <w:tcBorders>
              <w:top w:val="nil"/>
            </w:tcBorders>
            <w:vAlign w:val="bottom"/>
          </w:tcPr>
          <w:p w14:paraId="4A588166" w14:textId="77777777" w:rsidR="00090683" w:rsidRDefault="00090683" w:rsidP="000B7E9A">
            <w:pPr>
              <w:pStyle w:val="Tabletext"/>
              <w:keepNext/>
              <w:keepLines/>
            </w:pPr>
            <w:r>
              <w:t>Indigenous</w:t>
            </w:r>
          </w:p>
        </w:tc>
        <w:tc>
          <w:tcPr>
            <w:tcW w:w="1340" w:type="pct"/>
            <w:tcBorders>
              <w:top w:val="nil"/>
            </w:tcBorders>
            <w:vAlign w:val="center"/>
          </w:tcPr>
          <w:p w14:paraId="4069098F" w14:textId="77777777" w:rsidR="00090683" w:rsidRDefault="00090683" w:rsidP="000B7E9A">
            <w:pPr>
              <w:pStyle w:val="Tabletext"/>
              <w:keepNext/>
              <w:keepLines/>
              <w:jc w:val="center"/>
            </w:pPr>
            <w:r>
              <w:t>1.7%</w:t>
            </w:r>
          </w:p>
        </w:tc>
        <w:tc>
          <w:tcPr>
            <w:tcW w:w="1341" w:type="pct"/>
            <w:tcBorders>
              <w:top w:val="nil"/>
            </w:tcBorders>
            <w:vAlign w:val="center"/>
          </w:tcPr>
          <w:p w14:paraId="18A0952F" w14:textId="77777777" w:rsidR="00090683" w:rsidRDefault="00090683" w:rsidP="000B7E9A">
            <w:pPr>
              <w:pStyle w:val="Tabletext"/>
              <w:keepNext/>
              <w:keepLines/>
              <w:jc w:val="center"/>
            </w:pPr>
            <w:r>
              <w:t>2.8%</w:t>
            </w:r>
          </w:p>
        </w:tc>
      </w:tr>
      <w:tr w:rsidR="00090683" w14:paraId="396BE989" w14:textId="77777777" w:rsidTr="000B7E9A">
        <w:tblPrEx>
          <w:tblBorders>
            <w:bottom w:val="single" w:sz="4" w:space="0" w:color="646464"/>
            <w:insideH w:val="single" w:sz="4" w:space="0" w:color="646464"/>
          </w:tblBorders>
        </w:tblPrEx>
        <w:trPr>
          <w:gridBefore w:val="1"/>
          <w:wBefore w:w="263" w:type="pct"/>
          <w:cantSplit/>
        </w:trPr>
        <w:tc>
          <w:tcPr>
            <w:tcW w:w="2056" w:type="pct"/>
            <w:tcBorders>
              <w:top w:val="nil"/>
            </w:tcBorders>
            <w:vAlign w:val="bottom"/>
          </w:tcPr>
          <w:p w14:paraId="6F588D3A" w14:textId="77777777" w:rsidR="00090683" w:rsidRDefault="00090683" w:rsidP="000B7E9A">
            <w:pPr>
              <w:pStyle w:val="Tabletext"/>
              <w:keepNext/>
              <w:keepLines/>
            </w:pPr>
            <w:r>
              <w:t>Regional</w:t>
            </w:r>
          </w:p>
        </w:tc>
        <w:tc>
          <w:tcPr>
            <w:tcW w:w="1340" w:type="pct"/>
            <w:tcBorders>
              <w:top w:val="nil"/>
            </w:tcBorders>
            <w:vAlign w:val="center"/>
          </w:tcPr>
          <w:p w14:paraId="332EE242" w14:textId="77777777" w:rsidR="00090683" w:rsidRDefault="00090683" w:rsidP="000B7E9A">
            <w:pPr>
              <w:pStyle w:val="Tabletext"/>
              <w:keepNext/>
              <w:keepLines/>
              <w:jc w:val="center"/>
            </w:pPr>
            <w:r>
              <w:t>18.8%</w:t>
            </w:r>
          </w:p>
        </w:tc>
        <w:tc>
          <w:tcPr>
            <w:tcW w:w="1341" w:type="pct"/>
            <w:tcBorders>
              <w:top w:val="nil"/>
            </w:tcBorders>
            <w:vAlign w:val="center"/>
          </w:tcPr>
          <w:p w14:paraId="28AABEF1" w14:textId="77777777" w:rsidR="00090683" w:rsidRDefault="00090683" w:rsidP="000B7E9A">
            <w:pPr>
              <w:pStyle w:val="Tabletext"/>
              <w:keepNext/>
              <w:keepLines/>
              <w:jc w:val="center"/>
            </w:pPr>
            <w:r>
              <w:t>29.2%</w:t>
            </w:r>
          </w:p>
        </w:tc>
      </w:tr>
      <w:tr w:rsidR="00090683" w14:paraId="5672788E" w14:textId="77777777" w:rsidTr="000B7E9A">
        <w:tblPrEx>
          <w:tblBorders>
            <w:bottom w:val="single" w:sz="4" w:space="0" w:color="646464"/>
            <w:insideH w:val="single" w:sz="4" w:space="0" w:color="646464"/>
          </w:tblBorders>
        </w:tblPrEx>
        <w:trPr>
          <w:gridBefore w:val="1"/>
          <w:wBefore w:w="263" w:type="pct"/>
          <w:cantSplit/>
        </w:trPr>
        <w:tc>
          <w:tcPr>
            <w:tcW w:w="2056" w:type="pct"/>
            <w:vAlign w:val="bottom"/>
          </w:tcPr>
          <w:p w14:paraId="7BEAF945" w14:textId="77777777" w:rsidR="00090683" w:rsidRDefault="00090683" w:rsidP="000B7E9A">
            <w:pPr>
              <w:pStyle w:val="Tabletext"/>
              <w:keepNext/>
              <w:keepLines/>
            </w:pPr>
            <w:r>
              <w:t>Remote</w:t>
            </w:r>
          </w:p>
        </w:tc>
        <w:tc>
          <w:tcPr>
            <w:tcW w:w="1340" w:type="pct"/>
            <w:vAlign w:val="center"/>
          </w:tcPr>
          <w:p w14:paraId="0069B75E" w14:textId="77777777" w:rsidR="00090683" w:rsidRDefault="00090683" w:rsidP="000B7E9A">
            <w:pPr>
              <w:pStyle w:val="Tabletext"/>
              <w:keepNext/>
              <w:keepLines/>
              <w:jc w:val="center"/>
            </w:pPr>
            <w:r>
              <w:t>0.9%</w:t>
            </w:r>
          </w:p>
        </w:tc>
        <w:tc>
          <w:tcPr>
            <w:tcW w:w="1341" w:type="pct"/>
            <w:vAlign w:val="center"/>
          </w:tcPr>
          <w:p w14:paraId="72AC48D1" w14:textId="77777777" w:rsidR="00090683" w:rsidRDefault="00090683" w:rsidP="000B7E9A">
            <w:pPr>
              <w:pStyle w:val="Tabletext"/>
              <w:keepNext/>
              <w:keepLines/>
              <w:jc w:val="center"/>
            </w:pPr>
            <w:r>
              <w:t>2.3%</w:t>
            </w:r>
          </w:p>
        </w:tc>
      </w:tr>
      <w:tr w:rsidR="00090683" w14:paraId="1D97D270" w14:textId="77777777" w:rsidTr="000B7E9A">
        <w:tblPrEx>
          <w:tblBorders>
            <w:bottom w:val="single" w:sz="4" w:space="0" w:color="646464"/>
            <w:insideH w:val="single" w:sz="4" w:space="0" w:color="646464"/>
          </w:tblBorders>
        </w:tblPrEx>
        <w:trPr>
          <w:gridBefore w:val="1"/>
          <w:wBefore w:w="263" w:type="pct"/>
          <w:cantSplit/>
        </w:trPr>
        <w:tc>
          <w:tcPr>
            <w:tcW w:w="2056" w:type="pct"/>
            <w:vAlign w:val="bottom"/>
          </w:tcPr>
          <w:p w14:paraId="0087C6C4" w14:textId="77777777" w:rsidR="00090683" w:rsidRDefault="00090683" w:rsidP="000B7E9A">
            <w:pPr>
              <w:pStyle w:val="Tabletext"/>
              <w:keepNext/>
              <w:keepLines/>
            </w:pPr>
            <w:r>
              <w:t>Non-English Speaking Background (NESB)</w:t>
            </w:r>
          </w:p>
        </w:tc>
        <w:tc>
          <w:tcPr>
            <w:tcW w:w="1340" w:type="pct"/>
            <w:vAlign w:val="center"/>
          </w:tcPr>
          <w:p w14:paraId="73E1053F" w14:textId="77777777" w:rsidR="00090683" w:rsidRDefault="00090683" w:rsidP="000B7E9A">
            <w:pPr>
              <w:pStyle w:val="Tabletext"/>
              <w:keepNext/>
              <w:keepLines/>
              <w:jc w:val="center"/>
            </w:pPr>
            <w:r>
              <w:t>3.7%</w:t>
            </w:r>
          </w:p>
        </w:tc>
        <w:tc>
          <w:tcPr>
            <w:tcW w:w="1341" w:type="pct"/>
            <w:vAlign w:val="center"/>
          </w:tcPr>
          <w:p w14:paraId="1A933CFF" w14:textId="77777777" w:rsidR="00090683" w:rsidRDefault="00090683" w:rsidP="000B7E9A">
            <w:pPr>
              <w:pStyle w:val="Tabletext"/>
              <w:keepNext/>
              <w:keepLines/>
              <w:jc w:val="center"/>
            </w:pPr>
            <w:r>
              <w:t>5.1%</w:t>
            </w:r>
          </w:p>
        </w:tc>
      </w:tr>
      <w:tr w:rsidR="00090683" w14:paraId="2713A8DB" w14:textId="77777777" w:rsidTr="000B7E9A">
        <w:tblPrEx>
          <w:tblBorders>
            <w:bottom w:val="single" w:sz="4" w:space="0" w:color="646464"/>
            <w:insideH w:val="single" w:sz="4" w:space="0" w:color="646464"/>
          </w:tblBorders>
        </w:tblPrEx>
        <w:trPr>
          <w:gridBefore w:val="1"/>
          <w:wBefore w:w="263" w:type="pct"/>
          <w:cantSplit/>
        </w:trPr>
        <w:tc>
          <w:tcPr>
            <w:tcW w:w="2056" w:type="pct"/>
            <w:vAlign w:val="bottom"/>
          </w:tcPr>
          <w:p w14:paraId="6470D752" w14:textId="77777777" w:rsidR="00090683" w:rsidRDefault="00090683" w:rsidP="000B7E9A">
            <w:pPr>
              <w:pStyle w:val="Tabletext"/>
              <w:keepNext/>
              <w:keepLines/>
            </w:pPr>
            <w:r>
              <w:t>People with disability</w:t>
            </w:r>
          </w:p>
        </w:tc>
        <w:tc>
          <w:tcPr>
            <w:tcW w:w="1340" w:type="pct"/>
            <w:vAlign w:val="center"/>
          </w:tcPr>
          <w:p w14:paraId="58014D50" w14:textId="77777777" w:rsidR="00090683" w:rsidRDefault="00090683" w:rsidP="000B7E9A">
            <w:pPr>
              <w:pStyle w:val="Tabletext"/>
              <w:keepNext/>
              <w:keepLines/>
              <w:jc w:val="center"/>
            </w:pPr>
            <w:r>
              <w:t>6.2%</w:t>
            </w:r>
          </w:p>
        </w:tc>
        <w:tc>
          <w:tcPr>
            <w:tcW w:w="1341" w:type="pct"/>
            <w:vAlign w:val="center"/>
          </w:tcPr>
          <w:p w14:paraId="44FFDED0" w14:textId="77777777" w:rsidR="00090683" w:rsidRDefault="00090683" w:rsidP="000B7E9A">
            <w:pPr>
              <w:pStyle w:val="Tabletext"/>
              <w:keepNext/>
              <w:keepLines/>
              <w:jc w:val="center"/>
            </w:pPr>
            <w:r>
              <w:t>8.4%</w:t>
            </w:r>
          </w:p>
        </w:tc>
      </w:tr>
      <w:tr w:rsidR="00090683" w14:paraId="585D143E" w14:textId="77777777" w:rsidTr="000B7E9A">
        <w:trPr>
          <w:cantSplit/>
          <w:tblHeader/>
        </w:trPr>
        <w:tc>
          <w:tcPr>
            <w:tcW w:w="2319" w:type="pct"/>
            <w:gridSpan w:val="2"/>
            <w:shd w:val="clear" w:color="auto" w:fill="9D57A6"/>
            <w:tcMar>
              <w:left w:w="454" w:type="dxa"/>
              <w:bottom w:w="0" w:type="dxa"/>
            </w:tcMar>
          </w:tcPr>
          <w:p w14:paraId="3841A47D" w14:textId="77777777" w:rsidR="00090683" w:rsidRDefault="00090683" w:rsidP="000B7E9A">
            <w:pPr>
              <w:pStyle w:val="Tablecolumnheadings"/>
              <w:keepLines/>
            </w:pPr>
          </w:p>
        </w:tc>
        <w:tc>
          <w:tcPr>
            <w:tcW w:w="1340" w:type="pct"/>
            <w:shd w:val="clear" w:color="auto" w:fill="9D57A6"/>
            <w:tcMar>
              <w:bottom w:w="0" w:type="dxa"/>
            </w:tcMar>
          </w:tcPr>
          <w:p w14:paraId="49501B76" w14:textId="77777777" w:rsidR="00090683" w:rsidRDefault="00090683" w:rsidP="000B7E9A">
            <w:pPr>
              <w:pStyle w:val="Tablecolumnheadings"/>
              <w:keepLines/>
              <w:jc w:val="center"/>
            </w:pPr>
            <w:r>
              <w:t>Share of WINTA course enrolments that are women</w:t>
            </w:r>
            <w:r w:rsidRPr="006640EC">
              <w:rPr>
                <w:vertAlign w:val="superscript"/>
              </w:rPr>
              <w:t>a</w:t>
            </w:r>
          </w:p>
        </w:tc>
        <w:tc>
          <w:tcPr>
            <w:tcW w:w="1341" w:type="pct"/>
            <w:shd w:val="clear" w:color="auto" w:fill="9D57A6"/>
            <w:tcMar>
              <w:bottom w:w="0" w:type="dxa"/>
            </w:tcMar>
          </w:tcPr>
          <w:p w14:paraId="213A65B8" w14:textId="77777777" w:rsidR="00090683" w:rsidRDefault="00090683" w:rsidP="000B7E9A">
            <w:pPr>
              <w:pStyle w:val="Tablecolumnheadings"/>
              <w:keepLines/>
              <w:jc w:val="center"/>
            </w:pPr>
            <w:r>
              <w:t>Target</w:t>
            </w:r>
          </w:p>
        </w:tc>
      </w:tr>
      <w:tr w:rsidR="00090683" w14:paraId="6D80F313" w14:textId="77777777" w:rsidTr="000B7E9A">
        <w:tblPrEx>
          <w:tblBorders>
            <w:bottom w:val="single" w:sz="4" w:space="0" w:color="646464"/>
            <w:insideH w:val="single" w:sz="4" w:space="0" w:color="646464"/>
          </w:tblBorders>
        </w:tblPrEx>
        <w:trPr>
          <w:gridBefore w:val="1"/>
          <w:wBefore w:w="263" w:type="pct"/>
          <w:cantSplit/>
        </w:trPr>
        <w:tc>
          <w:tcPr>
            <w:tcW w:w="2056" w:type="pct"/>
            <w:vAlign w:val="bottom"/>
          </w:tcPr>
          <w:p w14:paraId="05DE648C" w14:textId="77777777" w:rsidR="00090683" w:rsidRDefault="00090683" w:rsidP="000B7E9A">
            <w:pPr>
              <w:pStyle w:val="Tabletext"/>
              <w:keepNext/>
              <w:keepLines/>
            </w:pPr>
            <w:r>
              <w:t>Women in non-traditional areas (WINTA)</w:t>
            </w:r>
            <w:r>
              <w:rPr>
                <w:vertAlign w:val="superscript"/>
              </w:rPr>
              <w:t>b</w:t>
            </w:r>
          </w:p>
        </w:tc>
        <w:tc>
          <w:tcPr>
            <w:tcW w:w="1340" w:type="pct"/>
            <w:vAlign w:val="center"/>
          </w:tcPr>
          <w:p w14:paraId="3FC3F00E" w14:textId="77777777" w:rsidR="00090683" w:rsidRDefault="00090683" w:rsidP="000B7E9A">
            <w:pPr>
              <w:pStyle w:val="Tabletext"/>
              <w:keepNext/>
              <w:keepLines/>
              <w:jc w:val="center"/>
            </w:pPr>
            <w:r>
              <w:t>40.2%</w:t>
            </w:r>
          </w:p>
        </w:tc>
        <w:tc>
          <w:tcPr>
            <w:tcW w:w="1341" w:type="pct"/>
            <w:vAlign w:val="center"/>
          </w:tcPr>
          <w:p w14:paraId="5ADD0E78" w14:textId="77777777" w:rsidR="00090683" w:rsidRDefault="00090683" w:rsidP="000B7E9A">
            <w:pPr>
              <w:pStyle w:val="Tabletext"/>
              <w:keepNext/>
              <w:keepLines/>
              <w:jc w:val="center"/>
            </w:pPr>
            <w:r>
              <w:t>(40.0%</w:t>
            </w:r>
            <w:r>
              <w:rPr>
                <w:vertAlign w:val="superscript"/>
              </w:rPr>
              <w:t>b</w:t>
            </w:r>
            <w:r>
              <w:t>)</w:t>
            </w:r>
          </w:p>
        </w:tc>
      </w:tr>
      <w:tr w:rsidR="00090683" w14:paraId="42858173" w14:textId="77777777" w:rsidTr="000B7E9A">
        <w:tblPrEx>
          <w:tblBorders>
            <w:bottom w:val="single" w:sz="4" w:space="0" w:color="646464"/>
            <w:insideH w:val="single" w:sz="4" w:space="0" w:color="646464"/>
          </w:tblBorders>
        </w:tblPrEx>
        <w:trPr>
          <w:gridBefore w:val="1"/>
          <w:wBefore w:w="263" w:type="pct"/>
          <w:cantSplit/>
        </w:trPr>
        <w:tc>
          <w:tcPr>
            <w:tcW w:w="4737" w:type="pct"/>
            <w:gridSpan w:val="3"/>
          </w:tcPr>
          <w:p w14:paraId="06FA05CF" w14:textId="77777777" w:rsidR="00090683" w:rsidRDefault="00090683" w:rsidP="000B7E9A">
            <w:pPr>
              <w:pStyle w:val="Note"/>
            </w:pPr>
            <w:r w:rsidRPr="00AD1244">
              <w:rPr>
                <w:rStyle w:val="Notelabel"/>
                <w:rFonts w:ascii="Arial Narrow" w:hAnsi="Arial Narrow"/>
              </w:rPr>
              <w:t>a</w:t>
            </w:r>
            <w:r w:rsidRPr="003E172B">
              <w:t xml:space="preserve"> </w:t>
            </w:r>
            <w:r>
              <w:t xml:space="preserve">Table A and Table B universities—that is the </w:t>
            </w:r>
            <w:r w:rsidRPr="004B3F25">
              <w:t xml:space="preserve">Higher Education Providers </w:t>
            </w:r>
            <w:r>
              <w:t xml:space="preserve">set out in </w:t>
            </w:r>
            <w:r w:rsidRPr="004B3F25">
              <w:t>HESA</w:t>
            </w:r>
            <w:r>
              <w:t>, which includes the 38 universities eligible for the HEPPP (Table A providers) and three additional universities: Bond University, The University of Notre Dame Australia, MCD University of Divinity (the Table B providers)</w:t>
            </w:r>
            <w:r w:rsidRPr="004B3F25">
              <w:t>.</w:t>
            </w:r>
            <w:r w:rsidRPr="003E172B">
              <w:br/>
            </w:r>
            <w:r w:rsidRPr="006640EC">
              <w:rPr>
                <w:vertAlign w:val="superscript"/>
              </w:rPr>
              <w:t xml:space="preserve">b </w:t>
            </w:r>
            <w:r w:rsidRPr="003E172B">
              <w:t>The Martin Report (1994) classified non-traditional areas as those where female student enrolment was less than 40 per cent. These areas were: the Natural a</w:t>
            </w:r>
            <w:r>
              <w:t>nd Physical Sciences; Information Technology; Engineering and Related Technologies; Architecture and Building; Agriculture, Environmental and Related Studies; Management and Commerce; and the narrow field of education (Economics and Econometrics).</w:t>
            </w:r>
          </w:p>
          <w:p w14:paraId="40BD8AE0" w14:textId="77777777" w:rsidR="00090683" w:rsidRDefault="00090683" w:rsidP="000B7E9A">
            <w:pPr>
              <w:pStyle w:val="Source"/>
              <w:keepLines/>
            </w:pPr>
            <w:r>
              <w:t xml:space="preserve">Source: </w:t>
            </w:r>
            <w:r w:rsidRPr="003F648E">
              <w:t>NCSEHE</w:t>
            </w:r>
            <w:r>
              <w:t xml:space="preserve">, Department of Education and training 2016, </w:t>
            </w:r>
            <w:r w:rsidRPr="003F648E">
              <w:t>Appendix 5 - Institutional Student Equity Performance Data, 2009 to 2015</w:t>
            </w:r>
          </w:p>
        </w:tc>
      </w:tr>
      <w:tr w:rsidR="00090683" w14:paraId="77CC1738" w14:textId="77777777" w:rsidTr="000B7E9A">
        <w:tblPrEx>
          <w:tblBorders>
            <w:bottom w:val="single" w:sz="4" w:space="0" w:color="646464"/>
            <w:insideH w:val="single" w:sz="4" w:space="0" w:color="646464"/>
          </w:tblBorders>
        </w:tblPrEx>
        <w:trPr>
          <w:gridBefore w:val="1"/>
          <w:wBefore w:w="263" w:type="pct"/>
          <w:cantSplit/>
          <w:trHeight w:hRule="exact" w:val="120"/>
        </w:trPr>
        <w:tc>
          <w:tcPr>
            <w:tcW w:w="4737" w:type="pct"/>
            <w:gridSpan w:val="3"/>
            <w:tcBorders>
              <w:bottom w:val="nil"/>
            </w:tcBorders>
          </w:tcPr>
          <w:p w14:paraId="16C3FCF6" w14:textId="77777777" w:rsidR="00090683" w:rsidRDefault="00090683" w:rsidP="000B7E9A">
            <w:pPr>
              <w:pStyle w:val="spacertbl"/>
            </w:pPr>
          </w:p>
        </w:tc>
      </w:tr>
    </w:tbl>
    <w:p w14:paraId="6BA3C5D6" w14:textId="77777777" w:rsidR="00090683" w:rsidRDefault="00090683" w:rsidP="00090683">
      <w:pPr>
        <w:pStyle w:val="BodyText"/>
      </w:pPr>
      <w:r>
        <w:t xml:space="preserve">There is a strong case for maintaining low SES individuals as a target group of the HEPPP—low SES individuals remain under-represented in higher education, and there is considerable evidence that this is due to the fact they come from low SES backgrounds. </w:t>
      </w:r>
    </w:p>
    <w:p w14:paraId="04E9A4BF" w14:textId="77777777" w:rsidR="00090683" w:rsidRDefault="00090683" w:rsidP="00090683">
      <w:pPr>
        <w:pStyle w:val="BodyText"/>
      </w:pPr>
      <w:r>
        <w:t xml:space="preserve">The case for inclusion of other equity groups in HEPPP is less clear. Indigenous Australians and people with disability are also under-represented in higher education, due mainly to the institutional barriers faced by these groups. But unlike low SES, there are other specific programs in place to address disadvantage among these cohorts. For Indigenous students there is the </w:t>
      </w:r>
      <w:r w:rsidRPr="00886E8B">
        <w:t xml:space="preserve">Indigenous </w:t>
      </w:r>
      <w:r>
        <w:t>Student Support Program</w:t>
      </w:r>
      <w:r w:rsidRPr="00886E8B">
        <w:t xml:space="preserve"> </w:t>
      </w:r>
      <w:r>
        <w:t xml:space="preserve">(previously the Indigenous Support Programme and the Indigenous Tutorial Assistance Scheme—Tertiary Tuition). For students with disability there is the Disability Support Programme and National Disability Coordination Officer Programme (NDCO). </w:t>
      </w:r>
    </w:p>
    <w:p w14:paraId="1261EC8F" w14:textId="77777777" w:rsidR="00090683" w:rsidRDefault="00090683" w:rsidP="00090683">
      <w:pPr>
        <w:pStyle w:val="BodyText"/>
        <w:rPr>
          <w:lang w:val="en-GB"/>
        </w:rPr>
      </w:pPr>
      <w:r>
        <w:t xml:space="preserve">In the </w:t>
      </w:r>
      <w:r>
        <w:rPr>
          <w:lang w:val="en-GB"/>
        </w:rPr>
        <w:t>case of WINTA, t</w:t>
      </w:r>
      <w:r w:rsidRPr="00E326D1">
        <w:rPr>
          <w:lang w:val="en-GB"/>
        </w:rPr>
        <w:t>he Martin Report (1994) classified non-traditional areas as those where female student enrolment was less than 40 per cent.</w:t>
      </w:r>
      <w:r>
        <w:rPr>
          <w:rStyle w:val="FootnoteReference"/>
          <w:lang w:val="en-GB"/>
        </w:rPr>
        <w:footnoteReference w:id="53"/>
      </w:r>
      <w:r>
        <w:rPr>
          <w:lang w:val="en-GB"/>
        </w:rPr>
        <w:t xml:space="preserve"> Women now make up more than 40 per cent of these areas (although there are differences across course types), thereby questioning the case for expanding HEPPP to directly target WINTA (</w:t>
      </w:r>
      <w:r w:rsidRPr="00AD49C8">
        <w:t>Table 11.1</w:t>
      </w:r>
      <w:r>
        <w:t>)</w:t>
      </w:r>
      <w:r>
        <w:rPr>
          <w:lang w:val="en-GB"/>
        </w:rPr>
        <w:t xml:space="preserve">. </w:t>
      </w:r>
    </w:p>
    <w:p w14:paraId="51BCF421" w14:textId="77777777" w:rsidR="00090683" w:rsidRDefault="00090683" w:rsidP="00090683">
      <w:pPr>
        <w:pStyle w:val="BodyText"/>
      </w:pPr>
      <w:r>
        <w:t>Regional and remote students were specifically identified in consultations as an equity group in higher education, consistent with the Bradley Review. Their specific targeting through HEPPP, however, was queried on the basis that the disadvantage associated with regionality</w:t>
      </w:r>
      <w:r>
        <w:rPr>
          <w:rStyle w:val="CommentReference"/>
        </w:rPr>
        <w:t xml:space="preserve"> </w:t>
      </w:r>
      <w:r w:rsidRPr="00AD49C8">
        <w:t xml:space="preserve">is </w:t>
      </w:r>
      <w:r>
        <w:t xml:space="preserve">thought to be the result mainly of other factors, including SES and hence already factored in. Further, some stakeholders argued that issues such as longer travel times also impact students from non-regional areas who may live in the outer suburbs of capital cities. Another complicating factor is that the most widely accepted measure of regionality, the </w:t>
      </w:r>
      <w:r w:rsidRPr="005C27C2">
        <w:t>Australian Standard Geographic Classification (ASGC) Remoteness Structure</w:t>
      </w:r>
      <w:r>
        <w:t>, may not reflect the challenges often associated with students from regional areas. For example, Hobart is classified as ‘inner regional’ and Darwin is classified as ‘outer regional’—students residing in these cities are unlikely to face any regionality-based barriers.</w:t>
      </w:r>
    </w:p>
    <w:p w14:paraId="58EE6915" w14:textId="2CB53B24" w:rsidR="00090683" w:rsidRDefault="00A76D77" w:rsidP="00090683">
      <w:pPr>
        <w:pStyle w:val="BodyText"/>
      </w:pPr>
      <w:r>
        <w:t xml:space="preserve">In the case of people from NESBs, it is not clear that this in itself is a strong indicator of disadvantage, and would again need to be viewed through the lenses of SES or highest level of parent qualification. </w:t>
      </w:r>
      <w:r w:rsidR="00090683">
        <w:t xml:space="preserve">Moreover, there are transitional support programs such as the Australian Migrant English Program and Skills for Education and Employment which could provide pathway opportunities to higher education. Also relevant would be any higher education reforms in the area of sub-degree qualifications.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0004A42C" w14:textId="77777777" w:rsidTr="000B7E9A">
        <w:trPr>
          <w:cantSplit/>
        </w:trPr>
        <w:tc>
          <w:tcPr>
            <w:tcW w:w="8614" w:type="dxa"/>
            <w:tcMar>
              <w:top w:w="160" w:type="dxa"/>
              <w:left w:w="446" w:type="dxa"/>
            </w:tcMar>
          </w:tcPr>
          <w:p w14:paraId="4D423554"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5</w:t>
            </w:r>
            <w:r>
              <w:tab/>
            </w:r>
          </w:p>
        </w:tc>
      </w:tr>
      <w:tr w:rsidR="00090683" w14:paraId="19F02F92" w14:textId="77777777" w:rsidTr="000B7E9A">
        <w:trPr>
          <w:cantSplit/>
        </w:trPr>
        <w:tc>
          <w:tcPr>
            <w:tcW w:w="8614" w:type="dxa"/>
            <w:shd w:val="clear" w:color="auto" w:fill="E4E0DD"/>
            <w:tcMar>
              <w:top w:w="276" w:type="dxa"/>
              <w:bottom w:w="0" w:type="dxa"/>
              <w:right w:w="120" w:type="dxa"/>
            </w:tcMar>
          </w:tcPr>
          <w:p w14:paraId="4D1AD87E" w14:textId="77777777" w:rsidR="00090683" w:rsidRDefault="00090683" w:rsidP="000B7E9A">
            <w:pPr>
              <w:pStyle w:val="BoxText"/>
            </w:pPr>
            <w:r w:rsidRPr="00717B9C">
              <w:t>That</w:t>
            </w:r>
            <w:r>
              <w:t xml:space="preserve">, pending the results of the </w:t>
            </w:r>
            <w:r w:rsidRPr="004A62E5">
              <w:t>NPP funded Review of Identified Equity Groups</w:t>
            </w:r>
            <w:r>
              <w:t>, the HEPPP continue to be targeted at low SES students.</w:t>
            </w:r>
          </w:p>
        </w:tc>
      </w:tr>
      <w:tr w:rsidR="00090683" w:rsidRPr="008B3E19" w14:paraId="5BE46E1F" w14:textId="77777777" w:rsidTr="000B7E9A">
        <w:trPr>
          <w:cantSplit/>
          <w:trHeight w:hRule="exact" w:val="376"/>
        </w:trPr>
        <w:tc>
          <w:tcPr>
            <w:tcW w:w="8614" w:type="dxa"/>
            <w:shd w:val="clear" w:color="auto" w:fill="E4E0DD"/>
            <w:tcMar>
              <w:top w:w="0" w:type="dxa"/>
              <w:bottom w:w="0" w:type="dxa"/>
              <w:right w:w="0" w:type="dxa"/>
            </w:tcMar>
          </w:tcPr>
          <w:p w14:paraId="2E5DB48E" w14:textId="77777777" w:rsidR="00090683" w:rsidRPr="008B3E19" w:rsidRDefault="00090683" w:rsidP="000B7E9A">
            <w:pPr>
              <w:pStyle w:val="spacer"/>
            </w:pPr>
          </w:p>
        </w:tc>
      </w:tr>
      <w:tr w:rsidR="00090683" w:rsidRPr="008B3E19" w14:paraId="688B2475" w14:textId="77777777" w:rsidTr="000B7E9A">
        <w:trPr>
          <w:cantSplit/>
          <w:trHeight w:hRule="exact" w:val="180"/>
        </w:trPr>
        <w:tc>
          <w:tcPr>
            <w:tcW w:w="8614" w:type="dxa"/>
            <w:tcMar>
              <w:top w:w="0" w:type="dxa"/>
              <w:left w:w="446" w:type="dxa"/>
              <w:bottom w:w="0" w:type="dxa"/>
            </w:tcMar>
          </w:tcPr>
          <w:p w14:paraId="6561807D"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24288" behindDoc="0" locked="1" layoutInCell="1" allowOverlap="1" wp14:anchorId="18B29340" wp14:editId="0644029C">
                      <wp:simplePos x="0" y="0"/>
                      <wp:positionH relativeFrom="rightMargin">
                        <wp:posOffset>-772795</wp:posOffset>
                      </wp:positionH>
                      <wp:positionV relativeFrom="page">
                        <wp:posOffset>-237490</wp:posOffset>
                      </wp:positionV>
                      <wp:extent cx="436880" cy="213360"/>
                      <wp:effectExtent l="0" t="0" r="1270" b="0"/>
                      <wp:wrapNone/>
                      <wp:docPr id="56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888EB5" id="Freeform 5" o:spid="_x0000_s1026" style="position:absolute;margin-left:-60.85pt;margin-top:-18.7pt;width:34.4pt;height:16.8pt;z-index:251724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Shew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ZJckoXsDAADC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3D028FAB" w14:textId="77777777" w:rsidR="00090683" w:rsidRDefault="00090683" w:rsidP="00090683">
      <w:pPr>
        <w:pStyle w:val="Heading2"/>
      </w:pPr>
      <w:bookmarkStart w:id="637" w:name="_Toc466657166"/>
      <w:r w:rsidRPr="00F31637">
        <w:t xml:space="preserve">Funding </w:t>
      </w:r>
      <w:r>
        <w:t>the HEPPP</w:t>
      </w:r>
      <w:bookmarkEnd w:id="637"/>
    </w:p>
    <w:p w14:paraId="264E73EE" w14:textId="77777777" w:rsidR="00090683" w:rsidRPr="00422265" w:rsidRDefault="00090683" w:rsidP="00090683">
      <w:pPr>
        <w:pStyle w:val="Heading4"/>
      </w:pPr>
      <w:r w:rsidRPr="00422265">
        <w:t xml:space="preserve">Funding level </w:t>
      </w:r>
    </w:p>
    <w:p w14:paraId="2AC23F03" w14:textId="77777777" w:rsidR="00090683" w:rsidRDefault="00090683" w:rsidP="00090683">
      <w:pPr>
        <w:pStyle w:val="BodyText"/>
      </w:pPr>
      <w:r>
        <w:t xml:space="preserve">The </w:t>
      </w:r>
      <w:r w:rsidRPr="00B1041B">
        <w:t xml:space="preserve">HEPPP </w:t>
      </w:r>
      <w:r>
        <w:t xml:space="preserve">funding level was </w:t>
      </w:r>
      <w:r w:rsidRPr="00B1041B">
        <w:t>originally set at 2 per cent of</w:t>
      </w:r>
      <w:r>
        <w:t xml:space="preserve"> teaching and learning</w:t>
      </w:r>
      <w:r w:rsidRPr="00B1041B">
        <w:t xml:space="preserve"> funding, and budgeted to increase to 4 per cent by 2012–13</w:t>
      </w:r>
      <w:r>
        <w:t xml:space="preserve">. The 4 per cent level was recommended by </w:t>
      </w:r>
      <w:r w:rsidRPr="00B1041B">
        <w:t>the Bradley Review</w:t>
      </w:r>
      <w:r>
        <w:t xml:space="preserve"> (2008)</w:t>
      </w:r>
      <w:r w:rsidRPr="00B1041B">
        <w:t xml:space="preserve">. </w:t>
      </w:r>
      <w:r>
        <w:t>The 2014 level of HEPPP funding was 2.7 per cent of teaching and learning</w:t>
      </w:r>
      <w:r w:rsidRPr="00B1041B">
        <w:t xml:space="preserve"> funding</w:t>
      </w:r>
      <w:r>
        <w:t xml:space="preserve"> (2014 is the most recent year for which funding data are available).</w:t>
      </w:r>
    </w:p>
    <w:p w14:paraId="78F82FDA" w14:textId="77777777" w:rsidR="00090683" w:rsidRDefault="00090683" w:rsidP="00090683">
      <w:pPr>
        <w:pStyle w:val="BodyText"/>
      </w:pPr>
      <w:r w:rsidRPr="00AF10E6">
        <w:t>The Base Funding Review (2011) recommended that the Participation component of the HEPPP be set at $1,000 per low SES student equivalent full-time student load (EFTSL) in 2012 and maintained in real terms</w:t>
      </w:r>
      <w:r>
        <w:t xml:space="preserve">. </w:t>
      </w:r>
      <w:r w:rsidRPr="00A14C07">
        <w:t>HEPPP Participation funding exceeded the Base Funding Review recommended level in 2012-2014, before dropping below it in 2015</w:t>
      </w:r>
      <w:r>
        <w:t xml:space="preserve"> (refer Chapter 10)</w:t>
      </w:r>
      <w:r w:rsidRPr="00A14C07">
        <w:t xml:space="preserve">. </w:t>
      </w:r>
      <w:r w:rsidRPr="001A2F85">
        <w:t>Based on the forward estimates</w:t>
      </w:r>
      <w:r>
        <w:t>,</w:t>
      </w:r>
      <w:r w:rsidRPr="001A2F85">
        <w:t xml:space="preserve"> </w:t>
      </w:r>
      <w:r>
        <w:t>HEPPP funding will continue to be below the Base Funding Review recommendation over the coming years</w:t>
      </w:r>
      <w:r w:rsidRPr="001A2F85">
        <w:t>.</w:t>
      </w:r>
    </w:p>
    <w:p w14:paraId="6450AF43" w14:textId="77777777" w:rsidR="00090683" w:rsidRDefault="00090683" w:rsidP="00090683">
      <w:pPr>
        <w:pStyle w:val="BodyText"/>
      </w:pPr>
      <w:r>
        <w:t xml:space="preserve">Given the DDS may continue to expand the number of low SES students in higher education—although as noted above there is some evidence that enrolments under the DDS may be peaking—the level of HEPPP funding, particularly the level of the Participation component, should be reviewed to establish whether it is sufficient to enable the HEPPP achievements identified to date to be continued and meet the targeted levels.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3E58AAEB" w14:textId="77777777" w:rsidTr="000B7E9A">
        <w:trPr>
          <w:cantSplit/>
        </w:trPr>
        <w:tc>
          <w:tcPr>
            <w:tcW w:w="8614" w:type="dxa"/>
            <w:tcMar>
              <w:top w:w="160" w:type="dxa"/>
              <w:left w:w="446" w:type="dxa"/>
            </w:tcMar>
          </w:tcPr>
          <w:p w14:paraId="06607AEE"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6</w:t>
            </w:r>
            <w:r>
              <w:tab/>
            </w:r>
          </w:p>
        </w:tc>
      </w:tr>
      <w:tr w:rsidR="00090683" w14:paraId="5AFD29A3" w14:textId="77777777" w:rsidTr="000B7E9A">
        <w:trPr>
          <w:cantSplit/>
        </w:trPr>
        <w:tc>
          <w:tcPr>
            <w:tcW w:w="8614" w:type="dxa"/>
            <w:shd w:val="clear" w:color="auto" w:fill="E4E0DD"/>
            <w:tcMar>
              <w:top w:w="276" w:type="dxa"/>
              <w:bottom w:w="0" w:type="dxa"/>
              <w:right w:w="120" w:type="dxa"/>
            </w:tcMar>
          </w:tcPr>
          <w:p w14:paraId="6AA1C486" w14:textId="77777777" w:rsidR="00090683" w:rsidRDefault="00090683" w:rsidP="000B7E9A">
            <w:pPr>
              <w:pStyle w:val="BoxText"/>
            </w:pPr>
            <w:r>
              <w:t xml:space="preserve">That, in view of the slower than expected progress towards the low SES enrolment target that, by 2020, 20 per cent of domestic undergraduate students are from low SES backgrounds, as well as the anticipated future growth in low SES student numbers, that funding levels be modelled to determine their adequacy to meet the low SES student target, and revised as appropriate. </w:t>
            </w:r>
          </w:p>
        </w:tc>
      </w:tr>
      <w:tr w:rsidR="00090683" w:rsidRPr="008B3E19" w14:paraId="6F6D23E9" w14:textId="77777777" w:rsidTr="000B7E9A">
        <w:trPr>
          <w:cantSplit/>
          <w:trHeight w:hRule="exact" w:val="376"/>
        </w:trPr>
        <w:tc>
          <w:tcPr>
            <w:tcW w:w="8614" w:type="dxa"/>
            <w:shd w:val="clear" w:color="auto" w:fill="E4E0DD"/>
            <w:tcMar>
              <w:top w:w="0" w:type="dxa"/>
              <w:bottom w:w="0" w:type="dxa"/>
              <w:right w:w="0" w:type="dxa"/>
            </w:tcMar>
          </w:tcPr>
          <w:p w14:paraId="3D332DB4" w14:textId="77777777" w:rsidR="00090683" w:rsidRPr="008B3E19" w:rsidRDefault="00090683" w:rsidP="000B7E9A">
            <w:pPr>
              <w:pStyle w:val="spacer"/>
            </w:pPr>
          </w:p>
        </w:tc>
      </w:tr>
      <w:tr w:rsidR="00090683" w:rsidRPr="008B3E19" w14:paraId="42B0EC69" w14:textId="77777777" w:rsidTr="000B7E9A">
        <w:trPr>
          <w:cantSplit/>
          <w:trHeight w:hRule="exact" w:val="180"/>
        </w:trPr>
        <w:tc>
          <w:tcPr>
            <w:tcW w:w="8614" w:type="dxa"/>
            <w:tcMar>
              <w:top w:w="0" w:type="dxa"/>
              <w:left w:w="446" w:type="dxa"/>
              <w:bottom w:w="0" w:type="dxa"/>
            </w:tcMar>
          </w:tcPr>
          <w:p w14:paraId="49079376"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25312" behindDoc="0" locked="1" layoutInCell="1" allowOverlap="1" wp14:anchorId="2A197150" wp14:editId="7A24C5C1">
                      <wp:simplePos x="0" y="0"/>
                      <wp:positionH relativeFrom="rightMargin">
                        <wp:posOffset>-772795</wp:posOffset>
                      </wp:positionH>
                      <wp:positionV relativeFrom="page">
                        <wp:posOffset>-237490</wp:posOffset>
                      </wp:positionV>
                      <wp:extent cx="436880" cy="213360"/>
                      <wp:effectExtent l="0" t="0" r="1270" b="0"/>
                      <wp:wrapNone/>
                      <wp:docPr id="56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3EFC49" id="Freeform 5" o:spid="_x0000_s1026" style="position:absolute;margin-left:-60.85pt;margin-top:-18.7pt;width:34.4pt;height:16.8pt;z-index:251725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186A4A1E" w14:textId="77777777" w:rsidR="00090683" w:rsidRPr="00422265" w:rsidRDefault="00090683" w:rsidP="00090683">
      <w:pPr>
        <w:pStyle w:val="Heading4"/>
      </w:pPr>
      <w:r w:rsidRPr="00422265">
        <w:t>Funding formula</w:t>
      </w:r>
    </w:p>
    <w:p w14:paraId="40AA2FCC" w14:textId="77777777" w:rsidR="00090683" w:rsidRDefault="00090683" w:rsidP="00090683">
      <w:pPr>
        <w:pStyle w:val="BodyText"/>
      </w:pPr>
      <w:r>
        <w:t>The HEPPP is aimed at improving low SES individuals’ access to and achievement in higher education, and a key consideration is the extent to which the funding formula appropriately encourages and accounts for the cost of delivery towards these goals.</w:t>
      </w:r>
      <w:r w:rsidDel="008A61E3">
        <w:rPr>
          <w:rStyle w:val="FootnoteReference"/>
        </w:rPr>
        <w:t xml:space="preserve"> </w:t>
      </w:r>
    </w:p>
    <w:p w14:paraId="5BF88936" w14:textId="77777777" w:rsidR="00090683" w:rsidRDefault="00090683" w:rsidP="00090683">
      <w:pPr>
        <w:pStyle w:val="BodyText"/>
      </w:pPr>
      <w:r>
        <w:t xml:space="preserve">The current funding formula targets access and retention goals by funding universities based on their share of all low SES enrolments. An issue with this is that universities receive payment for increased access at their own university, while the HEPPP Partnership component is aimed at increasing access to higher education more generally (that is, students may experience one university’s partnership program and </w:t>
      </w:r>
      <w:r w:rsidRPr="006A317D">
        <w:t>enrol in another university (UNSW, Submission 84)</w:t>
      </w:r>
      <w:r>
        <w:t>)</w:t>
      </w:r>
      <w:r w:rsidRPr="006A317D">
        <w:t>. This issue is addressed in part in Recommendation 3.</w:t>
      </w:r>
    </w:p>
    <w:p w14:paraId="68B4D03B" w14:textId="77777777" w:rsidR="00090683" w:rsidRDefault="00090683" w:rsidP="00090683">
      <w:pPr>
        <w:pStyle w:val="BodyText"/>
      </w:pPr>
      <w:r>
        <w:t>While the current funding formula does make explicit payment to universities for improving access to higher education, some universities and RUN (RUN, Submission 47; USQ, Submission 78), argue that the formula should have a sharper focus to improve access and so that the program is ‘</w:t>
      </w:r>
      <w:r w:rsidRPr="00774A69">
        <w:t>concentrated where participation rates and university access is low</w:t>
      </w:r>
      <w:r>
        <w:t xml:space="preserve">’. The RUN, as an example, proposes that a revised funding formula be based on three tiers of university low SES student shares (less than 10 per cent low SES enrolments, 10-17 per cent, and more than 17 per cent). This approach also has support from the IRU, which argues this evaluation ‘should look at options to increase the performance incentive, such as requiring a minimum number or proportion of low SES students for a university to be eligible for funding…’, although this is proposed for the eventuality that the IRU’s preferred funding model (discussed above) is not adopted. </w:t>
      </w:r>
    </w:p>
    <w:p w14:paraId="7BA54BAF" w14:textId="77777777" w:rsidR="00090683" w:rsidRDefault="00090683" w:rsidP="00090683">
      <w:pPr>
        <w:pStyle w:val="BodyText"/>
      </w:pPr>
      <w:r>
        <w:t>Other universities such as the Go8 argue against such an approach, holding that ‘</w:t>
      </w:r>
      <w:r w:rsidRPr="00B1041B">
        <w:t>funding design should not incorporate a threshold of low SES (such as by percentage of total student numbers at the university)</w:t>
      </w:r>
      <w:r>
        <w:t>’ as</w:t>
      </w:r>
      <w:r w:rsidRPr="00B1041B">
        <w:t xml:space="preserve"> </w:t>
      </w:r>
      <w:r>
        <w:t>‘</w:t>
      </w:r>
      <w:r w:rsidRPr="00B1041B">
        <w:t>funding should follow students to the largest extent possible</w:t>
      </w:r>
      <w:r>
        <w:t>’ (Go8, Submission 109).</w:t>
      </w:r>
    </w:p>
    <w:p w14:paraId="0F557A21" w14:textId="77777777" w:rsidR="00090683" w:rsidRDefault="00090683" w:rsidP="00090683">
      <w:pPr>
        <w:pStyle w:val="BodyText"/>
      </w:pPr>
      <w:r>
        <w:t>The theoretical basis behind the choice of any tiers is also not clear. If the formula is to further encourage universities to enrol and retain low SES students, funding per low SES student could increase with each additional percentage point of low SES student share, rather than at discrete levels.</w:t>
      </w:r>
    </w:p>
    <w:p w14:paraId="5D3AF9B6" w14:textId="77777777" w:rsidR="00090683" w:rsidRDefault="00090683" w:rsidP="00090683">
      <w:pPr>
        <w:pStyle w:val="BodyText"/>
      </w:pPr>
      <w:r>
        <w:t>The figure below models the impact of the RUN proposal on per student HEPPP funding, depending on the proportion of students at a university that are low SES. The proposal suggests three tiers or levels of per student funding. Irrespective of the overall funding amount, the ‘less than 10 per cent’ group receives 75 per cent less funding on a per student basis than under the current formula, the ‘10</w:t>
      </w:r>
      <w:r>
        <w:noBreakHyphen/>
        <w:t xml:space="preserve">17 per cent’ universities receive 47 per cent less, and the ‘more than 17 per cent’ universities receive 40 per cent more funding per student than they currently do. </w:t>
      </w:r>
    </w:p>
    <w:p w14:paraId="3A8A9E06" w14:textId="77777777" w:rsidR="00090683" w:rsidRDefault="00090683" w:rsidP="00090683">
      <w:pPr>
        <w:pStyle w:val="BodyText"/>
      </w:pPr>
      <w:r>
        <w:t xml:space="preserve">It is also evident that large steps occur as universities transition between the three funding levels, which could be removed by moving to a smoothed funding formula that continuously increases a university’s per student funding amount according to its proportion students from a low SES background. In </w:t>
      </w:r>
      <w:r w:rsidRPr="00AD49C8">
        <w:t>Figure 11.1</w:t>
      </w:r>
      <w:r>
        <w:t xml:space="preserve">, ‘Smoothed 1’ and ‘Smoothed 2’ show this approach. ‘Smoothed 1’ uses the lowest and highest per student funding amounts from the RUN proposal to set the gradient of the line. ‘Smoothed 2’ represents the same overall funding but uses a flatter gradient which reduces the impact of universities’ proportion of low SES students on their per-student funding. The most appropriate gradient, or even whether the relationship should be non-linear, would need to be modelled on the extent to which universities with greater shares of low SES students are expected to have a larger impact on low SES individual’s access and participation—at this point there are insufficient data for such analysis.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AA4DEE" w14:paraId="27AF6F02" w14:textId="77777777" w:rsidTr="000B7E9A">
        <w:trPr>
          <w:cantSplit/>
          <w:trHeight w:hRule="exact" w:val="160"/>
        </w:trPr>
        <w:tc>
          <w:tcPr>
            <w:tcW w:w="8168" w:type="dxa"/>
            <w:tcBorders>
              <w:bottom w:val="single" w:sz="4" w:space="0" w:color="auto"/>
            </w:tcBorders>
          </w:tcPr>
          <w:p w14:paraId="72DD1D06" w14:textId="77777777" w:rsidR="00090683" w:rsidRPr="00AA4DEE" w:rsidRDefault="00090683" w:rsidP="000B7E9A">
            <w:pPr>
              <w:pStyle w:val="spacer"/>
            </w:pPr>
          </w:p>
        </w:tc>
      </w:tr>
      <w:tr w:rsidR="00090683" w:rsidRPr="00897E60" w14:paraId="6092091B" w14:textId="77777777" w:rsidTr="000B7E9A">
        <w:trPr>
          <w:cantSplit/>
        </w:trPr>
        <w:tc>
          <w:tcPr>
            <w:tcW w:w="8168" w:type="dxa"/>
            <w:tcBorders>
              <w:top w:val="single" w:sz="4" w:space="0" w:color="auto"/>
            </w:tcBorders>
            <w:tcMar>
              <w:left w:w="0" w:type="dxa"/>
            </w:tcMar>
          </w:tcPr>
          <w:p w14:paraId="10427513" w14:textId="77777777" w:rsidR="00090683" w:rsidRPr="00897E60" w:rsidRDefault="00090683" w:rsidP="000B7E9A">
            <w:pPr>
              <w:pStyle w:val="Caption"/>
            </w:pPr>
            <w:bookmarkStart w:id="638" w:name="_Ref466642779"/>
            <w:bookmarkStart w:id="639" w:name="_Toc466655730"/>
            <w:r w:rsidRPr="00897E60">
              <w:rPr>
                <w:rStyle w:val="CaptionLabel"/>
              </w:rPr>
              <w:t>Figure</w:t>
            </w:r>
            <w:r>
              <w:rPr>
                <w:rStyle w:val="CaptionLabel"/>
              </w:rPr>
              <w:t> </w:t>
            </w:r>
            <w:r>
              <w:rPr>
                <w:rStyle w:val="CaptionLabel"/>
                <w:noProof/>
              </w:rPr>
              <w:t>11</w:t>
            </w:r>
            <w:r w:rsidRPr="00897E60">
              <w:rPr>
                <w:rStyle w:val="CaptionLabel"/>
              </w:rPr>
              <w:t>.</w:t>
            </w:r>
            <w:r>
              <w:rPr>
                <w:rStyle w:val="CaptionLabel"/>
                <w:noProof/>
              </w:rPr>
              <w:t>1</w:t>
            </w:r>
            <w:bookmarkEnd w:id="638"/>
            <w:r>
              <w:tab/>
              <w:t>modelling of potential HEPPP funding changes</w:t>
            </w:r>
            <w:bookmarkEnd w:id="639"/>
          </w:p>
        </w:tc>
      </w:tr>
      <w:tr w:rsidR="00090683" w:rsidRPr="00AA4DEE" w14:paraId="4F131744" w14:textId="77777777" w:rsidTr="000B7E9A">
        <w:trPr>
          <w:cantSplit/>
          <w:trHeight w:hRule="exact" w:val="380"/>
        </w:trPr>
        <w:tc>
          <w:tcPr>
            <w:tcW w:w="8168" w:type="dxa"/>
            <w:tcBorders>
              <w:bottom w:val="single" w:sz="4" w:space="0" w:color="auto"/>
            </w:tcBorders>
          </w:tcPr>
          <w:p w14:paraId="5D743B48"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732480" behindDoc="0" locked="1" layoutInCell="1" allowOverlap="1" wp14:anchorId="440A5882" wp14:editId="6FC367F5">
                      <wp:simplePos x="0" y="0"/>
                      <wp:positionH relativeFrom="rightMargin">
                        <wp:posOffset>-772795</wp:posOffset>
                      </wp:positionH>
                      <wp:positionV relativeFrom="page">
                        <wp:posOffset>0</wp:posOffset>
                      </wp:positionV>
                      <wp:extent cx="436880" cy="213360"/>
                      <wp:effectExtent l="0" t="0" r="1270" b="0"/>
                      <wp:wrapNone/>
                      <wp:docPr id="56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FF7E20" id="Freeform 5" o:spid="_x0000_s1026" style="position:absolute;margin-left:-60.85pt;margin-top:0;width:34.4pt;height:16.8pt;z-index:251732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TbfQ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iAgTb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35C34DDB"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2A706AF0" w14:textId="77777777" w:rsidR="00090683" w:rsidRPr="00AA4DEE" w:rsidRDefault="00090683" w:rsidP="000B7E9A">
            <w:pPr>
              <w:pStyle w:val="Figure"/>
            </w:pPr>
            <w:r>
              <w:rPr>
                <w:noProof/>
                <w:lang w:eastAsia="en-AU"/>
              </w:rPr>
              <w:drawing>
                <wp:inline distT="0" distB="0" distL="0" distR="0" wp14:anchorId="7C1E38D7" wp14:editId="3678231B">
                  <wp:extent cx="5133975" cy="2209800"/>
                  <wp:effectExtent l="0" t="0" r="0" b="0"/>
                  <wp:docPr id="85"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33975" cy="2209800"/>
                          </a:xfrm>
                          <a:prstGeom prst="rect">
                            <a:avLst/>
                          </a:prstGeom>
                          <a:noFill/>
                          <a:ln>
                            <a:noFill/>
                          </a:ln>
                        </pic:spPr>
                      </pic:pic>
                    </a:graphicData>
                  </a:graphic>
                </wp:inline>
              </w:drawing>
            </w:r>
          </w:p>
        </w:tc>
      </w:tr>
      <w:tr w:rsidR="00090683" w:rsidRPr="00AA4DEE" w14:paraId="5B0EB4BF"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208EAE24" w14:textId="77777777" w:rsidR="00090683" w:rsidRPr="00AA4DEE" w:rsidRDefault="00090683" w:rsidP="000B7E9A">
            <w:pPr>
              <w:pStyle w:val="Note"/>
            </w:pPr>
            <w:r w:rsidRPr="00AA4DEE">
              <w:t xml:space="preserve">Note: </w:t>
            </w:r>
            <w:r>
              <w:t>The modelling assumes, for simplicity, that total HEPPP funding allocated by formula is $112 million and there are 160,000 low SES enrolments across the system, resulting in a per student HEPPP funding amount of $700.</w:t>
            </w:r>
          </w:p>
          <w:p w14:paraId="1CBB5DEB" w14:textId="77777777" w:rsidR="00090683" w:rsidRPr="00AA4DEE" w:rsidRDefault="00090683" w:rsidP="000B7E9A">
            <w:pPr>
              <w:pStyle w:val="Source"/>
            </w:pPr>
            <w:r w:rsidRPr="00AA4DEE">
              <w:t xml:space="preserve">Source: </w:t>
            </w:r>
            <w:r>
              <w:t>acil allen</w:t>
            </w:r>
          </w:p>
        </w:tc>
      </w:tr>
      <w:tr w:rsidR="00090683" w14:paraId="465AEDF1" w14:textId="77777777" w:rsidTr="000B7E9A">
        <w:trPr>
          <w:trHeight w:hRule="exact" w:val="160"/>
        </w:trPr>
        <w:tc>
          <w:tcPr>
            <w:tcW w:w="8168" w:type="dxa"/>
            <w:tcBorders>
              <w:top w:val="single" w:sz="4" w:space="0" w:color="auto"/>
            </w:tcBorders>
          </w:tcPr>
          <w:p w14:paraId="5E38DBF3" w14:textId="77777777" w:rsidR="00090683" w:rsidRDefault="00090683" w:rsidP="000B7E9A">
            <w:pPr>
              <w:pStyle w:val="spacertbl"/>
            </w:pPr>
          </w:p>
        </w:tc>
      </w:tr>
    </w:tbl>
    <w:p w14:paraId="29670946" w14:textId="77777777" w:rsidR="00090683" w:rsidRDefault="00090683" w:rsidP="00090683">
      <w:pPr>
        <w:pStyle w:val="BodyText"/>
      </w:pPr>
      <w:r>
        <w:t>Some stakeholders also considered that there are economies of scale in delivering HEPPP projects, particularly if the fixed costs are high. Others contended that a greater concentration of low SES students at a particularly university leads to higher per student costs (or diseconomies of scale). These can occur when a greater concentration of low SES students at a particular university may lead to higher per student HEPPP costs. It is possible that a greater concentration of students from low SES backgrounds leads to poorer outcomes for students, and that a higher level of per student HEPPP funding is required to counteract this effect. This relationship has been identified in school education—Gonski et al. (2012) found that ‘concentrations of students from certain socioeconomic groups within a school has a strong impact on the educational outcomes achieved by all students at the school.’ This led Gonski et al. (2012) to recommend that ‘in relation to Indigeneity and low socioeconomic background… [funding] should be structured to reflect concentration of disadvantage so that higher [funding is] provided where disadvantage is more concentrated.’</w:t>
      </w:r>
      <w:r>
        <w:rPr>
          <w:rStyle w:val="FootnoteReference"/>
        </w:rPr>
        <w:footnoteReference w:id="54"/>
      </w:r>
    </w:p>
    <w:p w14:paraId="70DB8A49" w14:textId="77777777" w:rsidR="00090683" w:rsidRDefault="00090683" w:rsidP="00090683">
      <w:pPr>
        <w:pStyle w:val="BodyText"/>
      </w:pPr>
      <w:r>
        <w:t xml:space="preserve">It is difficult to test for economies of scale in HEPPP implementation, or estimate the impact of greater concentrations of low SES students, given the data currently available, particularly in relation to HEPPP administrative expenditure within universities. Nor is it possible to estimate the impact of greater concentrations of low SES students, although there is a correlation between concentration of low SES students and low SES student outcomes (see </w:t>
      </w:r>
      <w:r w:rsidRPr="00AD49C8">
        <w:t>Figure 11.2</w:t>
      </w:r>
      <w:r>
        <w:t xml:space="preserve"> below). </w:t>
      </w:r>
    </w:p>
    <w:p w14:paraId="3154F3C7" w14:textId="77777777" w:rsidR="00090683" w:rsidRDefault="00090683" w:rsidP="00090683">
      <w:pPr>
        <w:pStyle w:val="BodyText"/>
      </w:pPr>
      <w:r>
        <w:t>There is a need for further research on economies of scale and the impact of greater concentrations of low SES students. Such research should be used to inform any modification of the funding formula in the same way Gonski et al. (2012) used such research to recommend changes to school funding policy.</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0DE6C007" w14:textId="77777777" w:rsidTr="000B7E9A">
        <w:trPr>
          <w:cantSplit/>
        </w:trPr>
        <w:tc>
          <w:tcPr>
            <w:tcW w:w="8614" w:type="dxa"/>
            <w:tcMar>
              <w:top w:w="160" w:type="dxa"/>
              <w:left w:w="446" w:type="dxa"/>
            </w:tcMar>
          </w:tcPr>
          <w:p w14:paraId="2318EA71"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7</w:t>
            </w:r>
            <w:r>
              <w:tab/>
            </w:r>
          </w:p>
        </w:tc>
      </w:tr>
      <w:tr w:rsidR="00090683" w14:paraId="020E33BF" w14:textId="77777777" w:rsidTr="000B7E9A">
        <w:trPr>
          <w:cantSplit/>
        </w:trPr>
        <w:tc>
          <w:tcPr>
            <w:tcW w:w="8614" w:type="dxa"/>
            <w:shd w:val="clear" w:color="auto" w:fill="E4E0DD"/>
            <w:tcMar>
              <w:top w:w="276" w:type="dxa"/>
              <w:bottom w:w="0" w:type="dxa"/>
              <w:right w:w="120" w:type="dxa"/>
            </w:tcMar>
          </w:tcPr>
          <w:p w14:paraId="68619140" w14:textId="77777777" w:rsidR="00090683" w:rsidRDefault="00090683" w:rsidP="000B7E9A">
            <w:pPr>
              <w:pStyle w:val="BoxText"/>
            </w:pPr>
            <w:r>
              <w:t xml:space="preserve">That suitable data be collected and analysed to identify economies of scale and the impact of greater concentrations of low SES students relevant to the HEPPP, and the findings be used to inform the HEPPP funding formula. </w:t>
            </w:r>
          </w:p>
        </w:tc>
      </w:tr>
      <w:tr w:rsidR="00090683" w:rsidRPr="008B3E19" w14:paraId="42C7B256" w14:textId="77777777" w:rsidTr="000B7E9A">
        <w:trPr>
          <w:cantSplit/>
          <w:trHeight w:hRule="exact" w:val="376"/>
        </w:trPr>
        <w:tc>
          <w:tcPr>
            <w:tcW w:w="8614" w:type="dxa"/>
            <w:shd w:val="clear" w:color="auto" w:fill="E4E0DD"/>
            <w:tcMar>
              <w:top w:w="0" w:type="dxa"/>
              <w:bottom w:w="0" w:type="dxa"/>
              <w:right w:w="0" w:type="dxa"/>
            </w:tcMar>
          </w:tcPr>
          <w:p w14:paraId="75E3E4A6" w14:textId="77777777" w:rsidR="00090683" w:rsidRPr="008B3E19" w:rsidRDefault="00090683" w:rsidP="000B7E9A">
            <w:pPr>
              <w:pStyle w:val="spacer"/>
            </w:pPr>
          </w:p>
        </w:tc>
      </w:tr>
      <w:tr w:rsidR="00090683" w:rsidRPr="008B3E19" w14:paraId="715E9A48" w14:textId="77777777" w:rsidTr="000B7E9A">
        <w:trPr>
          <w:cantSplit/>
          <w:trHeight w:hRule="exact" w:val="180"/>
        </w:trPr>
        <w:tc>
          <w:tcPr>
            <w:tcW w:w="8614" w:type="dxa"/>
            <w:tcMar>
              <w:top w:w="0" w:type="dxa"/>
              <w:left w:w="446" w:type="dxa"/>
              <w:bottom w:w="0" w:type="dxa"/>
            </w:tcMar>
          </w:tcPr>
          <w:p w14:paraId="02116BBB"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33504" behindDoc="0" locked="1" layoutInCell="1" allowOverlap="1" wp14:anchorId="3C49B40D" wp14:editId="39E79B73">
                      <wp:simplePos x="0" y="0"/>
                      <wp:positionH relativeFrom="rightMargin">
                        <wp:posOffset>-772795</wp:posOffset>
                      </wp:positionH>
                      <wp:positionV relativeFrom="page">
                        <wp:posOffset>-237490</wp:posOffset>
                      </wp:positionV>
                      <wp:extent cx="436880" cy="213360"/>
                      <wp:effectExtent l="0" t="0" r="1270" b="0"/>
                      <wp:wrapNone/>
                      <wp:docPr id="13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D02D2B" id="Freeform 5" o:spid="_x0000_s1026" style="position:absolute;margin-left:-60.85pt;margin-top:-18.7pt;width:34.4pt;height:16.8pt;z-index:251733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551A296" w14:textId="77777777" w:rsidR="00090683" w:rsidRPr="004671D7" w:rsidRDefault="00090683" w:rsidP="00090683">
      <w:pPr>
        <w:pStyle w:val="Heading4nonumber"/>
      </w:pPr>
      <w:r>
        <w:t>Outcomes-based changes to the formula</w:t>
      </w:r>
    </w:p>
    <w:p w14:paraId="37D72A96" w14:textId="77777777" w:rsidR="00090683" w:rsidRDefault="00090683" w:rsidP="00090683">
      <w:pPr>
        <w:pStyle w:val="BodyText"/>
      </w:pPr>
      <w:r>
        <w:t>A broader question is whether the HEPPP funding formula should focus purely on low SES enrolments and retention, or whether it should also take into account students’ success and completion.</w:t>
      </w:r>
    </w:p>
    <w:p w14:paraId="54898B04" w14:textId="77777777" w:rsidR="00090683" w:rsidRDefault="00090683" w:rsidP="00090683">
      <w:pPr>
        <w:pStyle w:val="BodyText"/>
      </w:pPr>
      <w:r>
        <w:t xml:space="preserve">While there has been a large increase in low SES enrolments and an increase in the </w:t>
      </w:r>
      <w:r w:rsidRPr="00BE2EC4">
        <w:t>share of all</w:t>
      </w:r>
      <w:r>
        <w:t xml:space="preserve"> enrolments that are low SES students, success rates for low SES students since 2008 have been falling for all except Indigenous students, and the gap between low SES success rates and medium and high SES success rates has been widening (refer Chapter 9). Completion rates for low SES students are also trending downward, although there is considerable lag for these rates with the shortest period over which they can be calculated being four years (that is, for students commencing in 2012).</w:t>
      </w:r>
    </w:p>
    <w:p w14:paraId="3BA70014" w14:textId="77777777" w:rsidR="00090683" w:rsidRDefault="00090683" w:rsidP="00090683">
      <w:pPr>
        <w:pStyle w:val="BodyText"/>
      </w:pPr>
      <w:r>
        <w:t xml:space="preserve">The HEPPP funding formula could be redesigned to better focus on these student outcomes measures, although the success measure has some advantages over retention and completion measures. Completion rates, while measuring a key outcome for students, have a significant time lag (at least four years). Success rates, by measuring whether students are passing units of study, also capture how </w:t>
      </w:r>
      <w:r w:rsidRPr="006B6CCC">
        <w:t>well low SES students are coping with the level of academic work required at university</w:t>
      </w:r>
      <w:r>
        <w:t>. Conversely, retention rates only measure</w:t>
      </w:r>
      <w:r w:rsidRPr="006B6CCC">
        <w:t xml:space="preserve"> </w:t>
      </w:r>
      <w:r>
        <w:t xml:space="preserve">whether </w:t>
      </w:r>
      <w:r w:rsidRPr="006B6CCC">
        <w:t>students continue their study</w:t>
      </w:r>
      <w:r>
        <w:t xml:space="preserve">. Retention rates also have a time lag (of one year), while success rates can be calculated based on one year’s worth of data. </w:t>
      </w:r>
    </w:p>
    <w:p w14:paraId="10BAE120" w14:textId="77777777" w:rsidR="00090683" w:rsidRDefault="00090683" w:rsidP="00090683">
      <w:pPr>
        <w:pStyle w:val="BodyText"/>
      </w:pPr>
      <w:r>
        <w:t xml:space="preserve">While success rates appear to be the best and most practical measure with which to introduce greater incentive into the HEPPP funding formula, care is required in determining how </w:t>
      </w:r>
      <w:r w:rsidRPr="00BE2EC4">
        <w:t>great</w:t>
      </w:r>
      <w:r>
        <w:t xml:space="preserve"> a weight to give success rates in the formula. For example, there is a negative correlation between each university’s share of total low SES enrolments and its low SES student success rate (</w:t>
      </w:r>
      <w:r w:rsidRPr="00AD49C8">
        <w:t>Figure 11.2</w:t>
      </w:r>
      <w:r>
        <w:t xml:space="preserve">). As the funding formula is currently determined solely by each university’s share of total low SES enrolments, introduction of success rates into the formula is likely to shift funding towards those universities with a lower share of all low SES students. </w:t>
      </w:r>
    </w:p>
    <w:p w14:paraId="6C5B44A4" w14:textId="77777777" w:rsidR="00090683" w:rsidRDefault="00090683" w:rsidP="00090683">
      <w:pPr>
        <w:pStyle w:val="BodyText"/>
      </w:pPr>
      <w:r>
        <w:t xml:space="preserve">There is an even stronger negative relationship between each university’s proportion of enrolments that are low SES and its low SES student success rate. The RUN proposal discussed above argues for each university’s proportion of enrolments that are low SES to be incorporated into the funding formula—the incorporation of success rates could have an impact on funding allocations that is broadly counter to the funding outcome proposed by RUN. </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7"/>
        <w:gridCol w:w="5497"/>
      </w:tblGrid>
      <w:tr w:rsidR="00090683" w:rsidRPr="00AA4DEE" w14:paraId="399716D3" w14:textId="77777777" w:rsidTr="000B7E9A">
        <w:trPr>
          <w:cantSplit/>
          <w:trHeight w:hRule="exact" w:val="160"/>
        </w:trPr>
        <w:tc>
          <w:tcPr>
            <w:tcW w:w="10994" w:type="dxa"/>
            <w:gridSpan w:val="2"/>
            <w:tcBorders>
              <w:bottom w:val="single" w:sz="4" w:space="0" w:color="auto"/>
            </w:tcBorders>
          </w:tcPr>
          <w:p w14:paraId="04653461" w14:textId="77777777" w:rsidR="00090683" w:rsidRPr="00AA4DEE" w:rsidRDefault="00090683" w:rsidP="000B7E9A">
            <w:pPr>
              <w:pStyle w:val="spacer"/>
            </w:pPr>
          </w:p>
        </w:tc>
      </w:tr>
      <w:tr w:rsidR="00090683" w:rsidRPr="00897E60" w14:paraId="3FDEBDFD" w14:textId="77777777" w:rsidTr="000B7E9A">
        <w:trPr>
          <w:cantSplit/>
        </w:trPr>
        <w:tc>
          <w:tcPr>
            <w:tcW w:w="10994" w:type="dxa"/>
            <w:gridSpan w:val="2"/>
            <w:tcBorders>
              <w:top w:val="single" w:sz="4" w:space="0" w:color="auto"/>
            </w:tcBorders>
            <w:tcMar>
              <w:left w:w="0" w:type="dxa"/>
            </w:tcMar>
          </w:tcPr>
          <w:p w14:paraId="74536F38" w14:textId="77777777" w:rsidR="00090683" w:rsidRPr="00897E60" w:rsidRDefault="00090683" w:rsidP="000B7E9A">
            <w:pPr>
              <w:pStyle w:val="Caption"/>
            </w:pPr>
            <w:bookmarkStart w:id="640" w:name="_Ref465710005"/>
            <w:bookmarkStart w:id="641" w:name="_Toc466655731"/>
            <w:r w:rsidRPr="00897E60">
              <w:rPr>
                <w:rStyle w:val="CaptionLabel"/>
              </w:rPr>
              <w:t>Figure</w:t>
            </w:r>
            <w:r>
              <w:rPr>
                <w:rStyle w:val="CaptionLabel"/>
              </w:rPr>
              <w:t> </w:t>
            </w:r>
            <w:r>
              <w:rPr>
                <w:rStyle w:val="CaptionLabel"/>
                <w:noProof/>
              </w:rPr>
              <w:t>11</w:t>
            </w:r>
            <w:r w:rsidRPr="00897E60">
              <w:rPr>
                <w:rStyle w:val="CaptionLabel"/>
              </w:rPr>
              <w:t>.</w:t>
            </w:r>
            <w:r>
              <w:rPr>
                <w:rStyle w:val="CaptionLabel"/>
                <w:noProof/>
              </w:rPr>
              <w:t>2</w:t>
            </w:r>
            <w:bookmarkEnd w:id="640"/>
            <w:r>
              <w:tab/>
            </w:r>
            <w:r>
              <w:rPr>
                <w:noProof/>
                <w:lang w:eastAsia="en-AU"/>
              </w:rPr>
              <w:t>Relationship between low SES success rate and low SES enrolment shares</w:t>
            </w:r>
            <w:bookmarkEnd w:id="641"/>
          </w:p>
        </w:tc>
      </w:tr>
      <w:tr w:rsidR="00090683" w:rsidRPr="00AA4DEE" w14:paraId="22537844" w14:textId="77777777" w:rsidTr="000B7E9A">
        <w:trPr>
          <w:cantSplit/>
          <w:trHeight w:hRule="exact" w:val="380"/>
        </w:trPr>
        <w:tc>
          <w:tcPr>
            <w:tcW w:w="10994" w:type="dxa"/>
            <w:gridSpan w:val="2"/>
            <w:tcBorders>
              <w:bottom w:val="single" w:sz="4" w:space="0" w:color="auto"/>
            </w:tcBorders>
          </w:tcPr>
          <w:p w14:paraId="5F2B7C7C"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734528" behindDoc="0" locked="1" layoutInCell="1" allowOverlap="1" wp14:anchorId="2AC6D5EE" wp14:editId="0543600D">
                      <wp:simplePos x="0" y="0"/>
                      <wp:positionH relativeFrom="rightMargin">
                        <wp:posOffset>-772795</wp:posOffset>
                      </wp:positionH>
                      <wp:positionV relativeFrom="page">
                        <wp:posOffset>0</wp:posOffset>
                      </wp:positionV>
                      <wp:extent cx="436880" cy="213360"/>
                      <wp:effectExtent l="0" t="0" r="1270" b="0"/>
                      <wp:wrapNone/>
                      <wp:docPr id="56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8841B" id="Freeform 5" o:spid="_x0000_s1026" style="position:absolute;margin-left:-60.85pt;margin-top:0;width:34.4pt;height:16.8pt;z-index:251734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7m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BZ4HuZ/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337A0316" w14:textId="77777777" w:rsidTr="000B7E9A">
        <w:trPr>
          <w:cantSplit/>
        </w:trPr>
        <w:tc>
          <w:tcPr>
            <w:tcW w:w="5497" w:type="dxa"/>
            <w:tcBorders>
              <w:top w:val="single" w:sz="4" w:space="0" w:color="auto"/>
            </w:tcBorders>
            <w:tcMar>
              <w:top w:w="10" w:type="dxa"/>
              <w:bottom w:w="10" w:type="dxa"/>
              <w:right w:w="0" w:type="dxa"/>
            </w:tcMar>
          </w:tcPr>
          <w:p w14:paraId="77398CA9" w14:textId="77777777" w:rsidR="00090683" w:rsidRPr="00807F23" w:rsidRDefault="00090683" w:rsidP="000B7E9A">
            <w:pPr>
              <w:pStyle w:val="Figure"/>
              <w:rPr>
                <w:noProof/>
                <w:lang w:eastAsia="en-AU"/>
              </w:rPr>
            </w:pPr>
            <w:r>
              <w:rPr>
                <w:noProof/>
                <w:lang w:eastAsia="en-AU"/>
              </w:rPr>
              <w:t xml:space="preserve">Relationship between university low SES success rate </w:t>
            </w:r>
            <w:r>
              <w:rPr>
                <w:noProof/>
                <w:lang w:eastAsia="en-AU"/>
              </w:rPr>
              <w:br/>
              <w:t>and share of all low SES enrolments</w:t>
            </w:r>
          </w:p>
        </w:tc>
        <w:tc>
          <w:tcPr>
            <w:tcW w:w="5497" w:type="dxa"/>
            <w:tcBorders>
              <w:top w:val="single" w:sz="4" w:space="0" w:color="auto"/>
            </w:tcBorders>
          </w:tcPr>
          <w:p w14:paraId="75D625EE" w14:textId="77777777" w:rsidR="00090683" w:rsidRPr="00807F23" w:rsidRDefault="00090683" w:rsidP="000B7E9A">
            <w:pPr>
              <w:pStyle w:val="Figure"/>
              <w:rPr>
                <w:noProof/>
                <w:lang w:eastAsia="en-AU"/>
              </w:rPr>
            </w:pPr>
            <w:r>
              <w:rPr>
                <w:noProof/>
                <w:lang w:eastAsia="en-AU"/>
              </w:rPr>
              <w:t xml:space="preserve">Relationship between university low SES success rate </w:t>
            </w:r>
            <w:r>
              <w:rPr>
                <w:noProof/>
                <w:lang w:eastAsia="en-AU"/>
              </w:rPr>
              <w:br/>
              <w:t>and share of enrolments at the university that are low SES</w:t>
            </w:r>
          </w:p>
        </w:tc>
      </w:tr>
      <w:tr w:rsidR="00090683" w:rsidRPr="00AA4DEE" w14:paraId="36CA3D74" w14:textId="77777777" w:rsidTr="000B7E9A">
        <w:trPr>
          <w:cantSplit/>
        </w:trPr>
        <w:tc>
          <w:tcPr>
            <w:tcW w:w="5497" w:type="dxa"/>
            <w:tcBorders>
              <w:bottom w:val="single" w:sz="4" w:space="0" w:color="auto"/>
            </w:tcBorders>
            <w:tcMar>
              <w:top w:w="10" w:type="dxa"/>
              <w:bottom w:w="10" w:type="dxa"/>
              <w:right w:w="0" w:type="dxa"/>
            </w:tcMar>
          </w:tcPr>
          <w:p w14:paraId="6AD544EC" w14:textId="77777777" w:rsidR="00090683" w:rsidRPr="00AA4DEE" w:rsidRDefault="00090683" w:rsidP="000B7E9A">
            <w:pPr>
              <w:pStyle w:val="Figure"/>
            </w:pPr>
            <w:r>
              <w:rPr>
                <w:noProof/>
                <w:lang w:eastAsia="en-AU"/>
              </w:rPr>
              <w:drawing>
                <wp:inline distT="0" distB="0" distL="0" distR="0" wp14:anchorId="78F12C32" wp14:editId="04C87AF7">
                  <wp:extent cx="3476625" cy="2276475"/>
                  <wp:effectExtent l="0" t="0" r="0" b="0"/>
                  <wp:docPr id="86"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76625" cy="2276475"/>
                          </a:xfrm>
                          <a:prstGeom prst="rect">
                            <a:avLst/>
                          </a:prstGeom>
                          <a:noFill/>
                          <a:ln>
                            <a:noFill/>
                          </a:ln>
                        </pic:spPr>
                      </pic:pic>
                    </a:graphicData>
                  </a:graphic>
                </wp:inline>
              </w:drawing>
            </w:r>
          </w:p>
        </w:tc>
        <w:tc>
          <w:tcPr>
            <w:tcW w:w="5497" w:type="dxa"/>
            <w:tcBorders>
              <w:bottom w:val="single" w:sz="4" w:space="0" w:color="auto"/>
            </w:tcBorders>
          </w:tcPr>
          <w:p w14:paraId="12C1FB16" w14:textId="77777777" w:rsidR="00090683" w:rsidRPr="00AA4DEE" w:rsidRDefault="00090683" w:rsidP="000B7E9A">
            <w:pPr>
              <w:pStyle w:val="Figure"/>
            </w:pPr>
            <w:r>
              <w:rPr>
                <w:noProof/>
                <w:lang w:eastAsia="en-AU"/>
              </w:rPr>
              <w:drawing>
                <wp:inline distT="0" distB="0" distL="0" distR="0" wp14:anchorId="543D6CB4" wp14:editId="1A21F79A">
                  <wp:extent cx="3438525" cy="2276475"/>
                  <wp:effectExtent l="0" t="0" r="0" b="0"/>
                  <wp:docPr id="8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38525" cy="2276475"/>
                          </a:xfrm>
                          <a:prstGeom prst="rect">
                            <a:avLst/>
                          </a:prstGeom>
                          <a:noFill/>
                          <a:ln>
                            <a:noFill/>
                          </a:ln>
                        </pic:spPr>
                      </pic:pic>
                    </a:graphicData>
                  </a:graphic>
                </wp:inline>
              </w:drawing>
            </w:r>
          </w:p>
        </w:tc>
      </w:tr>
      <w:tr w:rsidR="00090683" w:rsidRPr="00AA4DEE" w14:paraId="496C5B3A" w14:textId="77777777" w:rsidTr="000B7E9A">
        <w:trPr>
          <w:cantSplit/>
        </w:trPr>
        <w:tc>
          <w:tcPr>
            <w:tcW w:w="10994" w:type="dxa"/>
            <w:gridSpan w:val="2"/>
            <w:tcBorders>
              <w:top w:val="single" w:sz="4" w:space="0" w:color="auto"/>
              <w:bottom w:val="single" w:sz="4" w:space="0" w:color="auto"/>
            </w:tcBorders>
            <w:tcMar>
              <w:top w:w="12" w:type="dxa"/>
              <w:left w:w="0" w:type="dxa"/>
              <w:bottom w:w="113" w:type="dxa"/>
            </w:tcMar>
          </w:tcPr>
          <w:p w14:paraId="07A46967" w14:textId="77777777" w:rsidR="00090683" w:rsidRPr="00AA4DEE" w:rsidRDefault="00090683" w:rsidP="000B7E9A">
            <w:pPr>
              <w:pStyle w:val="Source"/>
            </w:pPr>
            <w:r w:rsidRPr="00AA4DEE">
              <w:t xml:space="preserve">Source: </w:t>
            </w:r>
            <w:r>
              <w:t>ACIL Allen analysis of higher EDUCATION STUDENT data collection</w:t>
            </w:r>
          </w:p>
        </w:tc>
      </w:tr>
      <w:tr w:rsidR="00090683" w14:paraId="2CBEC878" w14:textId="77777777" w:rsidTr="000B7E9A">
        <w:trPr>
          <w:trHeight w:hRule="exact" w:val="160"/>
        </w:trPr>
        <w:tc>
          <w:tcPr>
            <w:tcW w:w="10994" w:type="dxa"/>
            <w:gridSpan w:val="2"/>
            <w:tcBorders>
              <w:top w:val="single" w:sz="4" w:space="0" w:color="auto"/>
            </w:tcBorders>
          </w:tcPr>
          <w:p w14:paraId="5CF48C7F" w14:textId="77777777" w:rsidR="00090683" w:rsidRDefault="00090683" w:rsidP="000B7E9A">
            <w:pPr>
              <w:pStyle w:val="spacertbl"/>
            </w:pPr>
          </w:p>
        </w:tc>
      </w:tr>
    </w:tbl>
    <w:p w14:paraId="2E1D5F63" w14:textId="77777777" w:rsidR="00090683" w:rsidRDefault="00090683" w:rsidP="00090683">
      <w:pPr>
        <w:pStyle w:val="BodyText"/>
      </w:pPr>
      <w:r>
        <w:t>More generally, the use of universities’ raw low SES success rates in the HEPPP funding formula risks funding universities for past actions and/or the nature of their student cohort, rather than providing an incentive for improving the success rates of low SES students. Over the last 10 years, most universities have seen little variability in their annual low SES success rates (</w:t>
      </w:r>
      <w:r w:rsidRPr="00AD49C8">
        <w:t>Figure 11.3</w:t>
      </w:r>
      <w:r>
        <w:t xml:space="preserve">), indicating that university success rates are determined, to some extent, by historical and cohort factors.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AA4DEE" w14:paraId="551C1DDF" w14:textId="77777777" w:rsidTr="000B7E9A">
        <w:trPr>
          <w:cantSplit/>
          <w:trHeight w:hRule="exact" w:val="160"/>
        </w:trPr>
        <w:tc>
          <w:tcPr>
            <w:tcW w:w="8168" w:type="dxa"/>
            <w:tcBorders>
              <w:bottom w:val="single" w:sz="4" w:space="0" w:color="auto"/>
            </w:tcBorders>
          </w:tcPr>
          <w:p w14:paraId="37E130DB" w14:textId="77777777" w:rsidR="00090683" w:rsidRPr="00AA4DEE" w:rsidRDefault="00090683" w:rsidP="000B7E9A">
            <w:pPr>
              <w:pStyle w:val="spacer"/>
            </w:pPr>
          </w:p>
        </w:tc>
      </w:tr>
      <w:tr w:rsidR="00090683" w:rsidRPr="00897E60" w14:paraId="0F4E045B" w14:textId="77777777" w:rsidTr="000B7E9A">
        <w:trPr>
          <w:cantSplit/>
        </w:trPr>
        <w:tc>
          <w:tcPr>
            <w:tcW w:w="8168" w:type="dxa"/>
            <w:tcBorders>
              <w:top w:val="single" w:sz="4" w:space="0" w:color="auto"/>
            </w:tcBorders>
            <w:tcMar>
              <w:left w:w="0" w:type="dxa"/>
            </w:tcMar>
          </w:tcPr>
          <w:p w14:paraId="32B2C576" w14:textId="77777777" w:rsidR="00090683" w:rsidRPr="00897E60" w:rsidRDefault="00090683" w:rsidP="000B7E9A">
            <w:pPr>
              <w:pStyle w:val="Caption"/>
            </w:pPr>
            <w:bookmarkStart w:id="642" w:name="_Ref465716939"/>
            <w:bookmarkStart w:id="643" w:name="_Toc466655732"/>
            <w:r w:rsidRPr="00897E60">
              <w:rPr>
                <w:rStyle w:val="CaptionLabel"/>
              </w:rPr>
              <w:t>Figure</w:t>
            </w:r>
            <w:r>
              <w:rPr>
                <w:rStyle w:val="CaptionLabel"/>
              </w:rPr>
              <w:t> </w:t>
            </w:r>
            <w:r>
              <w:rPr>
                <w:rStyle w:val="CaptionLabel"/>
                <w:noProof/>
              </w:rPr>
              <w:t>11</w:t>
            </w:r>
            <w:r w:rsidRPr="00897E60">
              <w:rPr>
                <w:rStyle w:val="CaptionLabel"/>
              </w:rPr>
              <w:t>.</w:t>
            </w:r>
            <w:r>
              <w:rPr>
                <w:rStyle w:val="CaptionLabel"/>
                <w:noProof/>
              </w:rPr>
              <w:t>3</w:t>
            </w:r>
            <w:bookmarkEnd w:id="642"/>
            <w:r>
              <w:tab/>
              <w:t>minimum and maximum annual success rates for each university, 2006</w:t>
            </w:r>
            <w:r>
              <w:noBreakHyphen/>
              <w:t>2015</w:t>
            </w:r>
            <w:bookmarkEnd w:id="643"/>
          </w:p>
        </w:tc>
      </w:tr>
      <w:tr w:rsidR="00090683" w:rsidRPr="00AA4DEE" w14:paraId="75C87A25" w14:textId="77777777" w:rsidTr="000B7E9A">
        <w:trPr>
          <w:cantSplit/>
          <w:trHeight w:hRule="exact" w:val="380"/>
        </w:trPr>
        <w:tc>
          <w:tcPr>
            <w:tcW w:w="8168" w:type="dxa"/>
            <w:tcBorders>
              <w:bottom w:val="single" w:sz="4" w:space="0" w:color="auto"/>
            </w:tcBorders>
          </w:tcPr>
          <w:p w14:paraId="3F09CB49"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735552" behindDoc="0" locked="1" layoutInCell="1" allowOverlap="1" wp14:anchorId="740E6E02" wp14:editId="24248652">
                      <wp:simplePos x="0" y="0"/>
                      <wp:positionH relativeFrom="rightMargin">
                        <wp:posOffset>-772795</wp:posOffset>
                      </wp:positionH>
                      <wp:positionV relativeFrom="page">
                        <wp:posOffset>0</wp:posOffset>
                      </wp:positionV>
                      <wp:extent cx="436880" cy="213360"/>
                      <wp:effectExtent l="0" t="0" r="1270" b="0"/>
                      <wp:wrapNone/>
                      <wp:docPr id="13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D2732D" id="Freeform 5" o:spid="_x0000_s1026" style="position:absolute;margin-left:-60.85pt;margin-top:0;width:34.4pt;height:16.8pt;z-index:251735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mofwMAAMI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O87Sah/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337F5A61"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2702DA59" w14:textId="77777777" w:rsidR="00090683" w:rsidRPr="00AA4DEE" w:rsidRDefault="00090683" w:rsidP="000B7E9A">
            <w:pPr>
              <w:pStyle w:val="Figure"/>
            </w:pPr>
            <w:r>
              <w:rPr>
                <w:noProof/>
                <w:lang w:eastAsia="en-AU"/>
              </w:rPr>
              <w:drawing>
                <wp:inline distT="0" distB="0" distL="0" distR="0" wp14:anchorId="3CB2C601" wp14:editId="2841B42F">
                  <wp:extent cx="5172075" cy="2200275"/>
                  <wp:effectExtent l="0" t="0" r="0" b="0"/>
                  <wp:docPr id="8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72075" cy="2200275"/>
                          </a:xfrm>
                          <a:prstGeom prst="rect">
                            <a:avLst/>
                          </a:prstGeom>
                          <a:noFill/>
                          <a:ln>
                            <a:noFill/>
                          </a:ln>
                        </pic:spPr>
                      </pic:pic>
                    </a:graphicData>
                  </a:graphic>
                </wp:inline>
              </w:drawing>
            </w:r>
          </w:p>
        </w:tc>
      </w:tr>
      <w:tr w:rsidR="00090683" w:rsidRPr="00AA4DEE" w14:paraId="1E8C18CB"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37BB111B" w14:textId="77777777" w:rsidR="00090683" w:rsidRPr="00AA4DEE" w:rsidRDefault="00090683" w:rsidP="000B7E9A">
            <w:pPr>
              <w:pStyle w:val="Source"/>
            </w:pPr>
            <w:r w:rsidRPr="00AA4DEE">
              <w:t xml:space="preserve">Source: </w:t>
            </w:r>
            <w:r>
              <w:t>ACIL Allen analysis of higher EDUCATION STUDENT data collection</w:t>
            </w:r>
          </w:p>
        </w:tc>
      </w:tr>
      <w:tr w:rsidR="00090683" w14:paraId="35FBAA3F" w14:textId="77777777" w:rsidTr="000B7E9A">
        <w:trPr>
          <w:trHeight w:hRule="exact" w:val="160"/>
        </w:trPr>
        <w:tc>
          <w:tcPr>
            <w:tcW w:w="8168" w:type="dxa"/>
            <w:tcBorders>
              <w:top w:val="single" w:sz="4" w:space="0" w:color="auto"/>
            </w:tcBorders>
          </w:tcPr>
          <w:p w14:paraId="7F9FF15E" w14:textId="77777777" w:rsidR="00090683" w:rsidRDefault="00090683" w:rsidP="000B7E9A">
            <w:pPr>
              <w:pStyle w:val="spacertbl"/>
            </w:pPr>
          </w:p>
        </w:tc>
      </w:tr>
    </w:tbl>
    <w:p w14:paraId="12BEF98C" w14:textId="77777777" w:rsidR="00090683" w:rsidRDefault="00090683" w:rsidP="00090683">
      <w:pPr>
        <w:pStyle w:val="BodyText"/>
      </w:pPr>
      <w:r>
        <w:t>To avoid such retrospectivity and/or giving to greater weight to the composition of the student cohort, the HEPPP funding formula could incorporate a measure of the annual change in a university’s low SES success rate. This would provide an incentive to improve the success rate of low SES students while not allocating funding based on raw success rates which would unnecessarily advantage universities with lower numbers of low SES students. The balance between this success rate measure and the ‘share of total low SES enrolments’ would also need to be determined.</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7496F8E6" w14:textId="77777777" w:rsidTr="000B7E9A">
        <w:trPr>
          <w:cantSplit/>
        </w:trPr>
        <w:tc>
          <w:tcPr>
            <w:tcW w:w="8614" w:type="dxa"/>
            <w:tcMar>
              <w:top w:w="160" w:type="dxa"/>
              <w:left w:w="446" w:type="dxa"/>
            </w:tcMar>
          </w:tcPr>
          <w:p w14:paraId="43782E5A"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8</w:t>
            </w:r>
            <w:r>
              <w:tab/>
            </w:r>
          </w:p>
        </w:tc>
      </w:tr>
      <w:tr w:rsidR="00090683" w14:paraId="0FD52A17" w14:textId="77777777" w:rsidTr="000B7E9A">
        <w:trPr>
          <w:cantSplit/>
        </w:trPr>
        <w:tc>
          <w:tcPr>
            <w:tcW w:w="8614" w:type="dxa"/>
            <w:shd w:val="clear" w:color="auto" w:fill="E4E0DD"/>
            <w:tcMar>
              <w:top w:w="276" w:type="dxa"/>
              <w:bottom w:w="0" w:type="dxa"/>
              <w:right w:w="120" w:type="dxa"/>
            </w:tcMar>
          </w:tcPr>
          <w:p w14:paraId="5ED79753" w14:textId="77777777" w:rsidR="00090683" w:rsidRDefault="00090683" w:rsidP="000B7E9A">
            <w:pPr>
              <w:pStyle w:val="BoxText"/>
            </w:pPr>
            <w:r>
              <w:t xml:space="preserve">That consideration be given to modifying the current funding formula to incorporate an allocation based on the change in each </w:t>
            </w:r>
            <w:r w:rsidRPr="00AE5421">
              <w:t>universit</w:t>
            </w:r>
            <w:r>
              <w:t>y’s low SES</w:t>
            </w:r>
            <w:r w:rsidRPr="00AE5421">
              <w:t xml:space="preserve"> success rate</w:t>
            </w:r>
            <w:r>
              <w:t xml:space="preserve">. </w:t>
            </w:r>
          </w:p>
        </w:tc>
      </w:tr>
      <w:tr w:rsidR="00090683" w:rsidRPr="008B3E19" w14:paraId="7AB43EDE" w14:textId="77777777" w:rsidTr="000B7E9A">
        <w:trPr>
          <w:cantSplit/>
          <w:trHeight w:hRule="exact" w:val="376"/>
        </w:trPr>
        <w:tc>
          <w:tcPr>
            <w:tcW w:w="8614" w:type="dxa"/>
            <w:shd w:val="clear" w:color="auto" w:fill="E4E0DD"/>
            <w:tcMar>
              <w:top w:w="0" w:type="dxa"/>
              <w:bottom w:w="0" w:type="dxa"/>
              <w:right w:w="0" w:type="dxa"/>
            </w:tcMar>
          </w:tcPr>
          <w:p w14:paraId="7FBC6D26" w14:textId="77777777" w:rsidR="00090683" w:rsidRPr="008B3E19" w:rsidRDefault="00090683" w:rsidP="000B7E9A">
            <w:pPr>
              <w:pStyle w:val="spacer"/>
            </w:pPr>
          </w:p>
        </w:tc>
      </w:tr>
      <w:tr w:rsidR="00090683" w:rsidRPr="008B3E19" w14:paraId="00B5C91B" w14:textId="77777777" w:rsidTr="000B7E9A">
        <w:trPr>
          <w:cantSplit/>
          <w:trHeight w:hRule="exact" w:val="180"/>
        </w:trPr>
        <w:tc>
          <w:tcPr>
            <w:tcW w:w="8614" w:type="dxa"/>
            <w:tcMar>
              <w:top w:w="0" w:type="dxa"/>
              <w:left w:w="446" w:type="dxa"/>
              <w:bottom w:w="0" w:type="dxa"/>
            </w:tcMar>
          </w:tcPr>
          <w:p w14:paraId="6FDCB26C"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26336" behindDoc="0" locked="1" layoutInCell="1" allowOverlap="1" wp14:anchorId="3B4AB336" wp14:editId="7BAA31FB">
                      <wp:simplePos x="0" y="0"/>
                      <wp:positionH relativeFrom="rightMargin">
                        <wp:posOffset>-772795</wp:posOffset>
                      </wp:positionH>
                      <wp:positionV relativeFrom="page">
                        <wp:posOffset>-237490</wp:posOffset>
                      </wp:positionV>
                      <wp:extent cx="436880" cy="213360"/>
                      <wp:effectExtent l="0" t="0" r="1270" b="0"/>
                      <wp:wrapNone/>
                      <wp:docPr id="57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E827F1" id="Freeform 5" o:spid="_x0000_s1026" style="position:absolute;margin-left:-60.85pt;margin-top:-18.7pt;width:34.4pt;height:16.8pt;z-index:251726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8F0CBA0" w14:textId="77777777" w:rsidR="00090683" w:rsidRPr="00E94210" w:rsidRDefault="00090683" w:rsidP="00090683">
      <w:pPr>
        <w:pStyle w:val="Heading4"/>
      </w:pPr>
      <w:r>
        <w:t>Funding cycle</w:t>
      </w:r>
    </w:p>
    <w:p w14:paraId="28C0A985" w14:textId="77777777" w:rsidR="00090683" w:rsidRDefault="00090683" w:rsidP="00090683">
      <w:pPr>
        <w:pStyle w:val="BodyText"/>
      </w:pPr>
      <w:r>
        <w:t xml:space="preserve">Under the HEPPP, universities are currently funded on an annual basis, with universities being informed of their funding allocation in the second half of the preceding year. The evaluation received strong and consistent feedback that the lack of funding certainty year-to-year severely restricts universities’ ability to design and plan projects over multi-year periods, and to develop the necessary partnerships and long-term relationships with schools, other universities and external partners. Hiring and retaining </w:t>
      </w:r>
      <w:r w:rsidRPr="0061455F">
        <w:t xml:space="preserve">experienced and qualified </w:t>
      </w:r>
      <w:r>
        <w:t xml:space="preserve">staff under the one year funding cycle is also challenging, with many universities using one year contracts for staff to align with the funding cycle. Moreover, even one year contracts are extremely sensitive to the announcement timing of the funding allocations in the preceding year. </w:t>
      </w:r>
    </w:p>
    <w:p w14:paraId="023423F1" w14:textId="77777777" w:rsidR="00090683" w:rsidRDefault="00090683" w:rsidP="00090683">
      <w:pPr>
        <w:pStyle w:val="BodyText"/>
      </w:pPr>
      <w:r>
        <w:t xml:space="preserve">A longer </w:t>
      </w:r>
      <w:r w:rsidRPr="000B3B11">
        <w:t xml:space="preserve">funding cycle </w:t>
      </w:r>
      <w:r>
        <w:t xml:space="preserve">would provide </w:t>
      </w:r>
      <w:r w:rsidRPr="000B3B11">
        <w:t xml:space="preserve">greater certainty to universities in managing </w:t>
      </w:r>
      <w:r>
        <w:t xml:space="preserve">and resourcing </w:t>
      </w:r>
      <w:r w:rsidRPr="000B3B11">
        <w:t xml:space="preserve">their HEPPP </w:t>
      </w:r>
      <w:r>
        <w:t xml:space="preserve">funded </w:t>
      </w:r>
      <w:r w:rsidRPr="000B3B11">
        <w:t>projects.</w:t>
      </w:r>
      <w:r>
        <w:t xml:space="preserve"> In written submissions, some universities propose three year funding cycles, while others recommend a funding cycle of between to three to five years. A three year funding cycle would strike the right balance between providing greater certainty to universities and allowing the Department to allocated funding based on low SES enrolments and success.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1325A8BC" w14:textId="77777777" w:rsidTr="000B7E9A">
        <w:trPr>
          <w:cantSplit/>
        </w:trPr>
        <w:tc>
          <w:tcPr>
            <w:tcW w:w="8614" w:type="dxa"/>
            <w:tcMar>
              <w:top w:w="160" w:type="dxa"/>
              <w:left w:w="446" w:type="dxa"/>
            </w:tcMar>
          </w:tcPr>
          <w:p w14:paraId="2553991D"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9</w:t>
            </w:r>
            <w:r>
              <w:tab/>
            </w:r>
          </w:p>
        </w:tc>
      </w:tr>
      <w:tr w:rsidR="00090683" w14:paraId="38434244" w14:textId="77777777" w:rsidTr="000B7E9A">
        <w:trPr>
          <w:cantSplit/>
        </w:trPr>
        <w:tc>
          <w:tcPr>
            <w:tcW w:w="8614" w:type="dxa"/>
            <w:shd w:val="clear" w:color="auto" w:fill="E4E0DD"/>
            <w:tcMar>
              <w:top w:w="276" w:type="dxa"/>
              <w:bottom w:w="0" w:type="dxa"/>
              <w:right w:w="120" w:type="dxa"/>
            </w:tcMar>
          </w:tcPr>
          <w:p w14:paraId="26C6EB72" w14:textId="77777777" w:rsidR="00090683" w:rsidRDefault="00090683" w:rsidP="000B7E9A">
            <w:pPr>
              <w:pStyle w:val="BoxText"/>
            </w:pPr>
            <w:r w:rsidRPr="000B3B11">
              <w:t>T</w:t>
            </w:r>
            <w:r>
              <w:t>hat t</w:t>
            </w:r>
            <w:r w:rsidRPr="000B3B11">
              <w:t xml:space="preserve">he HEPPP be shifted to </w:t>
            </w:r>
            <w:r>
              <w:t>a</w:t>
            </w:r>
            <w:r w:rsidRPr="000B3B11">
              <w:t xml:space="preserve"> three year funding cycle</w:t>
            </w:r>
            <w:r>
              <w:t>, along with the appropriate allocation</w:t>
            </w:r>
            <w:r w:rsidRPr="000B3B11">
              <w:t xml:space="preserve"> </w:t>
            </w:r>
            <w:r>
              <w:t>performance measures,</w:t>
            </w:r>
            <w:r w:rsidRPr="000B3B11">
              <w:t xml:space="preserve"> to give greater certainty to universities in managing </w:t>
            </w:r>
            <w:r>
              <w:t xml:space="preserve">and resourcing </w:t>
            </w:r>
            <w:r w:rsidRPr="000B3B11">
              <w:t xml:space="preserve">their HEPPP </w:t>
            </w:r>
            <w:r>
              <w:t xml:space="preserve">funded </w:t>
            </w:r>
            <w:r w:rsidRPr="000B3B11">
              <w:t xml:space="preserve">projects. </w:t>
            </w:r>
          </w:p>
        </w:tc>
      </w:tr>
      <w:tr w:rsidR="00090683" w:rsidRPr="008B3E19" w14:paraId="6EEFCC66" w14:textId="77777777" w:rsidTr="000B7E9A">
        <w:trPr>
          <w:cantSplit/>
          <w:trHeight w:hRule="exact" w:val="376"/>
        </w:trPr>
        <w:tc>
          <w:tcPr>
            <w:tcW w:w="8614" w:type="dxa"/>
            <w:shd w:val="clear" w:color="auto" w:fill="E4E0DD"/>
            <w:tcMar>
              <w:top w:w="0" w:type="dxa"/>
              <w:bottom w:w="0" w:type="dxa"/>
              <w:right w:w="0" w:type="dxa"/>
            </w:tcMar>
          </w:tcPr>
          <w:p w14:paraId="0751F9FB" w14:textId="77777777" w:rsidR="00090683" w:rsidRPr="008B3E19" w:rsidRDefault="00090683" w:rsidP="000B7E9A">
            <w:pPr>
              <w:pStyle w:val="spacer"/>
            </w:pPr>
          </w:p>
        </w:tc>
      </w:tr>
      <w:tr w:rsidR="00090683" w:rsidRPr="008B3E19" w14:paraId="7FDCBDB9" w14:textId="77777777" w:rsidTr="000B7E9A">
        <w:trPr>
          <w:cantSplit/>
          <w:trHeight w:hRule="exact" w:val="180"/>
        </w:trPr>
        <w:tc>
          <w:tcPr>
            <w:tcW w:w="8614" w:type="dxa"/>
            <w:tcMar>
              <w:top w:w="0" w:type="dxa"/>
              <w:left w:w="446" w:type="dxa"/>
              <w:bottom w:w="0" w:type="dxa"/>
            </w:tcMar>
          </w:tcPr>
          <w:p w14:paraId="00816A6E"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31456" behindDoc="0" locked="1" layoutInCell="1" allowOverlap="1" wp14:anchorId="4B92F19A" wp14:editId="4B4C7241">
                      <wp:simplePos x="0" y="0"/>
                      <wp:positionH relativeFrom="rightMargin">
                        <wp:posOffset>-772795</wp:posOffset>
                      </wp:positionH>
                      <wp:positionV relativeFrom="page">
                        <wp:posOffset>-237490</wp:posOffset>
                      </wp:positionV>
                      <wp:extent cx="436880" cy="213360"/>
                      <wp:effectExtent l="0" t="0" r="1270" b="0"/>
                      <wp:wrapNone/>
                      <wp:docPr id="13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115682" id="Freeform 5" o:spid="_x0000_s1026" style="position:absolute;margin-left:-60.85pt;margin-top:-18.7pt;width:34.4pt;height:16.8pt;z-index:251731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52675226" w14:textId="77777777" w:rsidR="00090683" w:rsidRPr="00E94210" w:rsidRDefault="00090683" w:rsidP="00090683">
      <w:pPr>
        <w:pStyle w:val="Heading4"/>
      </w:pPr>
      <w:r>
        <w:t>Measure of low SES</w:t>
      </w:r>
    </w:p>
    <w:p w14:paraId="60C76F6B" w14:textId="77777777" w:rsidR="00090683" w:rsidRDefault="00090683" w:rsidP="00090683">
      <w:pPr>
        <w:pStyle w:val="BodyText"/>
      </w:pPr>
      <w:r>
        <w:t xml:space="preserve">As noted above, funding for the HEPPP Participation and Partnership components is currently allocated using a formula based on the share of low SES students at each university. </w:t>
      </w:r>
    </w:p>
    <w:p w14:paraId="5E0A4020" w14:textId="77777777" w:rsidR="00090683" w:rsidRDefault="00090683" w:rsidP="00090683">
      <w:pPr>
        <w:pStyle w:val="BodyText"/>
      </w:pPr>
      <w:r>
        <w:t xml:space="preserve">To establish whether a student is low SES, all Statistical Area Level 1 (SA1) regions in Australia are ranked using the Socio-Economic Indexes for Areas (SEIFA) </w:t>
      </w:r>
      <w:r w:rsidRPr="00E643EB">
        <w:t>Index of Education and Occupation (IEO)</w:t>
      </w:r>
      <w:r>
        <w:t>.</w:t>
      </w:r>
      <w:r>
        <w:rPr>
          <w:rStyle w:val="FootnoteReference"/>
        </w:rPr>
        <w:footnoteReference w:id="55"/>
      </w:r>
      <w:r>
        <w:t xml:space="preserve"> The lowest ranked SA1 regions which collectively account for 25 per cent of the total population of all SA1s are determined to be low SES SA1 regions. In the formula, low SES students are defined as those with a home address in one of these low SES SA1 regions. </w:t>
      </w:r>
    </w:p>
    <w:p w14:paraId="4A4AE6D0" w14:textId="77777777" w:rsidR="00090683" w:rsidRPr="00720D7F" w:rsidRDefault="00090683" w:rsidP="00090683">
      <w:pPr>
        <w:pStyle w:val="BodyText"/>
      </w:pPr>
      <w:r>
        <w:t>The current approach has strengths relative to low SES measure used in the formula in 2010</w:t>
      </w:r>
      <w:r>
        <w:noBreakHyphen/>
        <w:t>2014, which was based on census Collection Districts—primarily that the SA1 region is a more geographically and demographically accurate measure than the census Collection District.</w:t>
      </w:r>
      <w:r>
        <w:rPr>
          <w:rStyle w:val="FootnoteReference"/>
        </w:rPr>
        <w:footnoteReference w:id="56"/>
      </w:r>
      <w:r>
        <w:t xml:space="preserve"> </w:t>
      </w:r>
      <w:r w:rsidRPr="00D35FD9">
        <w:t>The move to the SA1 low SES measure</w:t>
      </w:r>
      <w:r w:rsidRPr="00AD49C8">
        <w:t xml:space="preserve"> in </w:t>
      </w:r>
      <w:r>
        <w:t xml:space="preserve">the HEPPP funding formula for the 2015 and 2016 allocation, and a </w:t>
      </w:r>
      <w:r w:rsidRPr="001319D2">
        <w:t xml:space="preserve">shift in demographics between </w:t>
      </w:r>
      <w:r>
        <w:t xml:space="preserve">the </w:t>
      </w:r>
      <w:r w:rsidRPr="001319D2">
        <w:t>2006 and 2011</w:t>
      </w:r>
      <w:r>
        <w:t xml:space="preserve"> censuses, lead to </w:t>
      </w:r>
      <w:r w:rsidRPr="00720D7F">
        <w:t xml:space="preserve">regional </w:t>
      </w:r>
      <w:r>
        <w:t xml:space="preserve">universities </w:t>
      </w:r>
      <w:r w:rsidRPr="00720D7F">
        <w:t>receiving</w:t>
      </w:r>
      <w:r w:rsidRPr="00D35FD9">
        <w:t xml:space="preserve"> a greater share of HEPP</w:t>
      </w:r>
      <w:r>
        <w:t>P</w:t>
      </w:r>
      <w:r w:rsidRPr="00720D7F">
        <w:t>.</w:t>
      </w:r>
    </w:p>
    <w:p w14:paraId="36859593" w14:textId="77777777" w:rsidR="00090683" w:rsidRDefault="00090683" w:rsidP="00090683">
      <w:pPr>
        <w:pStyle w:val="BodyText"/>
        <w:rPr>
          <w:lang w:eastAsia="en-AU"/>
        </w:rPr>
      </w:pPr>
      <w:r>
        <w:t xml:space="preserve">While the shift to the SA1 measure has improved how the funding formula measures low SES, a more fundamental issue with using </w:t>
      </w:r>
      <w:r w:rsidRPr="00885560">
        <w:rPr>
          <w:lang w:eastAsia="en-AU"/>
        </w:rPr>
        <w:t xml:space="preserve">SEIFA </w:t>
      </w:r>
      <w:r>
        <w:rPr>
          <w:lang w:eastAsia="en-AU"/>
        </w:rPr>
        <w:t xml:space="preserve">IEO is that it is an area-based measure, not an individual-based measure, </w:t>
      </w:r>
      <w:r>
        <w:t>and means that a relatively disadvantaged area can have people who are relatively advantaged (and advantaged areas can contain disadvantaged people)</w:t>
      </w:r>
      <w:r>
        <w:rPr>
          <w:lang w:eastAsia="en-AU"/>
        </w:rPr>
        <w:t xml:space="preserve">. </w:t>
      </w:r>
      <w:r>
        <w:t xml:space="preserve">This issue could be addressed by using a SES measurement </w:t>
      </w:r>
      <w:r w:rsidRPr="00D768BE">
        <w:t>methodology based on the individual circumstances of each student</w:t>
      </w:r>
      <w:r>
        <w:t xml:space="preserve">, taking into account factors such as parental education, parental occupation, parental income or household </w:t>
      </w:r>
      <w:r w:rsidRPr="00A025EA">
        <w:t>income (</w:t>
      </w:r>
      <w:r w:rsidRPr="004D495F">
        <w:t xml:space="preserve">refer </w:t>
      </w:r>
      <w:r w:rsidRPr="00A025EA">
        <w:t xml:space="preserve">Appendix </w:t>
      </w:r>
      <w:r>
        <w:t>D.4</w:t>
      </w:r>
      <w:r w:rsidRPr="00A025EA">
        <w:t>).</w:t>
      </w:r>
    </w:p>
    <w:p w14:paraId="3DC80457" w14:textId="77777777" w:rsidR="00090683" w:rsidRDefault="00090683" w:rsidP="00090683">
      <w:pPr>
        <w:pStyle w:val="BodyText"/>
      </w:pPr>
      <w:r>
        <w:t>In adopting such an approach it would be necessary to undertake research into the extent which these factors can reliably be used as a measure for the SES of mature-age students. Any changes to the measure of low SES to improve accuracy would also need to take account of the a</w:t>
      </w:r>
      <w:r w:rsidRPr="00EA5361">
        <w:t>dditional costs or reporting requirements for universities and</w:t>
      </w:r>
      <w:r>
        <w:t xml:space="preserve"> TACs. </w:t>
      </w:r>
    </w:p>
    <w:p w14:paraId="3D5B5293" w14:textId="77777777" w:rsidR="00090683" w:rsidRDefault="00090683" w:rsidP="00090683">
      <w:pPr>
        <w:pStyle w:val="BodyText"/>
      </w:pPr>
      <w:r>
        <w:t xml:space="preserve">Beyond informing the allocation of funding under the HEPPP, the collection of data to allow a SES measure to be developed based on the </w:t>
      </w:r>
      <w:r w:rsidRPr="00D768BE">
        <w:t>individual circumstances of each student</w:t>
      </w:r>
      <w:r>
        <w:t xml:space="preserve"> is likely to generate considerable value through supporting and improving research into student equity. </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6A487C7C" w14:textId="77777777" w:rsidTr="000B7E9A">
        <w:trPr>
          <w:cantSplit/>
        </w:trPr>
        <w:tc>
          <w:tcPr>
            <w:tcW w:w="8614" w:type="dxa"/>
            <w:tcMar>
              <w:top w:w="160" w:type="dxa"/>
              <w:left w:w="446" w:type="dxa"/>
            </w:tcMar>
          </w:tcPr>
          <w:p w14:paraId="737BAA7D"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10</w:t>
            </w:r>
            <w:r>
              <w:tab/>
            </w:r>
          </w:p>
        </w:tc>
      </w:tr>
      <w:tr w:rsidR="00090683" w14:paraId="207EE1C9" w14:textId="77777777" w:rsidTr="000B7E9A">
        <w:trPr>
          <w:cantSplit/>
        </w:trPr>
        <w:tc>
          <w:tcPr>
            <w:tcW w:w="8614" w:type="dxa"/>
            <w:shd w:val="clear" w:color="auto" w:fill="E4E0DD"/>
            <w:tcMar>
              <w:top w:w="276" w:type="dxa"/>
              <w:bottom w:w="0" w:type="dxa"/>
              <w:right w:w="120" w:type="dxa"/>
            </w:tcMar>
          </w:tcPr>
          <w:p w14:paraId="79DCA3A5" w14:textId="77777777" w:rsidR="00090683" w:rsidRDefault="00090683" w:rsidP="000B7E9A">
            <w:pPr>
              <w:pStyle w:val="BoxText"/>
            </w:pPr>
            <w:r>
              <w:t>That a</w:t>
            </w:r>
            <w:r w:rsidRPr="00A17A6E">
              <w:t xml:space="preserve"> cost benefit analysis of implementing a low SES measure based on students’ individual circumstances</w:t>
            </w:r>
            <w:r>
              <w:t xml:space="preserve"> </w:t>
            </w:r>
            <w:r w:rsidRPr="00A17A6E">
              <w:t>be undertaken</w:t>
            </w:r>
            <w:r>
              <w:t xml:space="preserve"> to test whether the costs associated with such a measure would be outweighed by the benefits of </w:t>
            </w:r>
            <w:r w:rsidRPr="00A17A6E">
              <w:t>improv</w:t>
            </w:r>
            <w:r>
              <w:t>ing</w:t>
            </w:r>
            <w:r w:rsidRPr="00A17A6E">
              <w:t xml:space="preserve"> the accuracy of the allocation of </w:t>
            </w:r>
            <w:r>
              <w:t xml:space="preserve">HEPPP </w:t>
            </w:r>
            <w:r w:rsidRPr="00A17A6E">
              <w:t>funding.</w:t>
            </w:r>
            <w:r>
              <w:t xml:space="preserve"> The individual circumstances would likely include but not necessarily be limited to parental </w:t>
            </w:r>
            <w:r w:rsidRPr="00480CF4">
              <w:t xml:space="preserve">occupation </w:t>
            </w:r>
            <w:r>
              <w:t>and/or</w:t>
            </w:r>
            <w:r w:rsidRPr="00480CF4">
              <w:t xml:space="preserve"> education</w:t>
            </w:r>
            <w:r>
              <w:t>.</w:t>
            </w:r>
          </w:p>
        </w:tc>
      </w:tr>
      <w:tr w:rsidR="00090683" w:rsidRPr="008B3E19" w14:paraId="66C62814" w14:textId="77777777" w:rsidTr="000B7E9A">
        <w:trPr>
          <w:cantSplit/>
          <w:trHeight w:hRule="exact" w:val="376"/>
        </w:trPr>
        <w:tc>
          <w:tcPr>
            <w:tcW w:w="8614" w:type="dxa"/>
            <w:shd w:val="clear" w:color="auto" w:fill="E4E0DD"/>
            <w:tcMar>
              <w:top w:w="0" w:type="dxa"/>
              <w:bottom w:w="0" w:type="dxa"/>
              <w:right w:w="0" w:type="dxa"/>
            </w:tcMar>
          </w:tcPr>
          <w:p w14:paraId="3EA8A4C6" w14:textId="77777777" w:rsidR="00090683" w:rsidRPr="008B3E19" w:rsidRDefault="00090683" w:rsidP="000B7E9A">
            <w:pPr>
              <w:pStyle w:val="spacer"/>
            </w:pPr>
          </w:p>
        </w:tc>
      </w:tr>
      <w:tr w:rsidR="00090683" w:rsidRPr="008B3E19" w14:paraId="21E93AAB" w14:textId="77777777" w:rsidTr="000B7E9A">
        <w:trPr>
          <w:cantSplit/>
          <w:trHeight w:hRule="exact" w:val="180"/>
        </w:trPr>
        <w:tc>
          <w:tcPr>
            <w:tcW w:w="8614" w:type="dxa"/>
            <w:tcMar>
              <w:top w:w="0" w:type="dxa"/>
              <w:left w:w="446" w:type="dxa"/>
              <w:bottom w:w="0" w:type="dxa"/>
            </w:tcMar>
          </w:tcPr>
          <w:p w14:paraId="5AFC7389"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30432" behindDoc="0" locked="1" layoutInCell="1" allowOverlap="1" wp14:anchorId="6E395C9C" wp14:editId="4EC7FC0F">
                      <wp:simplePos x="0" y="0"/>
                      <wp:positionH relativeFrom="rightMargin">
                        <wp:posOffset>-772795</wp:posOffset>
                      </wp:positionH>
                      <wp:positionV relativeFrom="page">
                        <wp:posOffset>-237490</wp:posOffset>
                      </wp:positionV>
                      <wp:extent cx="436880" cy="213360"/>
                      <wp:effectExtent l="0" t="0" r="1270" b="0"/>
                      <wp:wrapNone/>
                      <wp:docPr id="57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33B7B" id="Freeform 5" o:spid="_x0000_s1026" style="position:absolute;margin-left:-60.85pt;margin-top:-18.7pt;width:34.4pt;height:16.8pt;z-index:251730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0B7C7B2E" w14:textId="77777777" w:rsidR="00090683" w:rsidRPr="00F31637" w:rsidRDefault="00090683" w:rsidP="00090683">
      <w:pPr>
        <w:pStyle w:val="Heading2"/>
      </w:pPr>
      <w:bookmarkStart w:id="644" w:name="_Toc466657167"/>
      <w:r w:rsidRPr="00F31637">
        <w:t>Evaluati</w:t>
      </w:r>
      <w:r>
        <w:t>ng</w:t>
      </w:r>
      <w:r w:rsidRPr="00F31637">
        <w:t xml:space="preserve"> and reporting</w:t>
      </w:r>
      <w:r>
        <w:t xml:space="preserve"> the HEPPP</w:t>
      </w:r>
      <w:bookmarkEnd w:id="644"/>
    </w:p>
    <w:p w14:paraId="418E4B02" w14:textId="77777777" w:rsidR="00090683" w:rsidRDefault="00090683" w:rsidP="00090683">
      <w:pPr>
        <w:pStyle w:val="BodyText"/>
      </w:pPr>
      <w:r>
        <w:t>The report has repeatedly referred to areas where determining the effectiveness and impact of HEPPP has been difficult or not possible as result of the lack of rigorous collection of data and of consistent ongoing evaluations of HEPPP activities. This is also commonly recognised by both the universities and researchers. In its submission to this evaluation, the NCSEHE notes that ‘while HEPPP overall has conceivably been very effective, the magnitude of that success cannot be clearly quantified with any certainty’ (NCSEHE, Submission 42).</w:t>
      </w:r>
      <w:r>
        <w:rPr>
          <w:rStyle w:val="FootnoteReference"/>
        </w:rPr>
        <w:footnoteReference w:id="57"/>
      </w:r>
      <w:r>
        <w:t xml:space="preserve"> </w:t>
      </w:r>
    </w:p>
    <w:p w14:paraId="0AE06784" w14:textId="77777777" w:rsidR="00090683" w:rsidRDefault="00090683" w:rsidP="00090683">
      <w:pPr>
        <w:pStyle w:val="BodyText"/>
      </w:pPr>
      <w:r>
        <w:t>There is considerable support for the development and embedding of a HEPPP evaluation framework to enable improved measurement of the impact of the HEPPP and to provide greater guidance to universities on the outcomes sought under the program (La Trobe, Submission 119;</w:t>
      </w:r>
      <w:r w:rsidRPr="00902A6E">
        <w:t xml:space="preserve"> U</w:t>
      </w:r>
      <w:r>
        <w:t xml:space="preserve">niversity of Southern Queensland, </w:t>
      </w:r>
      <w:r w:rsidRPr="00902A6E">
        <w:t>Submission</w:t>
      </w:r>
      <w:r>
        <w:t xml:space="preserve"> </w:t>
      </w:r>
      <w:r w:rsidRPr="00902A6E">
        <w:t>78</w:t>
      </w:r>
      <w:r>
        <w:t xml:space="preserve">; University of Wollongong, Submission 90, </w:t>
      </w:r>
      <w:r w:rsidRPr="000437FA">
        <w:t>Equity Practitioners</w:t>
      </w:r>
      <w:r>
        <w:t xml:space="preserve"> in Higher Education Australia, </w:t>
      </w:r>
      <w:r w:rsidRPr="00902A6E">
        <w:t>Submission</w:t>
      </w:r>
      <w:r>
        <w:t xml:space="preserve"> 75).</w:t>
      </w:r>
    </w:p>
    <w:p w14:paraId="5DEFF9FC" w14:textId="77777777" w:rsidR="00090683" w:rsidRDefault="00090683" w:rsidP="00090683">
      <w:pPr>
        <w:pStyle w:val="BodyText"/>
      </w:pPr>
      <w:r>
        <w:t>The Go8 (Submission 109) argues for ‘</w:t>
      </w:r>
      <w:r w:rsidRPr="00550871">
        <w:t>a streamlined and enhanced evaluation methodology for consultation as soon as practicable</w:t>
      </w:r>
      <w:r>
        <w:t>’, and UA recommends the development of ‘</w:t>
      </w:r>
      <w:r w:rsidRPr="00550871">
        <w:t>a detailed an</w:t>
      </w:r>
      <w:r>
        <w:t>d rigorous evaluation framework’ to be ‘</w:t>
      </w:r>
      <w:r w:rsidRPr="00550871">
        <w:t>incorporate</w:t>
      </w:r>
      <w:r>
        <w:t>d</w:t>
      </w:r>
      <w:r w:rsidRPr="00550871">
        <w:t xml:space="preserve"> into HEPPP Program design</w:t>
      </w:r>
      <w:r>
        <w:t>’ (Submission 79)</w:t>
      </w:r>
      <w:r w:rsidRPr="00550871">
        <w:t xml:space="preserve">. </w:t>
      </w:r>
      <w:r>
        <w:t>Many universities in both interviews and written submissions also expressed support for standardising their individual evaluative activities through the development of a national HEPPP evaluation framework (University of Sydney, Submission 114; WSU, Submission 82; UNSW, Submission 84; Griffith University, Submission 86).</w:t>
      </w:r>
      <w:r>
        <w:rPr>
          <w:rStyle w:val="FootnoteReference"/>
        </w:rPr>
        <w:footnoteReference w:id="58"/>
      </w:r>
    </w:p>
    <w:p w14:paraId="5A5619E1" w14:textId="77777777" w:rsidR="00090683" w:rsidRDefault="00090683" w:rsidP="00090683">
      <w:pPr>
        <w:pStyle w:val="BodyText"/>
      </w:pPr>
      <w:r>
        <w:t>In addressing the issues raised above, any such national HEPPP evaluation framework should establish, structure and guide three areas of evaluation:</w:t>
      </w:r>
    </w:p>
    <w:p w14:paraId="342BA4B5" w14:textId="77777777" w:rsidR="00090683" w:rsidRDefault="00090683" w:rsidP="00090683">
      <w:pPr>
        <w:pStyle w:val="ListBullet"/>
      </w:pPr>
      <w:r w:rsidRPr="00AD49C8">
        <w:rPr>
          <w:u w:val="single"/>
        </w:rPr>
        <w:t>overall program</w:t>
      </w:r>
      <w:r>
        <w:t xml:space="preserve"> evaluation of the HEPPP </w:t>
      </w:r>
    </w:p>
    <w:p w14:paraId="095A70AD" w14:textId="77777777" w:rsidR="00090683" w:rsidRDefault="00090683" w:rsidP="00090683">
      <w:pPr>
        <w:pStyle w:val="ListBullet"/>
      </w:pPr>
      <w:r w:rsidRPr="00AD49C8">
        <w:rPr>
          <w:u w:val="single"/>
        </w:rPr>
        <w:t>quality improvement</w:t>
      </w:r>
      <w:r>
        <w:t xml:space="preserve"> evaluations of HEPPP activities </w:t>
      </w:r>
    </w:p>
    <w:p w14:paraId="6DA143CF" w14:textId="77777777" w:rsidR="00090683" w:rsidRDefault="00090683" w:rsidP="00090683">
      <w:pPr>
        <w:pStyle w:val="ListBullet"/>
      </w:pPr>
      <w:r w:rsidRPr="00AD49C8">
        <w:rPr>
          <w:u w:val="single"/>
        </w:rPr>
        <w:t>impact</w:t>
      </w:r>
      <w:r>
        <w:t xml:space="preserve"> evaluations of HEPPP activities.</w:t>
      </w:r>
    </w:p>
    <w:p w14:paraId="5EB3476C" w14:textId="77777777" w:rsidR="00090683" w:rsidRDefault="00090683" w:rsidP="00090683">
      <w:pPr>
        <w:pStyle w:val="Heading4nonumber"/>
      </w:pPr>
      <w:r>
        <w:t>Overall program evaluation</w:t>
      </w:r>
    </w:p>
    <w:p w14:paraId="1EC7D161" w14:textId="77777777" w:rsidR="00090683" w:rsidRDefault="00090683" w:rsidP="00090683">
      <w:pPr>
        <w:pStyle w:val="BodyText"/>
      </w:pPr>
      <w:r>
        <w:t>Evaluation of the overall impact of the HEPPP will require at a minimum:</w:t>
      </w:r>
    </w:p>
    <w:p w14:paraId="72B8333A" w14:textId="77777777" w:rsidR="00090683" w:rsidRDefault="00090683" w:rsidP="00090683">
      <w:pPr>
        <w:pStyle w:val="ListBullet"/>
      </w:pPr>
      <w:r>
        <w:t xml:space="preserve">information which can be linked to the Higher Education Student Data Collection on each student who participates in each HEPPP project </w:t>
      </w:r>
    </w:p>
    <w:p w14:paraId="1F9232BB" w14:textId="77777777" w:rsidR="00090683" w:rsidRDefault="00090683" w:rsidP="00090683">
      <w:pPr>
        <w:pStyle w:val="ListBullet"/>
      </w:pPr>
      <w:r>
        <w:t>key standardised characteristics of each HEPPP project, including stage of the EIF targeted by its activities, as well as inputs, outputs and outcomes which can be linked to the HEPPP program logic model.</w:t>
      </w:r>
    </w:p>
    <w:p w14:paraId="46B0F0BF" w14:textId="77777777" w:rsidR="00090683" w:rsidRDefault="00090683" w:rsidP="00090683">
      <w:pPr>
        <w:pStyle w:val="BodyText"/>
      </w:pPr>
      <w:r>
        <w:t xml:space="preserve">Such information, if collected by universities and combined with student retention, success and completion data from the Higher Education Student Data Collection, will provide a strong starting point for measuring the impact of the HEPPP on overall student outcomes. Over time, regression analysis could be used to examine and take account of the different combinations of HEPPP-funded supports that individual students may have received. </w:t>
      </w:r>
    </w:p>
    <w:p w14:paraId="0D10ADCD" w14:textId="77777777" w:rsidR="00090683" w:rsidRDefault="00090683" w:rsidP="00090683">
      <w:pPr>
        <w:pStyle w:val="BodyText"/>
      </w:pPr>
      <w:r>
        <w:t>The framework would also provide guidance and principles for university-run evaluations aimed at generating evidence for quality improvement as well as impact evaluations. Currently, most HEPPP project evaluations focus on the former, as generating evidence of this type is less resource-intensive, and allows universities to improve how their HEPPP projects operate (Naylor 2015).</w:t>
      </w:r>
    </w:p>
    <w:p w14:paraId="53E83FDA" w14:textId="77777777" w:rsidR="00090683" w:rsidRDefault="00090683" w:rsidP="00090683">
      <w:pPr>
        <w:pStyle w:val="Heading4nonumber"/>
      </w:pPr>
      <w:r>
        <w:t>Quality improvement evaluations</w:t>
      </w:r>
    </w:p>
    <w:p w14:paraId="0FE678BF" w14:textId="77777777" w:rsidR="00090683" w:rsidRDefault="00090683" w:rsidP="00090683">
      <w:pPr>
        <w:pStyle w:val="BodyText"/>
      </w:pPr>
      <w:r>
        <w:t>The guidance for quality improvement</w:t>
      </w:r>
      <w:r w:rsidRPr="00287CC1">
        <w:t xml:space="preserve"> </w:t>
      </w:r>
      <w:r>
        <w:t xml:space="preserve">evaluations should include key indicators to measure which will vary according to the type of HEPPP activity, advice on evaluation methods, and where possible data collection tools with standardised and modifiable sections (for example, survey tools to which universities can add questions). </w:t>
      </w:r>
    </w:p>
    <w:p w14:paraId="17B2F61B" w14:textId="77777777" w:rsidR="00090683" w:rsidRDefault="00090683" w:rsidP="00090683">
      <w:pPr>
        <w:pStyle w:val="BodyText"/>
      </w:pPr>
      <w:r>
        <w:t>Quality improvement</w:t>
      </w:r>
      <w:r w:rsidRPr="00287CC1">
        <w:t xml:space="preserve"> </w:t>
      </w:r>
      <w:r>
        <w:t xml:space="preserve">evaluations need not necessarily be exhaustive, but a minimum number should be required (say a ratio of evaluations to HEPPP funding total) and made available to all other universities. Universities may continue to carry out further such evaluations for their own internal purposes, as they do now. </w:t>
      </w:r>
    </w:p>
    <w:p w14:paraId="47981E8F" w14:textId="77777777" w:rsidR="00090683" w:rsidRDefault="00090683" w:rsidP="00090683">
      <w:pPr>
        <w:pStyle w:val="Heading4nonumber"/>
      </w:pPr>
      <w:r>
        <w:t>Impact evaluations</w:t>
      </w:r>
    </w:p>
    <w:p w14:paraId="31D928FE" w14:textId="77777777" w:rsidR="00090683" w:rsidRDefault="00090683" w:rsidP="00090683">
      <w:pPr>
        <w:pStyle w:val="BodyText"/>
      </w:pPr>
      <w:r>
        <w:t xml:space="preserve">The guidance for impact evaluations will need to be more extensive, rigorous and prescriptive. A key component will be direction on how to establish an acceptable counterfactual (for example how to establish like schools with which to compare the outcomes of schools that have or have not received outreach services). It will also be useful to establish a research standard, whereby universities must </w:t>
      </w:r>
      <w:r w:rsidRPr="004175EC">
        <w:t>pre-register their study protocols</w:t>
      </w:r>
      <w:r>
        <w:t xml:space="preserve"> before beginning data collection, to guard against the b</w:t>
      </w:r>
      <w:r w:rsidRPr="004175EC">
        <w:t xml:space="preserve">ias </w:t>
      </w:r>
      <w:r>
        <w:t>towards non-</w:t>
      </w:r>
      <w:r w:rsidRPr="004175EC">
        <w:t>publication of null results</w:t>
      </w:r>
      <w:r>
        <w:t xml:space="preserve"> or towards </w:t>
      </w:r>
      <w:r w:rsidRPr="004175EC">
        <w:t>hypothesis-generating (exploratory)</w:t>
      </w:r>
      <w:r>
        <w:t xml:space="preserve"> analysis</w:t>
      </w:r>
      <w:r w:rsidDel="000B4ADB">
        <w:t xml:space="preserve"> </w:t>
      </w:r>
      <w:r>
        <w:t xml:space="preserve">at the expense of </w:t>
      </w:r>
      <w:r w:rsidRPr="004175EC">
        <w:t>hypothesis-testing</w:t>
      </w:r>
      <w:r>
        <w:t>.</w:t>
      </w:r>
    </w:p>
    <w:p w14:paraId="73067854" w14:textId="77777777" w:rsidR="00090683" w:rsidRDefault="00090683" w:rsidP="00090683">
      <w:pPr>
        <w:pStyle w:val="BodyText"/>
      </w:pPr>
      <w:r>
        <w:t xml:space="preserve">As indicated earlier in Recommendation 1, it is important that the evaluation framework support and drive improved targeting and performance measurement of the overall HEPPP investment. As such, a condition of HEPPP funding could be that universities are required to undertake a number of rigorous impact evaluations of HEPPP projects and make these evaluations available to all other universities. The number of rigorous impact evaluations would be less than the number of quality improvement evaluations, recognising the greater effort and resources required for impact evaluations. </w:t>
      </w:r>
    </w:p>
    <w:p w14:paraId="5A432979" w14:textId="77777777" w:rsidR="00090683" w:rsidRPr="005235A5" w:rsidRDefault="00090683" w:rsidP="00090683">
      <w:pPr>
        <w:keepNext/>
        <w:keepLines/>
        <w:numPr>
          <w:ilvl w:val="3"/>
          <w:numId w:val="21"/>
        </w:numPr>
        <w:spacing w:before="240" w:after="64"/>
        <w:outlineLvl w:val="3"/>
        <w:rPr>
          <w:rFonts w:eastAsiaTheme="majorEastAsia"/>
          <w:b/>
          <w:iCs/>
          <w:color w:val="000100"/>
          <w:spacing w:val="-1"/>
        </w:rPr>
      </w:pPr>
      <w:r w:rsidRPr="005235A5">
        <w:rPr>
          <w:rFonts w:eastAsiaTheme="majorEastAsia"/>
          <w:b/>
          <w:iCs/>
          <w:color w:val="000100"/>
          <w:spacing w:val="-1"/>
        </w:rPr>
        <w:t>Annual reporting</w:t>
      </w:r>
    </w:p>
    <w:p w14:paraId="5D9AE3A4" w14:textId="77777777" w:rsidR="00090683" w:rsidRPr="005235A5" w:rsidRDefault="00090683" w:rsidP="00090683">
      <w:pPr>
        <w:pStyle w:val="BodyText"/>
      </w:pPr>
      <w:r w:rsidRPr="005235A5">
        <w:t xml:space="preserve">Currently, universities report to the Department annually on their HEPPP activities funded through the formula-based allocation. </w:t>
      </w:r>
      <w:r>
        <w:t>I</w:t>
      </w:r>
      <w:r w:rsidRPr="005235A5">
        <w:t xml:space="preserve">n </w:t>
      </w:r>
      <w:r>
        <w:t>their</w:t>
      </w:r>
      <w:r w:rsidRPr="005235A5">
        <w:t xml:space="preserve"> annual reports universities provide information on each project funded by HEPPP including project type, objectives, activities, target group, progress achieved and expenditure</w:t>
      </w:r>
      <w:r>
        <w:t xml:space="preserve"> (refer Chapter 2)</w:t>
      </w:r>
      <w:r w:rsidRPr="005235A5">
        <w:t>.</w:t>
      </w:r>
      <w:r>
        <w:t xml:space="preserve"> </w:t>
      </w:r>
      <w:r w:rsidRPr="005235A5">
        <w:t>The annual reports have been the primary input used to develop the HEPPP project inventory used in this evaluation.</w:t>
      </w:r>
    </w:p>
    <w:p w14:paraId="1A1BFEDF" w14:textId="77777777" w:rsidR="00090683" w:rsidRPr="005235A5" w:rsidRDefault="00090683" w:rsidP="00090683">
      <w:pPr>
        <w:pStyle w:val="BodyText"/>
      </w:pPr>
      <w:r>
        <w:t>T</w:t>
      </w:r>
      <w:r w:rsidRPr="005235A5">
        <w:t xml:space="preserve">he </w:t>
      </w:r>
      <w:r w:rsidRPr="005235A5">
        <w:rPr>
          <w:i/>
        </w:rPr>
        <w:t>Review of Reporting Requirements for Universities</w:t>
      </w:r>
      <w:r w:rsidRPr="005235A5">
        <w:t xml:space="preserve"> found the cost of HEPPP reporting to be on average (median) 20 days of staffing effort and $10,000 of recurrent costs per university</w:t>
      </w:r>
      <w:r>
        <w:t xml:space="preserve"> and some universities reported being unclear as to how and for what purpose this information used (refer </w:t>
      </w:r>
      <w:r w:rsidRPr="005235A5">
        <w:t>Chapter 10</w:t>
      </w:r>
      <w:r>
        <w:t>)</w:t>
      </w:r>
      <w:r w:rsidRPr="005235A5">
        <w:t>.</w:t>
      </w:r>
    </w:p>
    <w:p w14:paraId="3F0D60E4" w14:textId="77777777" w:rsidR="00090683" w:rsidRPr="005235A5" w:rsidRDefault="00090683" w:rsidP="00090683">
      <w:pPr>
        <w:pStyle w:val="BodyText"/>
      </w:pPr>
      <w:r>
        <w:t xml:space="preserve">The establishment of a stronger evaluation framework would also provide an opportunity to streamline the current annual reporting to the minimal information required for funding, audit and acquittal purposes. This could be through a spreadsheet template that complements but does not replicate the information collected and reported for program evaluation. The template would seek quantitative information on each project similar to that presented in this report (as detailed in section 1.3.2). </w:t>
      </w:r>
    </w:p>
    <w:p w14:paraId="7F4AE749" w14:textId="77777777" w:rsidR="00090683" w:rsidRDefault="00090683" w:rsidP="00090683">
      <w:pPr>
        <w:pStyle w:val="BodyText"/>
      </w:pPr>
      <w:r w:rsidRPr="005235A5">
        <w:t xml:space="preserve">To ensure the full value of the revised annual reporting is made available to the sector, all annual reports should be </w:t>
      </w:r>
      <w:r>
        <w:t xml:space="preserve">collated and </w:t>
      </w:r>
      <w:r w:rsidRPr="005235A5">
        <w:t>published,</w:t>
      </w:r>
      <w:r>
        <w:t xml:space="preserve"> </w:t>
      </w:r>
      <w:r w:rsidRPr="005235A5">
        <w:t>similar to the analysis of the project inventory presented in this report.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22286A" w14:paraId="18A9D063" w14:textId="77777777" w:rsidTr="000B7E9A">
        <w:trPr>
          <w:cantSplit/>
        </w:trPr>
        <w:tc>
          <w:tcPr>
            <w:tcW w:w="8614" w:type="dxa"/>
            <w:tcMar>
              <w:top w:w="160" w:type="dxa"/>
              <w:left w:w="446" w:type="dxa"/>
            </w:tcMar>
          </w:tcPr>
          <w:p w14:paraId="7797E143" w14:textId="77777777" w:rsidR="00090683" w:rsidRPr="0022286A" w:rsidRDefault="00090683" w:rsidP="000B7E9A">
            <w:pPr>
              <w:pStyle w:val="Caption"/>
            </w:pPr>
            <w:r w:rsidRPr="00236825">
              <w:rPr>
                <w:rStyle w:val="CaptionLabel"/>
              </w:rPr>
              <w:t>Recommendation</w:t>
            </w:r>
            <w:r>
              <w:rPr>
                <w:rStyle w:val="CaptionLabel"/>
              </w:rPr>
              <w:t> </w:t>
            </w:r>
            <w:r>
              <w:rPr>
                <w:rStyle w:val="CaptionLabel"/>
                <w:noProof/>
              </w:rPr>
              <w:t>11</w:t>
            </w:r>
            <w:r>
              <w:tab/>
            </w:r>
          </w:p>
        </w:tc>
      </w:tr>
      <w:tr w:rsidR="00090683" w14:paraId="77A086FA" w14:textId="77777777" w:rsidTr="000B7E9A">
        <w:trPr>
          <w:cantSplit/>
        </w:trPr>
        <w:tc>
          <w:tcPr>
            <w:tcW w:w="8614" w:type="dxa"/>
            <w:shd w:val="clear" w:color="auto" w:fill="E4E0DD"/>
            <w:tcMar>
              <w:top w:w="276" w:type="dxa"/>
              <w:bottom w:w="0" w:type="dxa"/>
              <w:right w:w="120" w:type="dxa"/>
            </w:tcMar>
          </w:tcPr>
          <w:p w14:paraId="45AC21FB" w14:textId="77777777" w:rsidR="00090683" w:rsidRDefault="00090683" w:rsidP="000B7E9A">
            <w:pPr>
              <w:pStyle w:val="BoxText"/>
            </w:pPr>
            <w:r>
              <w:t xml:space="preserve">That a </w:t>
            </w:r>
            <w:r w:rsidRPr="00A17A6E">
              <w:t xml:space="preserve">HEPPP evaluation framework </w:t>
            </w:r>
            <w:r>
              <w:t>be established to collect information for overall program evaluation of the HEPPP and guide universities in individual project quality improvement and impact evaluations. It should be a condition of HEPPP funding for each university that the overall program evaluation data be collected and a number of each university’s programs be evaluated annually and in accord with the HEPPP evaluation framework. The annual reporting should be streamlined to only require the minimal additional information necessary for funding, audit and acquittal purposes.</w:t>
            </w:r>
          </w:p>
        </w:tc>
      </w:tr>
      <w:tr w:rsidR="00090683" w:rsidRPr="008B3E19" w14:paraId="6288B9FF" w14:textId="77777777" w:rsidTr="000B7E9A">
        <w:trPr>
          <w:cantSplit/>
          <w:trHeight w:hRule="exact" w:val="376"/>
        </w:trPr>
        <w:tc>
          <w:tcPr>
            <w:tcW w:w="8614" w:type="dxa"/>
            <w:shd w:val="clear" w:color="auto" w:fill="E4E0DD"/>
            <w:tcMar>
              <w:top w:w="0" w:type="dxa"/>
              <w:bottom w:w="0" w:type="dxa"/>
              <w:right w:w="0" w:type="dxa"/>
            </w:tcMar>
          </w:tcPr>
          <w:p w14:paraId="64671B21" w14:textId="77777777" w:rsidR="00090683" w:rsidRPr="008B3E19" w:rsidRDefault="00090683" w:rsidP="000B7E9A">
            <w:pPr>
              <w:pStyle w:val="spacer"/>
            </w:pPr>
          </w:p>
        </w:tc>
      </w:tr>
      <w:tr w:rsidR="00090683" w:rsidRPr="008B3E19" w14:paraId="67FCB3D7" w14:textId="77777777" w:rsidTr="000B7E9A">
        <w:trPr>
          <w:cantSplit/>
          <w:trHeight w:hRule="exact" w:val="180"/>
        </w:trPr>
        <w:tc>
          <w:tcPr>
            <w:tcW w:w="8614" w:type="dxa"/>
            <w:tcMar>
              <w:top w:w="0" w:type="dxa"/>
              <w:left w:w="446" w:type="dxa"/>
              <w:bottom w:w="0" w:type="dxa"/>
            </w:tcMar>
          </w:tcPr>
          <w:p w14:paraId="325452E4" w14:textId="77777777" w:rsidR="00090683" w:rsidRPr="008B3E19" w:rsidRDefault="00090683" w:rsidP="000B7E9A">
            <w:pPr>
              <w:pStyle w:val="spacertbl"/>
            </w:pPr>
            <w:r>
              <w:rPr>
                <w:noProof/>
                <w:lang w:eastAsia="en-AU"/>
              </w:rPr>
              <mc:AlternateContent>
                <mc:Choice Requires="wps">
                  <w:drawing>
                    <wp:anchor distT="0" distB="0" distL="114300" distR="114300" simplePos="0" relativeHeight="251728384" behindDoc="0" locked="1" layoutInCell="1" allowOverlap="1" wp14:anchorId="6541630E" wp14:editId="691D9A1F">
                      <wp:simplePos x="0" y="0"/>
                      <wp:positionH relativeFrom="rightMargin">
                        <wp:posOffset>-772795</wp:posOffset>
                      </wp:positionH>
                      <wp:positionV relativeFrom="page">
                        <wp:posOffset>-237490</wp:posOffset>
                      </wp:positionV>
                      <wp:extent cx="436880" cy="213360"/>
                      <wp:effectExtent l="0" t="0" r="1270" b="0"/>
                      <wp:wrapNone/>
                      <wp:docPr id="133"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674587" id="Freeform 5" o:spid="_x0000_s1026" style="position:absolute;margin-left:-60.85pt;margin-top:-18.7pt;width:34.4pt;height:16.8pt;z-index:251728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" path="m822,r,828l,828,822,xm863,828r823,l1686,,863,828xe" fillcolor="#ffaf3a"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bl>
    <w:p w14:paraId="648C3617" w14:textId="77777777" w:rsidR="00090683" w:rsidRPr="005235A5" w:rsidRDefault="00090683" w:rsidP="00090683">
      <w:pPr>
        <w:keepNext/>
        <w:keepLines/>
        <w:numPr>
          <w:ilvl w:val="3"/>
          <w:numId w:val="21"/>
        </w:numPr>
        <w:spacing w:before="240" w:after="64"/>
        <w:outlineLvl w:val="3"/>
        <w:rPr>
          <w:rFonts w:eastAsiaTheme="majorEastAsia"/>
          <w:b/>
          <w:iCs/>
          <w:color w:val="000100"/>
          <w:spacing w:val="-1"/>
        </w:rPr>
      </w:pPr>
      <w:r w:rsidRPr="005235A5">
        <w:rPr>
          <w:rFonts w:eastAsiaTheme="majorEastAsia"/>
          <w:b/>
          <w:iCs/>
          <w:color w:val="000100"/>
          <w:spacing w:val="-1"/>
        </w:rPr>
        <w:t>Information sharing</w:t>
      </w:r>
    </w:p>
    <w:p w14:paraId="7203FB47" w14:textId="77777777" w:rsidR="00090683" w:rsidRPr="005235A5" w:rsidRDefault="00090683" w:rsidP="00090683">
      <w:pPr>
        <w:pStyle w:val="BodyText"/>
      </w:pPr>
      <w:r w:rsidRPr="005235A5">
        <w:t xml:space="preserve">HEPPP university staff </w:t>
      </w:r>
      <w:r>
        <w:t xml:space="preserve">consistently reported strong interest in being </w:t>
      </w:r>
      <w:r w:rsidRPr="005235A5">
        <w:t xml:space="preserve">more </w:t>
      </w:r>
      <w:r>
        <w:t>aware of</w:t>
      </w:r>
      <w:r w:rsidRPr="005235A5">
        <w:t xml:space="preserve"> other HEPPP activities </w:t>
      </w:r>
      <w:r>
        <w:t xml:space="preserve">nationally as well as </w:t>
      </w:r>
      <w:r w:rsidRPr="005235A5">
        <w:t>the successes and challenges experienced in implementing HEPPP projects.</w:t>
      </w:r>
      <w:r>
        <w:t xml:space="preserve"> </w:t>
      </w:r>
      <w:r w:rsidRPr="005235A5">
        <w:t xml:space="preserve">The HEPPP and the university sector more broadly has a number of structures in place to facilitate </w:t>
      </w:r>
      <w:r>
        <w:t xml:space="preserve">such </w:t>
      </w:r>
      <w:r w:rsidRPr="005235A5">
        <w:t>information sharing</w:t>
      </w:r>
      <w:r>
        <w:t>, including</w:t>
      </w:r>
      <w:r w:rsidRPr="005235A5">
        <w:t>:</w:t>
      </w:r>
    </w:p>
    <w:p w14:paraId="1DCBB45A" w14:textId="77777777" w:rsidR="00090683" w:rsidRPr="005235A5" w:rsidRDefault="00090683" w:rsidP="00090683">
      <w:pPr>
        <w:pStyle w:val="ListBullet"/>
      </w:pPr>
      <w:r w:rsidRPr="005235A5">
        <w:t>The National Centre for Student Equity in Higher Education</w:t>
      </w:r>
      <w:r>
        <w:t xml:space="preserve"> (NCSEHE)</w:t>
      </w:r>
    </w:p>
    <w:p w14:paraId="2AD2A75B" w14:textId="77777777" w:rsidR="00090683" w:rsidRPr="005235A5" w:rsidRDefault="00090683" w:rsidP="00090683">
      <w:pPr>
        <w:pStyle w:val="ListBullet"/>
      </w:pPr>
      <w:r w:rsidRPr="005235A5">
        <w:t>Peak bodies, including U</w:t>
      </w:r>
      <w:r>
        <w:t xml:space="preserve">niversities </w:t>
      </w:r>
      <w:r w:rsidRPr="005235A5">
        <w:t>A</w:t>
      </w:r>
      <w:r>
        <w:t xml:space="preserve">ustralia </w:t>
      </w:r>
    </w:p>
    <w:p w14:paraId="6E6B0C8C" w14:textId="77777777" w:rsidR="00090683" w:rsidRPr="005235A5" w:rsidRDefault="00090683" w:rsidP="00090683">
      <w:pPr>
        <w:pStyle w:val="ListBullet"/>
      </w:pPr>
      <w:r w:rsidRPr="005235A5">
        <w:t>Equity Practitioners in Higher Education Australasia</w:t>
      </w:r>
    </w:p>
    <w:p w14:paraId="1BCD436F" w14:textId="77777777" w:rsidR="00090683" w:rsidRDefault="00090683" w:rsidP="00090683">
      <w:pPr>
        <w:pStyle w:val="BodyText"/>
      </w:pPr>
      <w:r>
        <w:t>The NCSEHE, as the HEPPP-funded research centre for higher education student equity, is well placed to undertake an even greater role in synthesising and presenting and promoting equity program evidence. For example, the NCSEHE website could be used to provide universities with access to evidence and good practice on HEPPP programs.</w:t>
      </w:r>
    </w:p>
    <w:p w14:paraId="2CA0B472" w14:textId="77777777" w:rsidR="00090683" w:rsidRDefault="00090683" w:rsidP="00090683">
      <w:pPr>
        <w:pStyle w:val="BodyText"/>
      </w:pPr>
      <w:r>
        <w:t xml:space="preserve">The consultations and written submissions also indicate a desire from universities for greater sharing of reporting produced through HEPPP—that is, the annual report and evaluations of HEPPP projects carried out by universities (La Trobe, Submission 119; </w:t>
      </w:r>
      <w:r w:rsidRPr="00902A6E">
        <w:t>Queensland Consortium</w:t>
      </w:r>
      <w:r>
        <w:t>,</w:t>
      </w:r>
      <w:r w:rsidRPr="00902A6E">
        <w:t xml:space="preserve"> Submission</w:t>
      </w:r>
      <w:r>
        <w:t xml:space="preserve"> 8</w:t>
      </w:r>
      <w:r w:rsidRPr="00902A6E">
        <w:t>0</w:t>
      </w:r>
      <w:r>
        <w:t xml:space="preserve">; </w:t>
      </w:r>
      <w:r w:rsidRPr="000437FA">
        <w:t>Equity Practitioners</w:t>
      </w:r>
      <w:r>
        <w:t xml:space="preserve"> in Higher Education Australia, </w:t>
      </w:r>
      <w:r w:rsidRPr="00902A6E">
        <w:t>Submission</w:t>
      </w:r>
      <w:r>
        <w:t xml:space="preserve"> 75).</w:t>
      </w:r>
    </w:p>
    <w:p w14:paraId="2C3738F4" w14:textId="77777777" w:rsidR="00090683" w:rsidRDefault="00090683" w:rsidP="00090683">
      <w:pPr>
        <w:pStyle w:val="BodyText"/>
      </w:pPr>
      <w:r>
        <w:t>The revised evaluation reports and annual reports could be published on the Department’s website to promote information sharing and learning across universities, thereby better informing universities of available evidence for different equity activities and assisting to improve the implementation of the HEPPP. This could be in the form of a ‘</w:t>
      </w:r>
      <w:r w:rsidRPr="005235A5">
        <w:t>state of higher education equity</w:t>
      </w:r>
      <w:r>
        <w:t>’</w:t>
      </w:r>
      <w:r w:rsidRPr="005235A5">
        <w:t xml:space="preserve"> report, providing universities and the public with key information on equity practice and outcomes. </w:t>
      </w:r>
    </w:p>
    <w:p w14:paraId="5D90C3AD" w14:textId="77777777" w:rsidR="00090683" w:rsidRPr="005235A5" w:rsidRDefault="00090683" w:rsidP="00090683">
      <w:pPr>
        <w:pStyle w:val="BodyText"/>
      </w:pPr>
      <w:r>
        <w:t xml:space="preserve">There is a precedent for this type of report in the Department’s normally annual ‘Higher Education Report’ (the last such report was published for the years 2011-2013). The report could also build on or integrate the Department’s statistical publications on equity groups and equity performance, and </w:t>
      </w:r>
      <w:r w:rsidRPr="005235A5">
        <w:t>NCSEHE</w:t>
      </w:r>
      <w:r>
        <w:t>’s annual report on s</w:t>
      </w:r>
      <w:r w:rsidRPr="00AE4DFC">
        <w:t xml:space="preserve">tudent </w:t>
      </w:r>
      <w:r>
        <w:t>e</w:t>
      </w:r>
      <w:r w:rsidRPr="00AE4DFC">
        <w:t xml:space="preserve">quity </w:t>
      </w:r>
      <w:r>
        <w:t>p</w:t>
      </w:r>
      <w:r w:rsidRPr="00AE4DFC">
        <w:t>erformance</w:t>
      </w:r>
      <w:r>
        <w:t>.</w:t>
      </w:r>
    </w:p>
    <w:tbl>
      <w:tblPr>
        <w:tblStyle w:val="TableGrid40"/>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5235A5" w14:paraId="113DACB4" w14:textId="77777777" w:rsidTr="000B7E9A">
        <w:trPr>
          <w:cantSplit/>
        </w:trPr>
        <w:tc>
          <w:tcPr>
            <w:tcW w:w="8614" w:type="dxa"/>
            <w:tcMar>
              <w:top w:w="160" w:type="dxa"/>
              <w:left w:w="446" w:type="dxa"/>
            </w:tcMar>
          </w:tcPr>
          <w:p w14:paraId="15AFB84A" w14:textId="77777777" w:rsidR="00090683" w:rsidRPr="005235A5" w:rsidRDefault="00090683" w:rsidP="000B7E9A">
            <w:pPr>
              <w:keepNext/>
              <w:keepLines/>
              <w:spacing w:after="0" w:line="240" w:lineRule="auto"/>
              <w:ind w:left="1308" w:hanging="1308"/>
              <w:rPr>
                <w:iCs/>
                <w:caps/>
                <w:color w:val="000100"/>
                <w:szCs w:val="18"/>
              </w:rPr>
            </w:pPr>
            <w:r w:rsidRPr="005235A5">
              <w:rPr>
                <w:b/>
                <w:iCs/>
                <w:caps/>
                <w:color w:val="000100"/>
                <w:szCs w:val="18"/>
              </w:rPr>
              <w:t>Recommendation </w:t>
            </w:r>
            <w:r>
              <w:rPr>
                <w:b/>
                <w:iCs/>
                <w:caps/>
                <w:noProof/>
                <w:color w:val="000100"/>
                <w:szCs w:val="18"/>
              </w:rPr>
              <w:t>12</w:t>
            </w:r>
            <w:r w:rsidRPr="005235A5">
              <w:rPr>
                <w:iCs/>
                <w:caps/>
                <w:color w:val="000100"/>
                <w:szCs w:val="18"/>
              </w:rPr>
              <w:tab/>
            </w:r>
          </w:p>
        </w:tc>
      </w:tr>
      <w:tr w:rsidR="00090683" w:rsidRPr="005235A5" w14:paraId="40B00805" w14:textId="77777777" w:rsidTr="000B7E9A">
        <w:trPr>
          <w:cantSplit/>
        </w:trPr>
        <w:tc>
          <w:tcPr>
            <w:tcW w:w="8614" w:type="dxa"/>
            <w:shd w:val="clear" w:color="auto" w:fill="E4E0DD"/>
            <w:tcMar>
              <w:top w:w="276" w:type="dxa"/>
              <w:bottom w:w="0" w:type="dxa"/>
              <w:right w:w="120" w:type="dxa"/>
            </w:tcMar>
          </w:tcPr>
          <w:p w14:paraId="06172340" w14:textId="77777777" w:rsidR="00090683" w:rsidRPr="005235A5" w:rsidRDefault="00090683" w:rsidP="000B7E9A">
            <w:pPr>
              <w:keepNext/>
              <w:spacing w:before="60" w:after="60"/>
              <w:ind w:left="448"/>
            </w:pPr>
            <w:r w:rsidRPr="005235A5">
              <w:t xml:space="preserve">That a state of higher education equity report be produced annually including reporting </w:t>
            </w:r>
            <w:r>
              <w:t xml:space="preserve">of </w:t>
            </w:r>
            <w:r w:rsidRPr="005235A5">
              <w:t>sector</w:t>
            </w:r>
            <w:r>
              <w:t>-level outcomes and HEPPP activity</w:t>
            </w:r>
            <w:r w:rsidRPr="005235A5">
              <w:t>.</w:t>
            </w:r>
          </w:p>
        </w:tc>
      </w:tr>
      <w:tr w:rsidR="00090683" w:rsidRPr="005235A5" w14:paraId="2C2CF8BB" w14:textId="77777777" w:rsidTr="000B7E9A">
        <w:trPr>
          <w:cantSplit/>
          <w:trHeight w:hRule="exact" w:val="376"/>
        </w:trPr>
        <w:tc>
          <w:tcPr>
            <w:tcW w:w="8614" w:type="dxa"/>
            <w:shd w:val="clear" w:color="auto" w:fill="E4E0DD"/>
            <w:tcMar>
              <w:top w:w="0" w:type="dxa"/>
              <w:bottom w:w="0" w:type="dxa"/>
              <w:right w:w="0" w:type="dxa"/>
            </w:tcMar>
          </w:tcPr>
          <w:p w14:paraId="3C308361" w14:textId="77777777" w:rsidR="00090683" w:rsidRPr="005235A5" w:rsidRDefault="00090683" w:rsidP="000B7E9A">
            <w:pPr>
              <w:keepNext/>
              <w:keepLines/>
              <w:spacing w:after="0" w:line="240" w:lineRule="auto"/>
              <w:rPr>
                <w:rFonts w:cs="Arial"/>
                <w:sz w:val="4"/>
              </w:rPr>
            </w:pPr>
          </w:p>
        </w:tc>
      </w:tr>
      <w:tr w:rsidR="00090683" w:rsidRPr="005235A5" w14:paraId="71BE388B" w14:textId="77777777" w:rsidTr="000B7E9A">
        <w:trPr>
          <w:cantSplit/>
          <w:trHeight w:hRule="exact" w:val="180"/>
        </w:trPr>
        <w:tc>
          <w:tcPr>
            <w:tcW w:w="8614" w:type="dxa"/>
            <w:tcMar>
              <w:top w:w="0" w:type="dxa"/>
              <w:left w:w="446" w:type="dxa"/>
              <w:bottom w:w="0" w:type="dxa"/>
            </w:tcMar>
          </w:tcPr>
          <w:p w14:paraId="544EE544" w14:textId="77777777" w:rsidR="00090683" w:rsidRPr="005235A5" w:rsidRDefault="00090683" w:rsidP="000B7E9A">
            <w:pPr>
              <w:widowControl w:val="0"/>
              <w:adjustRightInd w:val="0"/>
              <w:snapToGrid w:val="0"/>
              <w:spacing w:after="0" w:line="240" w:lineRule="auto"/>
              <w:rPr>
                <w:rFonts w:ascii="Arial" w:hAnsi="Arial" w:cs="Arial"/>
                <w:sz w:val="4"/>
                <w:szCs w:val="20"/>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090683" w:rsidRPr="001A2F85" w14:paraId="411334F2" w14:textId="77777777" w:rsidTr="000B7E9A">
        <w:trPr>
          <w:trHeight w:hRule="exact" w:val="3665"/>
        </w:trPr>
        <w:tc>
          <w:tcPr>
            <w:tcW w:w="4738" w:type="dxa"/>
            <w:shd w:val="clear" w:color="auto" w:fill="9757A6" w:themeFill="accent1"/>
            <w:tcMar>
              <w:left w:w="0" w:type="dxa"/>
              <w:bottom w:w="0" w:type="dxa"/>
            </w:tcMar>
            <w:vAlign w:val="bottom"/>
          </w:tcPr>
          <w:p w14:paraId="298C1A58" w14:textId="77777777" w:rsidR="00090683" w:rsidRPr="001A2F85" w:rsidRDefault="00090683" w:rsidP="000B7E9A">
            <w:pPr>
              <w:pStyle w:val="Headingbibliography"/>
            </w:pPr>
            <w:bookmarkStart w:id="645" w:name="_Toc415744800"/>
            <w:bookmarkStart w:id="646" w:name="_Toc466657168"/>
            <w:r w:rsidRPr="001A2F85">
              <w:t>References</w:t>
            </w:r>
            <w:bookmarkEnd w:id="645"/>
            <w:bookmarkEnd w:id="646"/>
          </w:p>
        </w:tc>
        <w:tc>
          <w:tcPr>
            <w:tcW w:w="3430" w:type="dxa"/>
            <w:shd w:val="clear" w:color="auto" w:fill="9757A6" w:themeFill="accent1"/>
            <w:tcMar>
              <w:right w:w="344" w:type="dxa"/>
            </w:tcMar>
          </w:tcPr>
          <w:p w14:paraId="7EDB6088" w14:textId="77777777" w:rsidR="00090683" w:rsidRPr="001A2F85" w:rsidRDefault="00090683" w:rsidP="000B7E9A">
            <w:pPr>
              <w:pStyle w:val="Normal-nospace"/>
            </w:pPr>
          </w:p>
        </w:tc>
      </w:tr>
      <w:tr w:rsidR="00090683" w:rsidRPr="001A2F85" w14:paraId="398F4529" w14:textId="77777777" w:rsidTr="000B7E9A">
        <w:trPr>
          <w:trHeight w:hRule="exact" w:val="232"/>
        </w:trPr>
        <w:tc>
          <w:tcPr>
            <w:tcW w:w="4738" w:type="dxa"/>
            <w:shd w:val="clear" w:color="auto" w:fill="9757A6" w:themeFill="accent1"/>
          </w:tcPr>
          <w:p w14:paraId="18E3055A" w14:textId="77777777" w:rsidR="00090683" w:rsidRPr="001A2F85" w:rsidRDefault="00090683" w:rsidP="000B7E9A">
            <w:pPr>
              <w:pStyle w:val="Chpt-Context"/>
            </w:pPr>
          </w:p>
        </w:tc>
        <w:tc>
          <w:tcPr>
            <w:tcW w:w="3430" w:type="dxa"/>
            <w:shd w:val="clear" w:color="auto" w:fill="9757A6" w:themeFill="accent1"/>
          </w:tcPr>
          <w:p w14:paraId="58511494" w14:textId="77777777" w:rsidR="00090683" w:rsidRPr="001A2F85" w:rsidRDefault="00090683" w:rsidP="000B7E9A">
            <w:pPr>
              <w:pStyle w:val="spacer"/>
            </w:pPr>
          </w:p>
        </w:tc>
      </w:tr>
      <w:tr w:rsidR="00090683" w:rsidRPr="001A2F85" w14:paraId="6228DC30" w14:textId="77777777" w:rsidTr="000B7E9A">
        <w:trPr>
          <w:trHeight w:hRule="exact" w:val="668"/>
        </w:trPr>
        <w:tc>
          <w:tcPr>
            <w:tcW w:w="4738" w:type="dxa"/>
            <w:tcBorders>
              <w:top w:val="single" w:sz="4" w:space="0" w:color="9D57A6"/>
            </w:tcBorders>
          </w:tcPr>
          <w:p w14:paraId="485D161A" w14:textId="77777777" w:rsidR="00090683" w:rsidRPr="001A2F85" w:rsidRDefault="00090683" w:rsidP="000B7E9A">
            <w:pPr>
              <w:pStyle w:val="spacer"/>
            </w:pPr>
          </w:p>
        </w:tc>
        <w:tc>
          <w:tcPr>
            <w:tcW w:w="3430" w:type="dxa"/>
            <w:tcBorders>
              <w:top w:val="single" w:sz="4" w:space="0" w:color="9D57A6"/>
            </w:tcBorders>
          </w:tcPr>
          <w:p w14:paraId="3625C5FA" w14:textId="77777777" w:rsidR="00090683" w:rsidRPr="001A2F85" w:rsidRDefault="00090683" w:rsidP="000B7E9A">
            <w:pPr>
              <w:pStyle w:val="spacer"/>
            </w:pPr>
          </w:p>
        </w:tc>
      </w:tr>
    </w:tbl>
    <w:p w14:paraId="54940B82" w14:textId="77777777" w:rsidR="00090683" w:rsidRDefault="00090683" w:rsidP="00090683">
      <w:pPr>
        <w:tabs>
          <w:tab w:val="left" w:pos="1285"/>
        </w:tabs>
      </w:pPr>
      <w:r>
        <w:t>ACNC 2016, Factsheet: charities and administration costs, viewed on Nov 2 2016, &lt;https://www.acnc.gov.au/ACNC/FTS/Fact_administration.aspx&gt;.</w:t>
      </w:r>
    </w:p>
    <w:p w14:paraId="4E8A4D8C" w14:textId="77777777" w:rsidR="00090683" w:rsidRDefault="00090683" w:rsidP="00090683">
      <w:pPr>
        <w:tabs>
          <w:tab w:val="left" w:pos="1285"/>
        </w:tabs>
      </w:pPr>
      <w:r>
        <w:t xml:space="preserve">Australia National Board of Employment, Education and Training Higher Education Council 1996, Equality, diversity and excellence: advancing the national higher education equity framework, Australian Government Publishing Service, Canberra. </w:t>
      </w:r>
    </w:p>
    <w:p w14:paraId="2ACDCD1A" w14:textId="77777777" w:rsidR="00090683" w:rsidRDefault="00090683" w:rsidP="00090683">
      <w:pPr>
        <w:tabs>
          <w:tab w:val="left" w:pos="1285"/>
        </w:tabs>
      </w:pPr>
      <w:r>
        <w:t>Australian Bureau of Statistics 2011, Socio-economic Indexes for Areas (SEIFA), viewed on Nov 4 2016, &lt;http://www.ausstats.abs.gov.au/ausstats/subscriber.nsf/0/22CEDA8038AF7A0DCA257B3B00116E34/$File/2033.0.55.001%20seifa%202011%20technical%20paper.pdf&gt;.</w:t>
      </w:r>
    </w:p>
    <w:p w14:paraId="34421EBC" w14:textId="77777777" w:rsidR="00090683" w:rsidRDefault="00090683" w:rsidP="00090683">
      <w:pPr>
        <w:tabs>
          <w:tab w:val="left" w:pos="1285"/>
        </w:tabs>
      </w:pPr>
      <w:r>
        <w:t>Australian Bureau of Statistics 2014, Changes to geographic areas between Censuses, viewed on Nov 4 2016, &lt;http://www.abs.gov.au/websitedbs/D3310114.nsf/4a256353001af3ed4b2562bb00121564/6b6e07234c98365aca25792d0010d730/$FILE/Changes%20to%20Geographic%20Areas%20between%20Censuses.pdf&gt;.</w:t>
      </w:r>
    </w:p>
    <w:p w14:paraId="67A1E64A" w14:textId="77777777" w:rsidR="00090683" w:rsidRDefault="00090683" w:rsidP="00090683">
      <w:pPr>
        <w:tabs>
          <w:tab w:val="left" w:pos="1285"/>
        </w:tabs>
      </w:pPr>
      <w:r>
        <w:t>Australian Government n.d. Study Assist, Australian Government, Canberra, viewed 2 Nov 2016, &lt; http://studyassist.gov.au/sites/StudyAssist/&gt;.</w:t>
      </w:r>
    </w:p>
    <w:p w14:paraId="490C9679" w14:textId="77777777" w:rsidR="00090683" w:rsidRDefault="00090683" w:rsidP="00090683">
      <w:pPr>
        <w:tabs>
          <w:tab w:val="left" w:pos="1285"/>
        </w:tabs>
      </w:pPr>
      <w:r>
        <w:t>Bean, J &amp; Eaton, SB 2001, ‘The psychology underlying successful retention practices’, Journal of College Student Retention, vol. 3, pp. 73-89.</w:t>
      </w:r>
    </w:p>
    <w:p w14:paraId="02F587E3" w14:textId="77777777" w:rsidR="00090683" w:rsidRDefault="00090683" w:rsidP="00090683">
      <w:pPr>
        <w:tabs>
          <w:tab w:val="left" w:pos="1285"/>
        </w:tabs>
      </w:pPr>
      <w:r>
        <w:t>Bennett, A, Naylor, R et al. 2015, The Critical Interventions Framework Part 2: Equity initiatives in Australian higher education, Centre of Excellence for Equity in Higher Education, University of Newcastle, Newcastle, viewed 29 Sep 2016, &lt;https://www.newcastle.edu.au/newsroom/research-and-innovation/institutes-and-centres/ceehe/study-offers-insight-into-effective-equity-programs&gt;.</w:t>
      </w:r>
    </w:p>
    <w:p w14:paraId="206AC078" w14:textId="77777777" w:rsidR="00090683" w:rsidRDefault="00090683" w:rsidP="00090683">
      <w:pPr>
        <w:tabs>
          <w:tab w:val="left" w:pos="1285"/>
        </w:tabs>
      </w:pPr>
      <w:r>
        <w:t>Boruch, R, Rui, N 2008, ‘From randomized controlled trials to evidence grading schemes: current state of evidence based practice in social sciences’, Journal of Evidence Based Medicine, vol. 1, no.1, pp. 41–49.</w:t>
      </w:r>
    </w:p>
    <w:p w14:paraId="3A668D7E" w14:textId="77777777" w:rsidR="00090683" w:rsidRDefault="00090683" w:rsidP="00090683">
      <w:pPr>
        <w:tabs>
          <w:tab w:val="left" w:pos="1285"/>
        </w:tabs>
      </w:pPr>
      <w:r>
        <w:t>Boud, D, Cohen, R &amp; Sampson J 1999, ‘Peer Learning and Assessment’, Assessment &amp; Evaluation in Higher Education, vol. 24, no. 4, pp. 413-426.</w:t>
      </w:r>
    </w:p>
    <w:p w14:paraId="0B4EF9B6" w14:textId="77777777" w:rsidR="00090683" w:rsidRDefault="00090683" w:rsidP="00090683">
      <w:pPr>
        <w:tabs>
          <w:tab w:val="left" w:pos="1285"/>
        </w:tabs>
      </w:pPr>
      <w:r>
        <w:t>Bracks, S 2015, Greater returns on investment in education: government schools funding review, Victorian Government, Melbourne.</w:t>
      </w:r>
    </w:p>
    <w:p w14:paraId="6FCE73E9" w14:textId="77777777" w:rsidR="00090683" w:rsidRDefault="00090683" w:rsidP="00090683">
      <w:pPr>
        <w:tabs>
          <w:tab w:val="left" w:pos="1285"/>
        </w:tabs>
      </w:pPr>
      <w:r>
        <w:t>Bradley, D, Noonan, P, Nugent, H &amp; Scales, B 2008, Review of Australian higher education: final report [Bradley review], Department of Education, Employment and Workplace Relations, Canberra.</w:t>
      </w:r>
    </w:p>
    <w:p w14:paraId="5E41A5B5" w14:textId="77777777" w:rsidR="00090683" w:rsidRDefault="00090683" w:rsidP="00090683">
      <w:pPr>
        <w:tabs>
          <w:tab w:val="left" w:pos="1285"/>
        </w:tabs>
      </w:pPr>
      <w:r>
        <w:t>Broadbent, A 1994, Evaluation of the Higher Education Equity Program (HEEP), Department of Employment, Education and Training, Canberra.</w:t>
      </w:r>
    </w:p>
    <w:p w14:paraId="177EF888" w14:textId="77777777" w:rsidR="00090683" w:rsidRDefault="00090683" w:rsidP="00090683">
      <w:pPr>
        <w:tabs>
          <w:tab w:val="left" w:pos="1285"/>
        </w:tabs>
      </w:pPr>
      <w:r>
        <w:t>Brown, A 2016, UQQYAP Impact Research Project Report 2010-2015: understanding impact and outcomes from the UQ Young Achievers Program, The University of Queensland, Brisbane.</w:t>
      </w:r>
    </w:p>
    <w:p w14:paraId="7D1142D5" w14:textId="77777777" w:rsidR="00090683" w:rsidRDefault="00090683" w:rsidP="00090683">
      <w:pPr>
        <w:tabs>
          <w:tab w:val="left" w:pos="1285"/>
        </w:tabs>
      </w:pPr>
      <w:r>
        <w:t>Coelli, MB 2010, The forgotten second quartile: parental income and youth post-secondary education enrolment in Australia, viewed on Nov 4 2016, &lt;http://fbe.unimelb.edu.au/__data/assets/pdf_file/0011/801011/1107.PDF&gt;.</w:t>
      </w:r>
    </w:p>
    <w:p w14:paraId="1A3DE5E2" w14:textId="77777777" w:rsidR="00090683" w:rsidRDefault="00090683" w:rsidP="00090683">
      <w:pPr>
        <w:tabs>
          <w:tab w:val="left" w:pos="1285"/>
        </w:tabs>
      </w:pPr>
      <w:r>
        <w:t>Culpitt C, Costello D &amp; Mitchell G 2015, Widening Tertiary Participation Queensland: Student Ambassador investigations, Curtin University, Perth.</w:t>
      </w:r>
    </w:p>
    <w:p w14:paraId="53A8D65C" w14:textId="77777777" w:rsidR="00090683" w:rsidRDefault="00090683" w:rsidP="00090683">
      <w:pPr>
        <w:tabs>
          <w:tab w:val="left" w:pos="1285"/>
        </w:tabs>
      </w:pPr>
      <w:r>
        <w:t>Dawkins, J, Australia Department of Employment, Education and Training 1988, Higher education: a policy statement, Australian Government Publishing Service, Canberra.</w:t>
      </w:r>
    </w:p>
    <w:p w14:paraId="0F34574C" w14:textId="77777777" w:rsidR="00090683" w:rsidRDefault="00090683" w:rsidP="00090683">
      <w:pPr>
        <w:tabs>
          <w:tab w:val="left" w:pos="1285"/>
        </w:tabs>
      </w:pPr>
      <w:r>
        <w:t>Dennis, JM, Phinney, JS, et al. 2005, ‘The role of motivation, parental support, and peer support in the academic success of ethnic minority first-generation college students’, Journal of College Student Development, vol. 46, pp. 223-236.</w:t>
      </w:r>
    </w:p>
    <w:p w14:paraId="6605CA36" w14:textId="77777777" w:rsidR="00090683" w:rsidRDefault="00090683" w:rsidP="00090683">
      <w:pPr>
        <w:tabs>
          <w:tab w:val="left" w:pos="1285"/>
        </w:tabs>
      </w:pPr>
      <w:r>
        <w:t>Department of Education and Training 2014, Higher Education Participation Programme (HEPP): options for recognising student success in the funding formula, Department of Education, Canberra.</w:t>
      </w:r>
    </w:p>
    <w:p w14:paraId="072B5E06" w14:textId="77777777" w:rsidR="00090683" w:rsidRDefault="00090683" w:rsidP="00090683">
      <w:pPr>
        <w:tabs>
          <w:tab w:val="left" w:pos="1285"/>
        </w:tabs>
      </w:pPr>
      <w:r>
        <w:t>Department of Education and Training 2014, National Priorities Pool Investment Plan – 2014, Department of Education and Training, Canberra.</w:t>
      </w:r>
    </w:p>
    <w:p w14:paraId="25C2CEF1" w14:textId="77777777" w:rsidR="00090683" w:rsidRDefault="00090683" w:rsidP="00090683">
      <w:pPr>
        <w:tabs>
          <w:tab w:val="left" w:pos="1285"/>
        </w:tabs>
      </w:pPr>
      <w:r>
        <w:t>Department of Education and Training 2015, Completion rates of domestic Bachelor students – a cohort analysis, 2005-2013, Department of Education and Training, Canberra.</w:t>
      </w:r>
    </w:p>
    <w:p w14:paraId="3D89C752" w14:textId="77777777" w:rsidR="00090683" w:rsidRDefault="00090683" w:rsidP="00090683">
      <w:pPr>
        <w:tabs>
          <w:tab w:val="left" w:pos="1285"/>
        </w:tabs>
      </w:pPr>
      <w:r>
        <w:t>Department of Education and Training 2016, Driving innovation, fairness and excellence in Australian higher education, Department of Education</w:t>
      </w:r>
      <w:r w:rsidRPr="00D91518">
        <w:t xml:space="preserve"> </w:t>
      </w:r>
      <w:r>
        <w:t>and Training, Canberra, viewed 29 Sep 2016, &lt;https://docs.education.gov.au/documents/driving-innovation-fairness-and-excellence-australian-education&gt;.</w:t>
      </w:r>
    </w:p>
    <w:p w14:paraId="69B07179" w14:textId="77777777" w:rsidR="00090683" w:rsidRDefault="00090683" w:rsidP="00090683">
      <w:pPr>
        <w:tabs>
          <w:tab w:val="left" w:pos="1285"/>
        </w:tabs>
      </w:pPr>
      <w:r>
        <w:t>Department of Education and Training 2012, Other Grants Guidelines, viewed 29 Sep 2016, &lt;https://www.education.gov.au/other-grants-guidelines&gt;.</w:t>
      </w:r>
    </w:p>
    <w:p w14:paraId="30FE233F" w14:textId="77777777" w:rsidR="00090683" w:rsidRDefault="00090683" w:rsidP="00090683">
      <w:pPr>
        <w:tabs>
          <w:tab w:val="left" w:pos="1285"/>
        </w:tabs>
      </w:pPr>
      <w:r>
        <w:t xml:space="preserve">Department of Education and Training 2014, Higher education report 2011-2013, Department of Education, Canberra. </w:t>
      </w:r>
    </w:p>
    <w:p w14:paraId="209AFE22" w14:textId="77777777" w:rsidR="00090683" w:rsidRDefault="00090683" w:rsidP="00090683">
      <w:pPr>
        <w:tabs>
          <w:tab w:val="left" w:pos="1285"/>
        </w:tabs>
      </w:pPr>
      <w:r>
        <w:t>Department of Education and Training 2015, Higher education in Australia: a review of reviews from Dawkins to today, Department of Education and Training, Canberra.</w:t>
      </w:r>
    </w:p>
    <w:p w14:paraId="75141472" w14:textId="77777777" w:rsidR="00090683" w:rsidRDefault="00090683" w:rsidP="00090683">
      <w:pPr>
        <w:tabs>
          <w:tab w:val="left" w:pos="1285"/>
        </w:tabs>
      </w:pPr>
      <w:r>
        <w:t>Department of Education and Training 2015, National Priorities Pool Investment Plan – 2015, Department of Education and Training, Canberra.</w:t>
      </w:r>
    </w:p>
    <w:p w14:paraId="1E615F2A" w14:textId="77777777" w:rsidR="00090683" w:rsidRDefault="00090683" w:rsidP="00090683">
      <w:pPr>
        <w:tabs>
          <w:tab w:val="left" w:pos="1285"/>
        </w:tabs>
      </w:pPr>
      <w:r>
        <w:t>Department of Education and Training 2016, National Priorities Pool Investment Plan – 2016, Department of Education and Training, Canberra.</w:t>
      </w:r>
    </w:p>
    <w:p w14:paraId="188C8A94" w14:textId="77777777" w:rsidR="00090683" w:rsidRDefault="00090683" w:rsidP="00090683">
      <w:pPr>
        <w:tabs>
          <w:tab w:val="left" w:pos="1285"/>
        </w:tabs>
      </w:pPr>
      <w:r>
        <w:t>Department of Education and Training n.d., Department of Education and Training, Australian Government, Canberra, viewed 2 Nov 2016, &lt;https://www.education.gov.au/&gt;.</w:t>
      </w:r>
    </w:p>
    <w:p w14:paraId="62AD0BB5" w14:textId="77777777" w:rsidR="00090683" w:rsidRDefault="00090683" w:rsidP="00090683">
      <w:pPr>
        <w:tabs>
          <w:tab w:val="left" w:pos="1285"/>
        </w:tabs>
      </w:pPr>
      <w:r>
        <w:t>Department of Education and Training n.d., Other Grants Guidelines, viewed 29 Sep 2016, &lt;https://www.education.gov.au/other-grants-guidelines&gt;.</w:t>
      </w:r>
    </w:p>
    <w:p w14:paraId="23A70495" w14:textId="77777777" w:rsidR="00090683" w:rsidRDefault="00090683" w:rsidP="00090683">
      <w:pPr>
        <w:tabs>
          <w:tab w:val="left" w:pos="1285"/>
        </w:tabs>
      </w:pPr>
      <w:r>
        <w:t xml:space="preserve">Department of Education, Employment and Workplace Relations 2007, Higher Education Report 2007, Department of Education, Employment and Workplace Relations, Canberra. </w:t>
      </w:r>
    </w:p>
    <w:p w14:paraId="59679C32" w14:textId="77777777" w:rsidR="00090683" w:rsidRDefault="00090683" w:rsidP="00090683">
      <w:pPr>
        <w:tabs>
          <w:tab w:val="left" w:pos="1285"/>
        </w:tabs>
      </w:pPr>
      <w:r>
        <w:t xml:space="preserve">Department of Education, Employment and Workplace Relations 2008, Higher Education Report 2008, Department of Education, Employment and Workplace Relations, Canberra. </w:t>
      </w:r>
    </w:p>
    <w:p w14:paraId="76E022B8" w14:textId="77777777" w:rsidR="00090683" w:rsidRDefault="00090683" w:rsidP="00090683">
      <w:pPr>
        <w:tabs>
          <w:tab w:val="left" w:pos="1285"/>
        </w:tabs>
      </w:pPr>
      <w:r>
        <w:t>Department of Education, Employment and Workplace Relations 2011, Higher education base funding review: final report [Lomax-Smith Review], Department of Education, Employment and Workplace Relations, Canberra.</w:t>
      </w:r>
    </w:p>
    <w:p w14:paraId="0FA0F704" w14:textId="77777777" w:rsidR="00090683" w:rsidRDefault="00090683" w:rsidP="00090683">
      <w:pPr>
        <w:tabs>
          <w:tab w:val="left" w:pos="1285"/>
        </w:tabs>
      </w:pPr>
      <w:r>
        <w:t xml:space="preserve">Department of Education, Employment and Workplace Relations 2011, Higher Education Report 2009, Department of Education, Employment and Workplace Relations, Canberra. </w:t>
      </w:r>
    </w:p>
    <w:p w14:paraId="2D3105D5" w14:textId="77777777" w:rsidR="00090683" w:rsidRDefault="00090683" w:rsidP="00090683">
      <w:pPr>
        <w:tabs>
          <w:tab w:val="left" w:pos="1285"/>
        </w:tabs>
      </w:pPr>
      <w:r>
        <w:t xml:space="preserve">Department of Education, Employment and Workplace Relations 2012, Higher Education Report 2010, Department of Education, Employment and Workplace Relations, Canberra. </w:t>
      </w:r>
    </w:p>
    <w:p w14:paraId="4CB98AC1" w14:textId="77777777" w:rsidR="00090683" w:rsidRDefault="00090683" w:rsidP="00090683">
      <w:pPr>
        <w:tabs>
          <w:tab w:val="left" w:pos="1285"/>
        </w:tabs>
      </w:pPr>
      <w:r>
        <w:t xml:space="preserve">Department of Education, Employment and Workplace Relations 2014, Higher Education Report 2011-2013, Department of Education, Employment and Workplace Relations, Canberra. </w:t>
      </w:r>
    </w:p>
    <w:p w14:paraId="050CE7CE" w14:textId="77777777" w:rsidR="00090683" w:rsidRDefault="00090683" w:rsidP="00090683">
      <w:pPr>
        <w:tabs>
          <w:tab w:val="left" w:pos="1285"/>
        </w:tabs>
      </w:pPr>
      <w:r>
        <w:t xml:space="preserve">Department of Education, Science and Training 2006, Higher Education Report 2009, Department of Education, Science and Training, Canberra. </w:t>
      </w:r>
    </w:p>
    <w:p w14:paraId="5B258D92" w14:textId="77777777" w:rsidR="00090683" w:rsidRDefault="00090683" w:rsidP="00090683">
      <w:pPr>
        <w:tabs>
          <w:tab w:val="left" w:pos="1285"/>
        </w:tabs>
      </w:pPr>
      <w:r>
        <w:t>Department of Education, Science and Training 2007, OECD thematic review of tertiary education: country background report, Department of Education, Science and Training, Canberra.</w:t>
      </w:r>
    </w:p>
    <w:p w14:paraId="4AB4FBAC" w14:textId="77777777" w:rsidR="00090683" w:rsidRDefault="00090683" w:rsidP="00090683">
      <w:pPr>
        <w:tabs>
          <w:tab w:val="left" w:pos="1285"/>
        </w:tabs>
      </w:pPr>
      <w:r>
        <w:t>Department of Employment, Education and Training 1990, A fair chance for all: national and institutional planning for equity in higher education: a discussion paper, Australian Government Publishing Service, Canberra.</w:t>
      </w:r>
    </w:p>
    <w:p w14:paraId="1C27C2F6" w14:textId="77777777" w:rsidR="00090683" w:rsidRDefault="00090683" w:rsidP="00090683">
      <w:pPr>
        <w:tabs>
          <w:tab w:val="left" w:pos="1285"/>
        </w:tabs>
      </w:pPr>
      <w:r>
        <w:t>Department of Industry, Innovation, Climate Change, Science, Research and Tertiary Education 2013, Moving to an enhanced indicator of higher education students’ socio-economic status, Department of Industry, Innovation, Climate Change, Science, Research and Tertiary Education, Canberra.</w:t>
      </w:r>
    </w:p>
    <w:p w14:paraId="3C6F2A2A" w14:textId="77777777" w:rsidR="00090683" w:rsidRDefault="00090683" w:rsidP="00090683">
      <w:pPr>
        <w:tabs>
          <w:tab w:val="left" w:pos="1285"/>
        </w:tabs>
      </w:pPr>
      <w:r>
        <w:t>Department of Industry, Innovation, Science, Research and Tertiary Education 2012, Review of higher education access and outcomes for Aboriginal and Torres Strait Islander People: final report [Behrendt review], Department of Industry, Innovation and Science, Canberra.</w:t>
      </w:r>
    </w:p>
    <w:p w14:paraId="0FB15C16" w14:textId="77777777" w:rsidR="00090683" w:rsidRDefault="00090683" w:rsidP="00090683">
      <w:pPr>
        <w:tabs>
          <w:tab w:val="left" w:pos="1285"/>
        </w:tabs>
      </w:pPr>
      <w:r>
        <w:t>Department of Infrastructure and Regional Development n.d., Budget 2016-17 [budget papers], Department of Infrastructure and Regional Development, Canberra, viewed 2 Nov 2016, &lt;https://infrastructure.gov.au/department/statements/2016_2017/&gt;.</w:t>
      </w:r>
    </w:p>
    <w:p w14:paraId="22266EC4" w14:textId="77777777" w:rsidR="00090683" w:rsidRDefault="00090683" w:rsidP="00090683">
      <w:pPr>
        <w:tabs>
          <w:tab w:val="left" w:pos="1285"/>
        </w:tabs>
      </w:pPr>
      <w:r>
        <w:t>Department of Infrastructure and Regional Development n.d., Department of Infrastructure and Regional Development, Australian Government, Canberra, viewed 2 Nov 2016, &lt;https://infrastructure.gov.au/&gt;.</w:t>
      </w:r>
    </w:p>
    <w:p w14:paraId="37742693" w14:textId="77777777" w:rsidR="00090683" w:rsidRDefault="00090683" w:rsidP="00090683">
      <w:pPr>
        <w:tabs>
          <w:tab w:val="left" w:pos="1285"/>
        </w:tabs>
      </w:pPr>
      <w:r>
        <w:t>Dockery, A, Seymour, R &amp; Koshy, P 2015, ‘Promoting low socio-economic participation in higher education: a comparison of area-based and individual measures’, Studies in Higher Education, vol. 41, no. 9, pp. 1692-1714.</w:t>
      </w:r>
    </w:p>
    <w:p w14:paraId="7DF8B947" w14:textId="77777777" w:rsidR="00090683" w:rsidRDefault="00090683" w:rsidP="00090683">
      <w:pPr>
        <w:tabs>
          <w:tab w:val="left" w:pos="1285"/>
        </w:tabs>
      </w:pPr>
      <w:r>
        <w:t>Dodd, T 2016, After years of strong growth, demand for university education levels off, Australian Financial Review, viewed on Nov 3 2016, &lt;http://www.afr.com/leadership/careers/after-years-of-strong-growth-demand-for-university-education-levels-off-20160527-gp5hye&gt;.</w:t>
      </w:r>
    </w:p>
    <w:p w14:paraId="49E8DDDE" w14:textId="77777777" w:rsidR="00090683" w:rsidRDefault="00090683" w:rsidP="00090683">
      <w:pPr>
        <w:tabs>
          <w:tab w:val="left" w:pos="1285"/>
        </w:tabs>
      </w:pPr>
      <w:r>
        <w:t>Edwards, D &amp; van der Brugge, E 2013, Back to the future: re-exploring SES among university students, viewed on Nov 4 2016, &lt;http://research.acer.edu.au/cgi/viewcontent.cgi?article=1014&amp;context=joining_the_dots&gt;.</w:t>
      </w:r>
    </w:p>
    <w:p w14:paraId="059457E8" w14:textId="77777777" w:rsidR="00090683" w:rsidRDefault="00090683" w:rsidP="00090683">
      <w:pPr>
        <w:tabs>
          <w:tab w:val="left" w:pos="1285"/>
        </w:tabs>
      </w:pPr>
      <w:r>
        <w:t>Effective Change 2014, Evaluation of Federation University Australia’s Regional Schools Outreach Program 2008-2013 evaluation report, Effective Change, Melbourne.</w:t>
      </w:r>
    </w:p>
    <w:p w14:paraId="26FD12FC" w14:textId="77777777" w:rsidR="00090683" w:rsidRDefault="00090683" w:rsidP="00090683">
      <w:pPr>
        <w:tabs>
          <w:tab w:val="left" w:pos="1285"/>
        </w:tabs>
      </w:pPr>
      <w:r>
        <w:t>Engle, J 2016, Answering the call: institutions and states lead the way toward better measures of postsecondary performance, viewed on Nov 4 2016, &lt;https://www.ncsehe.edu.au/publications/answering-the-call-institutions-and-states-lead-the-way-toward-better-measures-of-postsecondary-performance/&gt;.</w:t>
      </w:r>
    </w:p>
    <w:p w14:paraId="55CE0DC2" w14:textId="77777777" w:rsidR="00090683" w:rsidRDefault="00090683" w:rsidP="00090683">
      <w:pPr>
        <w:tabs>
          <w:tab w:val="left" w:pos="1285"/>
        </w:tabs>
      </w:pPr>
      <w:r>
        <w:t>Federation University Australia 2016, Student Futures program, viewed 29 Sep 2016, &lt;https://federation.edu.au/staff/learning-and-teaching/clipp/student-futures-program&gt;.</w:t>
      </w:r>
    </w:p>
    <w:p w14:paraId="5CF2BEDD" w14:textId="77777777" w:rsidR="00090683" w:rsidRDefault="00090683" w:rsidP="00090683">
      <w:pPr>
        <w:tabs>
          <w:tab w:val="left" w:pos="1285"/>
        </w:tabs>
      </w:pPr>
      <w:r>
        <w:t>Felton-Busch, C, Maza, K, Ghee, M, Mills, F, Mills, J, Hitchins, M, Park, T &amp; Chamberlain-Salaun, J 2013, ‘Using mentoring circles to support Aboriginal and Torres Strait Islander nursing students: guidelines for sharing and learning’, Contemporary Nurse: A Journal for the Australian Nursing Profession, vol. 46, no. 1, pp. 135–138.</w:t>
      </w:r>
    </w:p>
    <w:p w14:paraId="679119FF" w14:textId="77777777" w:rsidR="00090683" w:rsidRDefault="00090683" w:rsidP="00090683">
      <w:pPr>
        <w:tabs>
          <w:tab w:val="left" w:pos="1285"/>
        </w:tabs>
      </w:pPr>
      <w:r>
        <w:t>Friedlander LJ, Reid GJ, et al. 2007, ‘Social support, self-esteem, and stress as predictors of adjustment to university among first-year undergraduates, Journal of College Student Development, vol. 48, pp. 259-274.</w:t>
      </w:r>
    </w:p>
    <w:p w14:paraId="449F3330" w14:textId="77777777" w:rsidR="00090683" w:rsidRDefault="00090683" w:rsidP="00090683">
      <w:pPr>
        <w:tabs>
          <w:tab w:val="left" w:pos="1285"/>
        </w:tabs>
      </w:pPr>
      <w:r>
        <w:t>Gale, T, Parker, D 2013, Widening participation in Australian higher education, CFE, Leicester.</w:t>
      </w:r>
    </w:p>
    <w:p w14:paraId="2A7B9354" w14:textId="77777777" w:rsidR="00090683" w:rsidRDefault="00090683" w:rsidP="00090683">
      <w:pPr>
        <w:tabs>
          <w:tab w:val="left" w:pos="1285"/>
        </w:tabs>
      </w:pPr>
      <w:r>
        <w:t>Gonski, D et al. 2011., Review of funding for schooling – final report, Department of Education and Training, viewed on Nov 4 2016, &lt;https://docs.education.gov.au/system/files/doc/other/review-of-funding-for-schooling-final-report-dec-2011.pdf&gt;.</w:t>
      </w:r>
    </w:p>
    <w:p w14:paraId="61CFBDA7" w14:textId="77777777" w:rsidR="00090683" w:rsidRDefault="00090683" w:rsidP="00090683">
      <w:pPr>
        <w:tabs>
          <w:tab w:val="left" w:pos="1285"/>
        </w:tabs>
      </w:pPr>
      <w:r>
        <w:t>Graves, N, Barnett, A &amp; Clarke P 2013, Reform Australian universities by cutting their bureaucracies, The Conversation, viewed on Nov 3 2016, &lt;http://theconversation.com/reform-australian-universities-by-cutting-their-bureaucracies-12781&gt;.</w:t>
      </w:r>
    </w:p>
    <w:p w14:paraId="79AB9C16" w14:textId="77777777" w:rsidR="00090683" w:rsidRDefault="00090683" w:rsidP="00090683">
      <w:pPr>
        <w:tabs>
          <w:tab w:val="left" w:pos="1285"/>
        </w:tabs>
      </w:pPr>
      <w:r>
        <w:t>Hall, R 2009, Evaluation principles and practice. In G. Argyrous (Ed.) Evidence for policy and decision-making, UNSW Press, Sydney.</w:t>
      </w:r>
    </w:p>
    <w:p w14:paraId="478FF1D3" w14:textId="77777777" w:rsidR="00090683" w:rsidRDefault="00090683" w:rsidP="00090683">
      <w:pPr>
        <w:tabs>
          <w:tab w:val="left" w:pos="1285"/>
        </w:tabs>
      </w:pPr>
      <w:r>
        <w:t>Harrison, A &amp; Skujins P 2016, Children’s University Australia evaluation: interim report, National Centre for Vocational Education Research, Adelaide.</w:t>
      </w:r>
    </w:p>
    <w:p w14:paraId="783D12FA" w14:textId="77777777" w:rsidR="00090683" w:rsidRDefault="00090683" w:rsidP="00090683">
      <w:pPr>
        <w:tabs>
          <w:tab w:val="left" w:pos="1285"/>
        </w:tabs>
      </w:pPr>
      <w:r>
        <w:t>Higher Education Support Act 2003 (Cmwlth.)</w:t>
      </w:r>
    </w:p>
    <w:p w14:paraId="5A0DED2A" w14:textId="77777777" w:rsidR="00090683" w:rsidRDefault="00090683" w:rsidP="00090683">
      <w:pPr>
        <w:tabs>
          <w:tab w:val="left" w:pos="1285"/>
        </w:tabs>
      </w:pPr>
      <w:r>
        <w:t>James, R, Anderson, M, Bexley, E, Devlin, M, Garnett, R, Marginson, S &amp; Maxwell, L 2008, Participation and equity: a review of the participation in higher education of people from low socioeconomic backgrounds and Indigenous people, Universities Australia, Canberra.</w:t>
      </w:r>
    </w:p>
    <w:p w14:paraId="63505745" w14:textId="77777777" w:rsidR="00090683" w:rsidRDefault="00090683" w:rsidP="00090683">
      <w:pPr>
        <w:tabs>
          <w:tab w:val="left" w:pos="1285"/>
        </w:tabs>
      </w:pPr>
      <w:r>
        <w:t>James, R, Baldwin, G, Coates, H, Krause, K-L &amp; McInnis, C 2004, Analysis of equity groups in higher education 1991-2002, Department of Education, Science and Training, Canberra, viewed 29 Sep 2016, &lt;http://www.cshe.unimelb.edu.au/research/equity/analysis_equity.html&gt;.</w:t>
      </w:r>
    </w:p>
    <w:p w14:paraId="1C30EB4E" w14:textId="77777777" w:rsidR="00090683" w:rsidRDefault="00090683" w:rsidP="00090683">
      <w:pPr>
        <w:tabs>
          <w:tab w:val="left" w:pos="1285"/>
        </w:tabs>
      </w:pPr>
      <w:r>
        <w:t>James, R, Krause, KR &amp; Jennings, C 2010, The first year experience in Australian universities: findings from 1994 to 2009, viewed on Nov 3 2016, &lt;http://citeseerx.ist.psu.edu/viewdoc/download?doi=10.1.1.723.8190&amp;rep=rep1&amp;type=pdf&gt;.</w:t>
      </w:r>
    </w:p>
    <w:p w14:paraId="1BBFBEC5" w14:textId="77777777" w:rsidR="00090683" w:rsidRDefault="00090683" w:rsidP="00090683">
      <w:pPr>
        <w:tabs>
          <w:tab w:val="left" w:pos="1285"/>
        </w:tabs>
      </w:pPr>
      <w:r>
        <w:t>Jones, R 2002, Education participation and outcomes by geographic location, viewed on Nov 4 2016, &lt;http://research.acer.edu.au/cgi/viewcontent.cgi?article=1029&amp;context=lsay_research&gt;.</w:t>
      </w:r>
    </w:p>
    <w:p w14:paraId="26063E38" w14:textId="77777777" w:rsidR="00090683" w:rsidRDefault="00090683" w:rsidP="00090683">
      <w:pPr>
        <w:tabs>
          <w:tab w:val="left" w:pos="1285"/>
        </w:tabs>
      </w:pPr>
      <w:r>
        <w:t>Journey to Higher Education 2016, Inspire Mentor, viewed 29 Sep 2016, &lt;http://jthe.edu.au/programs/inspire-mentor/&gt;.</w:t>
      </w:r>
    </w:p>
    <w:p w14:paraId="588DBC17" w14:textId="77777777" w:rsidR="00090683" w:rsidRDefault="00090683" w:rsidP="00090683">
      <w:pPr>
        <w:tabs>
          <w:tab w:val="left" w:pos="1285"/>
        </w:tabs>
      </w:pPr>
      <w:r>
        <w:t>Karmel, T &amp; Lim, P 2013, Socioeconomic disadvantage and participation in tertiary education: preliminary thoughts, viewed on Nov 4 2016, &lt;https://www.ncver.edu.au/__data/assets/file/0024/9393/socioeconomic-disadvantage-2612.pdf&gt;.</w:t>
      </w:r>
    </w:p>
    <w:p w14:paraId="50759EB6" w14:textId="77777777" w:rsidR="00090683" w:rsidRDefault="00090683" w:rsidP="00090683">
      <w:pPr>
        <w:tabs>
          <w:tab w:val="left" w:pos="1285"/>
        </w:tabs>
      </w:pPr>
      <w:r>
        <w:t>Kemp, D, Norton, A 2014, Review of the demand driven funding system: report [Kemp-Norton Review], DEEWR, Canberra, viewed 29 Sep 2016, &lt;http://education.gov.au/report-review-demand-driven-funding-system&gt;.</w:t>
      </w:r>
    </w:p>
    <w:p w14:paraId="4B569C96" w14:textId="77777777" w:rsidR="00090683" w:rsidRDefault="00090683" w:rsidP="00090683">
      <w:pPr>
        <w:tabs>
          <w:tab w:val="left" w:pos="1285"/>
        </w:tabs>
      </w:pPr>
      <w:r>
        <w:t>Koshy, P &amp; Seymour, R 2015, Student equity performance in Australian higher education: 2007 to 2014, National Centre for Student Equity in Higher Education (NCSEHE), Perth.</w:t>
      </w:r>
    </w:p>
    <w:p w14:paraId="54C1F29E" w14:textId="77777777" w:rsidR="00090683" w:rsidRDefault="00090683" w:rsidP="00090683">
      <w:pPr>
        <w:tabs>
          <w:tab w:val="left" w:pos="1285"/>
        </w:tabs>
      </w:pPr>
      <w:r>
        <w:t>KPMG 2015, Department of Education and Training Evaluation of Disability Support Program, KPMG, n.p.</w:t>
      </w:r>
    </w:p>
    <w:p w14:paraId="2F858638" w14:textId="77777777" w:rsidR="00090683" w:rsidRDefault="00090683" w:rsidP="00090683">
      <w:pPr>
        <w:tabs>
          <w:tab w:val="left" w:pos="1285"/>
        </w:tabs>
      </w:pPr>
      <w:r>
        <w:t>Krause, K &amp; Armitage, L 2014, Australian student engagement, belonging, retention and success: a synthesis of the literature, The Higher Education Academy, York.</w:t>
      </w:r>
    </w:p>
    <w:p w14:paraId="307ADE9F" w14:textId="77777777" w:rsidR="00090683" w:rsidRDefault="00090683" w:rsidP="00090683">
      <w:pPr>
        <w:tabs>
          <w:tab w:val="left" w:pos="1285"/>
        </w:tabs>
      </w:pPr>
      <w:r>
        <w:t>La Trobe University n.d., Uni Bridges, viewed 2 Nov 2016, &lt;http://www.latrobe.edu.au/outreach/uni-bridges&gt;.</w:t>
      </w:r>
    </w:p>
    <w:p w14:paraId="74BB5027" w14:textId="77777777" w:rsidR="00090683" w:rsidRDefault="00090683" w:rsidP="00090683">
      <w:pPr>
        <w:tabs>
          <w:tab w:val="left" w:pos="1285"/>
        </w:tabs>
      </w:pPr>
      <w:r>
        <w:t>Lawrence, J 2013, ‘Designing and evaluating an empowering online pedagogy for commencing students: a case study’ The International Journal of the First Year in Higher Education, vol. 4, no. 2, pp. 49–61.</w:t>
      </w:r>
    </w:p>
    <w:p w14:paraId="50FED291" w14:textId="77777777" w:rsidR="00090683" w:rsidRDefault="00090683" w:rsidP="00090683">
      <w:pPr>
        <w:tabs>
          <w:tab w:val="left" w:pos="1285"/>
        </w:tabs>
      </w:pPr>
      <w:r>
        <w:t>Lee, J 2014, ASPIRE WOW@UNSW 2014, University of New South Wales, Sydney</w:t>
      </w:r>
    </w:p>
    <w:p w14:paraId="5AE0DBD1" w14:textId="77777777" w:rsidR="00090683" w:rsidRDefault="00090683" w:rsidP="00090683">
      <w:pPr>
        <w:tabs>
          <w:tab w:val="left" w:pos="1285"/>
        </w:tabs>
      </w:pPr>
      <w:r>
        <w:t>Leigh, A 2009, ‘What evidence should social policymakers use?’, Australian Treasury Economic Roundup, vol. 1, pp. 27-43.</w:t>
      </w:r>
    </w:p>
    <w:p w14:paraId="7F5DC447" w14:textId="77777777" w:rsidR="00090683" w:rsidRDefault="00090683" w:rsidP="00090683">
      <w:pPr>
        <w:tabs>
          <w:tab w:val="left" w:pos="1285"/>
        </w:tabs>
      </w:pPr>
      <w:r>
        <w:t xml:space="preserve">Lim, P &amp; Gemici, S 2011, Measuring the socioeconomic status of Australian youth, National Centre for Vocational Education Research, Adelaide. </w:t>
      </w:r>
    </w:p>
    <w:p w14:paraId="4B3FD273" w14:textId="77777777" w:rsidR="00090683" w:rsidRDefault="00090683" w:rsidP="00090683">
      <w:pPr>
        <w:tabs>
          <w:tab w:val="left" w:pos="1285"/>
        </w:tabs>
      </w:pPr>
      <w:r>
        <w:t>Lizzio, A &amp; Wilson, K 2013, ‘Early intervention to support the academic recovery of first-year students at risk of non-continuation’, Innovations in Education &amp; Teaching International, vol. 50, no. 2, pp. 109–120.</w:t>
      </w:r>
    </w:p>
    <w:p w14:paraId="6A796CF4" w14:textId="77777777" w:rsidR="00090683" w:rsidRDefault="00090683" w:rsidP="00090683">
      <w:pPr>
        <w:tabs>
          <w:tab w:val="left" w:pos="1285"/>
        </w:tabs>
      </w:pPr>
      <w:r>
        <w:t>Lynch, J, Walker-Gibbs, B &amp; Herbert, S 2015, 'Moving beyond a “bums-on-seats” analysis of progress towards widening participation: reflections on the context, design and evaluation of an Australian government-funded mentoring programme', Journal of Higher Education Policy and Management, vol. 37, no.2 , pp. 144-158.</w:t>
      </w:r>
    </w:p>
    <w:p w14:paraId="4F55AB0D" w14:textId="77777777" w:rsidR="00090683" w:rsidRDefault="00090683" w:rsidP="00090683">
      <w:pPr>
        <w:tabs>
          <w:tab w:val="left" w:pos="1285"/>
        </w:tabs>
      </w:pPr>
      <w:r>
        <w:t>MacBeath, J 2013, Evaluating provision, progress and quality of learning in the Children’s University, Faculty of Education, University of Cambridge, Cambridge.</w:t>
      </w:r>
    </w:p>
    <w:p w14:paraId="248FE678" w14:textId="77777777" w:rsidR="00090683" w:rsidRDefault="00090683" w:rsidP="00090683">
      <w:pPr>
        <w:tabs>
          <w:tab w:val="left" w:pos="1285"/>
        </w:tabs>
      </w:pPr>
      <w:r>
        <w:t>Martin, L 1994, Equity and General Performance Indicators in Higher Education, Australian Government Publishing Service, Canberra.</w:t>
      </w:r>
    </w:p>
    <w:p w14:paraId="3F894DC7" w14:textId="77777777" w:rsidR="00090683" w:rsidRDefault="00090683" w:rsidP="00090683">
      <w:pPr>
        <w:tabs>
          <w:tab w:val="left" w:pos="1285"/>
        </w:tabs>
      </w:pPr>
      <w:r>
        <w:t>Mills, J, Felton-Busch, C, Park, T, Maza, K, Mills, F, Ghee, M, Hitchins, M, Chamberlain-Salaun, J &amp; Neuendorf, N 2014, ‘Supporting Australian Torres Strait Islander and Aboriginal nursing students using mentoring circles: an action research study’, Higher Education Research and Development, vol. 33, no. 6, pp. 1136-1149.</w:t>
      </w:r>
    </w:p>
    <w:p w14:paraId="1179B060" w14:textId="77777777" w:rsidR="00090683" w:rsidRDefault="00090683" w:rsidP="00090683">
      <w:pPr>
        <w:tabs>
          <w:tab w:val="left" w:pos="1285"/>
        </w:tabs>
      </w:pPr>
      <w:r>
        <w:t>Munindradasa, P 2016, Project report: AHEAD in Adult Learning 2014-2016, Curtin University, Perth.</w:t>
      </w:r>
    </w:p>
    <w:p w14:paraId="047007A1" w14:textId="77777777" w:rsidR="00090683" w:rsidRDefault="00090683" w:rsidP="00090683">
      <w:pPr>
        <w:tabs>
          <w:tab w:val="left" w:pos="1285"/>
        </w:tabs>
      </w:pPr>
      <w:r>
        <w:t>Naylor, R 2015, Understanding evaluation for equity programs: a guide to effective program evaluation, viewed on Nov 4 2016, &lt;https://www.ncsehe.edu.au/publications/understanding-evaluation-for-equity-programs-a-guide-to-effective-program-evaluation/&gt;.</w:t>
      </w:r>
    </w:p>
    <w:p w14:paraId="58E15A2B" w14:textId="77777777" w:rsidR="00090683" w:rsidRDefault="00090683" w:rsidP="00090683">
      <w:pPr>
        <w:tabs>
          <w:tab w:val="left" w:pos="1285"/>
        </w:tabs>
      </w:pPr>
      <w:r>
        <w:t>NCSEHE 2015, Strategic plan 2015-2018, viewed on Nov 3 2016, &lt;https://www.ncsehe.edu.au/wp-content/uploads/2016/06/NCSEHE-Strategic-Plan-2016-2018.pdf&gt;.</w:t>
      </w:r>
    </w:p>
    <w:p w14:paraId="584D03AE" w14:textId="77777777" w:rsidR="00090683" w:rsidRDefault="00090683" w:rsidP="00090683">
      <w:pPr>
        <w:tabs>
          <w:tab w:val="left" w:pos="1285"/>
        </w:tabs>
      </w:pPr>
      <w:r>
        <w:t>NCSEHE 2016, Grants, viewed on Nov 3 2016, &lt;https://www.ncsehe.edu.au/grants/&gt;.</w:t>
      </w:r>
    </w:p>
    <w:p w14:paraId="1D92FECF" w14:textId="77777777" w:rsidR="00090683" w:rsidRDefault="00090683" w:rsidP="00090683">
      <w:pPr>
        <w:tabs>
          <w:tab w:val="left" w:pos="1285"/>
        </w:tabs>
      </w:pPr>
      <w:r>
        <w:t>NCSEHE, 2015. 2015 Equity Fellows Programme, viewed 14 Oct 2016, &lt;https://www.ncsehe.edu.au/nominations-open-2015-equity-fellows-programme/&gt;.</w:t>
      </w:r>
    </w:p>
    <w:p w14:paraId="2B460173" w14:textId="77777777" w:rsidR="00090683" w:rsidRDefault="00090683" w:rsidP="00090683">
      <w:pPr>
        <w:tabs>
          <w:tab w:val="left" w:pos="1285"/>
        </w:tabs>
      </w:pPr>
      <w:r>
        <w:t>NCSEHE, 2016. Equity Fellow News, viewed 14 Oct 2016, &lt;https://www.ncsehe.edu.au/wp-content/uploads/2016/08/Dr-Cathy-Stone-August-2016-Bulletin.pdf&gt;.</w:t>
      </w:r>
    </w:p>
    <w:p w14:paraId="37B25FBC" w14:textId="77777777" w:rsidR="00090683" w:rsidRDefault="00090683" w:rsidP="00090683">
      <w:pPr>
        <w:tabs>
          <w:tab w:val="left" w:pos="1285"/>
        </w:tabs>
      </w:pPr>
      <w:r>
        <w:t>NCSEHE, 2016. Equity Fellows Programme: Information Package, viewed 14 Oct 2016, &lt;https://www.ncsehe.edu.au/wp-content/uploads/2016/06/2016-Fellows-Information-package.pdf&gt;.</w:t>
      </w:r>
    </w:p>
    <w:p w14:paraId="510F89A9" w14:textId="77777777" w:rsidR="00090683" w:rsidRDefault="00090683" w:rsidP="00090683">
      <w:pPr>
        <w:tabs>
          <w:tab w:val="left" w:pos="1285"/>
        </w:tabs>
      </w:pPr>
      <w:r>
        <w:t>NCSEHE, 2016. Equity Fellows, viewed 14 Oct 2016, &lt;https://www.ncsehe.edu.au/2016-equity-fellows/&gt;.</w:t>
      </w:r>
    </w:p>
    <w:p w14:paraId="5C20F47B" w14:textId="77777777" w:rsidR="00090683" w:rsidRDefault="00090683" w:rsidP="00090683">
      <w:pPr>
        <w:tabs>
          <w:tab w:val="left" w:pos="1285"/>
        </w:tabs>
      </w:pPr>
      <w:r>
        <w:t>NCSEHE, 2016. Student Equity SIG, viewed 14 Oct 2016, &lt;http://unistars.org/program/2016-program/special-interest-groups-2016/student-equity-sig/&gt;.</w:t>
      </w:r>
    </w:p>
    <w:p w14:paraId="774FF596" w14:textId="77777777" w:rsidR="00090683" w:rsidRDefault="00090683" w:rsidP="00090683">
      <w:pPr>
        <w:tabs>
          <w:tab w:val="left" w:pos="1285"/>
        </w:tabs>
      </w:pPr>
      <w:r>
        <w:t>NESTA 2011, Evidence for social policy and practice: perspectives on how research and evidence can influence decision making in public services, NESTA, London.</w:t>
      </w:r>
    </w:p>
    <w:p w14:paraId="518D72B4" w14:textId="77777777" w:rsidR="00090683" w:rsidRDefault="00090683" w:rsidP="00090683">
      <w:pPr>
        <w:tabs>
          <w:tab w:val="left" w:pos="1285"/>
        </w:tabs>
      </w:pPr>
      <w:r>
        <w:t>Owen, J, Calnin G &amp; Andrew P 2016, An overview of the impact of the Uni Bridges Program, Program Review Consultants, Rye.</w:t>
      </w:r>
    </w:p>
    <w:p w14:paraId="3A763CEE" w14:textId="77777777" w:rsidR="00090683" w:rsidRDefault="00090683" w:rsidP="00090683">
      <w:pPr>
        <w:tabs>
          <w:tab w:val="left" w:pos="1285"/>
        </w:tabs>
      </w:pPr>
      <w:r>
        <w:t>Parker, R &amp; Lamont, A 2010, Evaluating programs, Australian Institute of Family Studies, Melbourne.</w:t>
      </w:r>
    </w:p>
    <w:p w14:paraId="650C529F" w14:textId="77777777" w:rsidR="00090683" w:rsidRDefault="00090683" w:rsidP="00090683">
      <w:pPr>
        <w:tabs>
          <w:tab w:val="left" w:pos="1285"/>
        </w:tabs>
      </w:pPr>
      <w:r>
        <w:t>Pascarella, E &amp; Terenzini, P 2005, How college affects students: a third decade of research (vol. 2), Jossey Bass, San Francisco.</w:t>
      </w:r>
    </w:p>
    <w:p w14:paraId="24CA87A3" w14:textId="77777777" w:rsidR="00090683" w:rsidRDefault="00090683" w:rsidP="00090683">
      <w:pPr>
        <w:tabs>
          <w:tab w:val="left" w:pos="1285"/>
        </w:tabs>
      </w:pPr>
      <w:r>
        <w:t>PhillipsKPA 2012, Review of reporting requirements for universities, PhillipsKPA, Richmond.</w:t>
      </w:r>
    </w:p>
    <w:p w14:paraId="08C244F2" w14:textId="77777777" w:rsidR="00090683" w:rsidRDefault="00090683" w:rsidP="00090683">
      <w:pPr>
        <w:tabs>
          <w:tab w:val="left" w:pos="1285"/>
        </w:tabs>
      </w:pPr>
      <w:r>
        <w:t>Queensland’s Widening Tertiary Participation Consortium 2016, Monitoring Consortium applications: 2016 report, n.p.</w:t>
      </w:r>
    </w:p>
    <w:p w14:paraId="1FDBAB64" w14:textId="77777777" w:rsidR="00090683" w:rsidRDefault="00090683" w:rsidP="00090683">
      <w:pPr>
        <w:tabs>
          <w:tab w:val="left" w:pos="1285"/>
        </w:tabs>
      </w:pPr>
      <w:r>
        <w:t>QUT Equity Services 2015, QUT Widening Participation Program 2010-2014: overall evaluation report, Queensland University of Technology, Brisbane.</w:t>
      </w:r>
    </w:p>
    <w:p w14:paraId="494AED00" w14:textId="77777777" w:rsidR="00090683" w:rsidRDefault="00090683" w:rsidP="00090683">
      <w:pPr>
        <w:tabs>
          <w:tab w:val="left" w:pos="1285"/>
        </w:tabs>
      </w:pPr>
      <w:r>
        <w:t>Ramsay, E 2005, Higher Education Equity: Yesterday, Today (and Tomorrow). Keynote Speech presented at EOPHEA 2005 Conference, Brisbane, viewed 29 Sep 2016, &lt;http://citeseerx.ist.psu.edu/viewdoc/download?doi=10.1.1.509.3173&amp;rep=rep1&amp;type=pdf&gt;.</w:t>
      </w:r>
    </w:p>
    <w:p w14:paraId="5A72F263" w14:textId="77777777" w:rsidR="00090683" w:rsidRDefault="00090683" w:rsidP="00090683">
      <w:pPr>
        <w:tabs>
          <w:tab w:val="left" w:pos="1285"/>
        </w:tabs>
      </w:pPr>
      <w:r>
        <w:t>Silburn, J, Earnest, J, De Mori, G, &amp; Butcher, L 2010, ‘Life’: learning interactively for engagement - meeting the pedagogical needs of students from refugee backgrounds final report. Prepared for: Australian Learning and Teaching Council.</w:t>
      </w:r>
    </w:p>
    <w:p w14:paraId="06C9B48F" w14:textId="77777777" w:rsidR="00090683" w:rsidRDefault="00090683" w:rsidP="00090683">
      <w:pPr>
        <w:tabs>
          <w:tab w:val="left" w:pos="1285"/>
        </w:tabs>
      </w:pPr>
      <w:r>
        <w:t>Skene, J, Pollard, L &amp; House, H 2016, 'Aspire UWA: a case study of widening access in higher education', Student Success: A Journal Exploring the Experiences of Students in Tertiary Education, vol.7, no.2, pp.11-20, viewed 29 Sep 2016, &lt;http://dx.doi.org/10.5204/ssj.v7i2.337&gt;.</w:t>
      </w:r>
    </w:p>
    <w:p w14:paraId="03207758" w14:textId="77777777" w:rsidR="00090683" w:rsidRDefault="00090683" w:rsidP="00090683">
      <w:pPr>
        <w:tabs>
          <w:tab w:val="left" w:pos="1285"/>
        </w:tabs>
      </w:pPr>
      <w:r>
        <w:t>Smith-Ruig, T 2014, ‘Exploring the links between mentoring and work-integrated learning’, Higher Education Research and Development, vol. 33, no. 4, pp. 769–782.</w:t>
      </w:r>
    </w:p>
    <w:p w14:paraId="0F8F1096" w14:textId="77777777" w:rsidR="00090683" w:rsidRDefault="00090683" w:rsidP="00090683">
      <w:pPr>
        <w:tabs>
          <w:tab w:val="left" w:pos="1285"/>
        </w:tabs>
      </w:pPr>
      <w:r>
        <w:t>Social Exclusion Task Force 2008, Think research: using research evidence to inform service development for vulnerable groups, U.K. Cabinet Office, publication no. 288096/0608.</w:t>
      </w:r>
    </w:p>
    <w:p w14:paraId="7E7C0503" w14:textId="77777777" w:rsidR="00090683" w:rsidRDefault="00090683" w:rsidP="00090683">
      <w:pPr>
        <w:tabs>
          <w:tab w:val="left" w:pos="1285"/>
        </w:tabs>
      </w:pPr>
      <w:r>
        <w:t>STARS 2016, Student Equity SIG, viewed on Nov 3 2016, &lt;http://unistars.org/program/2016-program/special-interest-groups-2016/student-equity-sig/&gt;.</w:t>
      </w:r>
    </w:p>
    <w:p w14:paraId="76D92F9C" w14:textId="77777777" w:rsidR="00090683" w:rsidRDefault="00090683" w:rsidP="00090683">
      <w:pPr>
        <w:tabs>
          <w:tab w:val="left" w:pos="1285"/>
        </w:tabs>
      </w:pPr>
      <w:r>
        <w:t>Stone, C 2016, Opportunity through online learning: improving access, participation and success in online higher education, presentation at USQ Social Justice Symposium, Toowoomba Sep 8, viewed on Nov 3 2016, &lt;https://www.google.com.au/url?sa=t&amp;rct=j&amp;q=&amp;esrc=s&amp;source=web&amp;cd=5&amp;cad=rja&amp;uact=8&amp;ved=0ahUKEwi51ZqI24jQAhVDJ5QKHS10AfkQFghCMAQ&amp;url=https%3A%2F%2Fwww.usq.edu.au%2F~%2Fmedia%2FUSQ%2FAbout-USQ%2FAbout%2520us%2FCathy%2520Stone%2520presentation%2520Sept%25202016.ashx%3Fla%3Den&amp;usg=AFQjCNGsaXw5GpIdItJjrA-UBo6DfAmgPg&gt;.</w:t>
      </w:r>
    </w:p>
    <w:p w14:paraId="050466B1" w14:textId="77777777" w:rsidR="00090683" w:rsidRDefault="00090683" w:rsidP="00090683">
      <w:pPr>
        <w:tabs>
          <w:tab w:val="left" w:pos="1285"/>
        </w:tabs>
      </w:pPr>
      <w:r>
        <w:t>Terton U &amp; Greenaway R 2015, ‘Ready, set, jump - an interactive eBook designed to awaken the aspirations of primary school students’. In Proceedings of the 7th International Conference on Computer Supported Education, pp. 185-192.</w:t>
      </w:r>
    </w:p>
    <w:p w14:paraId="14E440E3" w14:textId="77777777" w:rsidR="00090683" w:rsidRDefault="00090683" w:rsidP="00090683">
      <w:pPr>
        <w:tabs>
          <w:tab w:val="left" w:pos="1285"/>
        </w:tabs>
      </w:pPr>
      <w:r>
        <w:t>The Allen Consulting Group 2008, Recognising the full costs of university research, report to the Department of Innovation, Industry Science and Research, Canberra.</w:t>
      </w:r>
    </w:p>
    <w:p w14:paraId="1399FADE" w14:textId="77777777" w:rsidR="00090683" w:rsidRDefault="00090683" w:rsidP="00090683">
      <w:pPr>
        <w:tabs>
          <w:tab w:val="left" w:pos="1285"/>
        </w:tabs>
      </w:pPr>
      <w:r>
        <w:t>The University of Adelaide 2013, Children’s University Australia evaluation: interim report, The University of Adelaide, Adelaide.</w:t>
      </w:r>
    </w:p>
    <w:p w14:paraId="1539C52F" w14:textId="77777777" w:rsidR="00090683" w:rsidRDefault="00090683" w:rsidP="00090683">
      <w:pPr>
        <w:tabs>
          <w:tab w:val="left" w:pos="1285"/>
        </w:tabs>
      </w:pPr>
      <w:r>
        <w:t>Tower, M, Walker, R, Wilson, K, Watson, B, &amp; Glenyss, T 2015, ‘Engaging, supporting and retaining academic at-risk students in a Bachelor of Nursing: Setting risk markers, interventions and outcomes’, The International Journal of the First Year in Higher Education, vol. 6, no. 1.</w:t>
      </w:r>
    </w:p>
    <w:p w14:paraId="644E47D5" w14:textId="77777777" w:rsidR="00090683" w:rsidRDefault="00090683" w:rsidP="00090683">
      <w:pPr>
        <w:tabs>
          <w:tab w:val="left" w:pos="1285"/>
        </w:tabs>
      </w:pPr>
      <w:r>
        <w:t xml:space="preserve">U.S. Preventive Services Task Force 2008, U.S. Preventive Services Task Force Procedure Manual, Agency for Healthcare Research and Quality, publication no. 08-05118-EF. </w:t>
      </w:r>
    </w:p>
    <w:p w14:paraId="2A269337" w14:textId="77777777" w:rsidR="00090683" w:rsidRDefault="00090683" w:rsidP="00090683">
      <w:pPr>
        <w:tabs>
          <w:tab w:val="left" w:pos="1285"/>
        </w:tabs>
      </w:pPr>
      <w:r>
        <w:t xml:space="preserve">Universities Australia 2008, Advancing equity and participation in Australian higher education, Universities Australia, Canberra. </w:t>
      </w:r>
    </w:p>
    <w:p w14:paraId="24EA80D8" w14:textId="77777777" w:rsidR="00090683" w:rsidRDefault="00090683" w:rsidP="00090683">
      <w:pPr>
        <w:tabs>
          <w:tab w:val="left" w:pos="1285"/>
        </w:tabs>
      </w:pPr>
      <w:r>
        <w:t>van der Meer, J &amp; Scott, S 2013, ‘Including everyone: a peer learning program that works for under-represented minorities?’, The International Journal of the First Year in Higher Education, vol.4, no. 1, pp. 84-95.</w:t>
      </w:r>
    </w:p>
    <w:p w14:paraId="535DAC78" w14:textId="77777777" w:rsidR="00090683" w:rsidRDefault="00090683" w:rsidP="00090683">
      <w:pPr>
        <w:tabs>
          <w:tab w:val="left" w:pos="1285"/>
        </w:tabs>
      </w:pPr>
      <w:r>
        <w:t>Western, J 1998, Differential access to higher education: the measurement of socioeconomic status, rurality and isolation, Department of Employment, Education, Training and Youth Affairs, Canberra.</w:t>
      </w:r>
    </w:p>
    <w:p w14:paraId="4BAE54CE" w14:textId="77777777" w:rsidR="00090683" w:rsidRDefault="00090683" w:rsidP="00090683">
      <w:pPr>
        <w:tabs>
          <w:tab w:val="left" w:pos="1285"/>
        </w:tabs>
      </w:pPr>
      <w:r>
        <w:t>Wilkie, J &amp; Grant, A 2009, ‘Using evidence well’, Australian Treasury Economic Roundup, vol. 1, pp. 17-26.</w:t>
      </w:r>
    </w:p>
    <w:p w14:paraId="79F83B2C" w14:textId="77777777" w:rsidR="00090683" w:rsidRDefault="00090683" w:rsidP="00090683">
      <w:pPr>
        <w:tabs>
          <w:tab w:val="left" w:pos="1285"/>
        </w:tabs>
      </w:pPr>
      <w:r>
        <w:t>Winchester-Seeto, T. 2014 Inclusive WIL: What would it look like?, presented at the Australian Collaborative Education Network symposium, October 2014.</w:t>
      </w:r>
    </w:p>
    <w:p w14:paraId="43030D1B" w14:textId="77777777" w:rsidR="00090683" w:rsidRDefault="00090683" w:rsidP="00090683">
      <w:pPr>
        <w:tabs>
          <w:tab w:val="left" w:pos="1285"/>
        </w:tabs>
      </w:pPr>
      <w:r>
        <w:t>Wise, P &amp; Mathews, R 2011, Socio-Economic Indexes for Areas: getting a handle on individual diversity within areas, viewed on Nov 4 2016, &lt;http://www.ausstats.abs.gov.au/ausstats/subscriber.nsf/0/C523F80A0B938ACBCA25790600138037/$File/1351055036_sep%202011.pdf&gt;.</w:t>
      </w:r>
    </w:p>
    <w:p w14:paraId="671AA40A" w14:textId="77777777" w:rsidR="00090683" w:rsidRDefault="00090683" w:rsidP="00090683">
      <w:pPr>
        <w:tabs>
          <w:tab w:val="left" w:pos="1285"/>
        </w:tabs>
      </w:pPr>
      <w:r>
        <w:t>Zacharias, N, et al. 2016, Moving beyond ‘acts of faith’: effective scholarships for equity students, viewed on Nov 3 2016, &lt;https://www.ncsehe.edu.au/publications/moving-beyond-acts-of-faith-effective-scholarships-for-equity-students/&gt;.</w:t>
      </w:r>
    </w:p>
    <w:p w14:paraId="04140EAB" w14:textId="77777777" w:rsidR="00090683" w:rsidRDefault="00090683" w:rsidP="00090683">
      <w:pPr>
        <w:tabs>
          <w:tab w:val="left" w:pos="1285"/>
        </w:tabs>
      </w:pPr>
      <w:r>
        <w:t>Zacharias, N. 2016 The Australian student equity programme and institutional change or business as usual?, NCSEHE, viewed 19 Oct 2016, &lt; https://www.ncsehe.edu.au/the-australian-student-equity-programme-and-institutional-change-paradigm-shift-or-business-as-usual/&gt;</w:t>
      </w:r>
    </w:p>
    <w:p w14:paraId="10837357" w14:textId="77777777" w:rsidR="00090683" w:rsidRPr="001A2F85" w:rsidRDefault="00090683" w:rsidP="00090683">
      <w:pPr>
        <w:tabs>
          <w:tab w:val="left" w:pos="1285"/>
        </w:tabs>
      </w:pPr>
    </w:p>
    <w:p w14:paraId="1DEC9372" w14:textId="77777777" w:rsidR="00090683" w:rsidRPr="001A2F85" w:rsidRDefault="00090683" w:rsidP="00090683">
      <w:pPr>
        <w:pStyle w:val="Heading3nonumber"/>
      </w:pPr>
      <w:r w:rsidRPr="001A2F85">
        <w:t>International approaches references</w:t>
      </w:r>
    </w:p>
    <w:p w14:paraId="17E130CB" w14:textId="77777777" w:rsidR="00090683" w:rsidRPr="001A2F85" w:rsidRDefault="00090683" w:rsidP="00090683">
      <w:pPr>
        <w:pStyle w:val="Heading4"/>
        <w:numPr>
          <w:ilvl w:val="3"/>
          <w:numId w:val="0"/>
        </w:numPr>
        <w:rPr>
          <w:color w:val="auto"/>
        </w:rPr>
      </w:pPr>
      <w:r w:rsidRPr="001A2F85">
        <w:rPr>
          <w:color w:val="auto"/>
        </w:rPr>
        <w:t>England</w:t>
      </w:r>
    </w:p>
    <w:p w14:paraId="35198DF3" w14:textId="77777777" w:rsidR="00090683" w:rsidRPr="003C1250" w:rsidRDefault="00090683" w:rsidP="00090683">
      <w:pPr>
        <w:pStyle w:val="BodyText"/>
      </w:pPr>
      <w:r w:rsidRPr="003C1250">
        <w:t xml:space="preserve">Department for Business, Innovation &amp; Skills, 2014. </w:t>
      </w:r>
      <w:r w:rsidRPr="003C1250">
        <w:rPr>
          <w:i/>
        </w:rPr>
        <w:t>National strategy for access and student success in higher education</w:t>
      </w:r>
      <w:r w:rsidRPr="003C1250">
        <w:t xml:space="preserve">. </w:t>
      </w:r>
    </w:p>
    <w:p w14:paraId="30677194" w14:textId="77777777" w:rsidR="00090683" w:rsidRPr="003C1250" w:rsidRDefault="00090683" w:rsidP="00090683">
      <w:pPr>
        <w:pStyle w:val="BodyText"/>
      </w:pPr>
      <w:r w:rsidRPr="003C1250">
        <w:t xml:space="preserve">HEAT (Higher Education Access Tracker), 2016. </w:t>
      </w:r>
      <w:r w:rsidRPr="003C1250">
        <w:rPr>
          <w:i/>
        </w:rPr>
        <w:t>What is HEAT and who are our members?</w:t>
      </w:r>
      <w:r w:rsidRPr="003C1250">
        <w:t>, available:</w:t>
      </w:r>
      <w:r w:rsidRPr="003C1250">
        <w:rPr>
          <w:i/>
        </w:rPr>
        <w:t xml:space="preserve"> </w:t>
      </w:r>
      <w:r w:rsidRPr="005C49A4">
        <w:t>http://heat.ac.uk/what-is-heat/</w:t>
      </w:r>
      <w:r w:rsidRPr="003C1250">
        <w:t xml:space="preserve">. </w:t>
      </w:r>
    </w:p>
    <w:p w14:paraId="0B7D0D7D" w14:textId="77777777" w:rsidR="00090683" w:rsidRPr="003C1250" w:rsidRDefault="00090683" w:rsidP="00090683">
      <w:pPr>
        <w:pStyle w:val="BodyText"/>
      </w:pPr>
      <w:r w:rsidRPr="003C1250">
        <w:t xml:space="preserve">HEFCE (Higher Education Funding Council of England), 2016a. </w:t>
      </w:r>
      <w:r w:rsidRPr="003C1250">
        <w:rPr>
          <w:i/>
        </w:rPr>
        <w:t>Funding for universities and colleges for 2014-15 to 2016-17: Board decisions</w:t>
      </w:r>
      <w:r w:rsidRPr="003C1250">
        <w:t xml:space="preserve">, Circular Letter 03/2016, available: </w:t>
      </w:r>
      <w:r w:rsidRPr="005C49A4">
        <w:t>http://www.hefce.ac.uk/pubs/year/2016/CL,032016/</w:t>
      </w:r>
      <w:r w:rsidRPr="003C1250">
        <w:t xml:space="preserve">. </w:t>
      </w:r>
    </w:p>
    <w:p w14:paraId="577B3C44" w14:textId="77777777" w:rsidR="00090683" w:rsidRPr="003C1250" w:rsidRDefault="00090683" w:rsidP="00090683">
      <w:pPr>
        <w:pStyle w:val="BodyText"/>
      </w:pPr>
      <w:r w:rsidRPr="003C1250">
        <w:t xml:space="preserve">HEFCE (Higher Education Funding Council of England), 2016b. </w:t>
      </w:r>
      <w:r w:rsidRPr="003C1250">
        <w:rPr>
          <w:i/>
        </w:rPr>
        <w:t>The future of funding for teaching</w:t>
      </w:r>
      <w:r w:rsidRPr="003C1250">
        <w:t xml:space="preserve">, Policy Guide, available: </w:t>
      </w:r>
      <w:r w:rsidRPr="005C49A4">
        <w:t>http://www.hefce.ac.uk/lt/futureteach/consultation/</w:t>
      </w:r>
      <w:r w:rsidRPr="003C1250">
        <w:rPr>
          <w:rStyle w:val="Hyperlink"/>
          <w:color w:val="auto"/>
          <w:u w:val="none"/>
        </w:rPr>
        <w:t>.</w:t>
      </w:r>
    </w:p>
    <w:p w14:paraId="2DC3DDF6" w14:textId="77777777" w:rsidR="00090683" w:rsidRPr="003C1250" w:rsidRDefault="00090683" w:rsidP="00090683">
      <w:pPr>
        <w:pStyle w:val="BodyText"/>
      </w:pPr>
      <w:r w:rsidRPr="003C1250">
        <w:t xml:space="preserve">HEFCE (Higher Education Funding Council of England), 2016c. </w:t>
      </w:r>
      <w:r w:rsidRPr="003C1250">
        <w:rPr>
          <w:i/>
        </w:rPr>
        <w:t>National collaborative outreach programme: Invitation to submit proposals for funding</w:t>
      </w:r>
      <w:r w:rsidRPr="003C1250">
        <w:t xml:space="preserve">, March 2016/06, available: </w:t>
      </w:r>
      <w:r w:rsidRPr="005C49A4">
        <w:t>http://www.hefce.ac.uk/media/HEFCE,2014/Content/Pubs/2016/201606/2016_06_.pdf</w:t>
      </w:r>
      <w:r w:rsidRPr="003C1250">
        <w:t xml:space="preserve">. </w:t>
      </w:r>
    </w:p>
    <w:p w14:paraId="4E26F75D" w14:textId="77777777" w:rsidR="00090683" w:rsidRPr="003C1250" w:rsidRDefault="00090683" w:rsidP="00090683">
      <w:pPr>
        <w:pStyle w:val="BodyText"/>
        <w:rPr>
          <w:rStyle w:val="Hyperlink"/>
          <w:color w:val="auto"/>
          <w:u w:val="none"/>
        </w:rPr>
      </w:pPr>
      <w:r w:rsidRPr="003C1250">
        <w:t xml:space="preserve">HEFCE (Higher Education Funding Council of England), 2016d. </w:t>
      </w:r>
      <w:r w:rsidRPr="003C1250">
        <w:rPr>
          <w:i/>
        </w:rPr>
        <w:t>National networks for collaborative outreach</w:t>
      </w:r>
      <w:r w:rsidRPr="003C1250">
        <w:t xml:space="preserve">, Policy Guide, available: </w:t>
      </w:r>
      <w:r w:rsidRPr="005C49A4">
        <w:t>http://www.hefce.ac.uk/sas/nnco/</w:t>
      </w:r>
      <w:r w:rsidRPr="003C1250">
        <w:rPr>
          <w:rStyle w:val="Hyperlink"/>
          <w:color w:val="auto"/>
          <w:u w:val="none"/>
        </w:rPr>
        <w:t>.</w:t>
      </w:r>
    </w:p>
    <w:p w14:paraId="47EC9230" w14:textId="77777777" w:rsidR="00090683" w:rsidRPr="003C1250" w:rsidRDefault="00090683" w:rsidP="00090683">
      <w:pPr>
        <w:pStyle w:val="BodyText"/>
      </w:pPr>
      <w:r w:rsidRPr="003C1250">
        <w:t xml:space="preserve">HEFCE (Higher Education Funding Council of England), 2015a. </w:t>
      </w:r>
      <w:r w:rsidRPr="003C1250">
        <w:rPr>
          <w:i/>
        </w:rPr>
        <w:t>Guide to funding 2015-16: How HEFCE allocates its funds</w:t>
      </w:r>
      <w:r w:rsidRPr="003C1250">
        <w:t xml:space="preserve">, March 2015/4, available: </w:t>
      </w:r>
      <w:r w:rsidRPr="005C49A4">
        <w:t>http://www.hefce.ac.uk/media/HEFCE,2014/Content/Pubs/2015/201504/2015_04.pdf</w:t>
      </w:r>
      <w:r w:rsidRPr="003C1250">
        <w:t xml:space="preserve">. </w:t>
      </w:r>
    </w:p>
    <w:p w14:paraId="59B10863" w14:textId="77777777" w:rsidR="00090683" w:rsidRPr="003C1250" w:rsidRDefault="00090683" w:rsidP="00090683">
      <w:pPr>
        <w:pStyle w:val="BodyText"/>
      </w:pPr>
      <w:r w:rsidRPr="003C1250">
        <w:t xml:space="preserve">HEFCE (Higher Education Funding Council of England), 2015b. </w:t>
      </w:r>
      <w:r w:rsidRPr="003C1250">
        <w:rPr>
          <w:i/>
        </w:rPr>
        <w:t>Higher Education Access Tracker</w:t>
      </w:r>
      <w:r w:rsidRPr="003C1250">
        <w:t xml:space="preserve">, Policy Guide, available: </w:t>
      </w:r>
      <w:r w:rsidRPr="005C49A4">
        <w:t>http://www.hefce.ac.uk/sas/heat/</w:t>
      </w:r>
      <w:r w:rsidRPr="003C1250">
        <w:t>.</w:t>
      </w:r>
    </w:p>
    <w:p w14:paraId="779BACB5" w14:textId="77777777" w:rsidR="00090683" w:rsidRPr="003C1250" w:rsidRDefault="00090683" w:rsidP="00090683">
      <w:pPr>
        <w:pStyle w:val="BodyText"/>
      </w:pPr>
      <w:r w:rsidRPr="003C1250">
        <w:t xml:space="preserve">HEFCE (Higher Education Funding Council of England), 2015c. </w:t>
      </w:r>
      <w:r w:rsidRPr="003C1250">
        <w:rPr>
          <w:i/>
        </w:rPr>
        <w:t>POLAR – Participation of Local Areas</w:t>
      </w:r>
      <w:r w:rsidRPr="003C1250">
        <w:t xml:space="preserve">, Briefing, available: </w:t>
      </w:r>
      <w:r w:rsidRPr="005C49A4">
        <w:t>http://www.hefce.ac.uk/analysis/yp/POLAR/</w:t>
      </w:r>
      <w:r w:rsidRPr="003C1250">
        <w:t xml:space="preserve">. </w:t>
      </w:r>
    </w:p>
    <w:p w14:paraId="2A3D876D" w14:textId="77777777" w:rsidR="00090683" w:rsidRPr="003C1250" w:rsidRDefault="00090683" w:rsidP="00090683">
      <w:pPr>
        <w:pStyle w:val="BodyText"/>
      </w:pPr>
      <w:r w:rsidRPr="003C1250">
        <w:t xml:space="preserve">HEFCE (Higher Education Funding Council of England), 2014a. </w:t>
      </w:r>
      <w:r w:rsidRPr="003C1250">
        <w:rPr>
          <w:i/>
        </w:rPr>
        <w:t>Guide to funding and student number controls 2013-14 and 2014-15: How HEFCE allocates its funds and controls student numbers</w:t>
      </w:r>
      <w:r w:rsidRPr="003C1250">
        <w:t xml:space="preserve">, 2014/06, available: </w:t>
      </w:r>
      <w:r w:rsidRPr="005C49A4">
        <w:t>http://www.hefce.ac.uk/pubs/year/2014/201406/</w:t>
      </w:r>
      <w:r w:rsidRPr="003C1250">
        <w:t xml:space="preserve">. </w:t>
      </w:r>
    </w:p>
    <w:p w14:paraId="15813B30" w14:textId="77777777" w:rsidR="00090683" w:rsidRPr="003C1250" w:rsidRDefault="00090683" w:rsidP="00090683">
      <w:pPr>
        <w:pStyle w:val="BodyText"/>
      </w:pPr>
      <w:r w:rsidRPr="003C1250">
        <w:t xml:space="preserve">Higher Education Authority, 2015. </w:t>
      </w:r>
      <w:r w:rsidRPr="003C1250">
        <w:rPr>
          <w:i/>
        </w:rPr>
        <w:t>Aimhigher</w:t>
      </w:r>
      <w:r w:rsidRPr="003C1250">
        <w:t>,</w:t>
      </w:r>
      <w:r w:rsidRPr="003C1250">
        <w:rPr>
          <w:i/>
        </w:rPr>
        <w:t xml:space="preserve"> </w:t>
      </w:r>
      <w:r w:rsidRPr="003C1250">
        <w:t xml:space="preserve">available: </w:t>
      </w:r>
      <w:r w:rsidRPr="005C49A4">
        <w:t>https://www.heacademy.ac.uk/enhancement/themes/retention-and-success/widening-access-programmes-archive/aimhigher</w:t>
      </w:r>
      <w:r w:rsidRPr="003C1250">
        <w:t xml:space="preserve">. </w:t>
      </w:r>
    </w:p>
    <w:p w14:paraId="19C86B12" w14:textId="77777777" w:rsidR="00090683" w:rsidRPr="003C1250" w:rsidRDefault="00090683" w:rsidP="00090683">
      <w:pPr>
        <w:pStyle w:val="BodyText"/>
      </w:pPr>
      <w:r w:rsidRPr="003C1250">
        <w:t xml:space="preserve">NFER (National Foundation for Educational Research), 2010. </w:t>
      </w:r>
      <w:r w:rsidRPr="003C1250">
        <w:rPr>
          <w:i/>
        </w:rPr>
        <w:t>Evaluation of Aimhigher: learner attainment and progression</w:t>
      </w:r>
      <w:r w:rsidRPr="003C1250">
        <w:t xml:space="preserve">, Final Report, available: </w:t>
      </w:r>
      <w:r w:rsidRPr="005C49A4">
        <w:t>http://www.hefce.ac.uk/media/hefce/content/pubs/2010/rd1510/rd15_10.pdf</w:t>
      </w:r>
      <w:r w:rsidRPr="003C1250">
        <w:t xml:space="preserve">. </w:t>
      </w:r>
    </w:p>
    <w:p w14:paraId="38C041B8" w14:textId="77777777" w:rsidR="00090683" w:rsidRPr="003C1250" w:rsidRDefault="00090683" w:rsidP="00090683">
      <w:pPr>
        <w:pStyle w:val="BodyText"/>
      </w:pPr>
      <w:r w:rsidRPr="003C1250">
        <w:t xml:space="preserve">OFFA (Office for Fair Access), 2016a. </w:t>
      </w:r>
      <w:r w:rsidRPr="003C1250">
        <w:rPr>
          <w:i/>
        </w:rPr>
        <w:t>Annual report and accounts 2015-16</w:t>
      </w:r>
      <w:r w:rsidRPr="003C1250">
        <w:t xml:space="preserve">, available: </w:t>
      </w:r>
      <w:r w:rsidRPr="005C49A4">
        <w:t>https://www.offa.org.uk/publications/annual-reports/</w:t>
      </w:r>
      <w:r w:rsidRPr="003C1250">
        <w:t xml:space="preserve">. </w:t>
      </w:r>
    </w:p>
    <w:p w14:paraId="42A601D1" w14:textId="77777777" w:rsidR="00090683" w:rsidRPr="003C1250" w:rsidRDefault="00090683" w:rsidP="00090683">
      <w:pPr>
        <w:pStyle w:val="BodyText"/>
      </w:pPr>
      <w:r w:rsidRPr="003C1250">
        <w:t xml:space="preserve">OFFA (Office for Fair Access), 2016b. </w:t>
      </w:r>
      <w:r w:rsidRPr="003C1250">
        <w:rPr>
          <w:i/>
        </w:rPr>
        <w:t>Fees and student finance: list of levels and thresholds, by year</w:t>
      </w:r>
      <w:r w:rsidRPr="003C1250">
        <w:t xml:space="preserve">, available: </w:t>
      </w:r>
      <w:r w:rsidRPr="005C49A4">
        <w:t>https://www.offa.org.uk/universities-and-colleges/guidance-and-useful-information/fee-and-bursary-limits-including-exceptions-and-state-support-thresholds/</w:t>
      </w:r>
      <w:r w:rsidRPr="003C1250">
        <w:t xml:space="preserve">. </w:t>
      </w:r>
    </w:p>
    <w:p w14:paraId="75A07DD3" w14:textId="77777777" w:rsidR="00090683" w:rsidRPr="003C1250" w:rsidRDefault="00090683" w:rsidP="00090683">
      <w:pPr>
        <w:pStyle w:val="BodyText"/>
      </w:pPr>
      <w:r w:rsidRPr="003C1250">
        <w:t xml:space="preserve">OFFA (Office for Fair Access), 2016c. </w:t>
      </w:r>
      <w:r w:rsidRPr="003C1250">
        <w:rPr>
          <w:i/>
        </w:rPr>
        <w:t>Introducing access agreements</w:t>
      </w:r>
      <w:r w:rsidRPr="003C1250">
        <w:t xml:space="preserve">, available: </w:t>
      </w:r>
      <w:r w:rsidRPr="005C49A4">
        <w:t>https://www.offa.org.uk/universities-and-colleges/introducing-access-agreements/</w:t>
      </w:r>
      <w:r w:rsidRPr="003C1250">
        <w:t>.</w:t>
      </w:r>
    </w:p>
    <w:p w14:paraId="2907EBC2" w14:textId="77777777" w:rsidR="00090683" w:rsidRPr="003C1250" w:rsidRDefault="00090683" w:rsidP="00090683">
      <w:pPr>
        <w:pStyle w:val="BodyText"/>
      </w:pPr>
      <w:r w:rsidRPr="003C1250">
        <w:t xml:space="preserve">OFFA (Office for Fair Access), 2014. </w:t>
      </w:r>
      <w:r w:rsidRPr="003C1250">
        <w:rPr>
          <w:i/>
        </w:rPr>
        <w:t>Access agreements for 2015-16: key statistics and analysis</w:t>
      </w:r>
      <w:r w:rsidRPr="003C1250">
        <w:t xml:space="preserve">, July 2014/06, available: </w:t>
      </w:r>
      <w:r w:rsidRPr="005C49A4">
        <w:t>https://www.offa.org.uk/wp-content/uploads/2014/07/Access-agreements-for-2015-16-key-statistics-and-analysis.pdf</w:t>
      </w:r>
      <w:r w:rsidRPr="003C1250">
        <w:t xml:space="preserve">. </w:t>
      </w:r>
    </w:p>
    <w:p w14:paraId="2FEC3EBB" w14:textId="77777777" w:rsidR="00090683" w:rsidRPr="003C1250" w:rsidRDefault="00090683" w:rsidP="00090683">
      <w:pPr>
        <w:pStyle w:val="BodyText"/>
      </w:pPr>
      <w:r w:rsidRPr="003C1250">
        <w:t xml:space="preserve">Universities UK, 2016. </w:t>
      </w:r>
      <w:r w:rsidRPr="003C1250">
        <w:rPr>
          <w:i/>
        </w:rPr>
        <w:t>Social Mobility Advisory Group Progress Report 1</w:t>
      </w:r>
      <w:r w:rsidRPr="003C1250">
        <w:t xml:space="preserve">, 4 March, available: </w:t>
      </w:r>
      <w:r w:rsidRPr="005C49A4">
        <w:t>http://www.universitiesuk.ac.uk/policy-and-analysis/reports/Documents/2016/social-mobility-advisory-group-progress-report1.pdf</w:t>
      </w:r>
      <w:r w:rsidRPr="003C1250">
        <w:t>.</w:t>
      </w:r>
    </w:p>
    <w:p w14:paraId="152F49D4" w14:textId="77777777" w:rsidR="00090683" w:rsidRPr="003C1250" w:rsidRDefault="00090683" w:rsidP="00090683">
      <w:pPr>
        <w:pStyle w:val="BodyText"/>
      </w:pPr>
      <w:r w:rsidRPr="003C1250">
        <w:t xml:space="preserve">UK Government, 2016. </w:t>
      </w:r>
      <w:r w:rsidRPr="003C1250">
        <w:rPr>
          <w:i/>
        </w:rPr>
        <w:t>Letter of Guidance from the Secretary of State for Business, Innovation and Skills and the Minister of State for Universities and Science to the Director of Fair Access</w:t>
      </w:r>
      <w:r w:rsidRPr="003C1250">
        <w:t xml:space="preserve">, 11 February, available: </w:t>
      </w:r>
      <w:r w:rsidRPr="005C49A4">
        <w:t>https://www.offa.org.uk/wp-content/uploads/2016/02/11-02-2016-OFFA-Guidance.pdf</w:t>
      </w:r>
      <w:r w:rsidRPr="003C1250">
        <w:t xml:space="preserve">. </w:t>
      </w:r>
    </w:p>
    <w:p w14:paraId="522FFED7" w14:textId="77777777" w:rsidR="00090683" w:rsidRPr="003C1250" w:rsidRDefault="00090683" w:rsidP="00090683">
      <w:pPr>
        <w:pStyle w:val="Heading4"/>
        <w:numPr>
          <w:ilvl w:val="3"/>
          <w:numId w:val="0"/>
        </w:numPr>
        <w:rPr>
          <w:color w:val="auto"/>
        </w:rPr>
      </w:pPr>
      <w:r w:rsidRPr="003C1250">
        <w:rPr>
          <w:color w:val="auto"/>
        </w:rPr>
        <w:t>Scotland</w:t>
      </w:r>
    </w:p>
    <w:p w14:paraId="16505A1F" w14:textId="77777777" w:rsidR="00090683" w:rsidRPr="003C1250" w:rsidRDefault="00090683" w:rsidP="00090683">
      <w:pPr>
        <w:pStyle w:val="BodyText"/>
      </w:pPr>
      <w:r w:rsidRPr="003C1250">
        <w:t xml:space="preserve">SFC (Scottish Funding Council), 2016. </w:t>
      </w:r>
      <w:r w:rsidRPr="003C1250">
        <w:rPr>
          <w:i/>
        </w:rPr>
        <w:t>Impact for Access fund – update</w:t>
      </w:r>
      <w:r w:rsidRPr="003C1250">
        <w:t xml:space="preserve">, AIC/16/04, Agenda item 8, 16 February, available: </w:t>
      </w:r>
      <w:r w:rsidRPr="005C49A4">
        <w:t>http://www.sfc.ac.uk/web/FILES/CMP_AccessandInclusionCommittee16February_17022016/AIC16_04_Impact_for_Access_funds.pdf</w:t>
      </w:r>
      <w:r w:rsidRPr="003C1250">
        <w:t xml:space="preserve">. </w:t>
      </w:r>
    </w:p>
    <w:p w14:paraId="239E0CD6" w14:textId="77777777" w:rsidR="00090683" w:rsidRPr="003C1250" w:rsidRDefault="00090683" w:rsidP="00090683">
      <w:pPr>
        <w:pStyle w:val="BodyText"/>
      </w:pPr>
      <w:r w:rsidRPr="003C1250">
        <w:t xml:space="preserve">SFC (Scottish Funding Council), 2016. </w:t>
      </w:r>
      <w:r w:rsidRPr="003C1250">
        <w:rPr>
          <w:i/>
        </w:rPr>
        <w:t>Schools for Higher Education Programme</w:t>
      </w:r>
      <w:r w:rsidRPr="003C1250">
        <w:t xml:space="preserve">, available: </w:t>
      </w:r>
      <w:r w:rsidRPr="005C49A4">
        <w:t>http://www.sfc.ac.uk/Priorities/Access/SHEP/SchoolsforHigherEducationProgramme.aspx</w:t>
      </w:r>
      <w:r w:rsidRPr="003C1250">
        <w:t xml:space="preserve">. </w:t>
      </w:r>
    </w:p>
    <w:p w14:paraId="015F42B7" w14:textId="77777777" w:rsidR="00090683" w:rsidRPr="003C1250" w:rsidRDefault="00090683" w:rsidP="00090683">
      <w:pPr>
        <w:pStyle w:val="BodyText"/>
      </w:pPr>
      <w:r w:rsidRPr="003C1250">
        <w:t xml:space="preserve">SFC (Scottish Funding Council), 2015. </w:t>
      </w:r>
      <w:r w:rsidRPr="003C1250">
        <w:rPr>
          <w:i/>
        </w:rPr>
        <w:t>University Outcome Agreement Guidance for AY 2014-15 to 2016-17: Refresh</w:t>
      </w:r>
      <w:r w:rsidRPr="003C1250">
        <w:t xml:space="preserve">, SFC Guidance, SFC/GD/16/2015, available: </w:t>
      </w:r>
      <w:r w:rsidRPr="005C49A4">
        <w:t>http://www.sfc.ac.uk/web/FILES/GUI_SFCGD162015_UniversityOutcomeAgreementGuidanceforAY/HE_Outcome_Agreement_Guidance_2016-17.pdf</w:t>
      </w:r>
      <w:r w:rsidRPr="003C1250">
        <w:t xml:space="preserve">. </w:t>
      </w:r>
    </w:p>
    <w:p w14:paraId="3E8F1935" w14:textId="77777777" w:rsidR="00090683" w:rsidRPr="003C1250" w:rsidRDefault="00090683" w:rsidP="00090683">
      <w:pPr>
        <w:pStyle w:val="BodyText"/>
      </w:pPr>
      <w:r w:rsidRPr="003C1250">
        <w:t xml:space="preserve">SFC (Scottish Funding Council), 2014. Learning for All: Measures of Success, Eighth Update, SFC Statistical publication, SFC/ST/06/2014, available: </w:t>
      </w:r>
      <w:r w:rsidRPr="005C49A4">
        <w:t>http://www.sfc.ac.uk/web/FILES/Statistical_publications_SFCST062014_LearningforAlleighthupdatereportonmea/SFCST062014_-_Learning_for_All.pdf</w:t>
      </w:r>
      <w:r w:rsidRPr="003C1250">
        <w:t xml:space="preserve">. </w:t>
      </w:r>
    </w:p>
    <w:p w14:paraId="12C6DEF9" w14:textId="77777777" w:rsidR="00090683" w:rsidRPr="003C1250" w:rsidRDefault="00090683" w:rsidP="00090683">
      <w:pPr>
        <w:pStyle w:val="BodyText"/>
      </w:pPr>
      <w:r w:rsidRPr="003C1250">
        <w:t xml:space="preserve">The Scottish Government, 2016a. </w:t>
      </w:r>
      <w:r w:rsidRPr="003C1250">
        <w:rPr>
          <w:i/>
        </w:rPr>
        <w:t>A Blueprint for Fairness: The Final Report of the Commission on Widening Access</w:t>
      </w:r>
      <w:r w:rsidRPr="003C1250">
        <w:t xml:space="preserve">, 14 March, available: </w:t>
      </w:r>
      <w:r w:rsidRPr="005C49A4">
        <w:t>http://www.gov.scot/Publications/2016/03/1439</w:t>
      </w:r>
      <w:r w:rsidRPr="003C1250">
        <w:t xml:space="preserve">. </w:t>
      </w:r>
    </w:p>
    <w:p w14:paraId="7264B7CB" w14:textId="77777777" w:rsidR="00090683" w:rsidRPr="003C1250" w:rsidRDefault="00090683" w:rsidP="00090683">
      <w:pPr>
        <w:pStyle w:val="BodyText"/>
      </w:pPr>
      <w:r w:rsidRPr="003C1250">
        <w:t xml:space="preserve">The Scottish Government, 2016b. </w:t>
      </w:r>
      <w:r w:rsidRPr="003C1250">
        <w:rPr>
          <w:i/>
        </w:rPr>
        <w:t>Scottish Index of Multiple Deprivation 2016</w:t>
      </w:r>
      <w:r w:rsidRPr="003C1250">
        <w:t xml:space="preserve">, available: </w:t>
      </w:r>
      <w:r w:rsidRPr="005C49A4">
        <w:t>http://www.gov.scot/Topics/Statistics/SIMD</w:t>
      </w:r>
      <w:r w:rsidRPr="003C1250">
        <w:t xml:space="preserve">. </w:t>
      </w:r>
    </w:p>
    <w:p w14:paraId="1CEBCF93" w14:textId="77777777" w:rsidR="00090683" w:rsidRPr="003C1250" w:rsidRDefault="00090683" w:rsidP="00090683">
      <w:pPr>
        <w:pStyle w:val="BodyText"/>
      </w:pPr>
      <w:r w:rsidRPr="003C1250">
        <w:t xml:space="preserve">The Scottish Government, 2015. </w:t>
      </w:r>
      <w:r w:rsidRPr="003C1250">
        <w:rPr>
          <w:i/>
        </w:rPr>
        <w:t>Commission on Widening Access: Interim report</w:t>
      </w:r>
      <w:r w:rsidRPr="003C1250">
        <w:t xml:space="preserve">, 12 November, available: </w:t>
      </w:r>
      <w:r w:rsidRPr="005C49A4">
        <w:t>http://www.gov.scot/Publications/2015/11/9302</w:t>
      </w:r>
      <w:r w:rsidRPr="003C1250">
        <w:t xml:space="preserve">. </w:t>
      </w:r>
    </w:p>
    <w:p w14:paraId="1D86F260" w14:textId="77777777" w:rsidR="00090683" w:rsidRPr="003C1250" w:rsidRDefault="00090683" w:rsidP="00090683">
      <w:pPr>
        <w:pStyle w:val="BodyText"/>
      </w:pPr>
      <w:r w:rsidRPr="003C1250">
        <w:t xml:space="preserve">The Scottish Government, 2014. </w:t>
      </w:r>
      <w:r w:rsidRPr="003C1250">
        <w:rPr>
          <w:i/>
        </w:rPr>
        <w:t>One Scotland – Programme for Government 2014-15</w:t>
      </w:r>
      <w:r w:rsidRPr="003C1250">
        <w:t xml:space="preserve">, 26 November, available: </w:t>
      </w:r>
      <w:r w:rsidRPr="005C49A4">
        <w:t>http://www.gov.scot/About/Performance/programme-for-government/Programme-for-Government-2014-15</w:t>
      </w:r>
      <w:r w:rsidRPr="003C1250">
        <w:t>.</w:t>
      </w:r>
    </w:p>
    <w:p w14:paraId="5D0D1AA6" w14:textId="77777777" w:rsidR="00090683" w:rsidRPr="003C1250" w:rsidRDefault="00090683" w:rsidP="00090683">
      <w:pPr>
        <w:pStyle w:val="BodyText"/>
      </w:pPr>
      <w:r w:rsidRPr="003C1250">
        <w:t xml:space="preserve">Universities Scotland, 2014. </w:t>
      </w:r>
      <w:r w:rsidRPr="003C1250">
        <w:rPr>
          <w:i/>
        </w:rPr>
        <w:t>Access All Areas</w:t>
      </w:r>
      <w:r w:rsidRPr="003C1250">
        <w:t xml:space="preserve">, report, available: </w:t>
      </w:r>
      <w:r w:rsidRPr="005C49A4">
        <w:t>http://www.universities-scotland.ac.uk/publications/access-all-areas-2013/</w:t>
      </w:r>
      <w:r w:rsidRPr="003C1250">
        <w:t xml:space="preserve">. </w:t>
      </w:r>
    </w:p>
    <w:p w14:paraId="5AC440F9" w14:textId="77777777" w:rsidR="00090683" w:rsidRPr="003C1250" w:rsidRDefault="00090683" w:rsidP="00090683">
      <w:pPr>
        <w:pStyle w:val="Heading4"/>
        <w:numPr>
          <w:ilvl w:val="3"/>
          <w:numId w:val="0"/>
        </w:numPr>
        <w:rPr>
          <w:color w:val="auto"/>
        </w:rPr>
      </w:pPr>
      <w:r w:rsidRPr="003C1250">
        <w:rPr>
          <w:color w:val="auto"/>
        </w:rPr>
        <w:t>Ireland</w:t>
      </w:r>
    </w:p>
    <w:p w14:paraId="35FD7529" w14:textId="77777777" w:rsidR="00090683" w:rsidRPr="003C1250" w:rsidRDefault="00090683" w:rsidP="00090683">
      <w:pPr>
        <w:pStyle w:val="BodyText"/>
      </w:pPr>
      <w:r w:rsidRPr="003C1250">
        <w:t xml:space="preserve">Central Statistics Office, 2011. </w:t>
      </w:r>
      <w:r w:rsidRPr="003C1250">
        <w:rPr>
          <w:i/>
        </w:rPr>
        <w:t>Census 2011 Profile 3 At Work - Employment, Occupations and Industry</w:t>
      </w:r>
      <w:r w:rsidRPr="003C1250">
        <w:t xml:space="preserve">, available: </w:t>
      </w:r>
      <w:r w:rsidRPr="005C49A4">
        <w:t>http://www.cso.ie/en/census/census2011reports/census2011profile3atwork-employmentoccupationsandindustry/</w:t>
      </w:r>
      <w:r w:rsidRPr="003C1250">
        <w:t xml:space="preserve">. </w:t>
      </w:r>
    </w:p>
    <w:p w14:paraId="57848487" w14:textId="77777777" w:rsidR="00090683" w:rsidRPr="003C1250" w:rsidRDefault="00090683" w:rsidP="00090683">
      <w:pPr>
        <w:pStyle w:val="BodyText"/>
      </w:pPr>
      <w:r w:rsidRPr="003C1250">
        <w:t xml:space="preserve">Department of Justice and Equality, 2016. </w:t>
      </w:r>
      <w:r w:rsidRPr="003C1250">
        <w:rPr>
          <w:i/>
        </w:rPr>
        <w:t>Traveller and Roma Inclusion</w:t>
      </w:r>
      <w:r w:rsidRPr="003C1250">
        <w:t xml:space="preserve">, available: </w:t>
      </w:r>
      <w:r w:rsidRPr="005C49A4">
        <w:t>http://www.justice.ie/en/JELR/Pages/traveller_and_roma_inclusion</w:t>
      </w:r>
      <w:r w:rsidRPr="003C1250">
        <w:t xml:space="preserve">. </w:t>
      </w:r>
    </w:p>
    <w:p w14:paraId="11DD18B2" w14:textId="77777777" w:rsidR="00090683" w:rsidRPr="003C1250" w:rsidRDefault="00090683" w:rsidP="00090683">
      <w:pPr>
        <w:pStyle w:val="BodyText"/>
      </w:pPr>
      <w:r w:rsidRPr="003C1250">
        <w:t xml:space="preserve">European Commission/EACEA/Eurydice, 2014. </w:t>
      </w:r>
      <w:r w:rsidRPr="003C1250">
        <w:rPr>
          <w:i/>
        </w:rPr>
        <w:t>Modernisation of Higher Education in Europe: Access, Retention and Employability 2014</w:t>
      </w:r>
      <w:r w:rsidRPr="003C1250">
        <w:t>, Eurydice Report. Luxembourg: Publications Office of the European Union.</w:t>
      </w:r>
    </w:p>
    <w:p w14:paraId="6A091C7C" w14:textId="77777777" w:rsidR="00090683" w:rsidRPr="003C1250" w:rsidRDefault="00090683" w:rsidP="00090683">
      <w:pPr>
        <w:pStyle w:val="BodyText"/>
      </w:pPr>
      <w:r w:rsidRPr="003C1250">
        <w:t xml:space="preserve">Government of Ireland, 1971. </w:t>
      </w:r>
      <w:r w:rsidRPr="003C1250">
        <w:rPr>
          <w:i/>
        </w:rPr>
        <w:t>Higher Education Authority Act, 1971</w:t>
      </w:r>
      <w:r w:rsidRPr="003C1250">
        <w:t xml:space="preserve">, available: </w:t>
      </w:r>
      <w:r w:rsidRPr="005C49A4">
        <w:t>http://www.irishstatutebook.ie/eli/1971/act/22/</w:t>
      </w:r>
      <w:r w:rsidRPr="003C1250">
        <w:t xml:space="preserve">. </w:t>
      </w:r>
    </w:p>
    <w:p w14:paraId="7A96A73F" w14:textId="77777777" w:rsidR="00090683" w:rsidRPr="003C1250" w:rsidRDefault="00090683" w:rsidP="00090683">
      <w:pPr>
        <w:pStyle w:val="BodyText"/>
      </w:pPr>
      <w:r w:rsidRPr="003C1250">
        <w:t xml:space="preserve">HEA (Higher Education Authority), 2016a. </w:t>
      </w:r>
      <w:r w:rsidRPr="003C1250">
        <w:rPr>
          <w:i/>
        </w:rPr>
        <w:t>Free fees initiative</w:t>
      </w:r>
      <w:r w:rsidRPr="003C1250">
        <w:t xml:space="preserve">, Course Fees information, studentfinance.ie, available: </w:t>
      </w:r>
      <w:r w:rsidRPr="005C49A4">
        <w:t>http://www.studentfinance.ie/mp9377/course-fees/index.html</w:t>
      </w:r>
      <w:r w:rsidRPr="003C1250">
        <w:t xml:space="preserve">. </w:t>
      </w:r>
    </w:p>
    <w:p w14:paraId="009B12CD" w14:textId="77777777" w:rsidR="00090683" w:rsidRPr="003C1250" w:rsidRDefault="00090683" w:rsidP="00090683">
      <w:pPr>
        <w:pStyle w:val="BodyText"/>
      </w:pPr>
      <w:r w:rsidRPr="003C1250">
        <w:t xml:space="preserve">HEA (Higher Education Authority), 2016b. </w:t>
      </w:r>
      <w:r w:rsidRPr="003C1250">
        <w:rPr>
          <w:i/>
        </w:rPr>
        <w:t>Policy Overview</w:t>
      </w:r>
      <w:r w:rsidRPr="003C1250">
        <w:t xml:space="preserve">, available: </w:t>
      </w:r>
      <w:r w:rsidRPr="005C49A4">
        <w:t>http://www.hea.ie/en/policy/overview</w:t>
      </w:r>
      <w:r w:rsidRPr="003C1250">
        <w:t xml:space="preserve">. </w:t>
      </w:r>
    </w:p>
    <w:p w14:paraId="582D0023" w14:textId="77777777" w:rsidR="00090683" w:rsidRPr="003C1250" w:rsidRDefault="00090683" w:rsidP="00090683">
      <w:pPr>
        <w:pStyle w:val="BodyText"/>
      </w:pPr>
      <w:r w:rsidRPr="003C1250">
        <w:t xml:space="preserve">HEA (Higher Education Authority), 2015. </w:t>
      </w:r>
      <w:r w:rsidRPr="003C1250">
        <w:rPr>
          <w:i/>
        </w:rPr>
        <w:t>National Plan for Equity of Access to Higher Education 2015-2019</w:t>
      </w:r>
      <w:r w:rsidRPr="003C1250">
        <w:t xml:space="preserve">, available: </w:t>
      </w:r>
      <w:r w:rsidRPr="005C49A4">
        <w:t>http://www.hea.ie/en/policy/national-access-office/national-plans-equity-access-higher-education/2015-2019-access-plan</w:t>
      </w:r>
      <w:r w:rsidRPr="003C1250">
        <w:t>.</w:t>
      </w:r>
    </w:p>
    <w:p w14:paraId="516B2B5C" w14:textId="77777777" w:rsidR="00090683" w:rsidRPr="003C1250" w:rsidRDefault="00090683" w:rsidP="00090683">
      <w:pPr>
        <w:pStyle w:val="BodyText"/>
      </w:pPr>
      <w:r w:rsidRPr="003C1250">
        <w:t xml:space="preserve">HEA (Higher Education Authority), 2014. </w:t>
      </w:r>
      <w:r w:rsidRPr="003C1250">
        <w:rPr>
          <w:i/>
        </w:rPr>
        <w:t>RGAM Summary 2014 Final</w:t>
      </w:r>
      <w:r w:rsidRPr="003C1250">
        <w:t xml:space="preserve">, available: </w:t>
      </w:r>
      <w:r w:rsidRPr="005C49A4">
        <w:t>http://www.hea.ie/node/1045</w:t>
      </w:r>
      <w:r w:rsidRPr="003C1250">
        <w:t xml:space="preserve">. </w:t>
      </w:r>
    </w:p>
    <w:p w14:paraId="176B5C44" w14:textId="77777777" w:rsidR="00090683" w:rsidRPr="003C1250" w:rsidRDefault="00090683" w:rsidP="00090683">
      <w:pPr>
        <w:pStyle w:val="BodyText"/>
      </w:pPr>
      <w:r w:rsidRPr="003C1250">
        <w:t xml:space="preserve">HEA (Higher Education Authority), 2013. </w:t>
      </w:r>
      <w:r w:rsidRPr="003C1250">
        <w:rPr>
          <w:i/>
        </w:rPr>
        <w:t>Strategic Innovation Fund: Outputs &amp; Outcomes</w:t>
      </w:r>
      <w:r w:rsidRPr="003C1250">
        <w:t xml:space="preserve">, available: </w:t>
      </w:r>
      <w:r w:rsidRPr="005C49A4">
        <w:t>http://www.hea.ie/sites/default/files/strategic_innovation_fund_-_outputs_outcomes_report_2013_final.pdf</w:t>
      </w:r>
      <w:r w:rsidRPr="003C1250">
        <w:t xml:space="preserve">. </w:t>
      </w:r>
    </w:p>
    <w:p w14:paraId="0CBF4924" w14:textId="77777777" w:rsidR="00090683" w:rsidRPr="003C1250" w:rsidRDefault="00090683" w:rsidP="00090683">
      <w:pPr>
        <w:pStyle w:val="BodyText"/>
      </w:pPr>
      <w:r w:rsidRPr="003C1250">
        <w:t xml:space="preserve">Keane, E., 2013. </w:t>
      </w:r>
      <w:r w:rsidRPr="003C1250">
        <w:rPr>
          <w:i/>
        </w:rPr>
        <w:t>Widening Participation in Higher Education in the Republic of Ireland: Report submitted to HEFCE and OFFA</w:t>
      </w:r>
      <w:r w:rsidRPr="003C1250">
        <w:t xml:space="preserve">, Edge Hill University and CFE, available: </w:t>
      </w:r>
      <w:r w:rsidRPr="005C49A4">
        <w:t>http://www.hefce.ac.uk/pubs/rereports/year/2013/wpeffectiveness/</w:t>
      </w:r>
      <w:r w:rsidRPr="003C1250">
        <w:t xml:space="preserve">. </w:t>
      </w:r>
    </w:p>
    <w:p w14:paraId="2165928B" w14:textId="77777777" w:rsidR="00090683" w:rsidRPr="003C1250" w:rsidRDefault="00090683" w:rsidP="00090683">
      <w:pPr>
        <w:pStyle w:val="Heading4"/>
        <w:numPr>
          <w:ilvl w:val="3"/>
          <w:numId w:val="0"/>
        </w:numPr>
        <w:rPr>
          <w:color w:val="auto"/>
        </w:rPr>
      </w:pPr>
      <w:r w:rsidRPr="003C1250">
        <w:rPr>
          <w:color w:val="auto"/>
        </w:rPr>
        <w:t>United States</w:t>
      </w:r>
    </w:p>
    <w:p w14:paraId="50B39545" w14:textId="77777777" w:rsidR="00090683" w:rsidRPr="003C1250" w:rsidRDefault="00090683" w:rsidP="00090683">
      <w:pPr>
        <w:pStyle w:val="BodyText"/>
      </w:pPr>
      <w:r w:rsidRPr="003C1250">
        <w:t xml:space="preserve">Cahalan, M., 2013. </w:t>
      </w:r>
      <w:r w:rsidRPr="003C1250">
        <w:rPr>
          <w:i/>
        </w:rPr>
        <w:t>Widening Participation in Higher Education in the United States of America: Report submitted to HEFCE and OFFA</w:t>
      </w:r>
      <w:r w:rsidRPr="003C1250">
        <w:t xml:space="preserve">, Edge Hill University and CFE, available: </w:t>
      </w:r>
      <w:r w:rsidRPr="005C49A4">
        <w:t>http://www.hefce.ac.uk/pubs/rereports/year/2013/wpeffectiveness/</w:t>
      </w:r>
      <w:r w:rsidRPr="003C1250">
        <w:t>.</w:t>
      </w:r>
    </w:p>
    <w:p w14:paraId="14724971" w14:textId="77777777" w:rsidR="00090683" w:rsidRPr="003C1250" w:rsidRDefault="00090683" w:rsidP="00090683">
      <w:pPr>
        <w:pStyle w:val="BodyText"/>
      </w:pPr>
      <w:r w:rsidRPr="003C1250">
        <w:t xml:space="preserve">IES (Institute of Education Sciences), 2016. </w:t>
      </w:r>
      <w:r w:rsidRPr="003C1250">
        <w:rPr>
          <w:i/>
        </w:rPr>
        <w:t>What Works Clearinghouse – About Us</w:t>
      </w:r>
      <w:r w:rsidRPr="003C1250">
        <w:t xml:space="preserve">, available: </w:t>
      </w:r>
      <w:r w:rsidRPr="005C49A4">
        <w:t>http://ies.ed.gov/ncee/wwc/aboutus.aspx</w:t>
      </w:r>
      <w:r w:rsidRPr="003C1250">
        <w:t xml:space="preserve">. </w:t>
      </w:r>
    </w:p>
    <w:p w14:paraId="7F783190" w14:textId="77777777" w:rsidR="00090683" w:rsidRPr="003C1250" w:rsidRDefault="00090683" w:rsidP="00090683">
      <w:pPr>
        <w:pStyle w:val="BodyText"/>
      </w:pPr>
      <w:r w:rsidRPr="003C1250">
        <w:t xml:space="preserve">NCES (National Center for Education Statistics), 2016. </w:t>
      </w:r>
      <w:r w:rsidRPr="003C1250">
        <w:rPr>
          <w:i/>
        </w:rPr>
        <w:t>Fast facts: Educational institutions</w:t>
      </w:r>
      <w:r w:rsidRPr="003C1250">
        <w:t xml:space="preserve">, available: </w:t>
      </w:r>
      <w:r w:rsidRPr="005C49A4">
        <w:t>http://nces.ed.gov/fastfacts/display.asp?id=84</w:t>
      </w:r>
      <w:r w:rsidRPr="003C1250">
        <w:t xml:space="preserve">. </w:t>
      </w:r>
    </w:p>
    <w:p w14:paraId="41126663" w14:textId="77777777" w:rsidR="00090683" w:rsidRPr="003C1250" w:rsidRDefault="00090683" w:rsidP="00090683">
      <w:pPr>
        <w:pStyle w:val="BodyText"/>
      </w:pPr>
      <w:r w:rsidRPr="003C1250">
        <w:t xml:space="preserve">OPE (Office of Postsecondary Education), 2016a. </w:t>
      </w:r>
      <w:r w:rsidRPr="003C1250">
        <w:rPr>
          <w:i/>
        </w:rPr>
        <w:t>About OPE</w:t>
      </w:r>
      <w:r w:rsidRPr="003C1250">
        <w:t xml:space="preserve">, available: </w:t>
      </w:r>
      <w:r w:rsidRPr="005C49A4">
        <w:t>http://www2.ed.gov/about/offices/list/ope/index.html</w:t>
      </w:r>
      <w:r w:rsidRPr="003C1250">
        <w:t>.</w:t>
      </w:r>
    </w:p>
    <w:p w14:paraId="79EEAE37" w14:textId="77777777" w:rsidR="00090683" w:rsidRPr="003C1250" w:rsidRDefault="00090683" w:rsidP="00090683">
      <w:pPr>
        <w:pStyle w:val="BodyText"/>
      </w:pPr>
      <w:r w:rsidRPr="003C1250">
        <w:t xml:space="preserve">OPE (Office of Postsecondary Education), 2016b. </w:t>
      </w:r>
      <w:r w:rsidRPr="003C1250">
        <w:rPr>
          <w:i/>
        </w:rPr>
        <w:t>Institutional Service – Home Page</w:t>
      </w:r>
      <w:r w:rsidRPr="003C1250">
        <w:t xml:space="preserve">, available: </w:t>
      </w:r>
      <w:r w:rsidRPr="005C49A4">
        <w:t>http://www2.ed.gov/about/offices/list/ope/idues/index.html</w:t>
      </w:r>
      <w:r w:rsidRPr="003C1250">
        <w:t xml:space="preserve">. </w:t>
      </w:r>
    </w:p>
    <w:p w14:paraId="549E7468" w14:textId="77777777" w:rsidR="00090683" w:rsidRPr="003C1250" w:rsidRDefault="00090683" w:rsidP="00090683">
      <w:pPr>
        <w:pStyle w:val="BodyText"/>
      </w:pPr>
      <w:r w:rsidRPr="003C1250">
        <w:t xml:space="preserve">OPE (Office of Postsecondary Education), 2016c. </w:t>
      </w:r>
      <w:r w:rsidRPr="003C1250">
        <w:rPr>
          <w:i/>
        </w:rPr>
        <w:t>Federal TRIO Programs – Current-Year Low-Income Levels</w:t>
      </w:r>
      <w:r w:rsidRPr="003C1250">
        <w:t xml:space="preserve">, available: </w:t>
      </w:r>
      <w:r w:rsidRPr="005C49A4">
        <w:t>http://www2.ed.gov/about/offices/list/ope/trio/incomelevels.html</w:t>
      </w:r>
      <w:r w:rsidRPr="003C1250">
        <w:t xml:space="preserve">. </w:t>
      </w:r>
    </w:p>
    <w:p w14:paraId="5DE4A082" w14:textId="77777777" w:rsidR="00090683" w:rsidRPr="003C1250" w:rsidRDefault="00090683" w:rsidP="00090683">
      <w:pPr>
        <w:pStyle w:val="BodyText"/>
      </w:pPr>
      <w:r w:rsidRPr="003C1250">
        <w:t xml:space="preserve">OPE (Office of Postsecondary Education), 2016d. </w:t>
      </w:r>
      <w:r w:rsidRPr="003C1250">
        <w:rPr>
          <w:i/>
        </w:rPr>
        <w:t>Federal TRIO Programs – Home Page</w:t>
      </w:r>
      <w:r w:rsidRPr="003C1250">
        <w:t xml:space="preserve">, available: </w:t>
      </w:r>
      <w:r w:rsidRPr="005C49A4">
        <w:t>http://www2.ed.gov/about/offices/list/ope/trio/index.html</w:t>
      </w:r>
      <w:r w:rsidRPr="003C1250">
        <w:t xml:space="preserve">. </w:t>
      </w:r>
    </w:p>
    <w:p w14:paraId="26EE7631" w14:textId="77777777" w:rsidR="00090683" w:rsidRPr="003C1250" w:rsidRDefault="00090683" w:rsidP="00090683">
      <w:pPr>
        <w:pStyle w:val="BodyText"/>
      </w:pPr>
      <w:r w:rsidRPr="003C1250">
        <w:t xml:space="preserve">OPE (Office of Postsecondary Education), 2016e. </w:t>
      </w:r>
      <w:r w:rsidRPr="003C1250">
        <w:rPr>
          <w:i/>
        </w:rPr>
        <w:t>Gaining Early Awareness and Readiness for Undergraduate Programs (GEAR UP)</w:t>
      </w:r>
      <w:r w:rsidRPr="003C1250">
        <w:t xml:space="preserve">, available: </w:t>
      </w:r>
      <w:r w:rsidRPr="005C49A4">
        <w:t>http://www2.ed.gov/programs/gearup/index.html</w:t>
      </w:r>
      <w:r w:rsidRPr="003C1250">
        <w:t xml:space="preserve">. </w:t>
      </w:r>
    </w:p>
    <w:p w14:paraId="2538FCE9" w14:textId="77777777" w:rsidR="00090683" w:rsidRPr="003C1250" w:rsidRDefault="00090683" w:rsidP="00090683">
      <w:pPr>
        <w:pStyle w:val="BodyText"/>
      </w:pPr>
      <w:r w:rsidRPr="003C1250">
        <w:t xml:space="preserve">U.S. Department of Education, 2016. </w:t>
      </w:r>
      <w:r w:rsidRPr="003C1250">
        <w:rPr>
          <w:i/>
        </w:rPr>
        <w:t>Promising and Practical Strategies to Increase Postsecondary Success</w:t>
      </w:r>
      <w:r w:rsidRPr="003C1250">
        <w:t xml:space="preserve">, available: </w:t>
      </w:r>
      <w:r w:rsidRPr="005C49A4">
        <w:t>http://www.ed.gov/college-completion/promising-strategies</w:t>
      </w:r>
      <w:r w:rsidRPr="003C1250">
        <w:t>.</w:t>
      </w:r>
    </w:p>
    <w:p w14:paraId="164B3896" w14:textId="77777777" w:rsidR="00090683" w:rsidRPr="003C1250" w:rsidRDefault="00090683" w:rsidP="00090683">
      <w:pPr>
        <w:pStyle w:val="Heading4"/>
        <w:numPr>
          <w:ilvl w:val="3"/>
          <w:numId w:val="0"/>
        </w:numPr>
        <w:rPr>
          <w:color w:val="auto"/>
        </w:rPr>
      </w:pPr>
      <w:r w:rsidRPr="003C1250">
        <w:rPr>
          <w:color w:val="auto"/>
        </w:rPr>
        <w:t>Ontario, Canada</w:t>
      </w:r>
    </w:p>
    <w:p w14:paraId="5EC67FF9" w14:textId="77777777" w:rsidR="00090683" w:rsidRPr="003C1250" w:rsidRDefault="00090683" w:rsidP="00090683">
      <w:pPr>
        <w:pStyle w:val="BodyText"/>
      </w:pPr>
      <w:r w:rsidRPr="003C1250">
        <w:t xml:space="preserve">Doran, J., Ferguson, A., Khan, G., Ryu, G., Naimool, D., Hanson, M., and Childs, R., 2015. </w:t>
      </w:r>
      <w:r w:rsidRPr="003C1250">
        <w:rPr>
          <w:i/>
        </w:rPr>
        <w:t>What are Ontario’s universities doing to improve access for under-represented groups?</w:t>
      </w:r>
      <w:r w:rsidRPr="003C1250">
        <w:t xml:space="preserve"> Toronto: HEQCO (Higher Education Quality Council of Ontario).</w:t>
      </w:r>
    </w:p>
    <w:p w14:paraId="0028571E" w14:textId="77777777" w:rsidR="00090683" w:rsidRPr="003C1250" w:rsidRDefault="00090683" w:rsidP="00090683">
      <w:pPr>
        <w:pStyle w:val="BodyText"/>
      </w:pPr>
      <w:r w:rsidRPr="003C1250">
        <w:t xml:space="preserve">Finnie, R., Childs, S. and Wismer, A., 2011. </w:t>
      </w:r>
      <w:r w:rsidRPr="003C1250">
        <w:rPr>
          <w:i/>
        </w:rPr>
        <w:t>Under-represented groups in postsecondary education in Ontario: Evidence from the Youth in Transition Survey</w:t>
      </w:r>
      <w:r w:rsidRPr="003C1250">
        <w:t>. Toronto: HEQCO (Higher Education Quality Council of Ontario).</w:t>
      </w:r>
    </w:p>
    <w:p w14:paraId="26A2BD57" w14:textId="77777777" w:rsidR="00090683" w:rsidRPr="003C1250" w:rsidRDefault="00090683" w:rsidP="00090683">
      <w:pPr>
        <w:pStyle w:val="BodyText"/>
      </w:pPr>
      <w:r w:rsidRPr="003C1250">
        <w:t xml:space="preserve">Government of Ontario, 2016. </w:t>
      </w:r>
      <w:r w:rsidRPr="003C1250">
        <w:rPr>
          <w:i/>
        </w:rPr>
        <w:t>Go to college or university in Ontario</w:t>
      </w:r>
      <w:r w:rsidRPr="003C1250">
        <w:t xml:space="preserve">, available: </w:t>
      </w:r>
      <w:r w:rsidRPr="005C49A4">
        <w:t>https://www.ontario.ca/page/go-college-or-university-ontario</w:t>
      </w:r>
      <w:r w:rsidRPr="003C1250">
        <w:t xml:space="preserve">. </w:t>
      </w:r>
    </w:p>
    <w:p w14:paraId="4C468939" w14:textId="77777777" w:rsidR="00090683" w:rsidRPr="003C1250" w:rsidRDefault="00090683" w:rsidP="00090683">
      <w:pPr>
        <w:pStyle w:val="BodyText"/>
      </w:pPr>
      <w:r w:rsidRPr="003C1250">
        <w:t xml:space="preserve">Government of Ontario, 2013. Ontario’s Differentiation Policy Framework for Postsecondary Education, November, available: </w:t>
      </w:r>
      <w:r w:rsidRPr="005C49A4">
        <w:t>http://www.tcu.gov.on.ca/pepg/publications/PolicyFramework_PostSec.pdf</w:t>
      </w:r>
      <w:r w:rsidRPr="003C1250">
        <w:t xml:space="preserve">. </w:t>
      </w:r>
    </w:p>
    <w:p w14:paraId="490B3708" w14:textId="77777777" w:rsidR="00090683" w:rsidRPr="003C1250" w:rsidRDefault="00090683" w:rsidP="00090683">
      <w:pPr>
        <w:pStyle w:val="BodyText"/>
      </w:pPr>
      <w:r w:rsidRPr="003C1250">
        <w:t xml:space="preserve">HEQCO (Higher Education Quality Council of Ontario), 2016. </w:t>
      </w:r>
      <w:r w:rsidRPr="003C1250">
        <w:rPr>
          <w:i/>
        </w:rPr>
        <w:t>Access and Retention Consortium</w:t>
      </w:r>
      <w:r w:rsidRPr="003C1250">
        <w:t xml:space="preserve">, available: </w:t>
      </w:r>
      <w:r w:rsidRPr="005C49A4">
        <w:t>http://www.heqco.ca/en-ca/OurPriorities/Access/Pages/Access-and-Retention-Consortium.aspx</w:t>
      </w:r>
      <w:r w:rsidRPr="003C1250">
        <w:t>.</w:t>
      </w:r>
    </w:p>
    <w:p w14:paraId="4E4B1A41" w14:textId="77777777" w:rsidR="00090683" w:rsidRPr="003C1250" w:rsidRDefault="00090683" w:rsidP="00090683">
      <w:pPr>
        <w:pStyle w:val="BodyText"/>
      </w:pPr>
      <w:r w:rsidRPr="003C1250">
        <w:t xml:space="preserve">Indspire, 2016. </w:t>
      </w:r>
      <w:r w:rsidRPr="003C1250">
        <w:rPr>
          <w:i/>
        </w:rPr>
        <w:t>About Indspire</w:t>
      </w:r>
      <w:r w:rsidRPr="003C1250">
        <w:t xml:space="preserve">, available: </w:t>
      </w:r>
      <w:r w:rsidRPr="005C49A4">
        <w:t>http://indspire.ca/about-indspire/</w:t>
      </w:r>
      <w:r w:rsidRPr="003C1250">
        <w:t xml:space="preserve">. </w:t>
      </w:r>
    </w:p>
    <w:p w14:paraId="323AFC1E" w14:textId="77777777" w:rsidR="00090683" w:rsidRPr="003C1250" w:rsidRDefault="00090683" w:rsidP="00090683">
      <w:pPr>
        <w:pStyle w:val="BodyText"/>
      </w:pPr>
      <w:r w:rsidRPr="003C1250">
        <w:t xml:space="preserve">Indspire, 2015. </w:t>
      </w:r>
      <w:r w:rsidRPr="003C1250">
        <w:rPr>
          <w:i/>
        </w:rPr>
        <w:t>Creating Positive Outcomes: Graduation and Employment Rates of Indspire’s Financial Award Recipients</w:t>
      </w:r>
      <w:r w:rsidRPr="003C1250">
        <w:t xml:space="preserve">, February, available: </w:t>
      </w:r>
      <w:r w:rsidRPr="005C49A4">
        <w:t>http://indspire.ca/wp-content/uploads/2015/02/Indspire-Creating-Positive-Outcomes-Report-February-2015.pdf</w:t>
      </w:r>
      <w:r w:rsidRPr="003C1250">
        <w:t xml:space="preserve">.  </w:t>
      </w:r>
    </w:p>
    <w:p w14:paraId="1BE6CFD6" w14:textId="77777777" w:rsidR="00090683" w:rsidRPr="003C1250" w:rsidRDefault="00090683" w:rsidP="00090683">
      <w:pPr>
        <w:pStyle w:val="BodyText"/>
      </w:pPr>
      <w:r w:rsidRPr="003C1250">
        <w:t xml:space="preserve">Ministry of Advanced Education and Skills Development, 2014. </w:t>
      </w:r>
      <w:r w:rsidRPr="003C1250">
        <w:rPr>
          <w:i/>
        </w:rPr>
        <w:t>Building a Stronger Postsecondary Education System: Strategic Mandate Agreements Highlight Strengths of Colleges, Universities</w:t>
      </w:r>
      <w:r w:rsidRPr="003C1250">
        <w:t xml:space="preserve">, available: </w:t>
      </w:r>
      <w:r w:rsidRPr="005C49A4">
        <w:t>https://news.ontario.ca/maesd/en/2014/08/building-a-stronger-postsecondary-education-system.html</w:t>
      </w:r>
      <w:r w:rsidRPr="003C1250">
        <w:t xml:space="preserve">. </w:t>
      </w:r>
    </w:p>
    <w:p w14:paraId="00BFFC6B" w14:textId="77777777" w:rsidR="00090683" w:rsidRPr="003C1250" w:rsidRDefault="00090683" w:rsidP="00090683">
      <w:pPr>
        <w:pStyle w:val="BodyText"/>
      </w:pPr>
      <w:r w:rsidRPr="003C1250">
        <w:t xml:space="preserve">Ministry of Finance, 2016. </w:t>
      </w:r>
      <w:r w:rsidRPr="003C1250">
        <w:rPr>
          <w:i/>
        </w:rPr>
        <w:t>Improving Access to Postsecondary Education: Backgrounder</w:t>
      </w:r>
      <w:r w:rsidRPr="003C1250">
        <w:t xml:space="preserve">, 2016 Ontario Budget: Jobs for Today and Tomorrow, available: </w:t>
      </w:r>
      <w:r w:rsidRPr="005C49A4">
        <w:t>http://www.fin.gov.on.ca/en/budget/ontariobudgets/2016/bk1.html</w:t>
      </w:r>
      <w:r w:rsidRPr="003C1250">
        <w:t xml:space="preserve">. </w:t>
      </w:r>
    </w:p>
    <w:p w14:paraId="604346C6" w14:textId="77777777" w:rsidR="00090683" w:rsidRPr="003C1250" w:rsidRDefault="00090683" w:rsidP="00090683">
      <w:pPr>
        <w:pStyle w:val="BodyText"/>
      </w:pPr>
      <w:r w:rsidRPr="003C1250">
        <w:t xml:space="preserve">Ministry of Training, Colleges and Universities, 2015. </w:t>
      </w:r>
      <w:r w:rsidRPr="003C1250">
        <w:rPr>
          <w:i/>
        </w:rPr>
        <w:t>Overview of the Current University Funding Model</w:t>
      </w:r>
      <w:r w:rsidRPr="003C1250">
        <w:t xml:space="preserve">, Open Briefing, 27 April, available: </w:t>
      </w:r>
      <w:r w:rsidRPr="005C49A4">
        <w:t>http://www.tcu.gov.on.ca/pepg/audiences/universities/uff/uff_overview.pdf</w:t>
      </w:r>
      <w:r w:rsidRPr="003C1250">
        <w:t xml:space="preserve">. </w:t>
      </w:r>
    </w:p>
    <w:p w14:paraId="0FFEF2B9" w14:textId="77777777" w:rsidR="00090683" w:rsidRPr="003C1250" w:rsidRDefault="00090683" w:rsidP="00090683">
      <w:pPr>
        <w:pStyle w:val="BodyText"/>
      </w:pPr>
      <w:r w:rsidRPr="003C1250">
        <w:t xml:space="preserve">Norrie, K. and Zhao, H., 2011. </w:t>
      </w:r>
      <w:r w:rsidRPr="003C1250">
        <w:rPr>
          <w:i/>
        </w:rPr>
        <w:t>An Overview of PSE Accessibility in Ontario.</w:t>
      </w:r>
      <w:r w:rsidRPr="003C1250">
        <w:t xml:space="preserve"> Toronto: Higher Education Quality Council of Ontario.</w:t>
      </w:r>
    </w:p>
    <w:p w14:paraId="42B26B83" w14:textId="77777777" w:rsidR="00090683" w:rsidRPr="003C1250" w:rsidRDefault="00090683" w:rsidP="00090683">
      <w:pPr>
        <w:pStyle w:val="BodyText"/>
      </w:pPr>
      <w:r w:rsidRPr="003C1250">
        <w:t xml:space="preserve">Rae, B., 2005. </w:t>
      </w:r>
      <w:r w:rsidRPr="003C1250">
        <w:rPr>
          <w:i/>
        </w:rPr>
        <w:t>Ontario: A leader in learning: Report and recommendations</w:t>
      </w:r>
      <w:r w:rsidRPr="003C1250">
        <w:t xml:space="preserve">. Toronto: Queen’s Printer. </w:t>
      </w:r>
    </w:p>
    <w:p w14:paraId="51D3654B" w14:textId="77777777" w:rsidR="00090683" w:rsidRPr="003C1250" w:rsidRDefault="00090683" w:rsidP="00090683">
      <w:pPr>
        <w:pStyle w:val="BodyText"/>
      </w:pPr>
      <w:r w:rsidRPr="003C1250">
        <w:t>Standing Senate Committee on Social Affairs, Science and Technology, 2011. Opening the Door: Reducing Barriers to Post-Secondary Education in Canada, December, Government of Canada.</w:t>
      </w:r>
    </w:p>
    <w:p w14:paraId="35E1CCE2" w14:textId="77777777" w:rsidR="00090683" w:rsidRPr="003C1250" w:rsidRDefault="00090683" w:rsidP="00090683">
      <w:pPr>
        <w:pStyle w:val="BodyText"/>
      </w:pPr>
      <w:r w:rsidRPr="003C1250">
        <w:t xml:space="preserve">Weingarten, H., Hicks, M., Jonker, L., Smith, C. and Arnold, H., 2015, </w:t>
      </w:r>
      <w:r w:rsidRPr="003C1250">
        <w:rPr>
          <w:i/>
        </w:rPr>
        <w:t>Canadian Postsecondary Performance: Impact 2015</w:t>
      </w:r>
      <w:r w:rsidRPr="003C1250">
        <w:t xml:space="preserve">, HEQCO (Higher Education Quality Council of Ontario), available: </w:t>
      </w:r>
      <w:r w:rsidRPr="005C49A4">
        <w:t>http://www.heqco.ca/en-ca/Research/ResPub/Pages/Canadian-Postsecondary-Performance---Impact-2015.aspx</w:t>
      </w:r>
      <w:r w:rsidRPr="003C1250">
        <w:t xml:space="preserve">. </w:t>
      </w:r>
    </w:p>
    <w:p w14:paraId="327DBD63" w14:textId="77777777" w:rsidR="00090683" w:rsidRPr="003C1250" w:rsidRDefault="00090683" w:rsidP="00090683">
      <w:pPr>
        <w:tabs>
          <w:tab w:val="left" w:pos="1285"/>
        </w:tabs>
      </w:pPr>
    </w:p>
    <w:p w14:paraId="1CD75D27" w14:textId="77777777" w:rsidR="00090683" w:rsidRPr="001A2F85" w:rsidRDefault="00090683" w:rsidP="00090683">
      <w:pPr>
        <w:tabs>
          <w:tab w:val="left" w:pos="1285"/>
        </w:tabs>
      </w:pPr>
    </w:p>
    <w:p w14:paraId="0D1D6103" w14:textId="77777777" w:rsidR="00090683" w:rsidRPr="001A2F85" w:rsidRDefault="00090683" w:rsidP="00090683">
      <w:pPr>
        <w:tabs>
          <w:tab w:val="left" w:pos="1285"/>
        </w:tabs>
        <w:sectPr w:rsidR="00090683" w:rsidRPr="001A2F85" w:rsidSect="000B6604">
          <w:pgSz w:w="11907" w:h="16839" w:code="9"/>
          <w:pgMar w:top="1100" w:right="443" w:bottom="1320" w:left="3296" w:header="456" w:footer="262" w:gutter="0"/>
          <w:cols w:space="708"/>
          <w:docGrid w:linePitch="360"/>
        </w:sectPr>
      </w:pPr>
      <w:r w:rsidRPr="001A2F85">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8"/>
        <w:gridCol w:w="3430"/>
      </w:tblGrid>
      <w:tr w:rsidR="00090683" w:rsidRPr="001A2F85" w14:paraId="220F7C48" w14:textId="77777777" w:rsidTr="000B7E9A">
        <w:trPr>
          <w:trHeight w:hRule="exact" w:val="382"/>
        </w:trPr>
        <w:tc>
          <w:tcPr>
            <w:tcW w:w="4728" w:type="dxa"/>
            <w:shd w:val="clear" w:color="auto" w:fill="9D57A6"/>
          </w:tcPr>
          <w:p w14:paraId="3B1F5A46" w14:textId="77777777" w:rsidR="00090683" w:rsidRPr="001A2F85" w:rsidRDefault="00090683" w:rsidP="000B7E9A">
            <w:pPr>
              <w:pStyle w:val="tagappendixPart"/>
              <w:keepNext/>
            </w:pPr>
            <w:r>
              <w:rPr>
                <w:noProof/>
                <w:lang w:eastAsia="en-AU"/>
              </w:rPr>
              <mc:AlternateContent>
                <mc:Choice Requires="wps">
                  <w:drawing>
                    <wp:anchor distT="0" distB="0" distL="114300" distR="114300" simplePos="0" relativeHeight="251687424" behindDoc="0" locked="1" layoutInCell="1" allowOverlap="1" wp14:anchorId="4CCC85B0" wp14:editId="2FAE8CD3">
                      <wp:simplePos x="0" y="0"/>
                      <wp:positionH relativeFrom="page">
                        <wp:posOffset>158750</wp:posOffset>
                      </wp:positionH>
                      <wp:positionV relativeFrom="page">
                        <wp:posOffset>6350</wp:posOffset>
                      </wp:positionV>
                      <wp:extent cx="439420" cy="215265"/>
                      <wp:effectExtent l="0" t="0" r="0" b="0"/>
                      <wp:wrapNone/>
                      <wp:docPr id="13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2CF3B1" id="Freeform 5" o:spid="_x0000_s1026" style="position:absolute;margin-left:12.5pt;margin-top:.5pt;width:34.6pt;height:16.9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sDwlrX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3CD71362" w14:textId="77777777" w:rsidR="00090683" w:rsidRPr="001A2F85" w:rsidRDefault="00090683" w:rsidP="000B7E9A">
            <w:pPr>
              <w:pStyle w:val="spacer"/>
            </w:pPr>
          </w:p>
        </w:tc>
      </w:tr>
      <w:tr w:rsidR="00090683" w:rsidRPr="001A2F85" w14:paraId="128F35D9" w14:textId="77777777" w:rsidTr="000B7E9A">
        <w:trPr>
          <w:trHeight w:hRule="exact" w:val="3665"/>
        </w:trPr>
        <w:tc>
          <w:tcPr>
            <w:tcW w:w="4728" w:type="dxa"/>
            <w:shd w:val="clear" w:color="auto" w:fill="9D57A6"/>
            <w:tcMar>
              <w:left w:w="0" w:type="dxa"/>
            </w:tcMar>
            <w:vAlign w:val="bottom"/>
          </w:tcPr>
          <w:p w14:paraId="471F9C4A" w14:textId="77777777" w:rsidR="00090683" w:rsidRPr="001A2F85" w:rsidRDefault="00090683" w:rsidP="000B7E9A">
            <w:pPr>
              <w:pStyle w:val="App-DividerHeading"/>
            </w:pPr>
            <w:bookmarkStart w:id="647" w:name="_Toc408913092"/>
            <w:bookmarkStart w:id="648" w:name="_Toc415731359"/>
            <w:bookmarkStart w:id="649" w:name="_Toc415731388"/>
            <w:bookmarkStart w:id="650" w:name="_Toc415731423"/>
            <w:bookmarkStart w:id="651" w:name="_Toc415733045"/>
            <w:bookmarkStart w:id="652" w:name="_Toc415735538"/>
            <w:bookmarkStart w:id="653" w:name="_Toc415735640"/>
            <w:bookmarkStart w:id="654" w:name="_Toc415735841"/>
            <w:bookmarkStart w:id="655" w:name="_Toc415736202"/>
            <w:bookmarkStart w:id="656" w:name="_Toc415736448"/>
            <w:bookmarkStart w:id="657" w:name="_Toc415736506"/>
            <w:bookmarkStart w:id="658" w:name="_Toc415736808"/>
            <w:bookmarkStart w:id="659" w:name="_Toc415736898"/>
            <w:bookmarkStart w:id="660" w:name="_Toc415736970"/>
            <w:bookmarkStart w:id="661" w:name="_Toc415737014"/>
            <w:bookmarkStart w:id="662" w:name="_Toc415737058"/>
            <w:bookmarkStart w:id="663" w:name="_Toc415737238"/>
            <w:bookmarkStart w:id="664" w:name="_Toc415738187"/>
            <w:bookmarkStart w:id="665" w:name="_Toc415738272"/>
            <w:bookmarkStart w:id="666" w:name="_Toc415738313"/>
            <w:bookmarkStart w:id="667" w:name="_Toc415738381"/>
            <w:bookmarkStart w:id="668" w:name="_Toc415738527"/>
            <w:bookmarkStart w:id="669" w:name="_Toc415738569"/>
            <w:bookmarkStart w:id="670" w:name="_Toc415739289"/>
            <w:bookmarkStart w:id="671" w:name="_Toc415739332"/>
            <w:bookmarkStart w:id="672" w:name="_Toc415740148"/>
            <w:bookmarkStart w:id="673" w:name="_Toc415743564"/>
            <w:bookmarkStart w:id="674" w:name="_Toc415743613"/>
            <w:bookmarkStart w:id="675" w:name="_Toc415743661"/>
            <w:bookmarkStart w:id="676" w:name="_Toc415743710"/>
            <w:bookmarkStart w:id="677" w:name="_Toc415743758"/>
            <w:bookmarkStart w:id="678" w:name="_Toc415743807"/>
            <w:bookmarkStart w:id="679" w:name="_Toc415744676"/>
            <w:bookmarkStart w:id="680" w:name="_Toc415744725"/>
            <w:bookmarkStart w:id="681" w:name="_Toc415744773"/>
            <w:bookmarkStart w:id="682" w:name="_Toc415744822"/>
            <w:bookmarkStart w:id="683" w:name="_Toc415744870"/>
            <w:bookmarkStart w:id="684" w:name="_Toc415744919"/>
            <w:bookmarkStart w:id="685" w:name="_Toc415744967"/>
            <w:bookmarkStart w:id="686" w:name="_Toc415745016"/>
            <w:bookmarkStart w:id="687" w:name="_Toc415745064"/>
            <w:bookmarkStart w:id="688" w:name="_Toc415745113"/>
            <w:bookmarkStart w:id="689" w:name="_Toc415745161"/>
            <w:bookmarkStart w:id="690" w:name="_Toc415745210"/>
            <w:bookmarkStart w:id="691" w:name="_Toc415745260"/>
            <w:bookmarkStart w:id="692" w:name="_Toc415745314"/>
            <w:bookmarkStart w:id="693" w:name="_Toc415745369"/>
            <w:bookmarkStart w:id="694" w:name="_Toc415745425"/>
            <w:bookmarkStart w:id="695" w:name="_Toc415745482"/>
            <w:bookmarkStart w:id="696" w:name="_Toc415745540"/>
            <w:bookmarkStart w:id="697" w:name="_Toc415745599"/>
            <w:bookmarkStart w:id="698" w:name="_Toc415745659"/>
            <w:bookmarkStart w:id="699" w:name="_Toc415745720"/>
            <w:bookmarkStart w:id="700" w:name="_Toc415745782"/>
            <w:bookmarkStart w:id="701" w:name="_Toc415745845"/>
            <w:bookmarkStart w:id="702" w:name="_Toc415745909"/>
            <w:bookmarkStart w:id="703" w:name="_Toc415745974"/>
            <w:bookmarkStart w:id="704" w:name="_Toc415746040"/>
            <w:bookmarkStart w:id="705" w:name="_Toc415746107"/>
            <w:bookmarkStart w:id="706" w:name="_Toc466657169"/>
            <w:r w:rsidRPr="001A2F85">
              <w:t>Appendices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tc>
        <w:tc>
          <w:tcPr>
            <w:tcW w:w="3430" w:type="dxa"/>
            <w:shd w:val="clear" w:color="auto" w:fill="9D57A6"/>
            <w:tcMar>
              <w:right w:w="344" w:type="dxa"/>
            </w:tcMar>
          </w:tcPr>
          <w:p w14:paraId="22BB9D53" w14:textId="77777777" w:rsidR="00090683" w:rsidRPr="001A2F85" w:rsidRDefault="00090683" w:rsidP="000B7E9A">
            <w:pPr>
              <w:pStyle w:val="Normal-nospace"/>
              <w:keepNext/>
              <w:rPr>
                <w:noProof/>
              </w:rPr>
            </w:pPr>
          </w:p>
        </w:tc>
      </w:tr>
      <w:tr w:rsidR="00090683" w:rsidRPr="001A2F85" w14:paraId="78346BAF" w14:textId="77777777" w:rsidTr="000B7E9A">
        <w:trPr>
          <w:trHeight w:hRule="exact" w:val="232"/>
        </w:trPr>
        <w:tc>
          <w:tcPr>
            <w:tcW w:w="4728" w:type="dxa"/>
            <w:shd w:val="clear" w:color="auto" w:fill="9D57A6"/>
            <w:tcMar>
              <w:left w:w="0" w:type="dxa"/>
            </w:tcMar>
          </w:tcPr>
          <w:p w14:paraId="1B117E41" w14:textId="77777777" w:rsidR="00090683" w:rsidRPr="001A2F85" w:rsidRDefault="00090683" w:rsidP="000B7E9A">
            <w:pPr>
              <w:pStyle w:val="spacer"/>
            </w:pPr>
          </w:p>
        </w:tc>
        <w:tc>
          <w:tcPr>
            <w:tcW w:w="3430" w:type="dxa"/>
            <w:shd w:val="clear" w:color="auto" w:fill="9D57A6"/>
            <w:tcMar>
              <w:right w:w="344" w:type="dxa"/>
            </w:tcMar>
          </w:tcPr>
          <w:p w14:paraId="092554D7" w14:textId="77777777" w:rsidR="00090683" w:rsidRPr="001A2F85" w:rsidRDefault="00090683" w:rsidP="000B7E9A">
            <w:pPr>
              <w:pStyle w:val="spacer"/>
              <w:rPr>
                <w:noProof/>
              </w:rPr>
            </w:pPr>
          </w:p>
        </w:tc>
      </w:tr>
      <w:tr w:rsidR="00090683" w:rsidRPr="001A2F85" w14:paraId="6EB446B5" w14:textId="77777777" w:rsidTr="000B7E9A">
        <w:trPr>
          <w:trHeight w:hRule="exact" w:val="228"/>
        </w:trPr>
        <w:tc>
          <w:tcPr>
            <w:tcW w:w="4728" w:type="dxa"/>
            <w:tcBorders>
              <w:top w:val="single" w:sz="4" w:space="0" w:color="9D57A6"/>
            </w:tcBorders>
          </w:tcPr>
          <w:p w14:paraId="0E13FF87" w14:textId="77777777" w:rsidR="00090683" w:rsidRPr="001A2F85" w:rsidRDefault="00090683" w:rsidP="000B7E9A">
            <w:pPr>
              <w:pStyle w:val="spacer"/>
            </w:pPr>
          </w:p>
        </w:tc>
        <w:tc>
          <w:tcPr>
            <w:tcW w:w="3430" w:type="dxa"/>
            <w:tcBorders>
              <w:top w:val="single" w:sz="4" w:space="0" w:color="9D57A6"/>
            </w:tcBorders>
          </w:tcPr>
          <w:p w14:paraId="303EA7B3" w14:textId="77777777" w:rsidR="00090683" w:rsidRPr="001A2F85" w:rsidRDefault="00090683" w:rsidP="000B7E9A">
            <w:pPr>
              <w:pStyle w:val="spacer"/>
            </w:pPr>
          </w:p>
        </w:tc>
      </w:tr>
    </w:tbl>
    <w:p w14:paraId="15096EF0" w14:textId="77777777" w:rsidR="00090683" w:rsidRPr="001A2F85" w:rsidRDefault="00090683" w:rsidP="00090683">
      <w:pPr>
        <w:pStyle w:val="BodyText"/>
      </w:pPr>
    </w:p>
    <w:p w14:paraId="25F1B74B" w14:textId="77777777" w:rsidR="00090683" w:rsidRPr="001A2F85" w:rsidRDefault="00090683" w:rsidP="00090683">
      <w:pPr>
        <w:pStyle w:val="BodyText"/>
      </w:pPr>
    </w:p>
    <w:p w14:paraId="45118460" w14:textId="77777777" w:rsidR="00090683" w:rsidRPr="001A2F85" w:rsidRDefault="00090683" w:rsidP="00090683">
      <w:pPr>
        <w:pStyle w:val="BodyText"/>
      </w:pPr>
    </w:p>
    <w:p w14:paraId="4C101F55" w14:textId="77777777" w:rsidR="00090683" w:rsidRPr="001A2F85" w:rsidRDefault="00090683" w:rsidP="00090683">
      <w:pPr>
        <w:pStyle w:val="BodyText"/>
      </w:pPr>
    </w:p>
    <w:p w14:paraId="218ECC28" w14:textId="77777777" w:rsidR="00090683" w:rsidRPr="001A2F85" w:rsidRDefault="00090683" w:rsidP="00090683">
      <w:pPr>
        <w:pStyle w:val="BodyText"/>
      </w:pPr>
    </w:p>
    <w:p w14:paraId="7E3AF0EC" w14:textId="77777777" w:rsidR="00090683" w:rsidRPr="001A2F85" w:rsidRDefault="00090683" w:rsidP="00090683">
      <w:pPr>
        <w:pStyle w:val="BodyText"/>
      </w:pPr>
    </w:p>
    <w:p w14:paraId="36397822" w14:textId="77777777" w:rsidR="00090683" w:rsidRPr="001A2F85" w:rsidRDefault="00090683" w:rsidP="00090683">
      <w:pPr>
        <w:pStyle w:val="BodyText"/>
      </w:pPr>
    </w:p>
    <w:p w14:paraId="55C2877E" w14:textId="77777777" w:rsidR="00090683" w:rsidRPr="001A2F85" w:rsidRDefault="00090683" w:rsidP="00090683">
      <w:pPr>
        <w:pStyle w:val="BodyText"/>
      </w:pPr>
    </w:p>
    <w:p w14:paraId="22D4D021" w14:textId="77777777" w:rsidR="00090683" w:rsidRPr="001A2F85" w:rsidRDefault="00090683" w:rsidP="00090683">
      <w:pPr>
        <w:pStyle w:val="BodyText"/>
      </w:pPr>
    </w:p>
    <w:p w14:paraId="59415648" w14:textId="77777777" w:rsidR="00090683" w:rsidRPr="001A2F85" w:rsidRDefault="00090683" w:rsidP="00090683">
      <w:pPr>
        <w:pStyle w:val="BodyText"/>
      </w:pPr>
    </w:p>
    <w:p w14:paraId="3A97EF42" w14:textId="77777777" w:rsidR="00090683" w:rsidRPr="001A2F85" w:rsidRDefault="00090683" w:rsidP="00090683">
      <w:pPr>
        <w:pStyle w:val="BodyText"/>
      </w:pPr>
    </w:p>
    <w:p w14:paraId="71C28E6A" w14:textId="77777777" w:rsidR="00090683" w:rsidRPr="001A2F85" w:rsidRDefault="00090683" w:rsidP="00090683">
      <w:pPr>
        <w:pStyle w:val="BodyText"/>
      </w:pPr>
    </w:p>
    <w:p w14:paraId="4FDE77BC" w14:textId="77777777" w:rsidR="00090683" w:rsidRPr="001A2F85" w:rsidRDefault="00090683" w:rsidP="00090683">
      <w:pPr>
        <w:pStyle w:val="BodyText"/>
      </w:pPr>
    </w:p>
    <w:p w14:paraId="24A4519F" w14:textId="77777777" w:rsidR="00090683" w:rsidRPr="001A2F85" w:rsidRDefault="00090683" w:rsidP="00090683">
      <w:pPr>
        <w:pStyle w:val="BodyText"/>
      </w:pPr>
    </w:p>
    <w:p w14:paraId="4EDC10EF" w14:textId="77777777" w:rsidR="00090683" w:rsidRPr="001A2F85" w:rsidRDefault="00090683" w:rsidP="00090683">
      <w:pPr>
        <w:pStyle w:val="BodyText"/>
      </w:pPr>
    </w:p>
    <w:p w14:paraId="6B82884C" w14:textId="77777777" w:rsidR="00090683" w:rsidRPr="001A2F85" w:rsidRDefault="00090683" w:rsidP="00090683">
      <w:pPr>
        <w:pStyle w:val="BodyText"/>
      </w:pPr>
    </w:p>
    <w:p w14:paraId="09B3C5E5" w14:textId="77777777" w:rsidR="00090683" w:rsidRPr="001A2F85" w:rsidRDefault="00090683" w:rsidP="00090683">
      <w:pPr>
        <w:pStyle w:val="BodyText"/>
      </w:pPr>
    </w:p>
    <w:p w14:paraId="50BBA673" w14:textId="77777777" w:rsidR="00090683" w:rsidRPr="001A2F85" w:rsidRDefault="00090683" w:rsidP="00090683">
      <w:pPr>
        <w:pStyle w:val="BodyText"/>
      </w:pPr>
    </w:p>
    <w:p w14:paraId="49ED75D3" w14:textId="77777777" w:rsidR="00090683" w:rsidRPr="001A2F85" w:rsidRDefault="00090683" w:rsidP="00090683">
      <w:pPr>
        <w:pStyle w:val="BodyText"/>
      </w:pPr>
    </w:p>
    <w:p w14:paraId="35CDF6A5" w14:textId="77777777" w:rsidR="00090683" w:rsidRPr="001A2F85" w:rsidRDefault="00090683" w:rsidP="00090683">
      <w:pPr>
        <w:pStyle w:val="BodyText"/>
      </w:pPr>
    </w:p>
    <w:p w14:paraId="397BED5C" w14:textId="77777777" w:rsidR="00090683" w:rsidRPr="001A2F85" w:rsidRDefault="00090683" w:rsidP="00090683">
      <w:pPr>
        <w:pStyle w:val="BodyText"/>
      </w:pPr>
    </w:p>
    <w:p w14:paraId="624DBEF5" w14:textId="77777777" w:rsidR="00090683" w:rsidRPr="001A2F85" w:rsidRDefault="00090683" w:rsidP="00090683">
      <w:pPr>
        <w:pStyle w:val="BodyText"/>
        <w:sectPr w:rsidR="00090683" w:rsidRPr="001A2F85" w:rsidSect="000B6604">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8"/>
        <w:gridCol w:w="3430"/>
      </w:tblGrid>
      <w:tr w:rsidR="00090683" w14:paraId="42BA8835" w14:textId="77777777" w:rsidTr="000B7E9A">
        <w:trPr>
          <w:trHeight w:hRule="exact" w:val="382"/>
        </w:trPr>
        <w:tc>
          <w:tcPr>
            <w:tcW w:w="4728" w:type="dxa"/>
            <w:shd w:val="clear" w:color="auto" w:fill="9D57A6"/>
          </w:tcPr>
          <w:p w14:paraId="5BA3A35B" w14:textId="77777777" w:rsidR="00090683" w:rsidRDefault="00090683" w:rsidP="000B7E9A">
            <w:pPr>
              <w:pStyle w:val="tagappendixChapter"/>
              <w:keepNext/>
            </w:pPr>
            <w:r>
              <w:rPr>
                <w:noProof/>
                <w:lang w:eastAsia="en-AU"/>
              </w:rPr>
              <mc:AlternateContent>
                <mc:Choice Requires="wps">
                  <w:drawing>
                    <wp:anchor distT="0" distB="0" distL="114300" distR="114300" simplePos="0" relativeHeight="251719168" behindDoc="0" locked="1" layoutInCell="1" allowOverlap="1" wp14:anchorId="53660647" wp14:editId="565D5444">
                      <wp:simplePos x="0" y="0"/>
                      <wp:positionH relativeFrom="page">
                        <wp:posOffset>158750</wp:posOffset>
                      </wp:positionH>
                      <wp:positionV relativeFrom="page">
                        <wp:posOffset>6350</wp:posOffset>
                      </wp:positionV>
                      <wp:extent cx="439420" cy="215265"/>
                      <wp:effectExtent l="0" t="0" r="0" b="0"/>
                      <wp:wrapNone/>
                      <wp:docPr id="13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228FDE" id="Freeform 5" o:spid="_x0000_s1026" style="position:absolute;margin-left:12.5pt;margin-top:.5pt;width:34.6pt;height:16.9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xEY/kH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2FBEB88B" w14:textId="77777777" w:rsidR="00090683" w:rsidRDefault="00090683" w:rsidP="000B7E9A">
            <w:pPr>
              <w:pStyle w:val="spacer"/>
            </w:pPr>
          </w:p>
        </w:tc>
      </w:tr>
      <w:tr w:rsidR="00090683" w14:paraId="701AE059" w14:textId="77777777" w:rsidTr="000B7E9A">
        <w:trPr>
          <w:trHeight w:hRule="exact" w:val="3665"/>
        </w:trPr>
        <w:tc>
          <w:tcPr>
            <w:tcW w:w="4728" w:type="dxa"/>
            <w:shd w:val="clear" w:color="auto" w:fill="9D57A6"/>
            <w:tcMar>
              <w:left w:w="0" w:type="dxa"/>
            </w:tcMar>
            <w:vAlign w:val="bottom"/>
          </w:tcPr>
          <w:p w14:paraId="09083FAF" w14:textId="77777777" w:rsidR="00090683" w:rsidRPr="00037F29" w:rsidRDefault="00090683" w:rsidP="000B7E9A">
            <w:pPr>
              <w:pStyle w:val="Heading7"/>
              <w:outlineLvl w:val="6"/>
            </w:pPr>
            <w:r>
              <w:t>Research questions</w:t>
            </w:r>
          </w:p>
        </w:tc>
        <w:tc>
          <w:tcPr>
            <w:tcW w:w="3430" w:type="dxa"/>
            <w:shd w:val="clear" w:color="auto" w:fill="9D57A6"/>
            <w:tcMar>
              <w:right w:w="344" w:type="dxa"/>
            </w:tcMar>
          </w:tcPr>
          <w:p w14:paraId="1C7FDBAB" w14:textId="77777777" w:rsidR="00090683" w:rsidRDefault="00090683" w:rsidP="000B7E9A">
            <w:pPr>
              <w:pStyle w:val="HeadingAppendix"/>
            </w:pPr>
            <w:bookmarkStart w:id="707" w:name="_Toc466657170"/>
            <w:r>
              <w:t>A</w:t>
            </w:r>
            <w:bookmarkEnd w:id="707"/>
          </w:p>
        </w:tc>
      </w:tr>
      <w:tr w:rsidR="00090683" w14:paraId="14E4CA82" w14:textId="77777777" w:rsidTr="000B7E9A">
        <w:trPr>
          <w:trHeight w:hRule="exact" w:val="232"/>
        </w:trPr>
        <w:tc>
          <w:tcPr>
            <w:tcW w:w="4728" w:type="dxa"/>
            <w:shd w:val="clear" w:color="auto" w:fill="9D57A6"/>
            <w:tcMar>
              <w:left w:w="0" w:type="dxa"/>
            </w:tcMar>
          </w:tcPr>
          <w:p w14:paraId="521D9D22" w14:textId="77777777" w:rsidR="00090683" w:rsidRDefault="00090683" w:rsidP="000B7E9A">
            <w:pPr>
              <w:pStyle w:val="spacer"/>
            </w:pPr>
          </w:p>
        </w:tc>
        <w:tc>
          <w:tcPr>
            <w:tcW w:w="3430" w:type="dxa"/>
            <w:shd w:val="clear" w:color="auto" w:fill="9D57A6"/>
            <w:tcMar>
              <w:right w:w="344" w:type="dxa"/>
            </w:tcMar>
          </w:tcPr>
          <w:p w14:paraId="55220348" w14:textId="77777777" w:rsidR="00090683" w:rsidRDefault="00090683" w:rsidP="000B7E9A">
            <w:pPr>
              <w:pStyle w:val="App-Context"/>
              <w:keepNext/>
            </w:pPr>
            <w:bookmarkStart w:id="708" w:name="_Toc466657171"/>
            <w:r>
              <w:rPr>
                <w:noProof/>
              </w:rPr>
              <w:t>Research questions</w:t>
            </w:r>
            <w:bookmarkEnd w:id="708"/>
          </w:p>
        </w:tc>
      </w:tr>
      <w:tr w:rsidR="00090683" w14:paraId="2F9DF48E" w14:textId="77777777" w:rsidTr="000B7E9A">
        <w:trPr>
          <w:trHeight w:hRule="exact" w:val="228"/>
        </w:trPr>
        <w:tc>
          <w:tcPr>
            <w:tcW w:w="4728" w:type="dxa"/>
            <w:tcBorders>
              <w:top w:val="single" w:sz="4" w:space="0" w:color="9D57A6"/>
            </w:tcBorders>
          </w:tcPr>
          <w:p w14:paraId="28399F8A" w14:textId="77777777" w:rsidR="00090683" w:rsidRDefault="00090683" w:rsidP="000B7E9A">
            <w:pPr>
              <w:pStyle w:val="spacer"/>
            </w:pPr>
          </w:p>
        </w:tc>
        <w:tc>
          <w:tcPr>
            <w:tcW w:w="3430" w:type="dxa"/>
            <w:tcBorders>
              <w:top w:val="single" w:sz="4" w:space="0" w:color="9D57A6"/>
            </w:tcBorders>
          </w:tcPr>
          <w:p w14:paraId="45AA4175" w14:textId="77777777" w:rsidR="00090683" w:rsidRDefault="00090683" w:rsidP="000B7E9A">
            <w:pPr>
              <w:pStyle w:val="spacer"/>
            </w:pPr>
          </w:p>
        </w:tc>
      </w:tr>
    </w:tbl>
    <w:p w14:paraId="59BBB743" w14:textId="77777777" w:rsidR="00090683" w:rsidRDefault="00090683" w:rsidP="00090683">
      <w:pPr>
        <w:pStyle w:val="Heading8"/>
      </w:pPr>
      <w:bookmarkStart w:id="709" w:name="_Toc466293781"/>
      <w:bookmarkStart w:id="710" w:name="_Toc466295736"/>
      <w:bookmarkStart w:id="711" w:name="_Toc466297176"/>
      <w:bookmarkStart w:id="712" w:name="_Toc466304932"/>
      <w:bookmarkStart w:id="713" w:name="_Toc466655627"/>
      <w:bookmarkStart w:id="714" w:name="_Toc466657172"/>
      <w:bookmarkEnd w:id="709"/>
      <w:bookmarkEnd w:id="710"/>
      <w:bookmarkEnd w:id="711"/>
      <w:bookmarkEnd w:id="712"/>
      <w:bookmarkEnd w:id="713"/>
      <w:r>
        <w:t>Effectiveness</w:t>
      </w:r>
      <w:bookmarkEnd w:id="714"/>
    </w:p>
    <w:p w14:paraId="117270B7" w14:textId="77777777" w:rsidR="00090683" w:rsidRDefault="00090683" w:rsidP="00090683">
      <w:pPr>
        <w:pStyle w:val="ListNumber"/>
        <w:numPr>
          <w:ilvl w:val="0"/>
          <w:numId w:val="38"/>
        </w:numPr>
      </w:pPr>
      <w:r>
        <w:t>To what extent is the HEPPP achieving its objectives to:</w:t>
      </w:r>
    </w:p>
    <w:p w14:paraId="6E5ADB1E" w14:textId="77777777" w:rsidR="00090683" w:rsidRDefault="00090683" w:rsidP="00090683">
      <w:pPr>
        <w:pStyle w:val="ListNumber2"/>
      </w:pPr>
      <w:r>
        <w:t>fund eligible universities to undertake activities and implement strategies that improve access to undergraduate courses for people from low SES backgrounds and to improve their retention and completion rates</w:t>
      </w:r>
    </w:p>
    <w:p w14:paraId="2E950868" w14:textId="77777777" w:rsidR="00090683" w:rsidRDefault="00090683" w:rsidP="00090683">
      <w:pPr>
        <w:pStyle w:val="ListNumber2"/>
      </w:pPr>
      <w:r>
        <w:t>meet the Commonwealth Government’s ambition that, by 2020, 20 per cent of undergraduate students must be from low SES backgrounds</w:t>
      </w:r>
    </w:p>
    <w:p w14:paraId="26705706" w14:textId="77777777" w:rsidR="00090683" w:rsidRDefault="00090683" w:rsidP="00090683">
      <w:pPr>
        <w:pStyle w:val="ListNumber2"/>
      </w:pPr>
      <w:r>
        <w:t>increase the participation of current and prospective domestic students from low SES backgrounds in accredited undergraduate qualifications</w:t>
      </w:r>
    </w:p>
    <w:p w14:paraId="3EC74178" w14:textId="77777777" w:rsidR="00090683" w:rsidRPr="00090C52" w:rsidRDefault="00090683" w:rsidP="00090683">
      <w:pPr>
        <w:pStyle w:val="ListNumber2"/>
      </w:pPr>
      <w:r>
        <w:t>increase the total number of people from low SES backgrounds who access and participate in higher education through effective outreach and related activities with schools, State/Territory governments, VET providers, community groups and other stakeholders.</w:t>
      </w:r>
    </w:p>
    <w:p w14:paraId="7D276C96" w14:textId="77777777" w:rsidR="00090683" w:rsidRDefault="00090683" w:rsidP="00090683">
      <w:pPr>
        <w:pStyle w:val="ListNumber"/>
      </w:pPr>
      <w:r>
        <w:t>What strategies have universities implemented to improve access to undergraduate courses for people from low SES backgrounds and improve their retention and completion rates?</w:t>
      </w:r>
    </w:p>
    <w:p w14:paraId="6C7DA815" w14:textId="77777777" w:rsidR="00090683" w:rsidRDefault="00090683" w:rsidP="00090683">
      <w:pPr>
        <w:pStyle w:val="ListNumber"/>
      </w:pPr>
      <w:r>
        <w:t>What activities have universities implemented to improve access to undergraduate courses for people from low SES backgrounds and to improve their retention and completion rates?</w:t>
      </w:r>
    </w:p>
    <w:p w14:paraId="2BA6158E" w14:textId="77777777" w:rsidR="00090683" w:rsidRDefault="00090683" w:rsidP="00090683">
      <w:pPr>
        <w:pStyle w:val="ListNumber"/>
      </w:pPr>
      <w:r>
        <w:t>What activities have been most effective in achieving the HEPPP objectives?</w:t>
      </w:r>
    </w:p>
    <w:p w14:paraId="1D95C008" w14:textId="77777777" w:rsidR="00090683" w:rsidRDefault="00090683" w:rsidP="00090683">
      <w:pPr>
        <w:pStyle w:val="ListNumber"/>
      </w:pPr>
      <w:r>
        <w:t>What effect has the HEPPP had over time on low-SES undergraduate university students in terms of:</w:t>
      </w:r>
    </w:p>
    <w:p w14:paraId="14F4A569" w14:textId="77777777" w:rsidR="00090683" w:rsidRDefault="00090683" w:rsidP="00090683">
      <w:pPr>
        <w:pStyle w:val="ListNumber2"/>
      </w:pPr>
      <w:r>
        <w:t>the number of students enrolled in university studies</w:t>
      </w:r>
    </w:p>
    <w:p w14:paraId="087A70F5" w14:textId="77777777" w:rsidR="00090683" w:rsidRDefault="00090683" w:rsidP="00090683">
      <w:pPr>
        <w:pStyle w:val="ListNumber2"/>
      </w:pPr>
      <w:r>
        <w:t>their access and participation rates</w:t>
      </w:r>
    </w:p>
    <w:p w14:paraId="5C4C293D" w14:textId="77777777" w:rsidR="00090683" w:rsidRDefault="00090683" w:rsidP="00090683">
      <w:pPr>
        <w:pStyle w:val="ListNumber2"/>
      </w:pPr>
      <w:r>
        <w:t>their retention rate at the end of the first year of university and in subsequent years</w:t>
      </w:r>
    </w:p>
    <w:p w14:paraId="70D6F8E0" w14:textId="77777777" w:rsidR="00090683" w:rsidRDefault="00090683" w:rsidP="00090683">
      <w:pPr>
        <w:pStyle w:val="ListNumber2"/>
      </w:pPr>
      <w:r>
        <w:t xml:space="preserve">their </w:t>
      </w:r>
      <w:r w:rsidRPr="00090C52">
        <w:t>success rates in the first-year of university and in subsequent years</w:t>
      </w:r>
    </w:p>
    <w:p w14:paraId="0216A2EA" w14:textId="77777777" w:rsidR="00090683" w:rsidRDefault="00090683" w:rsidP="00090683">
      <w:pPr>
        <w:pStyle w:val="ListNumber2"/>
      </w:pPr>
      <w:r>
        <w:t>their grade point average over their degree</w:t>
      </w:r>
    </w:p>
    <w:p w14:paraId="39749019" w14:textId="77777777" w:rsidR="00090683" w:rsidRDefault="00090683" w:rsidP="00090683">
      <w:pPr>
        <w:pStyle w:val="ListNumber2"/>
      </w:pPr>
      <w:r>
        <w:t>their completion rate?</w:t>
      </w:r>
    </w:p>
    <w:p w14:paraId="47C8E58D" w14:textId="77777777" w:rsidR="00090683" w:rsidRDefault="00090683" w:rsidP="00090683">
      <w:pPr>
        <w:pStyle w:val="ListNumber"/>
      </w:pPr>
      <w:r>
        <w:t>Despite these not being stated objectives of the HEPPP, what effect has the HEPPP had on low-SES undergraduate university students over time in terms of):</w:t>
      </w:r>
    </w:p>
    <w:p w14:paraId="011B343C" w14:textId="77777777" w:rsidR="00090683" w:rsidRDefault="00090683" w:rsidP="00090683">
      <w:pPr>
        <w:pStyle w:val="ListNumber2"/>
      </w:pPr>
      <w:r>
        <w:t>their enrolment in professional degrees</w:t>
      </w:r>
    </w:p>
    <w:p w14:paraId="0BAF8564" w14:textId="77777777" w:rsidR="00090683" w:rsidRDefault="00090683" w:rsidP="00090683">
      <w:pPr>
        <w:pStyle w:val="ListNumber2"/>
      </w:pPr>
      <w:r>
        <w:t>their graduate outcomes?</w:t>
      </w:r>
    </w:p>
    <w:p w14:paraId="679D0B85" w14:textId="77777777" w:rsidR="00090683" w:rsidRDefault="00090683" w:rsidP="00090683">
      <w:pPr>
        <w:pStyle w:val="ListNumber"/>
      </w:pPr>
      <w:r>
        <w:t>To what extent have Partnership activities under the HEPPP:</w:t>
      </w:r>
    </w:p>
    <w:p w14:paraId="0ECFC985" w14:textId="77777777" w:rsidR="00090683" w:rsidRDefault="00090683" w:rsidP="00090683">
      <w:pPr>
        <w:pStyle w:val="ListNumber2"/>
      </w:pPr>
      <w:r>
        <w:t>assisted in improving the understanding and awareness by low SES people of higher education as a viable post-school option</w:t>
      </w:r>
    </w:p>
    <w:p w14:paraId="5472A72A" w14:textId="77777777" w:rsidR="00090683" w:rsidRDefault="00090683" w:rsidP="00090683">
      <w:pPr>
        <w:pStyle w:val="ListNumber2"/>
      </w:pPr>
      <w:r>
        <w:t>assisted low SES people in pre-tertiary achievement, either at school or an alternative pathway, to enable consideration for access to higher education</w:t>
      </w:r>
    </w:p>
    <w:p w14:paraId="4D83EAC5" w14:textId="77777777" w:rsidR="00090683" w:rsidRDefault="00090683" w:rsidP="00090683">
      <w:pPr>
        <w:pStyle w:val="ListNumber2"/>
      </w:pPr>
      <w:r>
        <w:t>encouraged an increase in the number, and in the proportion relative to the whole student population, of low SES people who apply for admission to university?</w:t>
      </w:r>
    </w:p>
    <w:p w14:paraId="58D272B6" w14:textId="77777777" w:rsidR="00090683" w:rsidRDefault="00090683" w:rsidP="00090683">
      <w:pPr>
        <w:pStyle w:val="Heading9"/>
      </w:pPr>
      <w:r>
        <w:t>School-related outcomes</w:t>
      </w:r>
    </w:p>
    <w:p w14:paraId="1C87A695" w14:textId="77777777" w:rsidR="00090683" w:rsidRDefault="00090683" w:rsidP="00090683">
      <w:pPr>
        <w:pStyle w:val="ListNumber"/>
      </w:pPr>
      <w:r>
        <w:t>What effect has the HEPPP had on low-SES primary and secondary school students over time in terms of their:</w:t>
      </w:r>
    </w:p>
    <w:p w14:paraId="1B0E5C47" w14:textId="77777777" w:rsidR="00090683" w:rsidRDefault="00090683" w:rsidP="00090683">
      <w:pPr>
        <w:pStyle w:val="ListNumber2"/>
      </w:pPr>
      <w:r>
        <w:t>attitudes towards higher education</w:t>
      </w:r>
    </w:p>
    <w:p w14:paraId="10F6C179" w14:textId="77777777" w:rsidR="00090683" w:rsidRDefault="00090683" w:rsidP="00090683">
      <w:pPr>
        <w:pStyle w:val="ListNumber2"/>
      </w:pPr>
      <w:r>
        <w:t>aspirations to access higher education</w:t>
      </w:r>
    </w:p>
    <w:p w14:paraId="656902D7" w14:textId="77777777" w:rsidR="00090683" w:rsidRDefault="00090683" w:rsidP="00090683">
      <w:pPr>
        <w:pStyle w:val="ListNumber2"/>
      </w:pPr>
      <w:r>
        <w:t>academic achievement at school</w:t>
      </w:r>
    </w:p>
    <w:p w14:paraId="089EE1AD" w14:textId="77777777" w:rsidR="00090683" w:rsidRDefault="00090683" w:rsidP="00090683">
      <w:pPr>
        <w:pStyle w:val="ListNumber2"/>
      </w:pPr>
      <w:r>
        <w:t>mathematics and science achievement (despite this not being a stated objective of the HEPPP)</w:t>
      </w:r>
    </w:p>
    <w:p w14:paraId="52446F15" w14:textId="77777777" w:rsidR="00090683" w:rsidRDefault="00090683" w:rsidP="00090683">
      <w:pPr>
        <w:pStyle w:val="ListNumber2"/>
      </w:pPr>
      <w:r>
        <w:t>rate of retention to Year 12</w:t>
      </w:r>
    </w:p>
    <w:p w14:paraId="26664C2D" w14:textId="77777777" w:rsidR="00090683" w:rsidRDefault="00090683" w:rsidP="00090683">
      <w:pPr>
        <w:pStyle w:val="ListNumber2"/>
      </w:pPr>
      <w:r>
        <w:t>TAFE enrolments (despite this not being a stated objective of the HEPPP)</w:t>
      </w:r>
    </w:p>
    <w:p w14:paraId="3D852221" w14:textId="77777777" w:rsidR="00090683" w:rsidRDefault="00090683" w:rsidP="00090683">
      <w:pPr>
        <w:pStyle w:val="ListNumber2"/>
      </w:pPr>
      <w:r>
        <w:t>probability of applying for admission to university</w:t>
      </w:r>
    </w:p>
    <w:p w14:paraId="377B2647" w14:textId="77777777" w:rsidR="00090683" w:rsidRDefault="00090683" w:rsidP="00090683">
      <w:pPr>
        <w:pStyle w:val="ListNumber2"/>
      </w:pPr>
      <w:r>
        <w:t>probability of being given an offer of a place at university</w:t>
      </w:r>
    </w:p>
    <w:p w14:paraId="0A7846EA" w14:textId="77777777" w:rsidR="00090683" w:rsidRDefault="00090683" w:rsidP="00090683">
      <w:pPr>
        <w:pStyle w:val="ListNumber2"/>
      </w:pPr>
      <w:r>
        <w:t>probability of enrolment at university?</w:t>
      </w:r>
    </w:p>
    <w:p w14:paraId="43453FAC" w14:textId="77777777" w:rsidR="00090683" w:rsidRDefault="00090683" w:rsidP="00090683">
      <w:pPr>
        <w:pStyle w:val="ListNumber"/>
      </w:pPr>
      <w:r>
        <w:t xml:space="preserve">What pathways to higher education other than school have been supported by HEPPP activities? </w:t>
      </w:r>
    </w:p>
    <w:p w14:paraId="52A879F5" w14:textId="77777777" w:rsidR="00090683" w:rsidRDefault="00090683" w:rsidP="00090683">
      <w:pPr>
        <w:pStyle w:val="ListNumber"/>
      </w:pPr>
      <w:r>
        <w:t>To what extent have low-SES schools changed their practices, or embedded existing practices, as a result of HEPPP activities, particularly in terms of:</w:t>
      </w:r>
    </w:p>
    <w:p w14:paraId="245B88FE" w14:textId="77777777" w:rsidR="00090683" w:rsidRDefault="00090683" w:rsidP="00090683">
      <w:pPr>
        <w:pStyle w:val="ListNumber2"/>
      </w:pPr>
      <w:r>
        <w:t>executive staff, teachers and counsellors (e.g., changes in teacher/counsellor attitudes; changes in the extent to which teachers/counsellors are knowledgeable about university options and processes)</w:t>
      </w:r>
    </w:p>
    <w:p w14:paraId="66A33BB5" w14:textId="77777777" w:rsidR="00090683" w:rsidRDefault="00090683" w:rsidP="00090683">
      <w:pPr>
        <w:pStyle w:val="ListNumber2"/>
      </w:pPr>
      <w:r>
        <w:t>the way that schools engage with universities to help students go to university?</w:t>
      </w:r>
    </w:p>
    <w:p w14:paraId="1F367AE1" w14:textId="77777777" w:rsidR="00090683" w:rsidRDefault="00090683" w:rsidP="00090683">
      <w:pPr>
        <w:pStyle w:val="ListNumber"/>
      </w:pPr>
      <w:r>
        <w:t>To what extent have parents and low SES communities changed their attitudes and behaviour as a result of HEPPP activity, particularly in terms of parents’ attitudes towards and support for their child attending university?</w:t>
      </w:r>
    </w:p>
    <w:p w14:paraId="0814C157" w14:textId="77777777" w:rsidR="00090683" w:rsidRDefault="00090683" w:rsidP="00090683">
      <w:pPr>
        <w:pStyle w:val="ListNumber"/>
      </w:pPr>
      <w:r>
        <w:t xml:space="preserve">What number and proportion of low SES schools in each State and Territory have been the subject of HEPPP activities? </w:t>
      </w:r>
    </w:p>
    <w:p w14:paraId="1F49D18B" w14:textId="77777777" w:rsidR="00090683" w:rsidRDefault="00090683" w:rsidP="00090683">
      <w:pPr>
        <w:pStyle w:val="Heading9"/>
      </w:pPr>
      <w:r>
        <w:t>University activities and impacts</w:t>
      </w:r>
    </w:p>
    <w:p w14:paraId="6DF8780B" w14:textId="77777777" w:rsidR="00090683" w:rsidRDefault="00090683" w:rsidP="00090683">
      <w:pPr>
        <w:pStyle w:val="ListNumber"/>
      </w:pPr>
      <w:r>
        <w:t>To what extent have HEPPP activities been incorporated into universities’ standard approaches and standard activities?</w:t>
      </w:r>
    </w:p>
    <w:p w14:paraId="702220D3" w14:textId="77777777" w:rsidR="00090683" w:rsidRDefault="00090683" w:rsidP="00090683">
      <w:pPr>
        <w:pStyle w:val="ListNumber"/>
      </w:pPr>
      <w:r>
        <w:t>What has been the relative impact of Participation activities and Partnerships activities under the HEPPP in terms of:</w:t>
      </w:r>
    </w:p>
    <w:p w14:paraId="68522EF8" w14:textId="77777777" w:rsidR="00090683" w:rsidRDefault="00090683" w:rsidP="00090683">
      <w:pPr>
        <w:pStyle w:val="ListNumber2"/>
      </w:pPr>
      <w:r>
        <w:t>funds spent</w:t>
      </w:r>
    </w:p>
    <w:p w14:paraId="33E0C4B9" w14:textId="77777777" w:rsidR="00090683" w:rsidRDefault="00090683" w:rsidP="00090683">
      <w:pPr>
        <w:pStyle w:val="ListNumber2"/>
      </w:pPr>
      <w:r>
        <w:t>number of low SES people impacted</w:t>
      </w:r>
    </w:p>
    <w:p w14:paraId="50E7C4DF" w14:textId="77777777" w:rsidR="00090683" w:rsidRDefault="00090683" w:rsidP="00090683">
      <w:pPr>
        <w:pStyle w:val="ListNumber2"/>
      </w:pPr>
      <w:r>
        <w:t>increases in access and participation by low SES people and their retention and success?</w:t>
      </w:r>
    </w:p>
    <w:p w14:paraId="66788CC8" w14:textId="77777777" w:rsidR="00090683" w:rsidRDefault="00090683" w:rsidP="00090683">
      <w:pPr>
        <w:pStyle w:val="ListNumber"/>
      </w:pPr>
      <w:r>
        <w:t>What amount and proportion of HEPPP funding and HEPPP project activity has been allocated to the following specific groups of low SES people as opposed to low SES people in general:</w:t>
      </w:r>
    </w:p>
    <w:p w14:paraId="39BDB278" w14:textId="77777777" w:rsidR="00090683" w:rsidRDefault="00090683" w:rsidP="00090683">
      <w:pPr>
        <w:pStyle w:val="ListNumber2"/>
      </w:pPr>
      <w:r>
        <w:t>low SES people with disability</w:t>
      </w:r>
    </w:p>
    <w:p w14:paraId="3D7468F4" w14:textId="77777777" w:rsidR="00090683" w:rsidRDefault="00090683" w:rsidP="00090683">
      <w:pPr>
        <w:pStyle w:val="ListNumber2"/>
      </w:pPr>
      <w:r>
        <w:t>low SES people from regional and remote areas</w:t>
      </w:r>
    </w:p>
    <w:p w14:paraId="35EB3DCB" w14:textId="77777777" w:rsidR="00090683" w:rsidRDefault="00090683" w:rsidP="00090683">
      <w:pPr>
        <w:pStyle w:val="ListNumber2"/>
      </w:pPr>
      <w:r>
        <w:t>low SES people who are Indigenous</w:t>
      </w:r>
    </w:p>
    <w:p w14:paraId="1CAE76D4" w14:textId="77777777" w:rsidR="00090683" w:rsidRDefault="00090683" w:rsidP="00090683">
      <w:pPr>
        <w:pStyle w:val="ListNumber2"/>
      </w:pPr>
      <w:r>
        <w:t>low SES people from non-English speaking backgrounds</w:t>
      </w:r>
    </w:p>
    <w:p w14:paraId="6C1173F0" w14:textId="77777777" w:rsidR="00090683" w:rsidRDefault="00090683" w:rsidP="00090683">
      <w:pPr>
        <w:pStyle w:val="ListNumber2"/>
      </w:pPr>
      <w:r>
        <w:t xml:space="preserve">low SES women studying in non-traditional areas? </w:t>
      </w:r>
    </w:p>
    <w:p w14:paraId="74999E9E" w14:textId="77777777" w:rsidR="00090683" w:rsidRDefault="00090683" w:rsidP="00090683">
      <w:pPr>
        <w:pStyle w:val="ListNumber"/>
      </w:pPr>
      <w:r>
        <w:t xml:space="preserve">To what extent have projects funded under the National Priorities Pool component of the HEPPP supported more effective implementation of the HEPPP nationally and at an institutional level?  </w:t>
      </w:r>
    </w:p>
    <w:p w14:paraId="44670AE9" w14:textId="77777777" w:rsidR="00090683" w:rsidRDefault="00090683" w:rsidP="00090683">
      <w:pPr>
        <w:pStyle w:val="ListNumber"/>
      </w:pPr>
      <w:r>
        <w:t xml:space="preserve">To what extent have projects funded under the National Priorities Pool component of the HEPPP informed broader equity practice within universities?  </w:t>
      </w:r>
    </w:p>
    <w:p w14:paraId="401A5BB2" w14:textId="77777777" w:rsidR="00090683" w:rsidRDefault="00090683" w:rsidP="00090683">
      <w:pPr>
        <w:pStyle w:val="ListNumber"/>
      </w:pPr>
      <w:r>
        <w:t>Is the structure of the HEPPP effective for achieving its objectives?</w:t>
      </w:r>
    </w:p>
    <w:p w14:paraId="4E3C8757" w14:textId="77777777" w:rsidR="00090683" w:rsidRDefault="00090683" w:rsidP="00090683">
      <w:pPr>
        <w:pStyle w:val="ListNumber"/>
      </w:pPr>
      <w:r>
        <w:t>To what extent have HEPPP activities provided, or will they provide, individual, societal and economic benefits? What flow-on effects have there been to the community and the economy?</w:t>
      </w:r>
    </w:p>
    <w:p w14:paraId="0320FFFB" w14:textId="77777777" w:rsidR="00090683" w:rsidRDefault="00090683" w:rsidP="00090683">
      <w:pPr>
        <w:pStyle w:val="Heading8"/>
      </w:pPr>
      <w:bookmarkStart w:id="715" w:name="_Toc466657173"/>
      <w:r>
        <w:t>Efficiency</w:t>
      </w:r>
      <w:bookmarkEnd w:id="715"/>
    </w:p>
    <w:p w14:paraId="2408FED3" w14:textId="77777777" w:rsidR="00090683" w:rsidRDefault="00090683" w:rsidP="00090683">
      <w:pPr>
        <w:pStyle w:val="ListNumber"/>
      </w:pPr>
      <w:r>
        <w:t>Are activities conducted under the HEPPP the most efficient way to influence low SES people’s:</w:t>
      </w:r>
    </w:p>
    <w:p w14:paraId="0824B8CE" w14:textId="77777777" w:rsidR="00090683" w:rsidRDefault="00090683" w:rsidP="00090683">
      <w:pPr>
        <w:pStyle w:val="ListNumber2"/>
      </w:pPr>
      <w:r>
        <w:t>attitudes towards higher education and aspirations to attend higher education</w:t>
      </w:r>
    </w:p>
    <w:p w14:paraId="03D25A48" w14:textId="77777777" w:rsidR="00090683" w:rsidRDefault="00090683" w:rsidP="00090683">
      <w:pPr>
        <w:pStyle w:val="ListNumber2"/>
      </w:pPr>
      <w:r>
        <w:t>mathematics and science achievement in school and university</w:t>
      </w:r>
    </w:p>
    <w:p w14:paraId="37DE2C69" w14:textId="77777777" w:rsidR="00090683" w:rsidRDefault="00090683" w:rsidP="00090683">
      <w:pPr>
        <w:pStyle w:val="ListNumber2"/>
      </w:pPr>
      <w:r>
        <w:t>rate of retention to Year 12</w:t>
      </w:r>
    </w:p>
    <w:p w14:paraId="615A9115" w14:textId="77777777" w:rsidR="00090683" w:rsidRDefault="00090683" w:rsidP="00090683">
      <w:pPr>
        <w:pStyle w:val="ListNumber2"/>
      </w:pPr>
      <w:r>
        <w:t>academic achievement in school and in university</w:t>
      </w:r>
    </w:p>
    <w:p w14:paraId="6A7CC3C5" w14:textId="77777777" w:rsidR="00090683" w:rsidRDefault="00090683" w:rsidP="00090683">
      <w:pPr>
        <w:pStyle w:val="ListNumber2"/>
      </w:pPr>
      <w:r>
        <w:t>probability of applying for admission to university</w:t>
      </w:r>
    </w:p>
    <w:p w14:paraId="4F6F410B" w14:textId="77777777" w:rsidR="00090683" w:rsidRDefault="00090683" w:rsidP="00090683">
      <w:pPr>
        <w:pStyle w:val="ListNumber2"/>
      </w:pPr>
      <w:r>
        <w:t>probability of being given an offer of a place at university</w:t>
      </w:r>
    </w:p>
    <w:p w14:paraId="7A1F3316" w14:textId="77777777" w:rsidR="00090683" w:rsidRDefault="00090683" w:rsidP="00090683">
      <w:pPr>
        <w:pStyle w:val="ListNumber2"/>
      </w:pPr>
      <w:r>
        <w:t>probability of enrolment at university</w:t>
      </w:r>
    </w:p>
    <w:p w14:paraId="19F7C902" w14:textId="77777777" w:rsidR="00090683" w:rsidRDefault="00090683" w:rsidP="00090683">
      <w:pPr>
        <w:pStyle w:val="ListNumber2"/>
      </w:pPr>
      <w:r>
        <w:t>retention rate at the end of the first year of university</w:t>
      </w:r>
    </w:p>
    <w:p w14:paraId="51E70880" w14:textId="77777777" w:rsidR="00090683" w:rsidRDefault="00090683" w:rsidP="00090683">
      <w:pPr>
        <w:pStyle w:val="ListNumber2"/>
      </w:pPr>
      <w:r>
        <w:t>academic achievement in the first-year of university</w:t>
      </w:r>
    </w:p>
    <w:p w14:paraId="273DE7E0" w14:textId="77777777" w:rsidR="00090683" w:rsidRDefault="00090683" w:rsidP="00090683">
      <w:pPr>
        <w:pStyle w:val="ListNumber2"/>
      </w:pPr>
      <w:r>
        <w:t>access and participation rates at university</w:t>
      </w:r>
    </w:p>
    <w:p w14:paraId="0CF539E5" w14:textId="77777777" w:rsidR="00090683" w:rsidRDefault="00090683" w:rsidP="00090683">
      <w:pPr>
        <w:pStyle w:val="ListNumber2"/>
      </w:pPr>
      <w:r>
        <w:t>retention rate at the end of the first year of university and in subsequent years</w:t>
      </w:r>
    </w:p>
    <w:p w14:paraId="36BABE8A" w14:textId="77777777" w:rsidR="00090683" w:rsidRDefault="00090683" w:rsidP="00090683">
      <w:pPr>
        <w:pStyle w:val="ListNumber2"/>
      </w:pPr>
      <w:r>
        <w:t>success rate in the first-year of university and in subsequent years</w:t>
      </w:r>
    </w:p>
    <w:p w14:paraId="352C7E63" w14:textId="77777777" w:rsidR="00090683" w:rsidRDefault="00090683" w:rsidP="00090683">
      <w:pPr>
        <w:pStyle w:val="ListNumber2"/>
      </w:pPr>
      <w:r>
        <w:t>completion rates.</w:t>
      </w:r>
    </w:p>
    <w:p w14:paraId="06F97608" w14:textId="77777777" w:rsidR="00090683" w:rsidRDefault="00090683" w:rsidP="00090683">
      <w:pPr>
        <w:pStyle w:val="ListNumber"/>
      </w:pPr>
      <w:r>
        <w:t>Are some activities more efficient than others in achieving the outcomes referred to in question 20?</w:t>
      </w:r>
    </w:p>
    <w:p w14:paraId="2B31D11F" w14:textId="77777777" w:rsidR="00090683" w:rsidRDefault="00090683" w:rsidP="00090683">
      <w:pPr>
        <w:pStyle w:val="ListNumber"/>
      </w:pPr>
      <w:r>
        <w:t>Is the structure of the HEPPP most efficient for achieving its objectives?</w:t>
      </w:r>
    </w:p>
    <w:p w14:paraId="31305F4A" w14:textId="77777777" w:rsidR="00090683" w:rsidRDefault="00090683" w:rsidP="00090683">
      <w:pPr>
        <w:pStyle w:val="ListNumber"/>
      </w:pPr>
      <w:r>
        <w:t>What effect has the HEPPP had on the existence and extent of other funding contributions to low-SES students? Has the provision of funds through the HEPPP meant that universities have redirected other funds that they would, in the past, have spent on HEPPP-type activities? Has the existence of the HEPPP meant that funding and/or effort has been able to be leveraged from other sources?</w:t>
      </w:r>
    </w:p>
    <w:p w14:paraId="27C4693C" w14:textId="77777777" w:rsidR="00090683" w:rsidRDefault="00090683" w:rsidP="00090683">
      <w:pPr>
        <w:pStyle w:val="ListNumber"/>
      </w:pPr>
      <w:r>
        <w:t>At each university and overall, what is the ratio of the administrative costs of the program to the expenditure of the program? Are there differences between regional and metropolitan universities? Do universities with a large number of low-SES students gain economies of scale?</w:t>
      </w:r>
    </w:p>
    <w:p w14:paraId="3505E3FC" w14:textId="77777777" w:rsidR="00090683" w:rsidRDefault="00090683" w:rsidP="00090683">
      <w:pPr>
        <w:pStyle w:val="ListNumber"/>
      </w:pPr>
      <w:r>
        <w:t xml:space="preserve">Are HEPPP funding arrangements efficient and how do they impact the program’s effectiveness? For example, is the use of annual HEPPP allocations efficient, do year to year fluctuations in HEPPP funding, amount and timing affect its efficiency and effectiveness? </w:t>
      </w:r>
    </w:p>
    <w:p w14:paraId="3E08156F" w14:textId="77777777" w:rsidR="00090683" w:rsidRDefault="00090683" w:rsidP="00090683">
      <w:pPr>
        <w:pStyle w:val="ListNumber"/>
      </w:pPr>
      <w:r>
        <w:t>To what extent does the HEPPP funding formula direct funding to universities that require it most in order to achieve the HEPPP objectives?</w:t>
      </w:r>
    </w:p>
    <w:p w14:paraId="572B29D3" w14:textId="77777777" w:rsidR="00090683" w:rsidRDefault="00090683" w:rsidP="00090683">
      <w:pPr>
        <w:pStyle w:val="Heading8"/>
      </w:pPr>
      <w:bookmarkStart w:id="716" w:name="_Toc466657174"/>
      <w:r>
        <w:t>Appropriateness</w:t>
      </w:r>
      <w:bookmarkEnd w:id="716"/>
    </w:p>
    <w:p w14:paraId="2DF07013" w14:textId="77777777" w:rsidR="00090683" w:rsidRDefault="00090683" w:rsidP="00090683">
      <w:pPr>
        <w:pStyle w:val="ListNumber"/>
      </w:pPr>
      <w:r>
        <w:t>Do the reasons for the creation of the HEPPP still exist? Has the need that the program addresses changed over time? What is the extent of ongoing need for an intervention like the HEPPP?</w:t>
      </w:r>
    </w:p>
    <w:p w14:paraId="7C085C5E" w14:textId="77777777" w:rsidR="00090683" w:rsidRDefault="00090683" w:rsidP="00090683">
      <w:pPr>
        <w:pStyle w:val="ListNumber"/>
      </w:pPr>
      <w:r>
        <w:t>Is the present design of the HEPPP best suited to meet the current and likely future needs the program will address? What alternative designs could be considered? For example, should HEPPP funding be included as part of the base funding of universities? What would be the pros and cons of any new approaches?</w:t>
      </w:r>
    </w:p>
    <w:p w14:paraId="67CC8FB0" w14:textId="77777777" w:rsidR="00090683" w:rsidRDefault="00090683" w:rsidP="00090683">
      <w:pPr>
        <w:pStyle w:val="ListNumber"/>
      </w:pPr>
      <w:r>
        <w:t>Is it appropriate that the HEPPP target people from low SES backgrounds? Are there people from other disadvantaged backgrounds who should be supported in addition to, or instead of, low SES?</w:t>
      </w:r>
    </w:p>
    <w:p w14:paraId="2DB1316C" w14:textId="77777777" w:rsidR="00090683" w:rsidRDefault="00090683" w:rsidP="00090683">
      <w:pPr>
        <w:pStyle w:val="ListNumber"/>
      </w:pPr>
      <w:r>
        <w:t>Is the current definition of low SES people appropriate and fit for purpose under the HEPPP?</w:t>
      </w:r>
    </w:p>
    <w:p w14:paraId="01C1D7F3" w14:textId="77777777" w:rsidR="00090683" w:rsidRDefault="00090683" w:rsidP="00090683">
      <w:pPr>
        <w:pStyle w:val="ListNumber"/>
      </w:pPr>
      <w:r>
        <w:t>Is the current HEPPP formula targeted at achieving change in universities or at sustaining efforts that they are already undertaking? What would be the best use of a formula approach? Is there a better formula that could be considered?</w:t>
      </w:r>
    </w:p>
    <w:p w14:paraId="04864558" w14:textId="77777777" w:rsidR="00090683" w:rsidRDefault="00090683" w:rsidP="00090683">
      <w:pPr>
        <w:pStyle w:val="BodyText"/>
      </w:pPr>
    </w:p>
    <w:p w14:paraId="2E1F0010" w14:textId="77777777" w:rsidR="00090683" w:rsidRDefault="00090683" w:rsidP="00090683">
      <w:pPr>
        <w:pStyle w:val="BodyText"/>
        <w:sectPr w:rsidR="00090683" w:rsidSect="00BB3E7B">
          <w:pgSz w:w="11907" w:h="16839" w:code="9"/>
          <w:pgMar w:top="1100" w:right="443" w:bottom="1320" w:left="3296" w:header="456" w:footer="262" w:gutter="0"/>
          <w:pgNumType w:start="1"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B703D7" w:rsidRPr="001A2F85" w14:paraId="3DE53D69" w14:textId="77777777" w:rsidTr="00B759F6">
        <w:trPr>
          <w:trHeight w:hRule="exact" w:val="382"/>
        </w:trPr>
        <w:tc>
          <w:tcPr>
            <w:tcW w:w="4738" w:type="dxa"/>
            <w:shd w:val="clear" w:color="auto" w:fill="9D57A6"/>
          </w:tcPr>
          <w:bookmarkStart w:id="717" w:name="_Toc466657178"/>
          <w:p w14:paraId="0644643E" w14:textId="77777777" w:rsidR="00B703D7" w:rsidRPr="001A2F85" w:rsidRDefault="00B703D7" w:rsidP="00B759F6">
            <w:pPr>
              <w:pStyle w:val="tagappendixChapter"/>
              <w:keepNext/>
            </w:pPr>
            <w:r>
              <w:rPr>
                <w:noProof/>
                <w:lang w:eastAsia="en-AU"/>
              </w:rPr>
              <mc:AlternateContent>
                <mc:Choice Requires="wps">
                  <w:drawing>
                    <wp:anchor distT="0" distB="0" distL="114300" distR="114300" simplePos="0" relativeHeight="251755008" behindDoc="0" locked="1" layoutInCell="1" allowOverlap="1" wp14:anchorId="7953ED2F" wp14:editId="23BF2614">
                      <wp:simplePos x="0" y="0"/>
                      <wp:positionH relativeFrom="page">
                        <wp:posOffset>158750</wp:posOffset>
                      </wp:positionH>
                      <wp:positionV relativeFrom="page">
                        <wp:posOffset>6350</wp:posOffset>
                      </wp:positionV>
                      <wp:extent cx="439420" cy="215265"/>
                      <wp:effectExtent l="0" t="0" r="0" b="0"/>
                      <wp:wrapNone/>
                      <wp:docPr id="36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98F32E" id="Freeform 5" o:spid="_x0000_s1026" style="position:absolute;margin-left:12.5pt;margin-top:.5pt;width:34.6pt;height:16.9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CSsphe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08C66389" w14:textId="77777777" w:rsidR="00B703D7" w:rsidRPr="001A2F85" w:rsidRDefault="00B703D7" w:rsidP="00B759F6">
            <w:pPr>
              <w:pStyle w:val="spacer"/>
            </w:pPr>
          </w:p>
        </w:tc>
      </w:tr>
      <w:tr w:rsidR="00B703D7" w:rsidRPr="001A2F85" w14:paraId="64401D0A" w14:textId="77777777" w:rsidTr="00B759F6">
        <w:trPr>
          <w:trHeight w:hRule="exact" w:val="3665"/>
        </w:trPr>
        <w:tc>
          <w:tcPr>
            <w:tcW w:w="4738" w:type="dxa"/>
            <w:shd w:val="clear" w:color="auto" w:fill="9D57A6"/>
            <w:tcMar>
              <w:left w:w="0" w:type="dxa"/>
            </w:tcMar>
            <w:vAlign w:val="bottom"/>
          </w:tcPr>
          <w:p w14:paraId="1E71B94B" w14:textId="77777777" w:rsidR="00B703D7" w:rsidRPr="001A2F85" w:rsidRDefault="00B703D7" w:rsidP="00B759F6">
            <w:pPr>
              <w:pStyle w:val="Heading7"/>
              <w:outlineLvl w:val="6"/>
            </w:pPr>
            <w:r w:rsidRPr="001A2F85">
              <w:t>International experience</w:t>
            </w:r>
          </w:p>
        </w:tc>
        <w:tc>
          <w:tcPr>
            <w:tcW w:w="3430" w:type="dxa"/>
            <w:shd w:val="clear" w:color="auto" w:fill="9D57A6"/>
            <w:tcMar>
              <w:right w:w="344" w:type="dxa"/>
            </w:tcMar>
          </w:tcPr>
          <w:p w14:paraId="0BDE250D" w14:textId="77777777" w:rsidR="00B703D7" w:rsidRPr="001A2F85" w:rsidRDefault="00B703D7" w:rsidP="00B759F6">
            <w:pPr>
              <w:pStyle w:val="HeadingAppendix"/>
            </w:pPr>
            <w:r>
              <w:t>B</w:t>
            </w:r>
          </w:p>
        </w:tc>
      </w:tr>
      <w:tr w:rsidR="00B703D7" w:rsidRPr="001A2F85" w14:paraId="61D6F769" w14:textId="77777777" w:rsidTr="00B759F6">
        <w:trPr>
          <w:trHeight w:hRule="exact" w:val="232"/>
        </w:trPr>
        <w:tc>
          <w:tcPr>
            <w:tcW w:w="4738" w:type="dxa"/>
            <w:shd w:val="clear" w:color="auto" w:fill="9D57A6"/>
            <w:tcMar>
              <w:left w:w="0" w:type="dxa"/>
            </w:tcMar>
          </w:tcPr>
          <w:p w14:paraId="0AA7071E" w14:textId="77777777" w:rsidR="00B703D7" w:rsidRPr="001A2F85" w:rsidRDefault="00B703D7" w:rsidP="00B759F6">
            <w:pPr>
              <w:pStyle w:val="spacer"/>
            </w:pPr>
          </w:p>
        </w:tc>
        <w:tc>
          <w:tcPr>
            <w:tcW w:w="3430" w:type="dxa"/>
            <w:shd w:val="clear" w:color="auto" w:fill="9D57A6"/>
            <w:tcMar>
              <w:right w:w="344" w:type="dxa"/>
            </w:tcMar>
          </w:tcPr>
          <w:p w14:paraId="44C8AE63" w14:textId="77777777" w:rsidR="00B703D7" w:rsidRPr="001A2F85" w:rsidRDefault="00B703D7" w:rsidP="00B759F6">
            <w:pPr>
              <w:pStyle w:val="App-Context"/>
              <w:keepNext/>
            </w:pPr>
            <w:r>
              <w:rPr>
                <w:noProof/>
              </w:rPr>
              <w:t>International experience</w:t>
            </w:r>
          </w:p>
        </w:tc>
      </w:tr>
      <w:tr w:rsidR="00B703D7" w:rsidRPr="001A2F85" w14:paraId="3AC04846" w14:textId="77777777" w:rsidTr="00B759F6">
        <w:trPr>
          <w:trHeight w:hRule="exact" w:val="228"/>
        </w:trPr>
        <w:tc>
          <w:tcPr>
            <w:tcW w:w="4738" w:type="dxa"/>
            <w:tcBorders>
              <w:top w:val="single" w:sz="4" w:space="0" w:color="9D57A6"/>
            </w:tcBorders>
          </w:tcPr>
          <w:p w14:paraId="0EDE631F" w14:textId="77777777" w:rsidR="00B703D7" w:rsidRPr="001A2F85" w:rsidRDefault="00B703D7" w:rsidP="00B759F6">
            <w:pPr>
              <w:pStyle w:val="spacer"/>
            </w:pPr>
          </w:p>
        </w:tc>
        <w:tc>
          <w:tcPr>
            <w:tcW w:w="3430" w:type="dxa"/>
            <w:tcBorders>
              <w:top w:val="single" w:sz="4" w:space="0" w:color="9D57A6"/>
            </w:tcBorders>
          </w:tcPr>
          <w:p w14:paraId="048D45ED" w14:textId="77777777" w:rsidR="00B703D7" w:rsidRPr="001A2F85" w:rsidRDefault="00B703D7" w:rsidP="00B759F6">
            <w:pPr>
              <w:pStyle w:val="spacer"/>
            </w:pPr>
          </w:p>
        </w:tc>
      </w:tr>
    </w:tbl>
    <w:p w14:paraId="7DA18197" w14:textId="77777777" w:rsidR="00B703D7" w:rsidRPr="001A2F85" w:rsidRDefault="00B703D7" w:rsidP="00B703D7">
      <w:pPr>
        <w:pStyle w:val="BodyText"/>
      </w:pPr>
      <w:r w:rsidRPr="001A2F85">
        <w:t>This section of the report provides an overview of policies and programs with a similar aim to the HEPPP that are undertaken in a number of other countries: England, Scotland, Ireland, the United States and Canada (Ontario province). In general, each country or region has been selected because it has a high tertiary attainment rate (</w:t>
      </w:r>
      <w:r w:rsidRPr="00AD49C8">
        <w:t>Figure B.1</w:t>
      </w:r>
      <w:r w:rsidRPr="001A2F85">
        <w:t xml:space="preserve">)—Canada, the United Kingdom and the United States have higher adult tertiary education rates than Australia—and because its government has an explicit policy focus on improving participation in higher education for students from disadvantaged backgrounds, although this may be defined in different ways. The range of countries has also been selected to demonstrate the different approaches that can be taken to achieve this objective. </w:t>
      </w:r>
    </w:p>
    <w:p w14:paraId="37F567BB" w14:textId="77777777" w:rsidR="00B703D7" w:rsidRPr="001A2F85" w:rsidRDefault="00B703D7" w:rsidP="00B703D7">
      <w:pPr>
        <w:pStyle w:val="BodyText"/>
      </w:pPr>
      <w:r w:rsidRPr="001A2F85">
        <w:t xml:space="preserve">These countries also have policies to increase participation of other under-represented groups, such as students with disability or students from minority ethnic groups, however the case studies below only examine those policies targeting students from </w:t>
      </w:r>
      <w:r>
        <w:t>low SES</w:t>
      </w:r>
      <w:r w:rsidRPr="001A2F85">
        <w:t xml:space="preserve"> or similarly disadvantaged backgrounds.</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94"/>
      </w:tblGrid>
      <w:tr w:rsidR="00B703D7" w:rsidRPr="001A2F85" w14:paraId="7DE2361A" w14:textId="77777777" w:rsidTr="00B759F6">
        <w:trPr>
          <w:cantSplit/>
          <w:trHeight w:hRule="exact" w:val="160"/>
        </w:trPr>
        <w:tc>
          <w:tcPr>
            <w:tcW w:w="10994" w:type="dxa"/>
            <w:tcBorders>
              <w:bottom w:val="single" w:sz="4" w:space="0" w:color="auto"/>
            </w:tcBorders>
          </w:tcPr>
          <w:p w14:paraId="5C993DBC" w14:textId="77777777" w:rsidR="00B703D7" w:rsidRPr="001A2F85" w:rsidRDefault="00B703D7" w:rsidP="00B759F6">
            <w:pPr>
              <w:pStyle w:val="spacer"/>
            </w:pPr>
          </w:p>
        </w:tc>
      </w:tr>
      <w:tr w:rsidR="00B703D7" w:rsidRPr="001A2F85" w14:paraId="12E9DE44" w14:textId="77777777" w:rsidTr="00B759F6">
        <w:trPr>
          <w:cantSplit/>
        </w:trPr>
        <w:tc>
          <w:tcPr>
            <w:tcW w:w="10994" w:type="dxa"/>
            <w:tcBorders>
              <w:top w:val="single" w:sz="4" w:space="0" w:color="auto"/>
            </w:tcBorders>
            <w:tcMar>
              <w:left w:w="0" w:type="dxa"/>
            </w:tcMar>
          </w:tcPr>
          <w:p w14:paraId="6A42775B" w14:textId="77777777" w:rsidR="00B703D7" w:rsidRPr="001A2F85" w:rsidRDefault="00B703D7" w:rsidP="00B759F6">
            <w:pPr>
              <w:pStyle w:val="Caption"/>
            </w:pPr>
            <w:r>
              <w:rPr>
                <w:rStyle w:val="CaptionLabel"/>
              </w:rPr>
              <w:t>Figure </w:t>
            </w:r>
            <w:r>
              <w:rPr>
                <w:rStyle w:val="CaptionLabel"/>
                <w:noProof/>
              </w:rPr>
              <w:t>B</w:t>
            </w:r>
            <w:r>
              <w:rPr>
                <w:rStyle w:val="CaptionLabel"/>
              </w:rPr>
              <w:t>.</w:t>
            </w:r>
            <w:r>
              <w:rPr>
                <w:rStyle w:val="CaptionLabel"/>
                <w:noProof/>
              </w:rPr>
              <w:t>1</w:t>
            </w:r>
            <w:r w:rsidRPr="001A2F85">
              <w:tab/>
              <w:t>Percentage of 25-64 year olds with tertiary education, by education level, 2015</w:t>
            </w:r>
          </w:p>
        </w:tc>
      </w:tr>
      <w:tr w:rsidR="00B703D7" w:rsidRPr="001A2F85" w14:paraId="7B88867A" w14:textId="77777777" w:rsidTr="00B759F6">
        <w:trPr>
          <w:cantSplit/>
          <w:trHeight w:hRule="exact" w:val="380"/>
        </w:trPr>
        <w:tc>
          <w:tcPr>
            <w:tcW w:w="10994" w:type="dxa"/>
            <w:tcBorders>
              <w:bottom w:val="single" w:sz="4" w:space="0" w:color="auto"/>
            </w:tcBorders>
          </w:tcPr>
          <w:p w14:paraId="31008203" w14:textId="77777777" w:rsidR="00B703D7" w:rsidRPr="001A2F85" w:rsidRDefault="00B703D7" w:rsidP="00B759F6">
            <w:pPr>
              <w:pStyle w:val="spacer"/>
            </w:pPr>
            <w:r>
              <w:rPr>
                <w:noProof/>
                <w:lang w:eastAsia="en-AU"/>
              </w:rPr>
              <mc:AlternateContent>
                <mc:Choice Requires="wps">
                  <w:drawing>
                    <wp:anchor distT="0" distB="0" distL="114300" distR="114300" simplePos="0" relativeHeight="251753984" behindDoc="0" locked="1" layoutInCell="1" allowOverlap="1" wp14:anchorId="7724866F" wp14:editId="4F4640DE">
                      <wp:simplePos x="0" y="0"/>
                      <wp:positionH relativeFrom="rightMargin">
                        <wp:posOffset>-772795</wp:posOffset>
                      </wp:positionH>
                      <wp:positionV relativeFrom="page">
                        <wp:posOffset>0</wp:posOffset>
                      </wp:positionV>
                      <wp:extent cx="436880" cy="213360"/>
                      <wp:effectExtent l="0" t="0" r="1270" b="0"/>
                      <wp:wrapNone/>
                      <wp:docPr id="36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F9837B" id="Freeform 5" o:spid="_x0000_s1026" style="position:absolute;margin-left:-60.85pt;margin-top:0;width:34.4pt;height:16.8pt;z-index:251753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eSfw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Gkmh5J/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703D7" w:rsidRPr="001A2F85" w14:paraId="5B8FB865" w14:textId="77777777" w:rsidTr="00B759F6">
        <w:trPr>
          <w:cantSplit/>
        </w:trPr>
        <w:tc>
          <w:tcPr>
            <w:tcW w:w="10994" w:type="dxa"/>
            <w:tcBorders>
              <w:top w:val="single" w:sz="4" w:space="0" w:color="auto"/>
              <w:bottom w:val="single" w:sz="4" w:space="0" w:color="auto"/>
            </w:tcBorders>
            <w:tcMar>
              <w:top w:w="10" w:type="dxa"/>
              <w:bottom w:w="10" w:type="dxa"/>
              <w:right w:w="0" w:type="dxa"/>
            </w:tcMar>
          </w:tcPr>
          <w:p w14:paraId="3F9BEAE9" w14:textId="77777777" w:rsidR="00B703D7" w:rsidRPr="001A2F85" w:rsidRDefault="00B703D7" w:rsidP="00B759F6">
            <w:pPr>
              <w:pStyle w:val="Figure"/>
            </w:pPr>
            <w:r>
              <w:rPr>
                <w:noProof/>
                <w:lang w:eastAsia="en-AU"/>
              </w:rPr>
              <w:drawing>
                <wp:inline distT="0" distB="0" distL="0" distR="0" wp14:anchorId="553357E5" wp14:editId="2DBFBE77">
                  <wp:extent cx="6677025" cy="3048000"/>
                  <wp:effectExtent l="0" t="0" r="0" b="0"/>
                  <wp:docPr id="375"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677025" cy="3048000"/>
                          </a:xfrm>
                          <a:prstGeom prst="rect">
                            <a:avLst/>
                          </a:prstGeom>
                          <a:noFill/>
                          <a:ln>
                            <a:noFill/>
                          </a:ln>
                        </pic:spPr>
                      </pic:pic>
                    </a:graphicData>
                  </a:graphic>
                </wp:inline>
              </w:drawing>
            </w:r>
          </w:p>
        </w:tc>
      </w:tr>
      <w:tr w:rsidR="00B703D7" w:rsidRPr="001A2F85" w14:paraId="6F3615E6" w14:textId="77777777" w:rsidTr="00B759F6">
        <w:trPr>
          <w:cantSplit/>
        </w:trPr>
        <w:tc>
          <w:tcPr>
            <w:tcW w:w="10994" w:type="dxa"/>
            <w:tcBorders>
              <w:top w:val="single" w:sz="4" w:space="0" w:color="auto"/>
              <w:bottom w:val="single" w:sz="4" w:space="0" w:color="auto"/>
            </w:tcBorders>
            <w:tcMar>
              <w:top w:w="12" w:type="dxa"/>
              <w:left w:w="0" w:type="dxa"/>
              <w:bottom w:w="113" w:type="dxa"/>
            </w:tcMar>
          </w:tcPr>
          <w:p w14:paraId="33A1ED08" w14:textId="77777777" w:rsidR="00B703D7" w:rsidRPr="001A2F85" w:rsidRDefault="00B703D7" w:rsidP="00B759F6">
            <w:pPr>
              <w:pStyle w:val="Note"/>
            </w:pPr>
            <w:r w:rsidRPr="001A2F85">
              <w:t xml:space="preserve">Note: Available from OECD Statlink </w:t>
            </w:r>
            <w:r w:rsidRPr="005C49A4">
              <w:t>http://dx.doi.org/10.1787/888933396600</w:t>
            </w:r>
            <w:r w:rsidRPr="001A2F85">
              <w:t xml:space="preserve"> </w:t>
            </w:r>
          </w:p>
          <w:p w14:paraId="660F2CC9" w14:textId="77777777" w:rsidR="00B703D7" w:rsidRPr="001A2F85" w:rsidRDefault="00B703D7" w:rsidP="00B759F6">
            <w:pPr>
              <w:pStyle w:val="Source"/>
            </w:pPr>
            <w:r w:rsidRPr="001A2F85">
              <w:t>Source: OECD Education at a Glance 2016, Table A1.1</w:t>
            </w:r>
          </w:p>
        </w:tc>
      </w:tr>
      <w:tr w:rsidR="00B703D7" w:rsidRPr="001A2F85" w14:paraId="7068A377" w14:textId="77777777" w:rsidTr="00B759F6">
        <w:trPr>
          <w:trHeight w:hRule="exact" w:val="160"/>
        </w:trPr>
        <w:tc>
          <w:tcPr>
            <w:tcW w:w="10994" w:type="dxa"/>
            <w:tcBorders>
              <w:top w:val="single" w:sz="4" w:space="0" w:color="auto"/>
            </w:tcBorders>
          </w:tcPr>
          <w:p w14:paraId="08F31491" w14:textId="77777777" w:rsidR="00B703D7" w:rsidRPr="001A2F85" w:rsidRDefault="00B703D7" w:rsidP="00B759F6">
            <w:pPr>
              <w:pStyle w:val="spacertbl"/>
            </w:pPr>
          </w:p>
        </w:tc>
      </w:tr>
    </w:tbl>
    <w:p w14:paraId="391E7B9F" w14:textId="77777777" w:rsidR="00B703D7" w:rsidRDefault="00B703D7" w:rsidP="00425AFC">
      <w:pPr>
        <w:pStyle w:val="BodyText"/>
      </w:pPr>
    </w:p>
    <w:p w14:paraId="617951CF" w14:textId="77777777" w:rsidR="00B703D7" w:rsidRDefault="00B703D7" w:rsidP="00425AFC">
      <w:pPr>
        <w:pStyle w:val="BodyText"/>
        <w:sectPr w:rsidR="00B703D7" w:rsidSect="000B6604">
          <w:headerReference w:type="even" r:id="rId187"/>
          <w:pgSz w:w="11907" w:h="16839" w:code="9"/>
          <w:pgMar w:top="1100" w:right="443" w:bottom="1320" w:left="3296" w:header="456" w:footer="262" w:gutter="0"/>
          <w:pgNumType w:start="1" w:chapStyle="7" w:chapSep="enDash"/>
          <w:cols w:space="708"/>
          <w:docGrid w:linePitch="360"/>
        </w:sectPr>
      </w:pPr>
    </w:p>
    <w:p w14:paraId="02B73038" w14:textId="77777777" w:rsidR="00B703D7" w:rsidRPr="001A2F85" w:rsidRDefault="00B703D7" w:rsidP="00B703D7">
      <w:pPr>
        <w:pStyle w:val="Heading8"/>
      </w:pPr>
      <w:r w:rsidRPr="001A2F85">
        <w:t>Summary of different approaches to equity in higher education</w:t>
      </w:r>
    </w:p>
    <w:p w14:paraId="48C176A9" w14:textId="77777777" w:rsidR="00B703D7" w:rsidRDefault="00B703D7" w:rsidP="00B703D7">
      <w:pPr>
        <w:pStyle w:val="BodyText"/>
      </w:pPr>
      <w:r w:rsidRPr="00AD49C8">
        <w:t>Table B.1</w:t>
      </w:r>
      <w:r w:rsidRPr="001A2F85">
        <w:t xml:space="preserve"> provides an overview of the different approaches taken to equity in higher education by the countries/regions analysed in the case studies below.</w:t>
      </w:r>
    </w:p>
    <w:p w14:paraId="40F21294" w14:textId="77777777" w:rsidR="00B703D7" w:rsidRDefault="00B703D7" w:rsidP="00B703D7">
      <w:pPr>
        <w:pStyle w:val="Caption"/>
        <w:spacing w:before="160"/>
        <w:ind w:left="-2207" w:firstLine="0"/>
      </w:pPr>
      <w:r>
        <w:rPr>
          <w:rStyle w:val="CaptionLabel"/>
        </w:rPr>
        <w:t>Table </w:t>
      </w:r>
      <w:r>
        <w:rPr>
          <w:rStyle w:val="CaptionLabel"/>
          <w:noProof/>
        </w:rPr>
        <w:t>B</w:t>
      </w:r>
      <w:r>
        <w:rPr>
          <w:rStyle w:val="CaptionLabel"/>
        </w:rPr>
        <w:t>.</w:t>
      </w:r>
      <w:r>
        <w:rPr>
          <w:rStyle w:val="CaptionLabel"/>
          <w:noProof/>
        </w:rPr>
        <w:t>1</w:t>
      </w:r>
      <w:r>
        <w:tab/>
        <w:t>Summary of approaches</w:t>
      </w:r>
    </w:p>
    <w:tbl>
      <w:tblPr>
        <w:tblW w:w="15761" w:type="dxa"/>
        <w:tblInd w:w="-2661" w:type="dxa"/>
        <w:tblLayout w:type="fixed"/>
        <w:tblCellMar>
          <w:left w:w="0" w:type="dxa"/>
          <w:bottom w:w="40" w:type="dxa"/>
          <w:right w:w="0" w:type="dxa"/>
        </w:tblCellMar>
        <w:tblLook w:val="0000" w:firstRow="0" w:lastRow="0" w:firstColumn="0" w:lastColumn="0" w:noHBand="0" w:noVBand="0"/>
      </w:tblPr>
      <w:tblGrid>
        <w:gridCol w:w="455"/>
        <w:gridCol w:w="1923"/>
        <w:gridCol w:w="2676"/>
        <w:gridCol w:w="2676"/>
        <w:gridCol w:w="2676"/>
        <w:gridCol w:w="2676"/>
        <w:gridCol w:w="2679"/>
      </w:tblGrid>
      <w:tr w:rsidR="00B703D7" w14:paraId="6F253F35" w14:textId="77777777" w:rsidTr="00B759F6">
        <w:trPr>
          <w:cantSplit/>
          <w:tblHeader/>
        </w:trPr>
        <w:tc>
          <w:tcPr>
            <w:tcW w:w="754" w:type="pct"/>
            <w:gridSpan w:val="2"/>
            <w:shd w:val="clear" w:color="auto" w:fill="9D57A6"/>
            <w:tcMar>
              <w:left w:w="454" w:type="dxa"/>
              <w:bottom w:w="0" w:type="dxa"/>
            </w:tcMar>
          </w:tcPr>
          <w:p w14:paraId="21BF98CD" w14:textId="77777777" w:rsidR="00B703D7" w:rsidRDefault="00B703D7" w:rsidP="00B759F6">
            <w:pPr>
              <w:pStyle w:val="Tablecolumnheadings"/>
            </w:pPr>
          </w:p>
        </w:tc>
        <w:tc>
          <w:tcPr>
            <w:tcW w:w="849" w:type="pct"/>
            <w:shd w:val="clear" w:color="auto" w:fill="9D57A6"/>
            <w:tcMar>
              <w:bottom w:w="0" w:type="dxa"/>
            </w:tcMar>
          </w:tcPr>
          <w:p w14:paraId="4E55AC91" w14:textId="77777777" w:rsidR="00B703D7" w:rsidRDefault="00B703D7" w:rsidP="00B759F6">
            <w:pPr>
              <w:pStyle w:val="Tablecolumnheadings"/>
            </w:pPr>
            <w:r w:rsidRPr="001A2F85">
              <w:t>England</w:t>
            </w:r>
          </w:p>
        </w:tc>
        <w:tc>
          <w:tcPr>
            <w:tcW w:w="849" w:type="pct"/>
            <w:shd w:val="clear" w:color="auto" w:fill="9D57A6"/>
            <w:tcMar>
              <w:bottom w:w="0" w:type="dxa"/>
            </w:tcMar>
          </w:tcPr>
          <w:p w14:paraId="47CA0414" w14:textId="77777777" w:rsidR="00B703D7" w:rsidRDefault="00B703D7" w:rsidP="00B759F6">
            <w:pPr>
              <w:pStyle w:val="Tablecolumnheadings"/>
            </w:pPr>
            <w:r w:rsidRPr="001A2F85">
              <w:t>Scotland</w:t>
            </w:r>
          </w:p>
        </w:tc>
        <w:tc>
          <w:tcPr>
            <w:tcW w:w="849" w:type="pct"/>
            <w:shd w:val="clear" w:color="auto" w:fill="9D57A6"/>
            <w:tcMar>
              <w:bottom w:w="0" w:type="dxa"/>
            </w:tcMar>
          </w:tcPr>
          <w:p w14:paraId="2C0B3F18" w14:textId="77777777" w:rsidR="00B703D7" w:rsidRDefault="00B703D7" w:rsidP="00B759F6">
            <w:pPr>
              <w:pStyle w:val="Tablecolumnheadings"/>
            </w:pPr>
            <w:r w:rsidRPr="001A2F85">
              <w:t>Ireland</w:t>
            </w:r>
          </w:p>
        </w:tc>
        <w:tc>
          <w:tcPr>
            <w:tcW w:w="849" w:type="pct"/>
            <w:shd w:val="clear" w:color="auto" w:fill="9D57A6"/>
            <w:tcMar>
              <w:bottom w:w="0" w:type="dxa"/>
            </w:tcMar>
          </w:tcPr>
          <w:p w14:paraId="46804EAA" w14:textId="77777777" w:rsidR="00B703D7" w:rsidRDefault="00B703D7" w:rsidP="00B759F6">
            <w:pPr>
              <w:pStyle w:val="Tablecolumnheadings"/>
            </w:pPr>
            <w:r w:rsidRPr="001A2F85">
              <w:t>United States</w:t>
            </w:r>
          </w:p>
        </w:tc>
        <w:tc>
          <w:tcPr>
            <w:tcW w:w="850" w:type="pct"/>
            <w:shd w:val="clear" w:color="auto" w:fill="9D57A6"/>
            <w:tcMar>
              <w:bottom w:w="0" w:type="dxa"/>
            </w:tcMar>
          </w:tcPr>
          <w:p w14:paraId="4356AC85" w14:textId="77777777" w:rsidR="00B703D7" w:rsidRDefault="00B703D7" w:rsidP="00B759F6">
            <w:pPr>
              <w:pStyle w:val="Tablecolumnheadings"/>
            </w:pPr>
            <w:r w:rsidRPr="001A2F85">
              <w:t>Ontario, Canada</w:t>
            </w:r>
          </w:p>
        </w:tc>
      </w:tr>
      <w:tr w:rsidR="00B703D7" w14:paraId="352E27DD" w14:textId="77777777" w:rsidTr="00B759F6">
        <w:tblPrEx>
          <w:tblBorders>
            <w:bottom w:val="single" w:sz="4" w:space="0" w:color="646464"/>
            <w:insideH w:val="single" w:sz="4" w:space="0" w:color="646464"/>
          </w:tblBorders>
        </w:tblPrEx>
        <w:trPr>
          <w:gridBefore w:val="1"/>
          <w:wBefore w:w="144" w:type="pct"/>
          <w:cantSplit/>
        </w:trPr>
        <w:tc>
          <w:tcPr>
            <w:tcW w:w="610" w:type="pct"/>
            <w:tcBorders>
              <w:top w:val="nil"/>
            </w:tcBorders>
            <w:shd w:val="clear" w:color="auto" w:fill="E6E6E6"/>
          </w:tcPr>
          <w:p w14:paraId="02F6CCBE" w14:textId="77777777" w:rsidR="00B703D7" w:rsidRDefault="00B703D7" w:rsidP="00B759F6">
            <w:pPr>
              <w:pStyle w:val="Tabletext"/>
            </w:pPr>
            <w:r w:rsidRPr="001A2F85">
              <w:t>Definition of low SES for HE equity programs</w:t>
            </w:r>
          </w:p>
        </w:tc>
        <w:tc>
          <w:tcPr>
            <w:tcW w:w="849" w:type="pct"/>
            <w:tcBorders>
              <w:top w:val="nil"/>
            </w:tcBorders>
          </w:tcPr>
          <w:p w14:paraId="51194B7F" w14:textId="77777777" w:rsidR="00B703D7" w:rsidRDefault="00B703D7" w:rsidP="00B759F6">
            <w:pPr>
              <w:pStyle w:val="Tablelistbullet"/>
              <w:ind w:right="60"/>
            </w:pPr>
            <w:r w:rsidRPr="001A2F85">
              <w:t>geographic measure</w:t>
            </w:r>
          </w:p>
          <w:p w14:paraId="52722300" w14:textId="77777777" w:rsidR="00B703D7" w:rsidRDefault="00B703D7" w:rsidP="00B759F6">
            <w:pPr>
              <w:pStyle w:val="Tablelistbullet"/>
              <w:ind w:right="60"/>
            </w:pPr>
            <w:r w:rsidRPr="001A2F85">
              <w:t>HE participation rate in census ward areas</w:t>
            </w:r>
          </w:p>
        </w:tc>
        <w:tc>
          <w:tcPr>
            <w:tcW w:w="849" w:type="pct"/>
            <w:tcBorders>
              <w:top w:val="nil"/>
            </w:tcBorders>
          </w:tcPr>
          <w:p w14:paraId="7FB59C00" w14:textId="77777777" w:rsidR="00B703D7" w:rsidRDefault="00B703D7" w:rsidP="00B759F6">
            <w:pPr>
              <w:pStyle w:val="Tablelistbullet"/>
              <w:ind w:right="60"/>
            </w:pPr>
            <w:r w:rsidRPr="001A2F85">
              <w:t>geographic measure</w:t>
            </w:r>
          </w:p>
          <w:p w14:paraId="752EA681" w14:textId="77777777" w:rsidR="00B703D7" w:rsidRDefault="00B703D7" w:rsidP="00B759F6">
            <w:pPr>
              <w:pStyle w:val="Tablelistbullet"/>
              <w:ind w:right="60"/>
            </w:pPr>
            <w:r w:rsidRPr="001A2F85">
              <w:t>deprivation across seven domains</w:t>
            </w:r>
          </w:p>
        </w:tc>
        <w:tc>
          <w:tcPr>
            <w:tcW w:w="849" w:type="pct"/>
            <w:tcBorders>
              <w:top w:val="nil"/>
            </w:tcBorders>
          </w:tcPr>
          <w:p w14:paraId="19B6A278" w14:textId="77777777" w:rsidR="00B703D7" w:rsidRDefault="00B703D7" w:rsidP="00B759F6">
            <w:pPr>
              <w:pStyle w:val="Tablelistbullet"/>
              <w:ind w:right="60"/>
            </w:pPr>
            <w:r w:rsidRPr="001A2F85">
              <w:t>individual measure</w:t>
            </w:r>
          </w:p>
          <w:p w14:paraId="0E8395F6" w14:textId="77777777" w:rsidR="00B703D7" w:rsidRDefault="00B703D7" w:rsidP="00B759F6">
            <w:pPr>
              <w:pStyle w:val="Tablelistbullet"/>
              <w:ind w:right="60"/>
            </w:pPr>
            <w:r w:rsidRPr="001A2F85">
              <w:t>socioeconomic grouping/occupation</w:t>
            </w:r>
          </w:p>
        </w:tc>
        <w:tc>
          <w:tcPr>
            <w:tcW w:w="849" w:type="pct"/>
            <w:tcBorders>
              <w:top w:val="nil"/>
            </w:tcBorders>
          </w:tcPr>
          <w:p w14:paraId="691CB2F7" w14:textId="77777777" w:rsidR="00B703D7" w:rsidRDefault="00B703D7" w:rsidP="00B759F6">
            <w:pPr>
              <w:pStyle w:val="Tablelistbullet"/>
              <w:ind w:right="60"/>
            </w:pPr>
            <w:r w:rsidRPr="001A2F85">
              <w:t>individual measure</w:t>
            </w:r>
          </w:p>
          <w:p w14:paraId="0D0A9B34" w14:textId="77777777" w:rsidR="00B703D7" w:rsidRDefault="00B703D7" w:rsidP="00B759F6">
            <w:pPr>
              <w:pStyle w:val="Tablelistbullet"/>
              <w:ind w:right="60"/>
            </w:pPr>
            <w:r w:rsidRPr="001A2F85">
              <w:t>low income</w:t>
            </w:r>
          </w:p>
        </w:tc>
        <w:tc>
          <w:tcPr>
            <w:tcW w:w="850" w:type="pct"/>
            <w:tcBorders>
              <w:top w:val="nil"/>
            </w:tcBorders>
          </w:tcPr>
          <w:p w14:paraId="6AF0DBD3" w14:textId="77777777" w:rsidR="00B703D7" w:rsidRDefault="00B703D7" w:rsidP="00B759F6">
            <w:pPr>
              <w:pStyle w:val="Tablelistbullet"/>
            </w:pPr>
            <w:r>
              <w:t xml:space="preserve">family income or parents’ </w:t>
            </w:r>
            <w:r w:rsidRPr="001A2F85">
              <w:t>education level</w:t>
            </w:r>
          </w:p>
        </w:tc>
      </w:tr>
      <w:tr w:rsidR="00B703D7" w14:paraId="2DDF0FF0" w14:textId="77777777" w:rsidTr="00B759F6">
        <w:tblPrEx>
          <w:tblBorders>
            <w:bottom w:val="single" w:sz="4" w:space="0" w:color="646464"/>
            <w:insideH w:val="single" w:sz="4" w:space="0" w:color="646464"/>
          </w:tblBorders>
        </w:tblPrEx>
        <w:trPr>
          <w:gridBefore w:val="1"/>
          <w:wBefore w:w="144" w:type="pct"/>
          <w:cantSplit/>
        </w:trPr>
        <w:tc>
          <w:tcPr>
            <w:tcW w:w="610" w:type="pct"/>
            <w:shd w:val="clear" w:color="auto" w:fill="E6E6E6"/>
          </w:tcPr>
          <w:p w14:paraId="46BC06A7" w14:textId="77777777" w:rsidR="00B703D7" w:rsidRDefault="00B703D7" w:rsidP="00B759F6">
            <w:pPr>
              <w:pStyle w:val="Tabletext"/>
            </w:pPr>
            <w:r w:rsidRPr="001A2F85">
              <w:t>Other equity groups</w:t>
            </w:r>
          </w:p>
        </w:tc>
        <w:tc>
          <w:tcPr>
            <w:tcW w:w="849" w:type="pct"/>
          </w:tcPr>
          <w:p w14:paraId="36580571" w14:textId="77777777" w:rsidR="00B703D7" w:rsidRPr="001A2F85" w:rsidRDefault="00B703D7" w:rsidP="00B759F6">
            <w:pPr>
              <w:pStyle w:val="Tablelistbullet"/>
              <w:ind w:right="60"/>
            </w:pPr>
            <w:r w:rsidRPr="001A2F85">
              <w:t>people from black and minority ethnic communities</w:t>
            </w:r>
          </w:p>
          <w:p w14:paraId="69D5928B" w14:textId="77777777" w:rsidR="00B703D7" w:rsidRPr="001A2F85" w:rsidRDefault="00B703D7" w:rsidP="00B759F6">
            <w:pPr>
              <w:pStyle w:val="Tablelistbullet"/>
              <w:ind w:right="60"/>
            </w:pPr>
            <w:r w:rsidRPr="001A2F85">
              <w:t>people with specific learning difficulties or mental health needs</w:t>
            </w:r>
          </w:p>
          <w:p w14:paraId="4163DE2D" w14:textId="77777777" w:rsidR="00B703D7" w:rsidRDefault="00B703D7" w:rsidP="00B759F6">
            <w:pPr>
              <w:pStyle w:val="Tablelistbullet"/>
              <w:ind w:right="60"/>
            </w:pPr>
            <w:r w:rsidRPr="001A2F85">
              <w:t>also, within low SES group, a focus specifically on young white males</w:t>
            </w:r>
          </w:p>
        </w:tc>
        <w:tc>
          <w:tcPr>
            <w:tcW w:w="849" w:type="pct"/>
          </w:tcPr>
          <w:p w14:paraId="2F4F2B9B" w14:textId="77777777" w:rsidR="00B703D7" w:rsidRPr="001A2F85" w:rsidRDefault="00B703D7" w:rsidP="00B759F6">
            <w:pPr>
              <w:pStyle w:val="Tablelistbullet"/>
              <w:ind w:right="60"/>
            </w:pPr>
            <w:r w:rsidRPr="001A2F85">
              <w:t>entrants from different protected characteristic groups</w:t>
            </w:r>
          </w:p>
          <w:p w14:paraId="0B48A930" w14:textId="77777777" w:rsidR="00B703D7" w:rsidRPr="001A2F85" w:rsidRDefault="00B703D7" w:rsidP="00B759F6">
            <w:pPr>
              <w:pStyle w:val="Tablelistbullet"/>
              <w:ind w:right="60"/>
            </w:pPr>
            <w:r w:rsidRPr="001A2F85">
              <w:t>gender balance of student population</w:t>
            </w:r>
          </w:p>
          <w:p w14:paraId="7D8F3BAC" w14:textId="77777777" w:rsidR="00B703D7" w:rsidRDefault="00B703D7" w:rsidP="00B759F6">
            <w:pPr>
              <w:pStyle w:val="Tablelistbullet"/>
              <w:ind w:right="60"/>
            </w:pPr>
            <w:r w:rsidRPr="001A2F85">
              <w:t>undergraduate entrants with care experience</w:t>
            </w:r>
          </w:p>
        </w:tc>
        <w:tc>
          <w:tcPr>
            <w:tcW w:w="849" w:type="pct"/>
          </w:tcPr>
          <w:p w14:paraId="7AF14040" w14:textId="77777777" w:rsidR="00B703D7" w:rsidRPr="001A2F85" w:rsidRDefault="00B703D7" w:rsidP="00B759F6">
            <w:pPr>
              <w:pStyle w:val="Tablelistbullet"/>
              <w:ind w:right="60"/>
            </w:pPr>
            <w:r w:rsidRPr="001A2F85">
              <w:t>first time, mature student entrants</w:t>
            </w:r>
          </w:p>
          <w:p w14:paraId="143AC061" w14:textId="77777777" w:rsidR="00B703D7" w:rsidRPr="001A2F85" w:rsidRDefault="00B703D7" w:rsidP="00B759F6">
            <w:pPr>
              <w:pStyle w:val="Tablelistbullet"/>
              <w:ind w:right="60"/>
            </w:pPr>
            <w:r w:rsidRPr="001A2F85">
              <w:t>students with disabilities</w:t>
            </w:r>
          </w:p>
          <w:p w14:paraId="2CF2F6B9" w14:textId="77777777" w:rsidR="00B703D7" w:rsidRPr="001A2F85" w:rsidRDefault="00B703D7" w:rsidP="00B759F6">
            <w:pPr>
              <w:pStyle w:val="Tablelistbullet"/>
              <w:ind w:right="60"/>
            </w:pPr>
            <w:r w:rsidRPr="001A2F85">
              <w:t>part-time/flexible learners</w:t>
            </w:r>
          </w:p>
          <w:p w14:paraId="7FEFD47F" w14:textId="77777777" w:rsidR="00B703D7" w:rsidRDefault="00B703D7" w:rsidP="00B759F6">
            <w:pPr>
              <w:pStyle w:val="Tablelistbullet"/>
              <w:ind w:right="60"/>
            </w:pPr>
            <w:r w:rsidRPr="001A2F85">
              <w:t>further education award holders</w:t>
            </w:r>
          </w:p>
          <w:p w14:paraId="2EB7FC4E" w14:textId="77777777" w:rsidR="00B703D7" w:rsidRDefault="00B703D7" w:rsidP="00B759F6">
            <w:pPr>
              <w:pStyle w:val="Tablelistbullet"/>
              <w:ind w:right="60"/>
            </w:pPr>
            <w:r w:rsidRPr="001A2F85">
              <w:t>Irish Travellers</w:t>
            </w:r>
          </w:p>
        </w:tc>
        <w:tc>
          <w:tcPr>
            <w:tcW w:w="849" w:type="pct"/>
          </w:tcPr>
          <w:p w14:paraId="63571307" w14:textId="77777777" w:rsidR="00B703D7" w:rsidRPr="001A2F85" w:rsidRDefault="00B703D7" w:rsidP="00B759F6">
            <w:pPr>
              <w:pStyle w:val="Tablelistbullet"/>
              <w:ind w:right="60"/>
            </w:pPr>
            <w:r w:rsidRPr="001A2F85">
              <w:t>first generation students</w:t>
            </w:r>
          </w:p>
          <w:p w14:paraId="1E81D374" w14:textId="77777777" w:rsidR="00B703D7" w:rsidRPr="001A2F85" w:rsidRDefault="00B703D7" w:rsidP="00B759F6">
            <w:pPr>
              <w:pStyle w:val="Tablelistbullet"/>
              <w:ind w:right="60"/>
            </w:pPr>
            <w:r w:rsidRPr="001A2F85">
              <w:t>individuals with disabilities</w:t>
            </w:r>
          </w:p>
          <w:p w14:paraId="7599CFCC" w14:textId="77777777" w:rsidR="00B703D7" w:rsidRDefault="00B703D7" w:rsidP="00B759F6">
            <w:pPr>
              <w:pStyle w:val="Tablelistbullet"/>
              <w:ind w:right="60"/>
            </w:pPr>
            <w:r w:rsidRPr="001A2F85">
              <w:t>people from black and minority ethnic communities</w:t>
            </w:r>
          </w:p>
        </w:tc>
        <w:tc>
          <w:tcPr>
            <w:tcW w:w="850" w:type="pct"/>
          </w:tcPr>
          <w:p w14:paraId="28C5A9F7" w14:textId="77777777" w:rsidR="00B703D7" w:rsidRPr="001A2F85" w:rsidRDefault="00B703D7" w:rsidP="00B759F6">
            <w:pPr>
              <w:pStyle w:val="Tablelistbullet"/>
              <w:ind w:right="60"/>
            </w:pPr>
            <w:r w:rsidRPr="001A2F85">
              <w:t>francophone/bilingual students</w:t>
            </w:r>
          </w:p>
          <w:p w14:paraId="42162F17" w14:textId="77777777" w:rsidR="00B703D7" w:rsidRPr="001A2F85" w:rsidRDefault="00B703D7" w:rsidP="00B759F6">
            <w:pPr>
              <w:pStyle w:val="Tablelistbullet"/>
              <w:ind w:right="60"/>
            </w:pPr>
            <w:r w:rsidRPr="001A2F85">
              <w:t>students with disability</w:t>
            </w:r>
          </w:p>
          <w:p w14:paraId="68194E55" w14:textId="77777777" w:rsidR="00B703D7" w:rsidRDefault="00B703D7" w:rsidP="00B759F6">
            <w:pPr>
              <w:pStyle w:val="Tablelistbullet"/>
              <w:ind w:right="60"/>
            </w:pPr>
            <w:r w:rsidRPr="001A2F85">
              <w:t>Aboriginal people</w:t>
            </w:r>
          </w:p>
        </w:tc>
      </w:tr>
      <w:tr w:rsidR="00B703D7" w14:paraId="0B0DDA5D" w14:textId="77777777" w:rsidTr="00B759F6">
        <w:tblPrEx>
          <w:tblBorders>
            <w:bottom w:val="single" w:sz="4" w:space="0" w:color="646464"/>
            <w:insideH w:val="single" w:sz="4" w:space="0" w:color="646464"/>
          </w:tblBorders>
        </w:tblPrEx>
        <w:trPr>
          <w:gridBefore w:val="1"/>
          <w:wBefore w:w="144" w:type="pct"/>
          <w:cantSplit/>
        </w:trPr>
        <w:tc>
          <w:tcPr>
            <w:tcW w:w="610" w:type="pct"/>
            <w:shd w:val="clear" w:color="auto" w:fill="E6E6E6"/>
          </w:tcPr>
          <w:p w14:paraId="617323BB" w14:textId="77777777" w:rsidR="00B703D7" w:rsidRDefault="00B703D7" w:rsidP="00B759F6">
            <w:pPr>
              <w:pStyle w:val="Tabletext"/>
            </w:pPr>
            <w:r w:rsidRPr="001A2F85">
              <w:t>Body administering HE equity program</w:t>
            </w:r>
          </w:p>
        </w:tc>
        <w:tc>
          <w:tcPr>
            <w:tcW w:w="849" w:type="pct"/>
          </w:tcPr>
          <w:p w14:paraId="192EA9F5" w14:textId="77777777" w:rsidR="00B703D7" w:rsidRDefault="00B703D7" w:rsidP="00B759F6">
            <w:pPr>
              <w:pStyle w:val="Tabletext"/>
            </w:pPr>
            <w:r w:rsidRPr="001A2F85">
              <w:t>Higher Education Funding Council and Office for Fair Access</w:t>
            </w:r>
          </w:p>
        </w:tc>
        <w:tc>
          <w:tcPr>
            <w:tcW w:w="849" w:type="pct"/>
          </w:tcPr>
          <w:p w14:paraId="2E3ADA7F" w14:textId="77777777" w:rsidR="00B703D7" w:rsidRDefault="00B703D7" w:rsidP="00B759F6">
            <w:pPr>
              <w:pStyle w:val="Tabletext"/>
            </w:pPr>
            <w:r w:rsidRPr="001A2F85">
              <w:t>Scottish Funding Council</w:t>
            </w:r>
          </w:p>
        </w:tc>
        <w:tc>
          <w:tcPr>
            <w:tcW w:w="849" w:type="pct"/>
          </w:tcPr>
          <w:p w14:paraId="22DD0059" w14:textId="77777777" w:rsidR="00B703D7" w:rsidRDefault="00B703D7" w:rsidP="00B759F6">
            <w:pPr>
              <w:pStyle w:val="Tabletext"/>
            </w:pPr>
            <w:r w:rsidRPr="001A2F85">
              <w:t>National Access Policy Office, Higher Education Authority</w:t>
            </w:r>
          </w:p>
        </w:tc>
        <w:tc>
          <w:tcPr>
            <w:tcW w:w="849" w:type="pct"/>
          </w:tcPr>
          <w:p w14:paraId="13631161" w14:textId="77777777" w:rsidR="00B703D7" w:rsidRDefault="00B703D7" w:rsidP="00B759F6">
            <w:pPr>
              <w:pStyle w:val="Tabletext"/>
            </w:pPr>
            <w:r w:rsidRPr="001A2F85">
              <w:t>Office of Postsecondary Education, US Department of Education</w:t>
            </w:r>
          </w:p>
        </w:tc>
        <w:tc>
          <w:tcPr>
            <w:tcW w:w="850" w:type="pct"/>
          </w:tcPr>
          <w:p w14:paraId="5A9E6ECF" w14:textId="77777777" w:rsidR="00B703D7" w:rsidRDefault="00B703D7" w:rsidP="00B759F6">
            <w:pPr>
              <w:pStyle w:val="Tabletext"/>
            </w:pPr>
            <w:r w:rsidRPr="001A2F85">
              <w:t>Ministry of Advanced Education and Skills Development; Higher Education Quality Council of Ontario</w:t>
            </w:r>
          </w:p>
        </w:tc>
      </w:tr>
      <w:tr w:rsidR="00B703D7" w14:paraId="7A7602F7" w14:textId="77777777" w:rsidTr="00B759F6">
        <w:tblPrEx>
          <w:tblBorders>
            <w:bottom w:val="single" w:sz="4" w:space="0" w:color="646464"/>
            <w:insideH w:val="single" w:sz="4" w:space="0" w:color="646464"/>
          </w:tblBorders>
        </w:tblPrEx>
        <w:trPr>
          <w:gridBefore w:val="1"/>
          <w:wBefore w:w="144" w:type="pct"/>
          <w:cantSplit/>
        </w:trPr>
        <w:tc>
          <w:tcPr>
            <w:tcW w:w="610" w:type="pct"/>
            <w:shd w:val="clear" w:color="auto" w:fill="E6E6E6"/>
          </w:tcPr>
          <w:p w14:paraId="2D7EC920" w14:textId="77777777" w:rsidR="00B703D7" w:rsidRDefault="00B703D7" w:rsidP="00B759F6">
            <w:pPr>
              <w:pStyle w:val="Tabletext"/>
            </w:pPr>
            <w:r w:rsidRPr="001A2F85">
              <w:t>Approach to university equity funding</w:t>
            </w:r>
          </w:p>
        </w:tc>
        <w:tc>
          <w:tcPr>
            <w:tcW w:w="849" w:type="pct"/>
          </w:tcPr>
          <w:p w14:paraId="73F691F6" w14:textId="77777777" w:rsidR="00B703D7" w:rsidRDefault="00B703D7" w:rsidP="00B759F6">
            <w:pPr>
              <w:pStyle w:val="Tabletext"/>
            </w:pPr>
            <w:r w:rsidRPr="001A2F85">
              <w:t>Student opportunity funding provided to institutions, based on weighted FTE student numbers</w:t>
            </w:r>
          </w:p>
        </w:tc>
        <w:tc>
          <w:tcPr>
            <w:tcW w:w="849" w:type="pct"/>
          </w:tcPr>
          <w:p w14:paraId="554A7331" w14:textId="77777777" w:rsidR="00B703D7" w:rsidRDefault="00B703D7" w:rsidP="00B759F6">
            <w:pPr>
              <w:pStyle w:val="Tabletext"/>
            </w:pPr>
            <w:r w:rsidRPr="001A2F85">
              <w:t>Outcome agreement grant funding</w:t>
            </w:r>
          </w:p>
        </w:tc>
        <w:tc>
          <w:tcPr>
            <w:tcW w:w="849" w:type="pct"/>
          </w:tcPr>
          <w:p w14:paraId="2431FD23" w14:textId="77777777" w:rsidR="00B703D7" w:rsidRDefault="00B703D7" w:rsidP="00B759F6">
            <w:pPr>
              <w:pStyle w:val="Tabletext"/>
            </w:pPr>
            <w:r w:rsidRPr="001A2F85">
              <w:t>Access weighted grant allocations to universities</w:t>
            </w:r>
          </w:p>
        </w:tc>
        <w:tc>
          <w:tcPr>
            <w:tcW w:w="849" w:type="pct"/>
          </w:tcPr>
          <w:p w14:paraId="2CC8F57E" w14:textId="77777777" w:rsidR="00B703D7" w:rsidRDefault="00B703D7" w:rsidP="00B759F6">
            <w:pPr>
              <w:pStyle w:val="Tabletext"/>
            </w:pPr>
            <w:r w:rsidRPr="001A2F85">
              <w:t>Various institutional grant programs, including for institutions with high proportion of minority and financially disadvantaged students, and for institutions to undertake support activities for disadvantaged students</w:t>
            </w:r>
          </w:p>
        </w:tc>
        <w:tc>
          <w:tcPr>
            <w:tcW w:w="850" w:type="pct"/>
          </w:tcPr>
          <w:p w14:paraId="347EAB15" w14:textId="77777777" w:rsidR="00B703D7" w:rsidRDefault="00B703D7" w:rsidP="00B759F6">
            <w:pPr>
              <w:pStyle w:val="Tabletext"/>
            </w:pPr>
            <w:r w:rsidRPr="001A2F85">
              <w:t>Special purpose grant funding for equity groups provided to universities</w:t>
            </w:r>
          </w:p>
        </w:tc>
      </w:tr>
      <w:tr w:rsidR="00B703D7" w14:paraId="79F51160" w14:textId="77777777" w:rsidTr="00B759F6">
        <w:tblPrEx>
          <w:tblBorders>
            <w:bottom w:val="single" w:sz="4" w:space="0" w:color="646464"/>
            <w:insideH w:val="single" w:sz="4" w:space="0" w:color="646464"/>
          </w:tblBorders>
        </w:tblPrEx>
        <w:trPr>
          <w:gridBefore w:val="1"/>
          <w:wBefore w:w="144" w:type="pct"/>
          <w:cantSplit/>
        </w:trPr>
        <w:tc>
          <w:tcPr>
            <w:tcW w:w="610" w:type="pct"/>
            <w:shd w:val="clear" w:color="auto" w:fill="E6E6E6"/>
          </w:tcPr>
          <w:p w14:paraId="1C5CC2BB" w14:textId="77777777" w:rsidR="00B703D7" w:rsidRDefault="00B703D7" w:rsidP="00B759F6">
            <w:pPr>
              <w:pStyle w:val="Tabletext"/>
            </w:pPr>
            <w:r w:rsidRPr="001A2F85">
              <w:t>Approach to university equity reporting</w:t>
            </w:r>
          </w:p>
        </w:tc>
        <w:tc>
          <w:tcPr>
            <w:tcW w:w="849" w:type="pct"/>
          </w:tcPr>
          <w:p w14:paraId="2DA7434C" w14:textId="77777777" w:rsidR="00B703D7" w:rsidRDefault="00B703D7" w:rsidP="00B759F6">
            <w:pPr>
              <w:pStyle w:val="Tabletext"/>
            </w:pPr>
            <w:r w:rsidRPr="001A2F85">
              <w:t>In order to charge fees at the maximum level, universities must have access agreements approved by the Office of Fair Access, outlining their access targets and measures</w:t>
            </w:r>
          </w:p>
        </w:tc>
        <w:tc>
          <w:tcPr>
            <w:tcW w:w="849" w:type="pct"/>
          </w:tcPr>
          <w:p w14:paraId="04CD7967" w14:textId="77777777" w:rsidR="00B703D7" w:rsidRDefault="00B703D7" w:rsidP="00B759F6">
            <w:pPr>
              <w:pStyle w:val="Tabletext"/>
            </w:pPr>
            <w:r w:rsidRPr="001A2F85">
              <w:t>Institutions must provide outcome agreements to the Scottish Funding Council, and report against the measures within, including widening participation measures</w:t>
            </w:r>
          </w:p>
        </w:tc>
        <w:tc>
          <w:tcPr>
            <w:tcW w:w="849" w:type="pct"/>
          </w:tcPr>
          <w:p w14:paraId="59B72022" w14:textId="77777777" w:rsidR="00B703D7" w:rsidRDefault="00B703D7" w:rsidP="00B759F6">
            <w:pPr>
              <w:pStyle w:val="Tabletext"/>
            </w:pPr>
          </w:p>
        </w:tc>
        <w:tc>
          <w:tcPr>
            <w:tcW w:w="849" w:type="pct"/>
          </w:tcPr>
          <w:p w14:paraId="6158AFA3" w14:textId="77777777" w:rsidR="00B703D7" w:rsidRDefault="00B703D7" w:rsidP="00B759F6">
            <w:pPr>
              <w:pStyle w:val="Tabletext"/>
            </w:pPr>
            <w:r w:rsidRPr="001A2F85">
              <w:t>Annual Performance Reports for institutional grants</w:t>
            </w:r>
          </w:p>
        </w:tc>
        <w:tc>
          <w:tcPr>
            <w:tcW w:w="850" w:type="pct"/>
          </w:tcPr>
          <w:p w14:paraId="2256E0A6" w14:textId="77777777" w:rsidR="00B703D7" w:rsidRDefault="00B703D7" w:rsidP="00B759F6">
            <w:pPr>
              <w:pStyle w:val="Tabletext"/>
            </w:pPr>
            <w:r w:rsidRPr="001A2F85">
              <w:t>Universities provide Strategic Mandate Agreements to the Department for three-year periods, including widening participation activities</w:t>
            </w:r>
          </w:p>
        </w:tc>
      </w:tr>
      <w:tr w:rsidR="00B703D7" w14:paraId="661F623C" w14:textId="77777777" w:rsidTr="00B759F6">
        <w:tblPrEx>
          <w:tblBorders>
            <w:bottom w:val="single" w:sz="4" w:space="0" w:color="646464"/>
            <w:insideH w:val="single" w:sz="4" w:space="0" w:color="646464"/>
          </w:tblBorders>
        </w:tblPrEx>
        <w:trPr>
          <w:gridBefore w:val="1"/>
          <w:wBefore w:w="144" w:type="pct"/>
          <w:cantSplit/>
        </w:trPr>
        <w:tc>
          <w:tcPr>
            <w:tcW w:w="610" w:type="pct"/>
            <w:shd w:val="clear" w:color="auto" w:fill="E6E6E6"/>
          </w:tcPr>
          <w:p w14:paraId="49A87E3E" w14:textId="77777777" w:rsidR="00B703D7" w:rsidRDefault="00B703D7" w:rsidP="00B759F6">
            <w:pPr>
              <w:pStyle w:val="Tabletext"/>
            </w:pPr>
            <w:r w:rsidRPr="001A2F85">
              <w:t>Higher education student fees</w:t>
            </w:r>
          </w:p>
        </w:tc>
        <w:tc>
          <w:tcPr>
            <w:tcW w:w="849" w:type="pct"/>
          </w:tcPr>
          <w:p w14:paraId="5FFFFFCA" w14:textId="77777777" w:rsidR="00B703D7" w:rsidRDefault="00B703D7" w:rsidP="00B759F6">
            <w:pPr>
              <w:pStyle w:val="Tabletext"/>
            </w:pPr>
            <w:r w:rsidRPr="001A2F85">
              <w:t>Variable fees with upper limits (for UK and EU students) set by the Government. Grants available to assist eligible students.</w:t>
            </w:r>
          </w:p>
        </w:tc>
        <w:tc>
          <w:tcPr>
            <w:tcW w:w="849" w:type="pct"/>
          </w:tcPr>
          <w:p w14:paraId="7B04DE77" w14:textId="77777777" w:rsidR="00B703D7" w:rsidRDefault="00B703D7" w:rsidP="00B759F6">
            <w:pPr>
              <w:pStyle w:val="Tabletext"/>
            </w:pPr>
            <w:r w:rsidRPr="001A2F85">
              <w:t>Free for full-time undergraduate students who are UK and EU residents</w:t>
            </w:r>
          </w:p>
        </w:tc>
        <w:tc>
          <w:tcPr>
            <w:tcW w:w="849" w:type="pct"/>
          </w:tcPr>
          <w:p w14:paraId="04D785A1" w14:textId="77777777" w:rsidR="00B703D7" w:rsidRDefault="00B703D7" w:rsidP="00B759F6">
            <w:pPr>
              <w:pStyle w:val="Tabletext"/>
            </w:pPr>
            <w:r w:rsidRPr="001A2F85">
              <w:t>Free for full-time undergraduates with EU nationality and three year residency history. Grants available for eligible students, including postgraduate students</w:t>
            </w:r>
          </w:p>
        </w:tc>
        <w:tc>
          <w:tcPr>
            <w:tcW w:w="849" w:type="pct"/>
          </w:tcPr>
          <w:p w14:paraId="5B2E117B" w14:textId="77777777" w:rsidR="00B703D7" w:rsidRDefault="00B703D7" w:rsidP="00B759F6">
            <w:pPr>
              <w:pStyle w:val="Tabletext"/>
            </w:pPr>
            <w:r w:rsidRPr="001A2F85">
              <w:t>Variable fees with a range of loans and grants available for eligible students</w:t>
            </w:r>
          </w:p>
        </w:tc>
        <w:tc>
          <w:tcPr>
            <w:tcW w:w="850" w:type="pct"/>
          </w:tcPr>
          <w:p w14:paraId="11618B08" w14:textId="77777777" w:rsidR="00B703D7" w:rsidRDefault="00B703D7" w:rsidP="00B759F6">
            <w:pPr>
              <w:pStyle w:val="Tabletext"/>
            </w:pPr>
            <w:r w:rsidRPr="001A2F85">
              <w:t>Free for students from low income families, from 2017-18 academic year. Grants available for eligible students</w:t>
            </w:r>
          </w:p>
        </w:tc>
      </w:tr>
      <w:tr w:rsidR="00B703D7" w14:paraId="6B80C790" w14:textId="77777777" w:rsidTr="00B759F6">
        <w:tblPrEx>
          <w:tblBorders>
            <w:bottom w:val="single" w:sz="4" w:space="0" w:color="646464"/>
            <w:insideH w:val="single" w:sz="4" w:space="0" w:color="646464"/>
          </w:tblBorders>
        </w:tblPrEx>
        <w:trPr>
          <w:gridBefore w:val="1"/>
          <w:wBefore w:w="144" w:type="pct"/>
          <w:cantSplit/>
        </w:trPr>
        <w:tc>
          <w:tcPr>
            <w:tcW w:w="610" w:type="pct"/>
            <w:shd w:val="clear" w:color="auto" w:fill="E6E6E6"/>
          </w:tcPr>
          <w:p w14:paraId="5D0877B4" w14:textId="77777777" w:rsidR="00B703D7" w:rsidRDefault="00B703D7" w:rsidP="00B759F6">
            <w:pPr>
              <w:pStyle w:val="Tabletext"/>
            </w:pPr>
            <w:r w:rsidRPr="001A2F85">
              <w:t>Student loan scheme</w:t>
            </w:r>
          </w:p>
        </w:tc>
        <w:tc>
          <w:tcPr>
            <w:tcW w:w="849" w:type="pct"/>
          </w:tcPr>
          <w:p w14:paraId="28E5216A" w14:textId="77777777" w:rsidR="00B703D7" w:rsidRDefault="00B703D7" w:rsidP="00B759F6">
            <w:pPr>
              <w:pStyle w:val="Tabletext"/>
            </w:pPr>
            <w:r w:rsidRPr="001A2F85">
              <w:t xml:space="preserve">Tuition Fee Loan and Maintenance Loan (to assist with living costs). Repayment begins once income meets a minimum threshold, and interest applies. </w:t>
            </w:r>
          </w:p>
        </w:tc>
        <w:tc>
          <w:tcPr>
            <w:tcW w:w="849" w:type="pct"/>
          </w:tcPr>
          <w:p w14:paraId="793F9DFF" w14:textId="77777777" w:rsidR="00B703D7" w:rsidRDefault="00B703D7" w:rsidP="00B759F6">
            <w:pPr>
              <w:pStyle w:val="Tabletext"/>
            </w:pPr>
            <w:r w:rsidRPr="001A2F85">
              <w:t>Loans available for postgraduate students</w:t>
            </w:r>
          </w:p>
        </w:tc>
        <w:tc>
          <w:tcPr>
            <w:tcW w:w="849" w:type="pct"/>
          </w:tcPr>
          <w:p w14:paraId="189D2C36" w14:textId="77777777" w:rsidR="00B703D7" w:rsidRDefault="00B703D7" w:rsidP="00B759F6">
            <w:pPr>
              <w:pStyle w:val="Tabletext"/>
            </w:pPr>
            <w:r w:rsidRPr="001A2F85">
              <w:t>-</w:t>
            </w:r>
          </w:p>
        </w:tc>
        <w:tc>
          <w:tcPr>
            <w:tcW w:w="849" w:type="pct"/>
          </w:tcPr>
          <w:p w14:paraId="60B5CEBC" w14:textId="77777777" w:rsidR="00B703D7" w:rsidRDefault="00B703D7" w:rsidP="00B759F6">
            <w:pPr>
              <w:pStyle w:val="Tabletext"/>
            </w:pPr>
            <w:r w:rsidRPr="001A2F85">
              <w:t>A range of loans available, some (including subsidised loans) dependent on financial need. Repayment begins when a student leaves college or drop below less than half-time enrolment</w:t>
            </w:r>
          </w:p>
        </w:tc>
        <w:tc>
          <w:tcPr>
            <w:tcW w:w="850" w:type="pct"/>
          </w:tcPr>
          <w:p w14:paraId="39C8E833" w14:textId="77777777" w:rsidR="00B703D7" w:rsidRDefault="00B703D7" w:rsidP="00B759F6">
            <w:pPr>
              <w:pStyle w:val="Tabletext"/>
            </w:pPr>
            <w:r w:rsidRPr="001A2F85">
              <w:t>Various loans available for eligible students through the Ontario Student Assistance Program</w:t>
            </w:r>
          </w:p>
        </w:tc>
      </w:tr>
      <w:tr w:rsidR="00B703D7" w14:paraId="0AEC5115" w14:textId="77777777" w:rsidTr="00B759F6">
        <w:tblPrEx>
          <w:tblBorders>
            <w:bottom w:val="single" w:sz="4" w:space="0" w:color="646464"/>
            <w:insideH w:val="single" w:sz="4" w:space="0" w:color="646464"/>
          </w:tblBorders>
        </w:tblPrEx>
        <w:trPr>
          <w:gridBefore w:val="1"/>
          <w:wBefore w:w="144" w:type="pct"/>
          <w:cantSplit/>
        </w:trPr>
        <w:tc>
          <w:tcPr>
            <w:tcW w:w="4856" w:type="pct"/>
            <w:gridSpan w:val="6"/>
          </w:tcPr>
          <w:p w14:paraId="4674D3C0" w14:textId="77777777" w:rsidR="00B703D7" w:rsidRDefault="00B703D7" w:rsidP="00B759F6">
            <w:pPr>
              <w:pStyle w:val="Source"/>
            </w:pPr>
            <w:r>
              <w:t xml:space="preserve">Source: </w:t>
            </w:r>
            <w:r w:rsidRPr="001A2F85">
              <w:t>Various as below, and government websites</w:t>
            </w:r>
          </w:p>
        </w:tc>
      </w:tr>
      <w:tr w:rsidR="00B703D7" w14:paraId="45A05D20" w14:textId="77777777" w:rsidTr="00B759F6">
        <w:tblPrEx>
          <w:tblBorders>
            <w:bottom w:val="single" w:sz="4" w:space="0" w:color="646464"/>
            <w:insideH w:val="single" w:sz="4" w:space="0" w:color="646464"/>
          </w:tblBorders>
        </w:tblPrEx>
        <w:trPr>
          <w:gridBefore w:val="1"/>
          <w:wBefore w:w="144" w:type="pct"/>
          <w:cantSplit/>
          <w:trHeight w:hRule="exact" w:val="120"/>
        </w:trPr>
        <w:tc>
          <w:tcPr>
            <w:tcW w:w="4856" w:type="pct"/>
            <w:gridSpan w:val="6"/>
            <w:tcBorders>
              <w:bottom w:val="nil"/>
            </w:tcBorders>
          </w:tcPr>
          <w:p w14:paraId="26EF4E6C" w14:textId="77777777" w:rsidR="00B703D7" w:rsidRDefault="00B703D7" w:rsidP="00B759F6">
            <w:pPr>
              <w:pStyle w:val="spacertbl"/>
            </w:pPr>
          </w:p>
        </w:tc>
      </w:tr>
    </w:tbl>
    <w:p w14:paraId="342170F0" w14:textId="77777777" w:rsidR="00B703D7" w:rsidRPr="001A2F85" w:rsidRDefault="00B703D7" w:rsidP="00B703D7">
      <w:r w:rsidRPr="001A2F85">
        <w:t>Each case study in this chapter has specific strategies for improving equity in higher education, including supporting the access and participation of people from low SES or similarly disadvantaged backgrounds. However, this is measured in a variety of ways:</w:t>
      </w:r>
    </w:p>
    <w:p w14:paraId="01F678A3" w14:textId="77777777" w:rsidR="00B703D7" w:rsidRPr="001A2F85" w:rsidRDefault="00B703D7" w:rsidP="00B703D7">
      <w:pPr>
        <w:pStyle w:val="ListBullet"/>
        <w:numPr>
          <w:ilvl w:val="0"/>
          <w:numId w:val="34"/>
        </w:numPr>
      </w:pPr>
      <w:r w:rsidRPr="001A2F85">
        <w:t>The primary measure of disadvantage used in English widening participation literature is the POLAR classification—participation of local areas. In this method, census ward areas are classified into quintiles (most disadvantaged to least disadvantaged), based on the proportion of 18 year olds who enter higher education aged 18 or 19 years (HEFCE, 2015c).</w:t>
      </w:r>
    </w:p>
    <w:p w14:paraId="677EC9B2" w14:textId="77777777" w:rsidR="00B703D7" w:rsidRPr="001A2F85" w:rsidRDefault="00B703D7" w:rsidP="00B703D7">
      <w:pPr>
        <w:pStyle w:val="ListBullet"/>
        <w:numPr>
          <w:ilvl w:val="0"/>
          <w:numId w:val="34"/>
        </w:numPr>
      </w:pPr>
      <w:r w:rsidRPr="001A2F85">
        <w:t>The Scottish literature refers to deprivation, rather than disadvantage. This is measured using the Scottish Index of Multiple Deprivation, which divides the country into 6,976 small ‘datazones’, each with approximately 760 people. The deprivation level of each area is measured across seven domains: employment; income; health; education, skills, and training; geographic access to services; crime; and housing, and combined into a single indicator which is ranked against other areas (The Scottish Government 2016b).</w:t>
      </w:r>
    </w:p>
    <w:p w14:paraId="060CB29F" w14:textId="77777777" w:rsidR="00B703D7" w:rsidRPr="001A2F85" w:rsidRDefault="00B703D7" w:rsidP="00B703D7">
      <w:pPr>
        <w:pStyle w:val="ListBullet"/>
        <w:numPr>
          <w:ilvl w:val="0"/>
          <w:numId w:val="34"/>
        </w:numPr>
      </w:pPr>
      <w:r w:rsidRPr="001A2F85">
        <w:t>In Ireland, socioeconomic group (a classification system used in the Irish census) is one of the primary ways in which the issue of equity in higher education is examined. Socioeconomic groupings are based on the occupation and employment status of individuals aged 15 years and older. In the 2011 Census, these groups were: employers and managers; higher professional; lower professional; non-manual; manual skilled; semi-skilled; unskilled; own account workers; farmers; agricultural workers; all others gainfully occupied, and unknown (Central Statistics Office 2011).</w:t>
      </w:r>
    </w:p>
    <w:p w14:paraId="302D3908" w14:textId="77777777" w:rsidR="00B703D7" w:rsidRPr="001A2F85" w:rsidRDefault="00B703D7" w:rsidP="00B703D7">
      <w:pPr>
        <w:pStyle w:val="ListBullet"/>
        <w:numPr>
          <w:ilvl w:val="0"/>
          <w:numId w:val="34"/>
        </w:numPr>
      </w:pPr>
      <w:r w:rsidRPr="001A2F85">
        <w:t>Many higher education equity programs in the United States use low-income status as the means of establishing disadvantage, although there are also many programs that target specific minority groups. A ‘low-income individual’ is considered to be an individual whose family’s taxable income for the preceding year was not greater than 150 per cent of the poverty level as defined by the U.S. Census Bureau (OPE 2016c).</w:t>
      </w:r>
    </w:p>
    <w:p w14:paraId="51F1B562" w14:textId="77777777" w:rsidR="00B703D7" w:rsidRPr="001A2F85" w:rsidRDefault="00B703D7" w:rsidP="00B703D7">
      <w:pPr>
        <w:pStyle w:val="ListBullet"/>
        <w:numPr>
          <w:ilvl w:val="0"/>
          <w:numId w:val="34"/>
        </w:numPr>
      </w:pPr>
      <w:r w:rsidRPr="001A2F85">
        <w:t>Two measures of disadvantage are commonly used in Ontario’s equity policy and approaches, family income level and parents’ education level. As discussed below, parental education is recognised as having a greater impact on whether an individual attends higher education than family income (Doran et al</w:t>
      </w:r>
      <w:r>
        <w:t>.</w:t>
      </w:r>
      <w:r w:rsidRPr="001A2F85">
        <w:t xml:space="preserve"> 2015</w:t>
      </w:r>
      <w:r>
        <w:t>;</w:t>
      </w:r>
      <w:r w:rsidRPr="001A2F85">
        <w:t xml:space="preserve"> Finnie</w:t>
      </w:r>
      <w:r>
        <w:t> </w:t>
      </w:r>
      <w:r w:rsidRPr="001A2F85">
        <w:t>et</w:t>
      </w:r>
      <w:r>
        <w:t> </w:t>
      </w:r>
      <w:r w:rsidRPr="001A2F85">
        <w:t>al</w:t>
      </w:r>
      <w:r>
        <w:t>.</w:t>
      </w:r>
      <w:r w:rsidRPr="001A2F85">
        <w:t xml:space="preserve"> 2011, Rae 2005), and ‘first generation’ (first-in-family) individuals are one of the key under-represented groups. However, financial support is also provided for students from low-income families.</w:t>
      </w:r>
    </w:p>
    <w:p w14:paraId="514C99DA" w14:textId="77777777" w:rsidR="00B703D7" w:rsidRDefault="00B703D7" w:rsidP="00425AFC">
      <w:pPr>
        <w:pStyle w:val="BodyText"/>
      </w:pPr>
    </w:p>
    <w:p w14:paraId="25E0E46E" w14:textId="77777777" w:rsidR="00425AFC" w:rsidRDefault="00425AFC" w:rsidP="00425AFC">
      <w:pPr>
        <w:pStyle w:val="BodyText"/>
        <w:sectPr w:rsidR="00425AFC" w:rsidSect="00425AFC">
          <w:headerReference w:type="even" r:id="rId188"/>
          <w:headerReference w:type="default" r:id="rId189"/>
          <w:footerReference w:type="even" r:id="rId190"/>
          <w:footerReference w:type="default" r:id="rId191"/>
          <w:headerReference w:type="first" r:id="rId192"/>
          <w:footerReference w:type="first" r:id="rId193"/>
          <w:pgSz w:w="16839" w:h="11907" w:orient="landscape" w:code="9"/>
          <w:pgMar w:top="1100" w:right="443" w:bottom="1320" w:left="3296" w:header="456" w:footer="262" w:gutter="0"/>
          <w:pgNumType w:chapStyle="7" w:chapSep="enDash"/>
          <w:cols w:space="708"/>
          <w:docGrid w:linePitch="360"/>
        </w:sectPr>
      </w:pPr>
    </w:p>
    <w:p w14:paraId="1CAF5227" w14:textId="77777777" w:rsidR="00090683" w:rsidRPr="001A2F85" w:rsidRDefault="00090683" w:rsidP="00090683">
      <w:pPr>
        <w:pStyle w:val="Heading8"/>
      </w:pPr>
      <w:r w:rsidRPr="001A2F85">
        <w:t>England</w:t>
      </w:r>
      <w:bookmarkEnd w:id="717"/>
    </w:p>
    <w:p w14:paraId="0CEF5D4A" w14:textId="77777777" w:rsidR="00090683" w:rsidRDefault="00090683" w:rsidP="00090683">
      <w:pPr>
        <w:pStyle w:val="BodyText"/>
      </w:pPr>
      <w:r w:rsidRPr="001A2F85">
        <w:t>Widening participation in higher education is an explicit goal of the English Government. Former Prime Minister David Cameron identified two key high-level goals (known as the Prime Minister’s goal/s) in 2015, and in 2016 the Government adopted an additional three priority target areas based on current higher education disparities (</w:t>
      </w:r>
      <w:r w:rsidRPr="00AD49C8">
        <w:t>Box B.1</w:t>
      </w:r>
      <w:r w:rsidRPr="001A2F85">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7"/>
        <w:gridCol w:w="4307"/>
      </w:tblGrid>
      <w:tr w:rsidR="00090683" w:rsidRPr="00BF41B8" w14:paraId="3F22CD46" w14:textId="77777777" w:rsidTr="000B7E9A">
        <w:trPr>
          <w:cantSplit/>
        </w:trPr>
        <w:tc>
          <w:tcPr>
            <w:tcW w:w="8614" w:type="dxa"/>
            <w:gridSpan w:val="2"/>
            <w:tcMar>
              <w:top w:w="160" w:type="dxa"/>
              <w:left w:w="446" w:type="dxa"/>
            </w:tcMar>
          </w:tcPr>
          <w:p w14:paraId="55DA9F6C" w14:textId="77777777" w:rsidR="00090683" w:rsidRPr="00262366" w:rsidRDefault="00090683" w:rsidP="000B7E9A">
            <w:pPr>
              <w:pStyle w:val="Caption"/>
            </w:pPr>
            <w:bookmarkStart w:id="718" w:name="_Ref466298469"/>
            <w:bookmarkStart w:id="719" w:name="_Toc466655962"/>
            <w:r>
              <w:rPr>
                <w:rStyle w:val="CaptionLabel"/>
              </w:rPr>
              <w:t>Box </w:t>
            </w:r>
            <w:r>
              <w:rPr>
                <w:rStyle w:val="CaptionLabel"/>
                <w:noProof/>
              </w:rPr>
              <w:t>B</w:t>
            </w:r>
            <w:r>
              <w:rPr>
                <w:rStyle w:val="CaptionLabel"/>
              </w:rPr>
              <w:t>.</w:t>
            </w:r>
            <w:r>
              <w:rPr>
                <w:rStyle w:val="CaptionLabel"/>
                <w:noProof/>
              </w:rPr>
              <w:t>1</w:t>
            </w:r>
            <w:bookmarkEnd w:id="718"/>
            <w:r>
              <w:tab/>
              <w:t>English Government’s Higher Education equity goals</w:t>
            </w:r>
            <w:bookmarkEnd w:id="719"/>
          </w:p>
        </w:tc>
      </w:tr>
      <w:tr w:rsidR="00090683" w:rsidRPr="00BF41B8" w14:paraId="1E646D0B" w14:textId="77777777" w:rsidTr="000B7E9A">
        <w:trPr>
          <w:cantSplit/>
          <w:trHeight w:hRule="exact" w:val="380"/>
        </w:trPr>
        <w:tc>
          <w:tcPr>
            <w:tcW w:w="8614" w:type="dxa"/>
            <w:gridSpan w:val="2"/>
            <w:shd w:val="clear" w:color="auto" w:fill="E4E0DD"/>
          </w:tcPr>
          <w:p w14:paraId="3529C482" w14:textId="77777777" w:rsidR="00090683" w:rsidRPr="00BF41B8" w:rsidRDefault="00090683" w:rsidP="000B7E9A">
            <w:pPr>
              <w:pStyle w:val="spacer"/>
            </w:pPr>
            <w:r>
              <w:rPr>
                <w:noProof/>
                <w:lang w:eastAsia="en-AU"/>
              </w:rPr>
              <mc:AlternateContent>
                <mc:Choice Requires="wps">
                  <w:drawing>
                    <wp:anchor distT="0" distB="0" distL="114300" distR="114300" simplePos="0" relativeHeight="251736576" behindDoc="0" locked="1" layoutInCell="1" allowOverlap="1" wp14:anchorId="45DFD031" wp14:editId="3A627575">
                      <wp:simplePos x="0" y="0"/>
                      <wp:positionH relativeFrom="rightMargin">
                        <wp:posOffset>-772795</wp:posOffset>
                      </wp:positionH>
                      <wp:positionV relativeFrom="page">
                        <wp:posOffset>0</wp:posOffset>
                      </wp:positionV>
                      <wp:extent cx="436880" cy="213360"/>
                      <wp:effectExtent l="0" t="0" r="1270" b="0"/>
                      <wp:wrapNone/>
                      <wp:docPr id="37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DDBFEC" id="Freeform 5" o:spid="_x0000_s1026" style="position:absolute;margin-left:-60.85pt;margin-top:0;width:34.4pt;height:16.8pt;z-index:251736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NdccPZ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BF41B8" w14:paraId="6EAF51D2" w14:textId="77777777" w:rsidTr="000B7E9A">
        <w:trPr>
          <w:cantSplit/>
        </w:trPr>
        <w:tc>
          <w:tcPr>
            <w:tcW w:w="4307" w:type="dxa"/>
            <w:shd w:val="clear" w:color="auto" w:fill="E4E0DD"/>
            <w:tcMar>
              <w:top w:w="276" w:type="dxa"/>
              <w:bottom w:w="184" w:type="dxa"/>
              <w:right w:w="120" w:type="dxa"/>
            </w:tcMar>
          </w:tcPr>
          <w:p w14:paraId="0DB81338" w14:textId="77777777" w:rsidR="00090683" w:rsidRPr="001A2F85" w:rsidRDefault="00090683" w:rsidP="000B7E9A">
            <w:pPr>
              <w:pStyle w:val="BoxTextBoldItalic"/>
            </w:pPr>
            <w:r w:rsidRPr="001A2F85">
              <w:t>Prime Minister’s goals</w:t>
            </w:r>
          </w:p>
          <w:p w14:paraId="69C6051C" w14:textId="77777777" w:rsidR="00090683" w:rsidRDefault="00090683" w:rsidP="000B7E9A">
            <w:pPr>
              <w:pStyle w:val="BoxListBullet"/>
            </w:pPr>
            <w:r w:rsidRPr="001A2F85">
              <w:t>double the proportion of young people from disadvantaged backgrounds entering higher education by 2020 from 2009 levels</w:t>
            </w:r>
          </w:p>
          <w:p w14:paraId="6CBF0518" w14:textId="77777777" w:rsidR="00090683" w:rsidRPr="00BF41B8" w:rsidRDefault="00090683" w:rsidP="000B7E9A">
            <w:pPr>
              <w:pStyle w:val="BoxListBullet"/>
            </w:pPr>
            <w:r w:rsidRPr="001A2F85">
              <w:t>a 20 per cent increase in the number of students from black and minority ethnic communities studying in higher education by 2020 from 2014</w:t>
            </w:r>
          </w:p>
        </w:tc>
        <w:tc>
          <w:tcPr>
            <w:tcW w:w="4307" w:type="dxa"/>
            <w:shd w:val="clear" w:color="auto" w:fill="E4E0DD"/>
          </w:tcPr>
          <w:p w14:paraId="77336892" w14:textId="77777777" w:rsidR="00090683" w:rsidRPr="001A2F85" w:rsidRDefault="00090683" w:rsidP="000B7E9A">
            <w:pPr>
              <w:pStyle w:val="BoxTextBoldItalic"/>
            </w:pPr>
            <w:r w:rsidRPr="001A2F85">
              <w:t xml:space="preserve">Priority target areas </w:t>
            </w:r>
          </w:p>
          <w:p w14:paraId="0A3F96D0" w14:textId="77777777" w:rsidR="00090683" w:rsidRPr="001A2F85" w:rsidRDefault="00090683" w:rsidP="000B7E9A">
            <w:pPr>
              <w:pStyle w:val="BoxListBullet"/>
            </w:pPr>
            <w:r w:rsidRPr="001A2F85">
              <w:t>access for young white males from disadvantaged backgrounds</w:t>
            </w:r>
          </w:p>
          <w:p w14:paraId="44896116" w14:textId="77777777" w:rsidR="00090683" w:rsidRDefault="00090683" w:rsidP="000B7E9A">
            <w:pPr>
              <w:pStyle w:val="BoxListBullet"/>
            </w:pPr>
            <w:r w:rsidRPr="001A2F85">
              <w:t>outcomes for students from black and minority ethnic backgrounds</w:t>
            </w:r>
          </w:p>
          <w:p w14:paraId="655E5352" w14:textId="77777777" w:rsidR="00090683" w:rsidRPr="00BF41B8" w:rsidRDefault="00090683" w:rsidP="000B7E9A">
            <w:pPr>
              <w:pStyle w:val="BoxListBullet"/>
            </w:pPr>
            <w:r w:rsidRPr="001A2F85">
              <w:t>access, retention and outcomes for students with specific learning difficulties or mental health needs</w:t>
            </w:r>
          </w:p>
        </w:tc>
      </w:tr>
      <w:tr w:rsidR="00090683" w:rsidRPr="00BF41B8" w14:paraId="5515B7F0" w14:textId="77777777" w:rsidTr="000B7E9A">
        <w:trPr>
          <w:cantSplit/>
        </w:trPr>
        <w:tc>
          <w:tcPr>
            <w:tcW w:w="8614" w:type="dxa"/>
            <w:gridSpan w:val="2"/>
            <w:tcMar>
              <w:top w:w="12" w:type="dxa"/>
              <w:left w:w="446" w:type="dxa"/>
              <w:bottom w:w="113" w:type="dxa"/>
            </w:tcMar>
          </w:tcPr>
          <w:p w14:paraId="56E2C7BE" w14:textId="77777777" w:rsidR="00090683" w:rsidRPr="00BF41B8" w:rsidRDefault="00090683" w:rsidP="000B7E9A">
            <w:pPr>
              <w:pStyle w:val="Source"/>
            </w:pPr>
            <w:r w:rsidRPr="00BF41B8">
              <w:t xml:space="preserve">Source: </w:t>
            </w:r>
            <w:r w:rsidRPr="001A2F85">
              <w:t>UK Government 2016</w:t>
            </w:r>
          </w:p>
        </w:tc>
      </w:tr>
    </w:tbl>
    <w:p w14:paraId="3D3E4BF4" w14:textId="77777777" w:rsidR="00090683" w:rsidRPr="001A2F85" w:rsidRDefault="00090683" w:rsidP="00090683">
      <w:pPr>
        <w:pStyle w:val="BodyText"/>
      </w:pPr>
      <w:r w:rsidRPr="001A2F85">
        <w:t xml:space="preserve">The two public bodies responsible for implementing national higher education equity policy and programs are the Higher Education Funding Council for England (HEFCE) and the Office for Fair Access (OFFA). The organisations have ‘complementary but unique roles’ and jointly published the </w:t>
      </w:r>
      <w:r>
        <w:t>‘</w:t>
      </w:r>
      <w:r w:rsidRPr="00AD49C8">
        <w:t>National strategy for access and student success in higher education</w:t>
      </w:r>
      <w:r>
        <w:t>’</w:t>
      </w:r>
      <w:r w:rsidRPr="001A2F85">
        <w:rPr>
          <w:i/>
        </w:rPr>
        <w:t xml:space="preserve"> </w:t>
      </w:r>
      <w:r w:rsidRPr="001A2F85">
        <w:t xml:space="preserve">in 2014. </w:t>
      </w:r>
    </w:p>
    <w:p w14:paraId="19F49A59" w14:textId="77777777" w:rsidR="00090683" w:rsidRPr="001A2F85" w:rsidRDefault="00090683" w:rsidP="00090683">
      <w:pPr>
        <w:pStyle w:val="Heading9"/>
      </w:pPr>
      <w:r w:rsidRPr="001A2F85">
        <w:t>Funding for equity activities</w:t>
      </w:r>
    </w:p>
    <w:p w14:paraId="57D1FF7A" w14:textId="77777777" w:rsidR="00090683" w:rsidRPr="001A2F85" w:rsidRDefault="00090683" w:rsidP="00090683">
      <w:pPr>
        <w:pStyle w:val="BodyText"/>
      </w:pPr>
      <w:r w:rsidRPr="001A2F85">
        <w:t>The Higher Education Funding Council for England (HEFCE) is responsible for regulation and funding of the higher education sector, and also conducts data and policy analysis. Student opportunity funding is the main way in which HEFCE supports widening participation. It is provided to institutions (universities and further education colleges) to assist with the costs of recruiting and supporting students in the following areas:</w:t>
      </w:r>
    </w:p>
    <w:p w14:paraId="2E42DF89" w14:textId="77777777" w:rsidR="00090683" w:rsidRPr="001A2F85" w:rsidRDefault="00090683" w:rsidP="00090683">
      <w:pPr>
        <w:pStyle w:val="ListBullet"/>
        <w:numPr>
          <w:ilvl w:val="0"/>
          <w:numId w:val="34"/>
        </w:numPr>
      </w:pPr>
      <w:r w:rsidRPr="001A2F85">
        <w:t>widening access for people from disadvantaged backgrounds</w:t>
      </w:r>
    </w:p>
    <w:p w14:paraId="56865A0B" w14:textId="77777777" w:rsidR="00090683" w:rsidRPr="001A2F85" w:rsidRDefault="00090683" w:rsidP="00090683">
      <w:pPr>
        <w:pStyle w:val="ListBullet"/>
        <w:numPr>
          <w:ilvl w:val="0"/>
          <w:numId w:val="34"/>
        </w:numPr>
      </w:pPr>
      <w:r w:rsidRPr="001A2F85">
        <w:t>widening access and improving provision for students with disabilities</w:t>
      </w:r>
    </w:p>
    <w:p w14:paraId="7B393893" w14:textId="77777777" w:rsidR="00090683" w:rsidRPr="001A2F85" w:rsidRDefault="00090683" w:rsidP="00090683">
      <w:pPr>
        <w:pStyle w:val="ListBullet"/>
        <w:numPr>
          <w:ilvl w:val="0"/>
          <w:numId w:val="34"/>
        </w:numPr>
      </w:pPr>
      <w:r w:rsidRPr="001A2F85">
        <w:t>improving retention.</w:t>
      </w:r>
    </w:p>
    <w:p w14:paraId="5D3C64C6" w14:textId="77777777" w:rsidR="00090683" w:rsidRPr="001A2F85" w:rsidRDefault="00090683" w:rsidP="00090683">
      <w:pPr>
        <w:pStyle w:val="BodyText"/>
      </w:pPr>
      <w:r w:rsidRPr="001A2F85">
        <w:t>It is the largest targeted funding allocation for institutions and is provided through the teaching grant allocations (HEFCE 2015a). The annual student opportunity allocation for each area is calculated on a pro rata basis, based on weighted FTE student numbers (</w:t>
      </w:r>
      <w:r w:rsidRPr="00AD49C8">
        <w:t>Figure B.2</w:t>
      </w:r>
      <w:r w:rsidRPr="001A2F85">
        <w:t>).</w:t>
      </w:r>
    </w:p>
    <w:p w14:paraId="70F2E60E" w14:textId="77777777" w:rsidR="00090683" w:rsidRDefault="00090683" w:rsidP="00090683">
      <w:pPr>
        <w:pStyle w:val="BodyText"/>
      </w:pPr>
      <w:r w:rsidRPr="001A2F85">
        <w:t>For students from disadvantaged backgrounds, the allocation is determined using postcode information from individualised student records, where students are ‘mapped’ to a specific census ward area and then weighted according to the young higher education participation rate (for young full-time undergraduate students) or the proportion of adults with a higher education qualification (for part-time or mature-age students) for that area. It is ‘designed to target funding towards those institutions that do more to widen participation or that recruit students who are likely to need more support’ (HEFCE 2015a).</w:t>
      </w:r>
    </w:p>
    <w:p w14:paraId="31709708" w14:textId="77777777" w:rsidR="00090683" w:rsidRDefault="00090683" w:rsidP="00090683">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AA4DEE" w14:paraId="1B558572" w14:textId="77777777" w:rsidTr="000B7E9A">
        <w:trPr>
          <w:cantSplit/>
          <w:trHeight w:hRule="exact" w:val="160"/>
        </w:trPr>
        <w:tc>
          <w:tcPr>
            <w:tcW w:w="8168" w:type="dxa"/>
            <w:tcBorders>
              <w:bottom w:val="single" w:sz="4" w:space="0" w:color="auto"/>
            </w:tcBorders>
          </w:tcPr>
          <w:p w14:paraId="475ECFC5" w14:textId="77777777" w:rsidR="00090683" w:rsidRPr="00AA4DEE" w:rsidRDefault="00090683" w:rsidP="000B7E9A">
            <w:pPr>
              <w:pStyle w:val="spacer"/>
            </w:pPr>
          </w:p>
        </w:tc>
      </w:tr>
      <w:tr w:rsidR="00090683" w:rsidRPr="00897E60" w14:paraId="371DB972" w14:textId="77777777" w:rsidTr="000B7E9A">
        <w:trPr>
          <w:cantSplit/>
        </w:trPr>
        <w:tc>
          <w:tcPr>
            <w:tcW w:w="8168" w:type="dxa"/>
            <w:tcBorders>
              <w:top w:val="single" w:sz="4" w:space="0" w:color="auto"/>
            </w:tcBorders>
            <w:tcMar>
              <w:left w:w="0" w:type="dxa"/>
            </w:tcMar>
          </w:tcPr>
          <w:p w14:paraId="3AED27D4" w14:textId="77777777" w:rsidR="00090683" w:rsidRPr="00897E60" w:rsidRDefault="00090683" w:rsidP="000B7E9A">
            <w:pPr>
              <w:pStyle w:val="Caption"/>
            </w:pPr>
            <w:bookmarkStart w:id="720" w:name="_Ref466298456"/>
            <w:bookmarkStart w:id="721" w:name="_Toc466655734"/>
            <w:r>
              <w:rPr>
                <w:rStyle w:val="CaptionLabel"/>
              </w:rPr>
              <w:t>Figure </w:t>
            </w:r>
            <w:r>
              <w:rPr>
                <w:rStyle w:val="CaptionLabel"/>
                <w:noProof/>
              </w:rPr>
              <w:t>B</w:t>
            </w:r>
            <w:r>
              <w:rPr>
                <w:rStyle w:val="CaptionLabel"/>
              </w:rPr>
              <w:t>.</w:t>
            </w:r>
            <w:r>
              <w:rPr>
                <w:rStyle w:val="CaptionLabel"/>
                <w:noProof/>
              </w:rPr>
              <w:t>2</w:t>
            </w:r>
            <w:bookmarkEnd w:id="720"/>
            <w:r>
              <w:tab/>
            </w:r>
            <w:r w:rsidRPr="001A2F85">
              <w:t>Total HEFCE Student Opportunity Funding, 2013-2017</w:t>
            </w:r>
            <w:bookmarkEnd w:id="721"/>
          </w:p>
        </w:tc>
      </w:tr>
      <w:tr w:rsidR="00090683" w:rsidRPr="00AA4DEE" w14:paraId="256722C5" w14:textId="77777777" w:rsidTr="000B7E9A">
        <w:trPr>
          <w:cantSplit/>
          <w:trHeight w:hRule="exact" w:val="380"/>
        </w:trPr>
        <w:tc>
          <w:tcPr>
            <w:tcW w:w="8168" w:type="dxa"/>
            <w:tcBorders>
              <w:bottom w:val="single" w:sz="4" w:space="0" w:color="auto"/>
            </w:tcBorders>
          </w:tcPr>
          <w:p w14:paraId="0A60248E"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737600" behindDoc="0" locked="1" layoutInCell="1" allowOverlap="1" wp14:anchorId="37FAA86F" wp14:editId="6E40ECEE">
                      <wp:simplePos x="0" y="0"/>
                      <wp:positionH relativeFrom="rightMargin">
                        <wp:posOffset>-772795</wp:posOffset>
                      </wp:positionH>
                      <wp:positionV relativeFrom="page">
                        <wp:posOffset>0</wp:posOffset>
                      </wp:positionV>
                      <wp:extent cx="436880" cy="213360"/>
                      <wp:effectExtent l="0" t="0" r="1270" b="0"/>
                      <wp:wrapNone/>
                      <wp:docPr id="12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E1C0C0" id="Freeform 5" o:spid="_x0000_s1026" style="position:absolute;margin-left:-60.85pt;margin-top:0;width:34.4pt;height:16.8pt;z-index:251737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c4fg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gajXOH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2124F9AF"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00ADA87A" w14:textId="77777777" w:rsidR="00090683" w:rsidRPr="00AA4DEE" w:rsidRDefault="00090683" w:rsidP="000B7E9A">
            <w:pPr>
              <w:pStyle w:val="Figure"/>
            </w:pPr>
            <w:r>
              <w:rPr>
                <w:noProof/>
                <w:lang w:eastAsia="en-AU"/>
              </w:rPr>
              <w:drawing>
                <wp:inline distT="0" distB="0" distL="0" distR="0" wp14:anchorId="2CE4E981" wp14:editId="4BCE6816">
                  <wp:extent cx="5133975" cy="2190750"/>
                  <wp:effectExtent l="0" t="0" r="0" b="0"/>
                  <wp:docPr id="9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133975" cy="2190750"/>
                          </a:xfrm>
                          <a:prstGeom prst="rect">
                            <a:avLst/>
                          </a:prstGeom>
                          <a:noFill/>
                          <a:ln>
                            <a:noFill/>
                          </a:ln>
                        </pic:spPr>
                      </pic:pic>
                    </a:graphicData>
                  </a:graphic>
                </wp:inline>
              </w:drawing>
            </w:r>
          </w:p>
        </w:tc>
      </w:tr>
      <w:tr w:rsidR="00090683" w:rsidRPr="00AA4DEE" w14:paraId="5C7C9F5C"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228B6C3E" w14:textId="77777777" w:rsidR="00090683" w:rsidRPr="001A2F85" w:rsidRDefault="00090683" w:rsidP="000B7E9A">
            <w:pPr>
              <w:pStyle w:val="Note"/>
            </w:pPr>
            <w:r w:rsidRPr="001A2F85">
              <w:t>Note: 2016-17 is planned funding.</w:t>
            </w:r>
          </w:p>
          <w:p w14:paraId="59C4584E" w14:textId="77777777" w:rsidR="00090683" w:rsidRPr="00AA4DEE" w:rsidRDefault="00090683" w:rsidP="000B7E9A">
            <w:pPr>
              <w:pStyle w:val="Source"/>
            </w:pPr>
            <w:r w:rsidRPr="001A2F85">
              <w:t>Source: HEFCE 2015a, hefce 2014 and hefce 2016a</w:t>
            </w:r>
          </w:p>
        </w:tc>
      </w:tr>
      <w:tr w:rsidR="00090683" w14:paraId="2868878E" w14:textId="77777777" w:rsidTr="000B7E9A">
        <w:trPr>
          <w:trHeight w:hRule="exact" w:val="160"/>
        </w:trPr>
        <w:tc>
          <w:tcPr>
            <w:tcW w:w="8168" w:type="dxa"/>
            <w:tcBorders>
              <w:top w:val="single" w:sz="4" w:space="0" w:color="auto"/>
            </w:tcBorders>
          </w:tcPr>
          <w:p w14:paraId="33FA67B0" w14:textId="77777777" w:rsidR="00090683" w:rsidRDefault="00090683" w:rsidP="000B7E9A">
            <w:pPr>
              <w:pStyle w:val="spacertbl"/>
            </w:pPr>
          </w:p>
        </w:tc>
      </w:tr>
    </w:tbl>
    <w:p w14:paraId="4D252A67" w14:textId="77777777" w:rsidR="00090683" w:rsidRPr="001A2F85" w:rsidRDefault="00090683" w:rsidP="00090683">
      <w:pPr>
        <w:pStyle w:val="BodyText"/>
      </w:pPr>
      <w:r w:rsidRPr="001A2F85">
        <w:t>HEFCE has also provided funding for collaborative outreach—outreach network programs—since 2014-15. In 2014-15 and 2015-16, HEFCE funded the National Networks of Collaborative Outreach scheme, for institutions to build local networks to provide coordinated outreach activities. There are currently 34 local networks, involving 200 universities and further education colleges, as well as four national networks targeting specific groups: care leavers, older learners, students wishing to progress to Oxford or Cambridge, and a pan-London coordination group for all London-based networks (HEFCE 2016d). A new four-year program will be introduced in 2016-17, the National Collaborative Outreach Programme (HEFCE 2016c). HEFCE has invited applications from university-led consortia to undertake intensive outreach programs in areas where participation in HE is lower than expected based on high school results.</w:t>
      </w:r>
    </w:p>
    <w:p w14:paraId="25D886C3" w14:textId="77777777" w:rsidR="00090683" w:rsidRPr="001A2F85" w:rsidRDefault="00090683" w:rsidP="00090683">
      <w:pPr>
        <w:pStyle w:val="BodyText"/>
      </w:pPr>
      <w:r w:rsidRPr="001A2F85">
        <w:t>HEFCE is currently undertaking a consultation process into the future of teaching funding, including funding to support widening access and successful student outcomes (HEFCE 2016b).</w:t>
      </w:r>
    </w:p>
    <w:p w14:paraId="7EB6BC68" w14:textId="77777777" w:rsidR="00090683" w:rsidRPr="001A2F85" w:rsidRDefault="00090683" w:rsidP="00090683">
      <w:pPr>
        <w:pStyle w:val="Heading9"/>
      </w:pPr>
      <w:r w:rsidRPr="001A2F85">
        <w:t>Institutional access agreements</w:t>
      </w:r>
    </w:p>
    <w:p w14:paraId="4366CC41" w14:textId="77777777" w:rsidR="00090683" w:rsidRPr="001A2F85" w:rsidRDefault="00090683" w:rsidP="00090683">
      <w:pPr>
        <w:pStyle w:val="BodyText"/>
      </w:pPr>
      <w:r w:rsidRPr="001A2F85">
        <w:t>Tuition fees for higher education in England are variable, however the Government sets maximum limits for most undergraduate courses at publicly-funded universities. A student loan scheme and support grants are also available for eligible students. Loan repayment begins when a recipient’s income meets a minimum threshold. The Government establishes a ‘basic fee’ limit and a higher ‘maximum fee’ limit, which universities may charge if they have approved access agreements detailing how they will use a portion of the extra income for widening participation activities. The access agreements must be approved by the Director of Fair Access to Higher Education, in the Office for Fair Access (OFFA). OFFA, an independent public body, was established expressly for this purpose in 2004 (OFFA 2016a). The Government provides guidance to OFFA regarding its strategic direction and access priorities (for example, see ). For undergraduate courses, the ‘basic fee’ is currently £6,000 per full-time student, with a maximum fee limit of £9,000 if institutions have an approved access agreement (OFFA 2016b).</w:t>
      </w:r>
    </w:p>
    <w:p w14:paraId="59B6B7CC" w14:textId="77777777" w:rsidR="00090683" w:rsidRPr="001A2F85" w:rsidRDefault="00090683" w:rsidP="00090683">
      <w:pPr>
        <w:pStyle w:val="BodyText"/>
      </w:pPr>
      <w:r w:rsidRPr="001A2F85">
        <w:t>Access agreements must include:</w:t>
      </w:r>
    </w:p>
    <w:p w14:paraId="51B5F350" w14:textId="77777777" w:rsidR="00090683" w:rsidRPr="001A2F85" w:rsidRDefault="00090683" w:rsidP="00090683">
      <w:pPr>
        <w:pStyle w:val="ListBullet"/>
        <w:numPr>
          <w:ilvl w:val="0"/>
          <w:numId w:val="34"/>
        </w:numPr>
      </w:pPr>
      <w:r w:rsidRPr="001A2F85">
        <w:t>the institution’s proposed tuition fee limits</w:t>
      </w:r>
    </w:p>
    <w:p w14:paraId="4C44149C" w14:textId="77777777" w:rsidR="00090683" w:rsidRPr="001A2F85" w:rsidRDefault="00090683" w:rsidP="00090683">
      <w:pPr>
        <w:pStyle w:val="ListBullet"/>
        <w:numPr>
          <w:ilvl w:val="0"/>
          <w:numId w:val="34"/>
        </w:numPr>
      </w:pPr>
      <w:r w:rsidRPr="001A2F85">
        <w:t>the access and student success measures the institution intends to put into place</w:t>
      </w:r>
    </w:p>
    <w:p w14:paraId="6AD788A0" w14:textId="77777777" w:rsidR="00090683" w:rsidRPr="001A2F85" w:rsidRDefault="00090683" w:rsidP="00090683">
      <w:pPr>
        <w:pStyle w:val="ListBullet"/>
        <w:numPr>
          <w:ilvl w:val="0"/>
          <w:numId w:val="34"/>
        </w:numPr>
      </w:pPr>
      <w:r w:rsidRPr="001A2F85">
        <w:t>how much these measures will cost</w:t>
      </w:r>
    </w:p>
    <w:p w14:paraId="69A147CD" w14:textId="77777777" w:rsidR="00090683" w:rsidRPr="001A2F85" w:rsidRDefault="00090683" w:rsidP="00090683">
      <w:pPr>
        <w:pStyle w:val="ListBullet"/>
        <w:numPr>
          <w:ilvl w:val="0"/>
          <w:numId w:val="34"/>
        </w:numPr>
      </w:pPr>
      <w:r w:rsidRPr="001A2F85">
        <w:t>the institution’s targets and milestones</w:t>
      </w:r>
    </w:p>
    <w:p w14:paraId="6B4C700B" w14:textId="77777777" w:rsidR="00090683" w:rsidRPr="001A2F85" w:rsidRDefault="00090683" w:rsidP="00090683">
      <w:pPr>
        <w:pStyle w:val="ListBullet"/>
        <w:numPr>
          <w:ilvl w:val="0"/>
          <w:numId w:val="34"/>
        </w:numPr>
      </w:pPr>
      <w:r w:rsidRPr="001A2F85">
        <w:t>how the institution will tell students about the financial support they are offering (OFFA 2016c).</w:t>
      </w:r>
    </w:p>
    <w:p w14:paraId="6E733766" w14:textId="77777777" w:rsidR="00090683" w:rsidRPr="001A2F85" w:rsidRDefault="00090683" w:rsidP="00090683">
      <w:pPr>
        <w:pStyle w:val="BodyText"/>
      </w:pPr>
      <w:r w:rsidRPr="001A2F85">
        <w:t>They are negotiated regularly, with institutions providing an initial access plan to OFFA and negotiations being undertaken if OFFA does not consider these to be appropriate. Prior to 2012-13, access agreements could cover a period of up to five years, and since 2012-13 agreements are approved on an annual basis (OFFA 2016c). In total, 172 agreements for 2015-16 were submitted by 123 higher education institutions and 49 further education colleges, with negotiations undertaken with 33 institutions, most often because the spending levels/balance of spend or the targets initially proposed were considered inappropriate. The agreements were revised by institutions and all were eventually approved (OFFA 2014).</w:t>
      </w:r>
    </w:p>
    <w:p w14:paraId="5521495A" w14:textId="77777777" w:rsidR="00090683" w:rsidRPr="001A2F85" w:rsidRDefault="00090683" w:rsidP="00090683">
      <w:pPr>
        <w:pStyle w:val="BodyText"/>
      </w:pPr>
      <w:r w:rsidRPr="001A2F85">
        <w:t>Institutions also submit an annual monitoring report which covers their access agreements, student opportunity allocation and the National Scholarship Programme and is used by OFFA, HEFCE and the Department. A template is provided by OFFA, and summary monitoring reports are made publicly available on the OFFA website.</w:t>
      </w:r>
    </w:p>
    <w:p w14:paraId="7907E0ED" w14:textId="77777777" w:rsidR="00090683" w:rsidRPr="001A2F85" w:rsidRDefault="00090683" w:rsidP="00090683">
      <w:pPr>
        <w:pStyle w:val="BodyText"/>
      </w:pPr>
      <w:r w:rsidRPr="001A2F85">
        <w:t xml:space="preserve">The </w:t>
      </w:r>
      <w:r w:rsidRPr="001A2F85">
        <w:rPr>
          <w:i/>
        </w:rPr>
        <w:t>Higher Education and Research Bill</w:t>
      </w:r>
      <w:r w:rsidRPr="001A2F85">
        <w:t>, currently tabled in Parliament, proposes the establishment of a new body, the Office for Students, which would incorporate duties currently undertaken by both HEFCE and OFFA.</w:t>
      </w:r>
    </w:p>
    <w:p w14:paraId="3E4CDF21" w14:textId="77777777" w:rsidR="00090683" w:rsidRPr="001A2F85" w:rsidRDefault="00090683" w:rsidP="00090683">
      <w:pPr>
        <w:pStyle w:val="Heading9"/>
      </w:pPr>
      <w:r w:rsidRPr="001A2F85">
        <w:t>Other initiatives</w:t>
      </w:r>
    </w:p>
    <w:p w14:paraId="2618D8B8" w14:textId="77777777" w:rsidR="00090683" w:rsidRPr="001A2F85" w:rsidRDefault="00090683" w:rsidP="00090683">
      <w:pPr>
        <w:pStyle w:val="BodyText"/>
      </w:pPr>
      <w:r w:rsidRPr="001A2F85">
        <w:t>The Higher Education Access Tracker (HEAT) is a non-profit monitoring, evaluation and analysis service for higher education institutions, established in 2011 (HEAT 2016). HEFCE has provided initial funding of £3 million (2014 to 2017) for its roll-out, however on an ongoing basis HEAT is funded by its member institutions’ subscriptions (HEFCE 2015b). There are currently 57 member universities. HEAT allows universities to record and track individual students’ participation in access and outreach activities, enables sharing of data between partners, and provides measures of impact at the individual level.</w:t>
      </w:r>
    </w:p>
    <w:p w14:paraId="223EDB9E" w14:textId="77777777" w:rsidR="00090683" w:rsidRPr="001A2F85" w:rsidRDefault="00090683" w:rsidP="00090683">
      <w:pPr>
        <w:pStyle w:val="BodyText"/>
      </w:pPr>
      <w:r w:rsidRPr="001A2F85">
        <w:t>In 2015, the Minister of State for Universities and Science commissioned the peak body for universities, Universities UK, to establish a Social Mobility Advisory Group comprising relevant industry stakeholders. The purpose of the Advisory Group is to provide advice to Government regarding how to achieve the Prime Minister’s goals and improve higher education outcomes and participation for students from the priority target areas (</w:t>
      </w:r>
      <w:r w:rsidRPr="00AD49C8">
        <w:t>Box B.1</w:t>
      </w:r>
      <w:r w:rsidRPr="001A2F85">
        <w:t>) (Universities UK 2016). The Group will provide its final report this year. It was also asked to consider:</w:t>
      </w:r>
    </w:p>
    <w:p w14:paraId="607C0EE5" w14:textId="77777777" w:rsidR="00090683" w:rsidRPr="001A2F85" w:rsidRDefault="00090683" w:rsidP="00090683">
      <w:pPr>
        <w:pStyle w:val="ListBullet"/>
        <w:numPr>
          <w:ilvl w:val="0"/>
          <w:numId w:val="34"/>
        </w:numPr>
      </w:pPr>
      <w:r w:rsidRPr="001A2F85">
        <w:t>how to work with organisations such as schools and employers in developing an action plan</w:t>
      </w:r>
    </w:p>
    <w:p w14:paraId="12544082" w14:textId="77777777" w:rsidR="00090683" w:rsidRPr="001A2F85" w:rsidRDefault="00090683" w:rsidP="00090683">
      <w:pPr>
        <w:pStyle w:val="ListBullet"/>
        <w:numPr>
          <w:ilvl w:val="0"/>
          <w:numId w:val="34"/>
        </w:numPr>
      </w:pPr>
      <w:r w:rsidRPr="001A2F85">
        <w:t>how progress against the action plan will be monitored and evaluated</w:t>
      </w:r>
    </w:p>
    <w:p w14:paraId="453B827C" w14:textId="77777777" w:rsidR="00090683" w:rsidRPr="001A2F85" w:rsidRDefault="00090683" w:rsidP="00090683">
      <w:pPr>
        <w:pStyle w:val="ListBullet"/>
        <w:numPr>
          <w:ilvl w:val="0"/>
          <w:numId w:val="34"/>
        </w:numPr>
      </w:pPr>
      <w:r w:rsidRPr="001A2F85">
        <w:t>the accessibility and relevance of the data currently available in supporting social mobility objectives.</w:t>
      </w:r>
    </w:p>
    <w:p w14:paraId="17099EEC" w14:textId="77777777" w:rsidR="00090683" w:rsidRPr="001A2F85" w:rsidRDefault="00090683" w:rsidP="00090683">
      <w:pPr>
        <w:pStyle w:val="BodyText"/>
      </w:pPr>
      <w:r w:rsidRPr="001A2F85">
        <w:t>Aimhigher was a partnerships-based government program that ran from 2004 until 2011, intended to raise the awareness, aspirations, and attainment of children from under-represented groups, especially those from low SES or disadvantaged backgrounds (Higher Education Authority 2015). Partnerships comprised schools, further education colleges and universities, and were managed by central coordinating bodies. Between 2008 and 2011 there were 42 partnerships across England (Higher Education Authority 2015). An evaluation of the program was commissioned by HEFCE and undertaken in 2010. It found that there was an association between participation in the program and improved outcomes, including raised aspirations and attainment, improved progression, higher than predicted attainment at GCSE and greater confidence among learners (NFER 2010).</w:t>
      </w:r>
    </w:p>
    <w:p w14:paraId="67228F56" w14:textId="77777777" w:rsidR="00090683" w:rsidRPr="001A2F85" w:rsidRDefault="00090683" w:rsidP="00090683">
      <w:pPr>
        <w:pStyle w:val="Heading8"/>
      </w:pPr>
      <w:bookmarkStart w:id="722" w:name="_Toc466657179"/>
      <w:r w:rsidRPr="001A2F85">
        <w:t>Scotland</w:t>
      </w:r>
      <w:bookmarkEnd w:id="722"/>
    </w:p>
    <w:p w14:paraId="33E1BAA6" w14:textId="77777777" w:rsidR="00090683" w:rsidRPr="001A2F85" w:rsidRDefault="00090683" w:rsidP="00090683">
      <w:pPr>
        <w:pStyle w:val="BodyText"/>
        <w:keepNext/>
      </w:pPr>
      <w:r w:rsidRPr="001A2F85">
        <w:t>The Scottish higher education system varies from the English system in a number of ways, including that tertiary education is free for full-time undergraduate students who are UK and EU residents. Loans are available for postgraduate students. The approach to widening participation also differs in a number of ways from the English approach, although there is a similar high-level goal. In the 2014-15 Scottish Programme for Government, the following ambition was outlined by the First Minister:</w:t>
      </w:r>
    </w:p>
    <w:p w14:paraId="75C23510" w14:textId="77777777" w:rsidR="00090683" w:rsidRPr="001A2F85" w:rsidRDefault="00090683" w:rsidP="00090683">
      <w:pPr>
        <w:pStyle w:val="Quote"/>
        <w:keepNext/>
      </w:pPr>
      <w:r w:rsidRPr="001A2F85">
        <w:t>I want us to determine now that a child born today in one of our most deprived communities will, by the time he or she leaves school, have the same chance of going to university as a child born in one of our least deprived communities.</w:t>
      </w:r>
    </w:p>
    <w:p w14:paraId="367AA0F2" w14:textId="77777777" w:rsidR="00090683" w:rsidRPr="001A2F85" w:rsidRDefault="00090683" w:rsidP="00090683">
      <w:pPr>
        <w:pStyle w:val="Quote"/>
        <w:keepNext/>
      </w:pPr>
      <w:r w:rsidRPr="001A2F85">
        <w:t>That means we would expect at least 20% of university entrants to come from the most deprived 20% of the population.</w:t>
      </w:r>
    </w:p>
    <w:p w14:paraId="197D40C1" w14:textId="77777777" w:rsidR="00090683" w:rsidRDefault="00090683" w:rsidP="00090683">
      <w:pPr>
        <w:pStyle w:val="BodyText"/>
      </w:pPr>
      <w:r w:rsidRPr="001A2F85">
        <w:t>Following this commitment, the First Minister established the Commission for Widening Access in 2015. The Commission provided its final report in March 2016, setting a number of detailed targets that have been adopted by the Government (</w:t>
      </w:r>
      <w:r w:rsidRPr="00AD49C8">
        <w:t>Box B.2</w:t>
      </w:r>
      <w:r w:rsidRPr="001A2F85">
        <w:t>).</w:t>
      </w: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4"/>
      </w:tblGrid>
      <w:tr w:rsidR="00090683" w:rsidRPr="00BF41B8" w14:paraId="62C11209" w14:textId="77777777" w:rsidTr="000B7E9A">
        <w:trPr>
          <w:cantSplit/>
        </w:trPr>
        <w:tc>
          <w:tcPr>
            <w:tcW w:w="8614" w:type="dxa"/>
            <w:tcMar>
              <w:top w:w="160" w:type="dxa"/>
              <w:left w:w="446" w:type="dxa"/>
            </w:tcMar>
          </w:tcPr>
          <w:p w14:paraId="7529E19C" w14:textId="77777777" w:rsidR="00090683" w:rsidRPr="00262366" w:rsidRDefault="00090683" w:rsidP="000B7E9A">
            <w:pPr>
              <w:pStyle w:val="Caption"/>
            </w:pPr>
            <w:bookmarkStart w:id="723" w:name="_Ref466298544"/>
            <w:bookmarkStart w:id="724" w:name="_Toc413398857"/>
            <w:bookmarkStart w:id="725" w:name="_Toc431984060"/>
            <w:bookmarkStart w:id="726" w:name="_Toc432247889"/>
            <w:bookmarkStart w:id="727" w:name="_Toc466655963"/>
            <w:r>
              <w:rPr>
                <w:rStyle w:val="CaptionLabel"/>
              </w:rPr>
              <w:t>Box </w:t>
            </w:r>
            <w:r>
              <w:rPr>
                <w:rStyle w:val="CaptionLabel"/>
                <w:noProof/>
              </w:rPr>
              <w:t>B</w:t>
            </w:r>
            <w:r>
              <w:rPr>
                <w:rStyle w:val="CaptionLabel"/>
              </w:rPr>
              <w:t>.</w:t>
            </w:r>
            <w:r>
              <w:rPr>
                <w:rStyle w:val="CaptionLabel"/>
                <w:noProof/>
              </w:rPr>
              <w:t>2</w:t>
            </w:r>
            <w:bookmarkEnd w:id="723"/>
            <w:r>
              <w:tab/>
            </w:r>
            <w:bookmarkEnd w:id="724"/>
            <w:bookmarkEnd w:id="725"/>
            <w:bookmarkEnd w:id="726"/>
            <w:r w:rsidRPr="001A2F85">
              <w:t>Scottish Government’s targets for equality of access to H</w:t>
            </w:r>
            <w:r>
              <w:t xml:space="preserve">igher </w:t>
            </w:r>
            <w:r w:rsidRPr="001A2F85">
              <w:t>E</w:t>
            </w:r>
            <w:r>
              <w:t>ducation</w:t>
            </w:r>
            <w:bookmarkEnd w:id="727"/>
          </w:p>
        </w:tc>
      </w:tr>
      <w:tr w:rsidR="00090683" w:rsidRPr="00BF41B8" w14:paraId="0D30E6E6" w14:textId="77777777" w:rsidTr="000B7E9A">
        <w:trPr>
          <w:cantSplit/>
          <w:trHeight w:hRule="exact" w:val="380"/>
        </w:trPr>
        <w:tc>
          <w:tcPr>
            <w:tcW w:w="8614" w:type="dxa"/>
            <w:shd w:val="clear" w:color="auto" w:fill="E4E0DD"/>
          </w:tcPr>
          <w:p w14:paraId="23DDC08F" w14:textId="77777777" w:rsidR="00090683" w:rsidRPr="00BF41B8" w:rsidRDefault="00090683" w:rsidP="000B7E9A">
            <w:pPr>
              <w:pStyle w:val="spacer"/>
            </w:pPr>
            <w:r>
              <w:rPr>
                <w:noProof/>
                <w:lang w:eastAsia="en-AU"/>
              </w:rPr>
              <mc:AlternateContent>
                <mc:Choice Requires="wps">
                  <w:drawing>
                    <wp:anchor distT="0" distB="0" distL="114300" distR="114300" simplePos="0" relativeHeight="251738624" behindDoc="0" locked="1" layoutInCell="1" allowOverlap="1" wp14:anchorId="4FF719E5" wp14:editId="487BF71F">
                      <wp:simplePos x="0" y="0"/>
                      <wp:positionH relativeFrom="rightMargin">
                        <wp:posOffset>-772795</wp:posOffset>
                      </wp:positionH>
                      <wp:positionV relativeFrom="page">
                        <wp:posOffset>0</wp:posOffset>
                      </wp:positionV>
                      <wp:extent cx="436880" cy="213360"/>
                      <wp:effectExtent l="0" t="0" r="1270" b="0"/>
                      <wp:wrapNone/>
                      <wp:docPr id="37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D3CA4E" id="Freeform 5" o:spid="_x0000_s1026" style="position:absolute;margin-left:-60.85pt;margin-top:0;width:34.4pt;height:16.8pt;z-index:251738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8j4fg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QvPI+H4DAADC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BF41B8" w14:paraId="3F4D672A" w14:textId="77777777" w:rsidTr="000B7E9A">
        <w:trPr>
          <w:cantSplit/>
        </w:trPr>
        <w:tc>
          <w:tcPr>
            <w:tcW w:w="8614" w:type="dxa"/>
            <w:shd w:val="clear" w:color="auto" w:fill="E4E0DD"/>
            <w:tcMar>
              <w:top w:w="276" w:type="dxa"/>
              <w:bottom w:w="184" w:type="dxa"/>
              <w:right w:w="120" w:type="dxa"/>
            </w:tcMar>
          </w:tcPr>
          <w:p w14:paraId="2816BAD5" w14:textId="77777777" w:rsidR="00090683" w:rsidRPr="001A2F85" w:rsidRDefault="00090683" w:rsidP="000B7E9A">
            <w:pPr>
              <w:pStyle w:val="BoxText"/>
              <w:rPr>
                <w:i/>
              </w:rPr>
            </w:pPr>
            <w:r w:rsidRPr="001A2F85">
              <w:rPr>
                <w:i/>
              </w:rPr>
              <w:t>To realise the First Minister’s ambition of equality of access to higher education in Scotland:</w:t>
            </w:r>
          </w:p>
          <w:p w14:paraId="0B0A367A" w14:textId="77777777" w:rsidR="00090683" w:rsidRPr="001A2F85" w:rsidRDefault="00090683" w:rsidP="000B7E9A">
            <w:pPr>
              <w:pStyle w:val="BoxListBullet"/>
            </w:pPr>
            <w:r w:rsidRPr="001A2F85">
              <w:t>By 2030, students from the 20 per cent most deprived backgrounds should represent 20 per cent of entrants to higher education. Equality of access should be seen in both the college sector and the university sector.</w:t>
            </w:r>
          </w:p>
          <w:p w14:paraId="21D8A988" w14:textId="77777777" w:rsidR="00090683" w:rsidRPr="001A2F85" w:rsidRDefault="00090683" w:rsidP="000B7E9A">
            <w:pPr>
              <w:pStyle w:val="BoxText"/>
              <w:rPr>
                <w:i/>
              </w:rPr>
            </w:pPr>
            <w:r w:rsidRPr="001A2F85">
              <w:rPr>
                <w:i/>
              </w:rPr>
              <w:t>To drive progress towards this goal:</w:t>
            </w:r>
          </w:p>
          <w:p w14:paraId="0FEC9DA0" w14:textId="77777777" w:rsidR="00090683" w:rsidRDefault="00090683" w:rsidP="000B7E9A">
            <w:pPr>
              <w:pStyle w:val="BoxListBullet"/>
            </w:pPr>
            <w:r w:rsidRPr="001A2F85">
              <w:t>By 2021, students from the 20 per cent most deprived backgrounds should represent at least 16 per cent of full-time first degree entrants to Scottish universities as a whole. By 2026, students from the 20 per cent most deprived backgrounds should represent at least 18 per cent of full-time first degree entrants to Scottish universities as a whole.</w:t>
            </w:r>
          </w:p>
          <w:p w14:paraId="0367C717" w14:textId="77777777" w:rsidR="00090683" w:rsidRPr="00BF41B8" w:rsidRDefault="00090683" w:rsidP="000B7E9A">
            <w:pPr>
              <w:pStyle w:val="BoxListBullet"/>
            </w:pPr>
            <w:r w:rsidRPr="001A2F85">
              <w:t>By 2021, students from the 20 per cent most deprived backgrounds should represent at least 10 per cent of full-time first degree entrants to every individual Scottish university. In 2022, the target of 10 per cent for individual Scottish universities should be reviewed and a higher level target should be considered for the subsequent years.</w:t>
            </w:r>
          </w:p>
        </w:tc>
      </w:tr>
      <w:tr w:rsidR="00090683" w:rsidRPr="00BF41B8" w14:paraId="7C5F0937" w14:textId="77777777" w:rsidTr="000B7E9A">
        <w:trPr>
          <w:cantSplit/>
        </w:trPr>
        <w:tc>
          <w:tcPr>
            <w:tcW w:w="8614" w:type="dxa"/>
            <w:tcMar>
              <w:top w:w="12" w:type="dxa"/>
              <w:left w:w="446" w:type="dxa"/>
              <w:bottom w:w="113" w:type="dxa"/>
            </w:tcMar>
          </w:tcPr>
          <w:p w14:paraId="177B9DBD" w14:textId="77777777" w:rsidR="00090683" w:rsidRPr="00BF41B8" w:rsidRDefault="00090683" w:rsidP="000B7E9A">
            <w:pPr>
              <w:pStyle w:val="Source"/>
            </w:pPr>
            <w:r w:rsidRPr="00BF41B8">
              <w:t xml:space="preserve">Source: </w:t>
            </w:r>
            <w:r w:rsidRPr="001A2F85">
              <w:t>the Scottish Government 2016a</w:t>
            </w:r>
          </w:p>
        </w:tc>
      </w:tr>
    </w:tbl>
    <w:p w14:paraId="64F16D9A" w14:textId="77777777" w:rsidR="00090683" w:rsidRPr="001A2F85" w:rsidRDefault="00090683" w:rsidP="00090683">
      <w:pPr>
        <w:pStyle w:val="Heading9"/>
      </w:pPr>
      <w:r w:rsidRPr="001A2F85">
        <w:t>Funding for equity activities</w:t>
      </w:r>
    </w:p>
    <w:p w14:paraId="1D069912" w14:textId="77777777" w:rsidR="00090683" w:rsidRPr="001A2F85" w:rsidRDefault="00090683" w:rsidP="00090683">
      <w:pPr>
        <w:pStyle w:val="Heading10nonumber"/>
      </w:pPr>
      <w:r w:rsidRPr="001A2F85">
        <w:t>Impact for Access Fund</w:t>
      </w:r>
    </w:p>
    <w:p w14:paraId="212AFF23" w14:textId="77777777" w:rsidR="00090683" w:rsidRPr="001A2F85" w:rsidRDefault="00090683" w:rsidP="00090683">
      <w:pPr>
        <w:pStyle w:val="BodyText"/>
      </w:pPr>
      <w:r w:rsidRPr="001A2F85">
        <w:t>The Commission for Widening Access interim report (The Scottish Government 2015) notes that there is limited evaluation of the Scottish widening participation program, but that an attempt to address the gap is the two-year Impact for Access fund that was introduced by the Scottish Funding Council (SFC) in the 2014</w:t>
      </w:r>
      <w:r w:rsidRPr="001A2F85">
        <w:noBreakHyphen/>
        <w:t>15 academic year. It was established to ‘develop standards on access and build the principles that underpin successful access activity’, and its aim is ‘to build quality improvement principles and embed a focus on evidencing impact into access work across the full student cycle’ by providing funding for new projects, from institutions, groups, academics or other organisations, that will help to develop evidence for ‘what works’ in widening access (SFC 2014). The SFC provided a total of up to £2 million for the fund in each of its two years. It identified the following focus areas for projects:</w:t>
      </w:r>
    </w:p>
    <w:p w14:paraId="098AB304" w14:textId="77777777" w:rsidR="00090683" w:rsidRPr="001A2F85" w:rsidRDefault="00090683" w:rsidP="00090683">
      <w:pPr>
        <w:pStyle w:val="ListBullet"/>
        <w:numPr>
          <w:ilvl w:val="0"/>
          <w:numId w:val="34"/>
        </w:numPr>
      </w:pPr>
      <w:r w:rsidRPr="001A2F85">
        <w:t>outreach to schools, colleges and prospective mature students</w:t>
      </w:r>
    </w:p>
    <w:p w14:paraId="29025701" w14:textId="77777777" w:rsidR="00090683" w:rsidRPr="001A2F85" w:rsidRDefault="00090683" w:rsidP="00090683">
      <w:pPr>
        <w:pStyle w:val="ListBullet"/>
        <w:numPr>
          <w:ilvl w:val="0"/>
          <w:numId w:val="34"/>
        </w:numPr>
      </w:pPr>
      <w:r w:rsidRPr="001A2F85">
        <w:t>summer schools for prospective students</w:t>
      </w:r>
    </w:p>
    <w:p w14:paraId="59D07DD4" w14:textId="77777777" w:rsidR="00090683" w:rsidRPr="001A2F85" w:rsidRDefault="00090683" w:rsidP="00090683">
      <w:pPr>
        <w:pStyle w:val="ListBullet"/>
        <w:numPr>
          <w:ilvl w:val="0"/>
          <w:numId w:val="34"/>
        </w:numPr>
      </w:pPr>
      <w:r w:rsidRPr="001A2F85">
        <w:t>admissions systems</w:t>
      </w:r>
    </w:p>
    <w:p w14:paraId="2E781E42" w14:textId="77777777" w:rsidR="00090683" w:rsidRPr="001A2F85" w:rsidRDefault="00090683" w:rsidP="00090683">
      <w:pPr>
        <w:pStyle w:val="ListBullet"/>
        <w:numPr>
          <w:ilvl w:val="0"/>
          <w:numId w:val="34"/>
        </w:numPr>
      </w:pPr>
      <w:r w:rsidRPr="001A2F85">
        <w:t>outcomes for students.</w:t>
      </w:r>
    </w:p>
    <w:p w14:paraId="512DA790" w14:textId="77777777" w:rsidR="00090683" w:rsidRPr="001A2F85" w:rsidRDefault="00090683" w:rsidP="00090683">
      <w:pPr>
        <w:pStyle w:val="BodyText"/>
      </w:pPr>
      <w:r w:rsidRPr="001A2F85">
        <w:t>In the first round, four projects received funding (March 2015) from a total of 23 initial bids. Five projects received funding in the second round (May 2015) from a total of 34 initial bids. Following the second round, bids were assessed on a rolling basis and one was approved in December 2015 (SFC 2016a). Interim findings, where available, were outlined in the Impact for Access update brief provided by SFC in February 2016.</w:t>
      </w:r>
    </w:p>
    <w:p w14:paraId="5F821421" w14:textId="77777777" w:rsidR="00090683" w:rsidRPr="001A2F85" w:rsidRDefault="00090683" w:rsidP="00090683">
      <w:pPr>
        <w:pStyle w:val="Heading10nonumber"/>
      </w:pPr>
      <w:r w:rsidRPr="001A2F85">
        <w:t>Schools for Higher Education Programme</w:t>
      </w:r>
    </w:p>
    <w:p w14:paraId="1C4B2782" w14:textId="77777777" w:rsidR="00090683" w:rsidRPr="001A2F85" w:rsidRDefault="00090683" w:rsidP="00090683">
      <w:pPr>
        <w:pStyle w:val="BodyText"/>
      </w:pPr>
      <w:r w:rsidRPr="001A2F85">
        <w:t>The SFC Schools for Higher Education Programme (SHEP) comprises four regionally-based school outreach sub-programs:</w:t>
      </w:r>
    </w:p>
    <w:p w14:paraId="0A3760D3" w14:textId="77777777" w:rsidR="00090683" w:rsidRPr="001A2F85" w:rsidRDefault="00090683" w:rsidP="00090683">
      <w:pPr>
        <w:pStyle w:val="ListBullet"/>
        <w:numPr>
          <w:ilvl w:val="0"/>
          <w:numId w:val="34"/>
        </w:numPr>
      </w:pPr>
      <w:r w:rsidRPr="001A2F85">
        <w:t>ASPIRENorth (north of Scotland)</w:t>
      </w:r>
    </w:p>
    <w:p w14:paraId="098A33C8" w14:textId="77777777" w:rsidR="00090683" w:rsidRPr="001A2F85" w:rsidRDefault="00090683" w:rsidP="00090683">
      <w:pPr>
        <w:pStyle w:val="ListBullet"/>
        <w:numPr>
          <w:ilvl w:val="0"/>
          <w:numId w:val="34"/>
        </w:numPr>
      </w:pPr>
      <w:r w:rsidRPr="001A2F85">
        <w:t>Lift Off (Fife and Tayside region)</w:t>
      </w:r>
    </w:p>
    <w:p w14:paraId="15F12AD1" w14:textId="77777777" w:rsidR="00090683" w:rsidRPr="001A2F85" w:rsidRDefault="00090683" w:rsidP="00090683">
      <w:pPr>
        <w:pStyle w:val="ListBullet"/>
        <w:numPr>
          <w:ilvl w:val="0"/>
          <w:numId w:val="34"/>
        </w:numPr>
      </w:pPr>
      <w:r w:rsidRPr="001A2F85">
        <w:t>LEAPS (Lothians Equal Access Programme for Schools, southeast Scotland)</w:t>
      </w:r>
    </w:p>
    <w:p w14:paraId="60045F60" w14:textId="77777777" w:rsidR="00090683" w:rsidRPr="001A2F85" w:rsidRDefault="00090683" w:rsidP="00090683">
      <w:pPr>
        <w:pStyle w:val="ListBullet"/>
        <w:numPr>
          <w:ilvl w:val="0"/>
          <w:numId w:val="34"/>
        </w:numPr>
      </w:pPr>
      <w:r w:rsidRPr="001A2F85">
        <w:t>FOCUS West (Focus on College and University Study – West of Scotland).</w:t>
      </w:r>
    </w:p>
    <w:p w14:paraId="22CBE2B5" w14:textId="77777777" w:rsidR="00090683" w:rsidRPr="001A2F85" w:rsidRDefault="00090683" w:rsidP="00090683">
      <w:pPr>
        <w:pStyle w:val="BodyText"/>
        <w:keepNext/>
      </w:pPr>
      <w:r w:rsidRPr="001A2F85">
        <w:t xml:space="preserve">Each sub-program includes a group of local universities and schools and is targeted towards students from S3 to S6 (approximately 13-17 years of age). SFC (2016b) identifies the following as focus areas for SHEP: </w:t>
      </w:r>
    </w:p>
    <w:p w14:paraId="02C504C3" w14:textId="77777777" w:rsidR="00090683" w:rsidRPr="001A2F85" w:rsidRDefault="00090683" w:rsidP="00090683">
      <w:pPr>
        <w:pStyle w:val="ListBullet"/>
        <w:keepNext/>
        <w:numPr>
          <w:ilvl w:val="0"/>
          <w:numId w:val="34"/>
        </w:numPr>
      </w:pPr>
      <w:r w:rsidRPr="001A2F85">
        <w:t>targeting activity on those pupils who are at risk of not achieving their full potential and / or those achieving but who don't recognise their potential for progression to higher education (in both colleges and universities)</w:t>
      </w:r>
    </w:p>
    <w:p w14:paraId="5B54597F" w14:textId="77777777" w:rsidR="00090683" w:rsidRPr="001A2F85" w:rsidRDefault="00090683" w:rsidP="00090683">
      <w:pPr>
        <w:pStyle w:val="ListBullet"/>
        <w:numPr>
          <w:ilvl w:val="0"/>
          <w:numId w:val="34"/>
        </w:numPr>
      </w:pPr>
      <w:r w:rsidRPr="001A2F85">
        <w:t>targeting only those schools in each region identified, based on a five year average, as having less than 22% average progression to HE</w:t>
      </w:r>
    </w:p>
    <w:p w14:paraId="4DFA40DE" w14:textId="77777777" w:rsidR="00090683" w:rsidRPr="001A2F85" w:rsidRDefault="00090683" w:rsidP="00090683">
      <w:pPr>
        <w:pStyle w:val="ListBullet"/>
        <w:numPr>
          <w:ilvl w:val="0"/>
          <w:numId w:val="34"/>
        </w:numPr>
      </w:pPr>
      <w:r w:rsidRPr="001A2F85">
        <w:t>establishing baselines against which future performance will be measured</w:t>
      </w:r>
    </w:p>
    <w:p w14:paraId="14976C6D" w14:textId="77777777" w:rsidR="00090683" w:rsidRPr="001A2F85" w:rsidRDefault="00090683" w:rsidP="00090683">
      <w:pPr>
        <w:pStyle w:val="ListBullet"/>
        <w:numPr>
          <w:ilvl w:val="0"/>
          <w:numId w:val="34"/>
        </w:numPr>
      </w:pPr>
      <w:r w:rsidRPr="001A2F85">
        <w:t>tracking, with Skills Development Scotland, the progression of pupils to inform performance reporting</w:t>
      </w:r>
    </w:p>
    <w:p w14:paraId="10275B08" w14:textId="77777777" w:rsidR="00090683" w:rsidRPr="001A2F85" w:rsidRDefault="00090683" w:rsidP="00090683">
      <w:pPr>
        <w:pStyle w:val="ListBullet"/>
        <w:numPr>
          <w:ilvl w:val="0"/>
          <w:numId w:val="34"/>
        </w:numPr>
      </w:pPr>
      <w:r w:rsidRPr="001A2F85">
        <w:t>adhering to a set of national delivery principles, including strategic agreements with local authorities and partner institutions and sustained engagement with specific groupings of pupils.</w:t>
      </w:r>
    </w:p>
    <w:p w14:paraId="50DBF5AE" w14:textId="77777777" w:rsidR="00090683" w:rsidRPr="001A2F85" w:rsidRDefault="00090683" w:rsidP="00090683">
      <w:pPr>
        <w:pStyle w:val="BodyText"/>
      </w:pPr>
      <w:r w:rsidRPr="001A2F85">
        <w:t>A 2014 report found that on average over the previous three years, ‘39 per cent of pupils who have received support from Lift Off have progressed to higher education, compared with an average of 17 per cent across the 13 schools Lift Off works with’ (Universities Scotland 2014).</w:t>
      </w:r>
    </w:p>
    <w:p w14:paraId="216D01C2" w14:textId="77777777" w:rsidR="00090683" w:rsidRPr="001A2F85" w:rsidRDefault="00090683" w:rsidP="00090683">
      <w:pPr>
        <w:pStyle w:val="Heading9"/>
      </w:pPr>
      <w:r w:rsidRPr="001A2F85">
        <w:t>University outcome agreements</w:t>
      </w:r>
    </w:p>
    <w:p w14:paraId="6DE93861" w14:textId="77777777" w:rsidR="00090683" w:rsidRPr="001A2F85" w:rsidRDefault="00090683" w:rsidP="00090683">
      <w:pPr>
        <w:pStyle w:val="BodyText"/>
      </w:pPr>
      <w:r w:rsidRPr="001A2F85">
        <w:t xml:space="preserve">The SFC is responsible for regulating and providing funding to higher education institutions and further education colleges. In the 2012-13 academic year, it introduced the outcome agreement process, which requires higher education institutions and colleges to provide a plan for what they will deliver in return for their funding. </w:t>
      </w:r>
    </w:p>
    <w:p w14:paraId="2724D754" w14:textId="77777777" w:rsidR="00090683" w:rsidRPr="001A2F85" w:rsidRDefault="00090683" w:rsidP="00090683">
      <w:pPr>
        <w:pStyle w:val="BodyText"/>
      </w:pPr>
      <w:r w:rsidRPr="001A2F85">
        <w:t>Outcome agreements are encouraged to cover a three-year period, but they can be revised annually (SFC 2015). SFC provides guidance outlining a range of aims and priorities to which the institutions must respond. For the three-year period from 2014-15, the guidance identified 11 key priorities, with five of these addressing students from disadvantaged or under-represented backgrounds. The latter three priorities below were added for 2016-17, with outcome agreements to be revised accordingly:</w:t>
      </w:r>
    </w:p>
    <w:p w14:paraId="4B656F2E" w14:textId="77777777" w:rsidR="00090683" w:rsidRPr="001A2F85" w:rsidRDefault="00090683" w:rsidP="00090683">
      <w:pPr>
        <w:pStyle w:val="ListBullet"/>
        <w:numPr>
          <w:ilvl w:val="0"/>
          <w:numId w:val="34"/>
        </w:numPr>
      </w:pPr>
      <w:r w:rsidRPr="001A2F85">
        <w:t>an increase in the proportion of Scottish-domiciled undergraduate entrants from the 40% most deprived postcodes</w:t>
      </w:r>
    </w:p>
    <w:p w14:paraId="0D67245C" w14:textId="77777777" w:rsidR="00090683" w:rsidRPr="001A2F85" w:rsidRDefault="00090683" w:rsidP="00090683">
      <w:pPr>
        <w:pStyle w:val="ListBullet"/>
        <w:numPr>
          <w:ilvl w:val="0"/>
          <w:numId w:val="34"/>
        </w:numPr>
      </w:pPr>
      <w:r w:rsidRPr="001A2F85">
        <w:t>a more representative proportion of entrants from different protected characteristic groups</w:t>
      </w:r>
    </w:p>
    <w:p w14:paraId="48EA9F6F" w14:textId="77777777" w:rsidR="00090683" w:rsidRPr="001A2F85" w:rsidRDefault="00090683" w:rsidP="00090683">
      <w:pPr>
        <w:pStyle w:val="ListBullet"/>
        <w:numPr>
          <w:ilvl w:val="0"/>
          <w:numId w:val="34"/>
        </w:numPr>
      </w:pPr>
      <w:r w:rsidRPr="001A2F85">
        <w:t>an improvement in the gender balance of the total student population and in particular subjects where there is a severe imbalance</w:t>
      </w:r>
    </w:p>
    <w:p w14:paraId="6BF34023" w14:textId="77777777" w:rsidR="00090683" w:rsidRPr="001A2F85" w:rsidRDefault="00090683" w:rsidP="00090683">
      <w:pPr>
        <w:pStyle w:val="ListBullet"/>
        <w:numPr>
          <w:ilvl w:val="0"/>
          <w:numId w:val="34"/>
        </w:numPr>
      </w:pPr>
      <w:r w:rsidRPr="001A2F85">
        <w:t>an increase in the number and proportion of undergraduate entrants with care experience</w:t>
      </w:r>
    </w:p>
    <w:p w14:paraId="6DF05E3F" w14:textId="77777777" w:rsidR="00090683" w:rsidRPr="001A2F85" w:rsidRDefault="00090683" w:rsidP="00090683">
      <w:pPr>
        <w:pStyle w:val="ListBullet"/>
        <w:numPr>
          <w:ilvl w:val="0"/>
          <w:numId w:val="34"/>
        </w:numPr>
      </w:pPr>
      <w:r w:rsidRPr="001A2F85">
        <w:t>an increase in the retention rate of full-time undergraduate entrants with care experience.</w:t>
      </w:r>
    </w:p>
    <w:p w14:paraId="395C8781" w14:textId="77777777" w:rsidR="00090683" w:rsidRPr="001A2F85" w:rsidRDefault="00090683" w:rsidP="00090683">
      <w:pPr>
        <w:pStyle w:val="BodyText"/>
      </w:pPr>
      <w:r w:rsidRPr="001A2F85">
        <w:t xml:space="preserve">‘Protected characteristics’ are defined in the </w:t>
      </w:r>
      <w:r w:rsidRPr="001A2F85">
        <w:rPr>
          <w:i/>
        </w:rPr>
        <w:t>Equality Act 2010</w:t>
      </w:r>
      <w:r w:rsidRPr="001A2F85">
        <w:t>, namely, age, disability, gender reassignment, marriage and civil partnership, pregnancy and maternity, race, religion or belief, sex, and sexual orientation.</w:t>
      </w:r>
    </w:p>
    <w:p w14:paraId="2DC73A01" w14:textId="77777777" w:rsidR="00090683" w:rsidRPr="001A2F85" w:rsidRDefault="00090683" w:rsidP="00090683">
      <w:pPr>
        <w:pStyle w:val="BodyText"/>
      </w:pPr>
      <w:r w:rsidRPr="001A2F85">
        <w:t>Providers must also report against a range of national measures outlined in the guidance, to allow standardised reporting, and are encouraged to supplement these with their own measures. For the period beginning in 2014-15, the measures and outcomes are captured under seven key institutional aims, with the first aim addressing widening participation: ‘improve access to higher education for people from the widest possible range of backgrounds’ (SFC 2015).</w:t>
      </w:r>
    </w:p>
    <w:p w14:paraId="4F08FF8B" w14:textId="77777777" w:rsidR="00090683" w:rsidRPr="001A2F85" w:rsidRDefault="00090683" w:rsidP="00090683">
      <w:pPr>
        <w:pStyle w:val="BodyText"/>
      </w:pPr>
      <w:r w:rsidRPr="001A2F85">
        <w:t>Legislation passed in 2013 (the</w:t>
      </w:r>
      <w:r w:rsidRPr="001A2F85">
        <w:rPr>
          <w:i/>
        </w:rPr>
        <w:t xml:space="preserve"> Post-16 Education (Scotland) Bill) </w:t>
      </w:r>
      <w:r w:rsidRPr="001A2F85">
        <w:t>also requires SFC to conduct triennial reviews of widening access, with the first to be undertaken in 2016. The draft report was released in May.</w:t>
      </w:r>
    </w:p>
    <w:p w14:paraId="274066C4" w14:textId="77777777" w:rsidR="00090683" w:rsidRPr="001A2F85" w:rsidRDefault="00090683" w:rsidP="00090683">
      <w:pPr>
        <w:pStyle w:val="Heading8"/>
      </w:pPr>
      <w:bookmarkStart w:id="728" w:name="_Toc466657180"/>
      <w:r w:rsidRPr="001A2F85">
        <w:t>Ireland</w:t>
      </w:r>
      <w:bookmarkEnd w:id="728"/>
    </w:p>
    <w:p w14:paraId="6CB33CED" w14:textId="77777777" w:rsidR="00090683" w:rsidRPr="001A2F85" w:rsidRDefault="00090683" w:rsidP="00090683">
      <w:pPr>
        <w:pStyle w:val="BodyText"/>
      </w:pPr>
      <w:r w:rsidRPr="001A2F85">
        <w:t>Ireland has seven universities and 14 institutes of technology, as well as three Colleges of Education and three institutions (Keane 2013). Tuition fees for full-time undergraduate students with EU nationality (and who have been a resident in an EU member state for at least three years prior to entry) are covered by the Government, under the ‘Free Fees Initiative’ (HEA 2016a). There are also state-funded grants available for eligible students, including postgraduate students.</w:t>
      </w:r>
    </w:p>
    <w:p w14:paraId="33353421" w14:textId="77777777" w:rsidR="00090683" w:rsidRPr="001A2F85" w:rsidRDefault="00090683" w:rsidP="00090683">
      <w:pPr>
        <w:pStyle w:val="BodyText"/>
      </w:pPr>
      <w:r w:rsidRPr="001A2F85">
        <w:t>Ireland is recognised in the European Union for its comprehensive commitments to equity in higher education, and is considered to have ‘the most comprehensive set of targets related to under-represented groups’ in the European Union (European Commission/EACEA/Eurydice 2014).</w:t>
      </w:r>
    </w:p>
    <w:p w14:paraId="1B1D9C59" w14:textId="77777777" w:rsidR="00090683" w:rsidRPr="001A2F85" w:rsidRDefault="00090683" w:rsidP="00090683">
      <w:pPr>
        <w:pStyle w:val="BodyText"/>
      </w:pPr>
      <w:r w:rsidRPr="001A2F85">
        <w:t xml:space="preserve">The Higher Education Authority (HEA) is the statutory funding, planning, and policy-advisory body for higher education and research in Ireland (HEA 2016b). From its inception in 1971, one of its key functions was ‘promoting the attainment of equality of opportunity in higher education’ (Government of Ireland 1971, </w:t>
      </w:r>
      <w:r>
        <w:t>S</w:t>
      </w:r>
      <w:r w:rsidRPr="001A2F85">
        <w:t>ection 3(d)). The National Access Policy Office (formerly the National Office for Equity of Access to Higher Education) was established in the HEA in 2003, with the following core functions:</w:t>
      </w:r>
    </w:p>
    <w:p w14:paraId="5A03CB50" w14:textId="77777777" w:rsidR="00090683" w:rsidRPr="001A2F85" w:rsidRDefault="00090683" w:rsidP="00090683">
      <w:pPr>
        <w:pStyle w:val="ListBullet"/>
        <w:numPr>
          <w:ilvl w:val="0"/>
          <w:numId w:val="34"/>
        </w:numPr>
      </w:pPr>
      <w:r w:rsidRPr="001A2F85">
        <w:t>develop and implement a national action plan to achieve equity of access to higher education</w:t>
      </w:r>
    </w:p>
    <w:p w14:paraId="5E9B92C1" w14:textId="77777777" w:rsidR="00090683" w:rsidRPr="001A2F85" w:rsidRDefault="00090683" w:rsidP="00090683">
      <w:pPr>
        <w:pStyle w:val="ListBullet"/>
        <w:numPr>
          <w:ilvl w:val="0"/>
          <w:numId w:val="34"/>
        </w:numPr>
      </w:pPr>
      <w:r w:rsidRPr="001A2F85">
        <w:t>monitor and report on progress in implementing the plan and achieving set targets and outcomes</w:t>
      </w:r>
    </w:p>
    <w:p w14:paraId="1159D606" w14:textId="77777777" w:rsidR="00090683" w:rsidRPr="001A2F85" w:rsidRDefault="00090683" w:rsidP="00090683">
      <w:pPr>
        <w:pStyle w:val="ListBullet"/>
        <w:numPr>
          <w:ilvl w:val="0"/>
          <w:numId w:val="34"/>
        </w:numPr>
      </w:pPr>
      <w:r w:rsidRPr="001A2F85">
        <w:t>provide advice on national policy</w:t>
      </w:r>
    </w:p>
    <w:p w14:paraId="3E746AD6" w14:textId="77777777" w:rsidR="00090683" w:rsidRPr="001A2F85" w:rsidRDefault="00090683" w:rsidP="00090683">
      <w:pPr>
        <w:pStyle w:val="ListBullet"/>
        <w:numPr>
          <w:ilvl w:val="0"/>
          <w:numId w:val="34"/>
        </w:numPr>
      </w:pPr>
      <w:r w:rsidRPr="001A2F85">
        <w:t>promote the rationale for access to higher education.</w:t>
      </w:r>
    </w:p>
    <w:p w14:paraId="13337899" w14:textId="77777777" w:rsidR="00090683" w:rsidRPr="001A2F85" w:rsidRDefault="00090683" w:rsidP="00090683">
      <w:pPr>
        <w:pStyle w:val="Heading9"/>
      </w:pPr>
      <w:r w:rsidRPr="001A2F85">
        <w:t>Funding for equity activities</w:t>
      </w:r>
    </w:p>
    <w:p w14:paraId="38A64BCA" w14:textId="77777777" w:rsidR="00090683" w:rsidRPr="001A2F85" w:rsidRDefault="00090683" w:rsidP="00090683">
      <w:pPr>
        <w:pStyle w:val="BodyText"/>
      </w:pPr>
      <w:r w:rsidRPr="001A2F85">
        <w:t>Funding for access and participation activities by HE institutions primarily occurs through core grant funding from HEA, one of three elements of the Recurrent Grant Allocation Model (RGAM). The allocation is ‘access weighted’ using Equal Access data:</w:t>
      </w:r>
    </w:p>
    <w:p w14:paraId="5EB665CA" w14:textId="77777777" w:rsidR="00090683" w:rsidRPr="001A2F85" w:rsidRDefault="00090683" w:rsidP="00090683">
      <w:pPr>
        <w:pStyle w:val="Quote"/>
      </w:pPr>
      <w:r w:rsidRPr="001A2F85">
        <w:t>The allocation of the core grant is determined on a formula basis - based on a standard per capita amount in respect of weighted EU student numbers (and non-EU research) in four broad subject price groups… An adjustment is made within the core grant allocation to reflect the costs to the institutions of attracting and supporting students who come from non-traditional backgrounds. An additional weighting of 33% is currently used.</w:t>
      </w:r>
    </w:p>
    <w:p w14:paraId="166BD552" w14:textId="77777777" w:rsidR="00090683" w:rsidRPr="001A2F85" w:rsidRDefault="00090683" w:rsidP="00090683">
      <w:pPr>
        <w:pStyle w:val="QuoteSource"/>
      </w:pPr>
      <w:r w:rsidRPr="001A2F85">
        <w:t>HEA 2014</w:t>
      </w:r>
    </w:p>
    <w:p w14:paraId="41E36396" w14:textId="77777777" w:rsidR="00090683" w:rsidRPr="001A2F85" w:rsidRDefault="00090683" w:rsidP="00090683">
      <w:pPr>
        <w:pStyle w:val="BodyText"/>
      </w:pPr>
      <w:r w:rsidRPr="001A2F85">
        <w:t>The additional elements of the RGAM are:</w:t>
      </w:r>
    </w:p>
    <w:p w14:paraId="4B703F31" w14:textId="77777777" w:rsidR="00090683" w:rsidRPr="001A2F85" w:rsidRDefault="00090683" w:rsidP="00090683">
      <w:pPr>
        <w:pStyle w:val="ListBullet"/>
        <w:numPr>
          <w:ilvl w:val="0"/>
          <w:numId w:val="34"/>
        </w:numPr>
      </w:pPr>
      <w:r w:rsidRPr="001A2F85">
        <w:t>performance-related funding, which is being phased in from 2014. HEA proposes that ‘up to 10% of the annual core recurrent grant will be linked to performance by HEIs in delivering on national objectives set for the sector’ (HEA 2014).</w:t>
      </w:r>
    </w:p>
    <w:p w14:paraId="2C352281" w14:textId="77777777" w:rsidR="00090683" w:rsidRPr="001A2F85" w:rsidRDefault="00090683" w:rsidP="00090683">
      <w:pPr>
        <w:pStyle w:val="ListBullet"/>
        <w:numPr>
          <w:ilvl w:val="0"/>
          <w:numId w:val="34"/>
        </w:numPr>
      </w:pPr>
      <w:r w:rsidRPr="001A2F85">
        <w:t>targeted/strategic funding, which may be allocated to institutions on a competitive basis in support of national strategic priorities for the sector.</w:t>
      </w:r>
    </w:p>
    <w:p w14:paraId="0D797154" w14:textId="77777777" w:rsidR="00090683" w:rsidRPr="001A2F85" w:rsidRDefault="00090683" w:rsidP="00090683">
      <w:pPr>
        <w:pStyle w:val="BodyText"/>
      </w:pPr>
      <w:r w:rsidRPr="001A2F85">
        <w:t xml:space="preserve">Equal Access data </w:t>
      </w:r>
      <w:r>
        <w:t>are</w:t>
      </w:r>
      <w:r w:rsidRPr="001A2F85">
        <w:t xml:space="preserve"> provided through a National Access Policy Office initiative that was introduced into HE institutions’ registration process in the 2007-2008 academic year, to collect data from first-time students regarding their socioeconomic and cultural backgrounds (Keane 2013). Student participation in the survey is voluntary.</w:t>
      </w:r>
    </w:p>
    <w:p w14:paraId="06FD5B6A" w14:textId="77777777" w:rsidR="00090683" w:rsidRPr="001A2F85" w:rsidRDefault="00090683" w:rsidP="00090683">
      <w:pPr>
        <w:pStyle w:val="BodyText"/>
      </w:pPr>
      <w:r w:rsidRPr="001A2F85">
        <w:t xml:space="preserve">An additional funding stream for equity activities was the Strategic Innovation Fund (SIF), which operated over two cycles between 2006 and 2012. It was intended to be a €510 million multi-year fund, through which grants would be allocated to HE institutions through a competitive process and institutions were required to provide matching funding of at least 50 per cent (HEA 2013). The objectives of the program were: </w:t>
      </w:r>
    </w:p>
    <w:p w14:paraId="40A8B851" w14:textId="77777777" w:rsidR="00090683" w:rsidRPr="001A2F85" w:rsidRDefault="00090683" w:rsidP="00090683">
      <w:pPr>
        <w:pStyle w:val="ListBullet"/>
        <w:numPr>
          <w:ilvl w:val="0"/>
          <w:numId w:val="34"/>
        </w:numPr>
      </w:pPr>
      <w:r w:rsidRPr="001A2F85">
        <w:t>to enhance the delivery of education and research</w:t>
      </w:r>
    </w:p>
    <w:p w14:paraId="23B3C7DB" w14:textId="77777777" w:rsidR="00090683" w:rsidRPr="001A2F85" w:rsidRDefault="00090683" w:rsidP="00090683">
      <w:pPr>
        <w:pStyle w:val="ListBullet"/>
        <w:numPr>
          <w:ilvl w:val="0"/>
          <w:numId w:val="34"/>
        </w:numPr>
      </w:pPr>
      <w:r w:rsidRPr="001A2F85">
        <w:t>to prepare for the expansion and development of postgraduate education</w:t>
      </w:r>
    </w:p>
    <w:p w14:paraId="4306DA86" w14:textId="77777777" w:rsidR="00090683" w:rsidRPr="001A2F85" w:rsidRDefault="00090683" w:rsidP="00090683">
      <w:pPr>
        <w:pStyle w:val="ListBullet"/>
        <w:numPr>
          <w:ilvl w:val="0"/>
          <w:numId w:val="34"/>
        </w:numPr>
      </w:pPr>
      <w:r w:rsidRPr="001A2F85">
        <w:t>to support innovation and quality improvement in teaching and learning</w:t>
      </w:r>
    </w:p>
    <w:p w14:paraId="78FA28D5" w14:textId="77777777" w:rsidR="00090683" w:rsidRPr="001A2F85" w:rsidRDefault="00090683" w:rsidP="00090683">
      <w:pPr>
        <w:pStyle w:val="ListBullet"/>
        <w:numPr>
          <w:ilvl w:val="0"/>
          <w:numId w:val="34"/>
        </w:numPr>
      </w:pPr>
      <w:r w:rsidRPr="001A2F85">
        <w:t>to support access, retention and progression (HEA 2013).</w:t>
      </w:r>
    </w:p>
    <w:p w14:paraId="2FFD71A2" w14:textId="77777777" w:rsidR="00090683" w:rsidRPr="001A2F85" w:rsidRDefault="00090683" w:rsidP="00090683">
      <w:pPr>
        <w:pStyle w:val="BodyText"/>
      </w:pPr>
      <w:r w:rsidRPr="001A2F85">
        <w:t>However, due to national financial pressures over the period, including the impact of the global financial crisis, the funding amounts were reduced and in total only €92.05 million was provided to institutions through the fund. This was less than was originally awarded to institutions for projects under each cycle, with 95 per cent of the original award provided to institutions under SIF Cycle 1 but only 51 per cent provided in SIF Cycle 2. The fund was prematurely brought to a close in 2012, however many of the projects were mainstreamed throughout the sector (HEA 2013).</w:t>
      </w:r>
    </w:p>
    <w:p w14:paraId="28FD303D" w14:textId="77777777" w:rsidR="00090683" w:rsidRPr="001A2F85" w:rsidRDefault="00090683" w:rsidP="00090683">
      <w:pPr>
        <w:pStyle w:val="Heading9"/>
      </w:pPr>
      <w:r w:rsidRPr="001A2F85">
        <w:t>National Plan for Equity of Access to Higher Education</w:t>
      </w:r>
    </w:p>
    <w:p w14:paraId="14306C94" w14:textId="77777777" w:rsidR="00090683" w:rsidRPr="001A2F85" w:rsidRDefault="00090683" w:rsidP="00090683">
      <w:pPr>
        <w:pStyle w:val="BodyText"/>
      </w:pPr>
      <w:r w:rsidRPr="001A2F85">
        <w:t xml:space="preserve">As mentioned above, one of the National Access Policy Office’s key functions is the development and implementation of national equity action plans. Each plan covers a number of years (2005-2007; 2008-13) and the third plan, </w:t>
      </w:r>
      <w:r w:rsidRPr="001A2F85">
        <w:rPr>
          <w:i/>
        </w:rPr>
        <w:t>National Plan for Equity of Access to Higher Education, 2015-2019</w:t>
      </w:r>
      <w:r w:rsidRPr="001A2F85">
        <w:t>, was released last year. The underlying principle for its equity approach is ‘that everyone should have the opportunity to participate in post-secondary education and that the population of new entrants to higher education should be broadly representative of the general population’ (HEA 2015).</w:t>
      </w:r>
    </w:p>
    <w:p w14:paraId="20C22A22" w14:textId="77777777" w:rsidR="00090683" w:rsidRPr="001A2F85" w:rsidRDefault="00090683" w:rsidP="00090683">
      <w:pPr>
        <w:pStyle w:val="BodyText"/>
      </w:pPr>
      <w:r w:rsidRPr="001A2F85">
        <w:t>Five priority goals were developed through the Plan:</w:t>
      </w:r>
    </w:p>
    <w:p w14:paraId="53D70EF3" w14:textId="77777777" w:rsidR="00090683" w:rsidRPr="001A2F85" w:rsidRDefault="00090683" w:rsidP="00B703D7">
      <w:pPr>
        <w:pStyle w:val="ListNumber"/>
        <w:numPr>
          <w:ilvl w:val="0"/>
          <w:numId w:val="67"/>
        </w:numPr>
      </w:pPr>
      <w:r w:rsidRPr="001A2F85">
        <w:t>to mainstream the delivery of equity of access in HE institutions</w:t>
      </w:r>
    </w:p>
    <w:p w14:paraId="7C656DBF" w14:textId="77777777" w:rsidR="00090683" w:rsidRPr="001A2F85" w:rsidRDefault="00090683" w:rsidP="00B703D7">
      <w:pPr>
        <w:pStyle w:val="ListNumber"/>
        <w:numPr>
          <w:ilvl w:val="0"/>
          <w:numId w:val="67"/>
        </w:numPr>
      </w:pPr>
      <w:r w:rsidRPr="001A2F85">
        <w:t>to assess the impact of current initiatives to support equity of access to higher education</w:t>
      </w:r>
    </w:p>
    <w:p w14:paraId="5A3020B0" w14:textId="77777777" w:rsidR="00090683" w:rsidRPr="001A2F85" w:rsidRDefault="00090683" w:rsidP="00B703D7">
      <w:pPr>
        <w:pStyle w:val="ListNumber"/>
        <w:numPr>
          <w:ilvl w:val="0"/>
          <w:numId w:val="67"/>
        </w:numPr>
      </w:pPr>
      <w:r w:rsidRPr="001A2F85">
        <w:t>to gather accurate data and evidence on access and participation and to base policy on what that data tells us</w:t>
      </w:r>
    </w:p>
    <w:p w14:paraId="0362D3C9" w14:textId="77777777" w:rsidR="00090683" w:rsidRPr="001A2F85" w:rsidRDefault="00090683" w:rsidP="00B703D7">
      <w:pPr>
        <w:pStyle w:val="ListNumber"/>
        <w:numPr>
          <w:ilvl w:val="0"/>
          <w:numId w:val="67"/>
        </w:numPr>
      </w:pPr>
      <w:r w:rsidRPr="001A2F85">
        <w:t>to build coherent pathways from further education and to foster other entry routes to higher education</w:t>
      </w:r>
    </w:p>
    <w:p w14:paraId="01638351" w14:textId="77777777" w:rsidR="00090683" w:rsidRPr="001A2F85" w:rsidRDefault="00090683" w:rsidP="00B703D7">
      <w:pPr>
        <w:pStyle w:val="ListNumber"/>
        <w:numPr>
          <w:ilvl w:val="0"/>
          <w:numId w:val="67"/>
        </w:numPr>
      </w:pPr>
      <w:r w:rsidRPr="001A2F85">
        <w:t>to develop regional and community partnership strategies for increasing access to higher education with a particular focus on mentoring.</w:t>
      </w:r>
    </w:p>
    <w:p w14:paraId="61B15DDD" w14:textId="77777777" w:rsidR="00090683" w:rsidRPr="001A2F85" w:rsidRDefault="00090683" w:rsidP="00090683">
      <w:pPr>
        <w:pStyle w:val="BodyText"/>
      </w:pPr>
      <w:r w:rsidRPr="001A2F85">
        <w:t>The target groups identified in the Plan, due to historical and ongoing under-representation, are:</w:t>
      </w:r>
    </w:p>
    <w:p w14:paraId="6C6AE444" w14:textId="77777777" w:rsidR="00090683" w:rsidRPr="001A2F85" w:rsidRDefault="00090683" w:rsidP="00090683">
      <w:pPr>
        <w:pStyle w:val="ListBullet"/>
        <w:numPr>
          <w:ilvl w:val="0"/>
          <w:numId w:val="34"/>
        </w:numPr>
      </w:pPr>
      <w:r w:rsidRPr="001A2F85">
        <w:t>entrants from socioeconomic groups that have low participation in higher education</w:t>
      </w:r>
      <w:r>
        <w:t xml:space="preserve"> (see Section B.1)</w:t>
      </w:r>
    </w:p>
    <w:p w14:paraId="5BC3E91B" w14:textId="77777777" w:rsidR="00090683" w:rsidRPr="001A2F85" w:rsidRDefault="00090683" w:rsidP="00090683">
      <w:pPr>
        <w:pStyle w:val="ListBullet"/>
        <w:numPr>
          <w:ilvl w:val="0"/>
          <w:numId w:val="34"/>
        </w:numPr>
      </w:pPr>
      <w:r w:rsidRPr="001A2F85">
        <w:t>first time, mature student entrants</w:t>
      </w:r>
    </w:p>
    <w:p w14:paraId="05D299F0" w14:textId="77777777" w:rsidR="00090683" w:rsidRPr="001A2F85" w:rsidRDefault="00090683" w:rsidP="00090683">
      <w:pPr>
        <w:pStyle w:val="ListBullet"/>
        <w:numPr>
          <w:ilvl w:val="0"/>
          <w:numId w:val="34"/>
        </w:numPr>
      </w:pPr>
      <w:r w:rsidRPr="001A2F85">
        <w:t>students with disabilities</w:t>
      </w:r>
    </w:p>
    <w:p w14:paraId="7B683997" w14:textId="77777777" w:rsidR="00090683" w:rsidRPr="001A2F85" w:rsidRDefault="00090683" w:rsidP="00090683">
      <w:pPr>
        <w:pStyle w:val="ListBullet"/>
        <w:numPr>
          <w:ilvl w:val="0"/>
          <w:numId w:val="34"/>
        </w:numPr>
      </w:pPr>
      <w:r w:rsidRPr="001A2F85">
        <w:t>part-time/flexible learners</w:t>
      </w:r>
    </w:p>
    <w:p w14:paraId="687658E7" w14:textId="77777777" w:rsidR="00090683" w:rsidRPr="001A2F85" w:rsidRDefault="00090683" w:rsidP="00090683">
      <w:pPr>
        <w:pStyle w:val="ListBullet"/>
        <w:numPr>
          <w:ilvl w:val="0"/>
          <w:numId w:val="34"/>
        </w:numPr>
      </w:pPr>
      <w:r w:rsidRPr="001A2F85">
        <w:t>further education award holders</w:t>
      </w:r>
    </w:p>
    <w:p w14:paraId="1F3D8A49" w14:textId="77777777" w:rsidR="00090683" w:rsidRPr="001A2F85" w:rsidRDefault="00090683" w:rsidP="00090683">
      <w:pPr>
        <w:pStyle w:val="ListBullet"/>
        <w:numPr>
          <w:ilvl w:val="0"/>
          <w:numId w:val="34"/>
        </w:numPr>
      </w:pPr>
      <w:r w:rsidRPr="001A2F85">
        <w:t>Irish Travellers.</w:t>
      </w:r>
      <w:r w:rsidRPr="001A2F85">
        <w:rPr>
          <w:rStyle w:val="FootnoteReference"/>
        </w:rPr>
        <w:footnoteReference w:id="59"/>
      </w:r>
    </w:p>
    <w:p w14:paraId="16EEC95F" w14:textId="77777777" w:rsidR="00090683" w:rsidRPr="001A2F85" w:rsidRDefault="00090683" w:rsidP="00090683">
      <w:pPr>
        <w:pStyle w:val="Heading9"/>
      </w:pPr>
      <w:r w:rsidRPr="001A2F85">
        <w:t>Other initiatives</w:t>
      </w:r>
    </w:p>
    <w:p w14:paraId="61AFF37D" w14:textId="77777777" w:rsidR="00090683" w:rsidRPr="001A2F85" w:rsidRDefault="00090683" w:rsidP="00090683">
      <w:pPr>
        <w:pStyle w:val="BodyText"/>
      </w:pPr>
      <w:r w:rsidRPr="001A2F85">
        <w:t xml:space="preserve">Irish HE institutions run their own ‘access programs’ which may involve pre-entry, admissions or in-course activities (Keane 2013), however these are not formally regulated or required, and are only referred to twice throughout the </w:t>
      </w:r>
      <w:r w:rsidRPr="001A2F85">
        <w:rPr>
          <w:i/>
        </w:rPr>
        <w:t>National Plan</w:t>
      </w:r>
      <w:r w:rsidRPr="001A2F85">
        <w:t>. This may be in line with the plan’s focus on ‘mainstreaming’ the delivery of access equity throughout and across institutions (see Goal 1).</w:t>
      </w:r>
    </w:p>
    <w:p w14:paraId="361CE22B" w14:textId="77777777" w:rsidR="00090683" w:rsidRPr="001A2F85" w:rsidRDefault="00090683" w:rsidP="00090683">
      <w:pPr>
        <w:pStyle w:val="BodyText"/>
      </w:pPr>
      <w:r w:rsidRPr="001A2F85">
        <w:t>However there are a number of other initiatives intended to promote collaboration and widen participation, including programs that promote and/or provide non-traditional entry pathways, in line with Goal 4, above.</w:t>
      </w:r>
    </w:p>
    <w:p w14:paraId="0D1D6AB5" w14:textId="77777777" w:rsidR="00090683" w:rsidRPr="001A2F85" w:rsidRDefault="00090683" w:rsidP="00090683">
      <w:pPr>
        <w:pStyle w:val="BodyText"/>
      </w:pPr>
      <w:r w:rsidRPr="001A2F85">
        <w:t xml:space="preserve">In 2013, a system of four regional clusters was implemented for Ireland’s higher education bodies—universities and further education colleges—with the aim of promoting collaboration, improving quality and developing stronger and clearer pathways between organisations. The </w:t>
      </w:r>
      <w:r w:rsidRPr="001A2F85">
        <w:rPr>
          <w:i/>
        </w:rPr>
        <w:t>National Plan</w:t>
      </w:r>
      <w:r w:rsidRPr="001A2F85">
        <w:t xml:space="preserve"> calls for ‘deeper collaboration’ between universities and colleges, including the co-development of HE access and foundation courses (HEA 2015).</w:t>
      </w:r>
    </w:p>
    <w:p w14:paraId="3C93687D" w14:textId="77777777" w:rsidR="00090683" w:rsidRPr="001A2F85" w:rsidRDefault="00090683" w:rsidP="00090683">
      <w:pPr>
        <w:pStyle w:val="BodyText"/>
      </w:pPr>
      <w:r w:rsidRPr="001A2F85">
        <w:t>The Higher Education Access Route (HEAR) is an admissions scheme, through which a certain number of places are reserved for students from socioeconomically disadvantaged backgrounds at reduced grade points’ levels (Keane 2013). The scheme is administered by individual institutions, although students still apply through the traditional Central Admissions Office process, and can apply for HEAR during that process. Financial and other support services are generally also provided for students enrolled through the HEAR. A similar scheme is in place for students with disability.</w:t>
      </w:r>
    </w:p>
    <w:p w14:paraId="7E1C48DD" w14:textId="77777777" w:rsidR="00090683" w:rsidRPr="001A2F85" w:rsidRDefault="00090683" w:rsidP="00090683">
      <w:pPr>
        <w:pStyle w:val="Heading8"/>
      </w:pPr>
      <w:bookmarkStart w:id="729" w:name="_Toc466657181"/>
      <w:r w:rsidRPr="001A2F85">
        <w:t>United States of America</w:t>
      </w:r>
      <w:bookmarkEnd w:id="729"/>
    </w:p>
    <w:p w14:paraId="1E24551A" w14:textId="77777777" w:rsidR="00090683" w:rsidRPr="001A2F85" w:rsidRDefault="00090683" w:rsidP="00090683">
      <w:pPr>
        <w:pStyle w:val="BodyText"/>
      </w:pPr>
      <w:r w:rsidRPr="001A2F85">
        <w:t>The higher education system in the United States is substantially larger than the others examined in this report. In 2012-13 there were approximately 7,253 accredited postsecondary institutions, however many of these are vocational colleges, with approximately 4,726 ‘degree-granting’ institutions (NCES 2016). Accredited institutions are those eligible for Title IV student aid programs as per the Higher Education Act 1965. Tuition fees vary according to courses and institutions, and there are a range of grants and loans available to students, with some available only to students with demonstrated financial need. Loan repayment begins when a student leaves college or drops below less than half-time enrolment, with a grace period of six months often available.</w:t>
      </w:r>
    </w:p>
    <w:p w14:paraId="72E18203" w14:textId="77777777" w:rsidR="00090683" w:rsidRPr="001A2F85" w:rsidRDefault="00090683" w:rsidP="00090683">
      <w:pPr>
        <w:pStyle w:val="BodyText"/>
      </w:pPr>
      <w:r w:rsidRPr="001A2F85">
        <w:t>The United States has a long-standing policy approach to improving equity in higher education. A number of the Federal Government’s equity programs were established through the Higher Education Act 1965 and continue today, and the Higher Education Act (now the Higher Education Opportunity Act, HEOA) was amended and reauthorised most recently in 2008. The Federal Government’s current programs, administered by the Department of Education, address the access, participation, and attainment stages of the student life cycle. Many states and institutions also administer programs intended to widen participation in higher education. An overview of a number of the Department of Education’s programs is provided below. These programs are separate to the student financial aid program.</w:t>
      </w:r>
    </w:p>
    <w:p w14:paraId="50459670" w14:textId="77777777" w:rsidR="00090683" w:rsidRPr="001A2F85" w:rsidRDefault="00090683" w:rsidP="00090683">
      <w:pPr>
        <w:pStyle w:val="Heading9"/>
      </w:pPr>
      <w:r w:rsidRPr="001A2F85">
        <w:t>Federal funding for equity activities</w:t>
      </w:r>
    </w:p>
    <w:p w14:paraId="18A92F84" w14:textId="77777777" w:rsidR="00090683" w:rsidRPr="001A2F85" w:rsidRDefault="00090683" w:rsidP="00090683">
      <w:pPr>
        <w:pStyle w:val="BodyText"/>
      </w:pPr>
      <w:r w:rsidRPr="001A2F85">
        <w:t xml:space="preserve">Federal higher education equity programs in the United States are administered by the Office of Postsecondary Education (OPE) in the Department of Education. OPE has three divisions: </w:t>
      </w:r>
    </w:p>
    <w:p w14:paraId="2D9092DA" w14:textId="77777777" w:rsidR="00090683" w:rsidRPr="001A2F85" w:rsidRDefault="00090683" w:rsidP="00090683">
      <w:pPr>
        <w:pStyle w:val="ListBullet"/>
        <w:numPr>
          <w:ilvl w:val="0"/>
          <w:numId w:val="34"/>
        </w:numPr>
      </w:pPr>
      <w:r w:rsidRPr="001A2F85">
        <w:t>Higher Education Program</w:t>
      </w:r>
    </w:p>
    <w:p w14:paraId="1E5E7C01" w14:textId="77777777" w:rsidR="00090683" w:rsidRPr="001A2F85" w:rsidRDefault="00090683" w:rsidP="00090683">
      <w:pPr>
        <w:pStyle w:val="ListBullet"/>
        <w:numPr>
          <w:ilvl w:val="0"/>
          <w:numId w:val="34"/>
        </w:numPr>
      </w:pPr>
      <w:r w:rsidRPr="001A2F85">
        <w:t>Office of International and Foreign Education</w:t>
      </w:r>
    </w:p>
    <w:p w14:paraId="29C7FECB" w14:textId="77777777" w:rsidR="00090683" w:rsidRPr="001A2F85" w:rsidRDefault="00090683" w:rsidP="00090683">
      <w:pPr>
        <w:pStyle w:val="ListBullet"/>
        <w:numPr>
          <w:ilvl w:val="0"/>
          <w:numId w:val="34"/>
        </w:numPr>
      </w:pPr>
      <w:r w:rsidRPr="001A2F85">
        <w:t>Office of Policy, Planning and Innovation.</w:t>
      </w:r>
    </w:p>
    <w:p w14:paraId="78866FB5" w14:textId="0168E2A5" w:rsidR="00090683" w:rsidRPr="001A2F85" w:rsidRDefault="00090683" w:rsidP="00090683">
      <w:pPr>
        <w:pStyle w:val="BodyText"/>
      </w:pPr>
      <w:r w:rsidRPr="001A2F85">
        <w:t xml:space="preserve">Equity programs are managed through the Higher Education Program, which has an Institutional Service branch and a Student Service branch. The Institutional Service branch ‘administers grant programs designed to improve academic quality, institutional management and fiscal stability, and strengthen physical plants and endowments of institutions of higher education, with an emphasis on institutions that </w:t>
      </w:r>
      <w:r w:rsidR="00BD0846" w:rsidRPr="001A2F85">
        <w:t>enrol</w:t>
      </w:r>
      <w:r w:rsidRPr="001A2F85">
        <w:t xml:space="preserve"> large proportions of minority and financially disadvantaged students’ (OPE 2016a). There is a wide range of grants available—there are 32 current programs listed on the branch website—including grants for institutions with 50 per cent or more students receiving Federal student aid and for institutions with a large percentage of students from minority groups (for example, designated Historically Black Colleges and Universities, Predominantly Black Institutions, and Hispanic-Serving Institutions) (OPE 2016b).</w:t>
      </w:r>
    </w:p>
    <w:p w14:paraId="58787B46" w14:textId="77777777" w:rsidR="00090683" w:rsidRDefault="00090683" w:rsidP="00090683">
      <w:pPr>
        <w:pStyle w:val="BodyText"/>
      </w:pPr>
      <w:r w:rsidRPr="001A2F85">
        <w:t xml:space="preserve">The Student Service branch of OPE administers grant programs that provide direct assistance to students from disadvantaged backgrounds—specifically, low-income, first-generation students or students with disability—through all stages of the student life cycle (OPE 2016a). There are 15 current individual programs listed on the branch website, including two programs for graduate students. The largest umbrella program is the TRIO Program, with eight of the 15 programs. In the 2014 financial year, the total funding allocation for the TRIO Program was US$828,616,131 (this is equivalent to approximately AU$1.1 billion in August 2016) and 2,787 projects were undertaken. Grants for TRIO Programs are provided for five years, except those for the Training Program for Federal TRIO Programs Staff, which are for two years (OPE 2016d). The TRIO Programs are outlined in </w:t>
      </w:r>
      <w:r w:rsidRPr="00AD49C8">
        <w:t>Table B.2</w:t>
      </w:r>
      <w:r w:rsidRPr="001A2F85">
        <w:t>.</w:t>
      </w:r>
    </w:p>
    <w:p w14:paraId="211E0479" w14:textId="77777777" w:rsidR="00090683" w:rsidRDefault="00090683" w:rsidP="00090683">
      <w:pPr>
        <w:pStyle w:val="Caption"/>
        <w:spacing w:before="160"/>
        <w:ind w:left="-1753" w:firstLine="0"/>
      </w:pPr>
      <w:bookmarkStart w:id="730" w:name="_Ref466298833"/>
      <w:bookmarkStart w:id="731" w:name="_Toc466655781"/>
      <w:r>
        <w:rPr>
          <w:rStyle w:val="CaptionLabel"/>
        </w:rPr>
        <w:t>Table </w:t>
      </w:r>
      <w:r>
        <w:rPr>
          <w:rStyle w:val="CaptionLabel"/>
          <w:noProof/>
        </w:rPr>
        <w:t>B</w:t>
      </w:r>
      <w:r>
        <w:rPr>
          <w:rStyle w:val="CaptionLabel"/>
        </w:rPr>
        <w:t>.</w:t>
      </w:r>
      <w:r>
        <w:rPr>
          <w:rStyle w:val="CaptionLabel"/>
          <w:noProof/>
        </w:rPr>
        <w:t>2</w:t>
      </w:r>
      <w:bookmarkEnd w:id="730"/>
      <w:r>
        <w:tab/>
        <w:t>US TRIO programs</w:t>
      </w:r>
      <w:bookmarkEnd w:id="731"/>
    </w:p>
    <w:tbl>
      <w:tblPr>
        <w:tblW w:w="10375" w:type="dxa"/>
        <w:tblInd w:w="-2207" w:type="dxa"/>
        <w:tblLayout w:type="fixed"/>
        <w:tblCellMar>
          <w:left w:w="0" w:type="dxa"/>
          <w:bottom w:w="40" w:type="dxa"/>
          <w:right w:w="0" w:type="dxa"/>
        </w:tblCellMar>
        <w:tblLook w:val="0000" w:firstRow="0" w:lastRow="0" w:firstColumn="0" w:lastColumn="0" w:noHBand="0" w:noVBand="0"/>
      </w:tblPr>
      <w:tblGrid>
        <w:gridCol w:w="451"/>
        <w:gridCol w:w="1614"/>
        <w:gridCol w:w="1135"/>
        <w:gridCol w:w="4534"/>
        <w:gridCol w:w="1276"/>
        <w:gridCol w:w="1365"/>
      </w:tblGrid>
      <w:tr w:rsidR="00090683" w14:paraId="00C0B149" w14:textId="77777777" w:rsidTr="000B7E9A">
        <w:trPr>
          <w:cantSplit/>
          <w:tblHeader/>
        </w:trPr>
        <w:tc>
          <w:tcPr>
            <w:tcW w:w="995" w:type="pct"/>
            <w:gridSpan w:val="2"/>
            <w:shd w:val="clear" w:color="auto" w:fill="9D57A6"/>
            <w:tcMar>
              <w:left w:w="454" w:type="dxa"/>
              <w:bottom w:w="0" w:type="dxa"/>
            </w:tcMar>
          </w:tcPr>
          <w:p w14:paraId="179E59D8" w14:textId="77777777" w:rsidR="00090683" w:rsidRDefault="00090683" w:rsidP="000B7E9A">
            <w:pPr>
              <w:pStyle w:val="Tablecolumnheadings"/>
            </w:pPr>
            <w:r w:rsidRPr="001A2F85">
              <w:t>Program</w:t>
            </w:r>
          </w:p>
        </w:tc>
        <w:tc>
          <w:tcPr>
            <w:tcW w:w="547" w:type="pct"/>
            <w:shd w:val="clear" w:color="auto" w:fill="9D57A6"/>
            <w:tcMar>
              <w:bottom w:w="0" w:type="dxa"/>
            </w:tcMar>
          </w:tcPr>
          <w:p w14:paraId="30E97CAD" w14:textId="77777777" w:rsidR="00090683" w:rsidRDefault="00090683" w:rsidP="000B7E9A">
            <w:pPr>
              <w:pStyle w:val="Tablecolumnheadings"/>
            </w:pPr>
            <w:r w:rsidRPr="001A2F85">
              <w:t>Year established</w:t>
            </w:r>
          </w:p>
        </w:tc>
        <w:tc>
          <w:tcPr>
            <w:tcW w:w="2185" w:type="pct"/>
            <w:shd w:val="clear" w:color="auto" w:fill="9D57A6"/>
            <w:tcMar>
              <w:bottom w:w="0" w:type="dxa"/>
            </w:tcMar>
          </w:tcPr>
          <w:p w14:paraId="0860BE16" w14:textId="77777777" w:rsidR="00090683" w:rsidRDefault="00090683" w:rsidP="000B7E9A">
            <w:pPr>
              <w:pStyle w:val="Tablecolumnheadings"/>
            </w:pPr>
            <w:r w:rsidRPr="001A2F85">
              <w:t>Overview</w:t>
            </w:r>
          </w:p>
        </w:tc>
        <w:tc>
          <w:tcPr>
            <w:tcW w:w="615" w:type="pct"/>
            <w:shd w:val="clear" w:color="auto" w:fill="9D57A6"/>
            <w:tcMar>
              <w:bottom w:w="0" w:type="dxa"/>
            </w:tcMar>
          </w:tcPr>
          <w:p w14:paraId="0268FF2E" w14:textId="77777777" w:rsidR="00090683" w:rsidRDefault="00090683" w:rsidP="000B7E9A">
            <w:pPr>
              <w:pStyle w:val="Tablecolumnheadings"/>
            </w:pPr>
            <w:r w:rsidRPr="001A2F85">
              <w:t>Average grant amount</w:t>
            </w:r>
          </w:p>
        </w:tc>
        <w:tc>
          <w:tcPr>
            <w:tcW w:w="658" w:type="pct"/>
            <w:shd w:val="clear" w:color="auto" w:fill="9D57A6"/>
            <w:tcMar>
              <w:bottom w:w="0" w:type="dxa"/>
            </w:tcMar>
          </w:tcPr>
          <w:p w14:paraId="11122922" w14:textId="77777777" w:rsidR="00090683" w:rsidRDefault="00090683" w:rsidP="000B7E9A">
            <w:pPr>
              <w:pStyle w:val="Tablecolumnheadings"/>
            </w:pPr>
            <w:r w:rsidRPr="001A2F85">
              <w:t>Stage of student life cycle</w:t>
            </w:r>
          </w:p>
        </w:tc>
      </w:tr>
      <w:tr w:rsidR="00090683" w14:paraId="4D7B8961" w14:textId="77777777" w:rsidTr="000B7E9A">
        <w:tblPrEx>
          <w:tblBorders>
            <w:bottom w:val="single" w:sz="4" w:space="0" w:color="646464"/>
            <w:insideH w:val="single" w:sz="4" w:space="0" w:color="646464"/>
          </w:tblBorders>
        </w:tblPrEx>
        <w:trPr>
          <w:gridBefore w:val="1"/>
          <w:wBefore w:w="217" w:type="pct"/>
          <w:cantSplit/>
        </w:trPr>
        <w:tc>
          <w:tcPr>
            <w:tcW w:w="778" w:type="pct"/>
            <w:tcBorders>
              <w:top w:val="nil"/>
            </w:tcBorders>
          </w:tcPr>
          <w:p w14:paraId="7B5DDCE9" w14:textId="77777777" w:rsidR="00090683" w:rsidRDefault="00090683" w:rsidP="000B7E9A">
            <w:pPr>
              <w:pStyle w:val="Tabletext"/>
            </w:pPr>
            <w:r w:rsidRPr="001A2F85">
              <w:t>Educational Opportunity Centers</w:t>
            </w:r>
          </w:p>
        </w:tc>
        <w:tc>
          <w:tcPr>
            <w:tcW w:w="547" w:type="pct"/>
            <w:tcBorders>
              <w:top w:val="nil"/>
            </w:tcBorders>
          </w:tcPr>
          <w:p w14:paraId="5AF0DAF8" w14:textId="77777777" w:rsidR="00090683" w:rsidRDefault="00090683" w:rsidP="000B7E9A">
            <w:pPr>
              <w:pStyle w:val="Tabletext"/>
            </w:pPr>
            <w:r w:rsidRPr="001A2F85">
              <w:t>1972</w:t>
            </w:r>
          </w:p>
        </w:tc>
        <w:tc>
          <w:tcPr>
            <w:tcW w:w="2185" w:type="pct"/>
            <w:tcBorders>
              <w:top w:val="nil"/>
            </w:tcBorders>
          </w:tcPr>
          <w:p w14:paraId="650D38EE" w14:textId="77777777" w:rsidR="00090683" w:rsidRDefault="00090683" w:rsidP="000B7E9A">
            <w:pPr>
              <w:pStyle w:val="Tabletext"/>
            </w:pPr>
            <w:r w:rsidRPr="001A2F85">
              <w:t>This program ‘provides counselling and information on college admissions to qualified adults who want to enter or continue a program of postsecondary education’.</w:t>
            </w:r>
          </w:p>
        </w:tc>
        <w:tc>
          <w:tcPr>
            <w:tcW w:w="615" w:type="pct"/>
            <w:tcBorders>
              <w:top w:val="nil"/>
            </w:tcBorders>
          </w:tcPr>
          <w:p w14:paraId="474DDE53" w14:textId="77777777" w:rsidR="00090683" w:rsidRDefault="00090683" w:rsidP="000B7E9A">
            <w:pPr>
              <w:pStyle w:val="Tabletext"/>
            </w:pPr>
            <w:r w:rsidRPr="001A2F85">
              <w:t>US$370,458</w:t>
            </w:r>
          </w:p>
        </w:tc>
        <w:tc>
          <w:tcPr>
            <w:tcW w:w="658" w:type="pct"/>
            <w:tcBorders>
              <w:top w:val="nil"/>
            </w:tcBorders>
          </w:tcPr>
          <w:p w14:paraId="1156E428" w14:textId="77777777" w:rsidR="00090683" w:rsidRDefault="00090683" w:rsidP="000B7E9A">
            <w:pPr>
              <w:pStyle w:val="Tabletext"/>
            </w:pPr>
            <w:r w:rsidRPr="001A2F85">
              <w:t>Access</w:t>
            </w:r>
          </w:p>
        </w:tc>
      </w:tr>
      <w:tr w:rsidR="00090683" w14:paraId="73748563" w14:textId="77777777" w:rsidTr="000B7E9A">
        <w:tblPrEx>
          <w:tblBorders>
            <w:bottom w:val="single" w:sz="4" w:space="0" w:color="646464"/>
            <w:insideH w:val="single" w:sz="4" w:space="0" w:color="646464"/>
          </w:tblBorders>
        </w:tblPrEx>
        <w:trPr>
          <w:gridBefore w:val="1"/>
          <w:wBefore w:w="217" w:type="pct"/>
          <w:cantSplit/>
        </w:trPr>
        <w:tc>
          <w:tcPr>
            <w:tcW w:w="778" w:type="pct"/>
          </w:tcPr>
          <w:p w14:paraId="17522695" w14:textId="77777777" w:rsidR="00090683" w:rsidRDefault="00090683" w:rsidP="000B7E9A">
            <w:pPr>
              <w:pStyle w:val="Tabletext"/>
            </w:pPr>
            <w:r w:rsidRPr="001A2F85">
              <w:t>Ronald E. McNair Postbaccalaureate Achievement</w:t>
            </w:r>
          </w:p>
        </w:tc>
        <w:tc>
          <w:tcPr>
            <w:tcW w:w="547" w:type="pct"/>
          </w:tcPr>
          <w:p w14:paraId="459EDB86" w14:textId="77777777" w:rsidR="00090683" w:rsidRDefault="00090683" w:rsidP="000B7E9A">
            <w:pPr>
              <w:pStyle w:val="Tabletext"/>
            </w:pPr>
            <w:r w:rsidRPr="001A2F85">
              <w:t>1986</w:t>
            </w:r>
          </w:p>
        </w:tc>
        <w:tc>
          <w:tcPr>
            <w:tcW w:w="2185" w:type="pct"/>
          </w:tcPr>
          <w:p w14:paraId="7A5882C3" w14:textId="77777777" w:rsidR="00090683" w:rsidRDefault="00090683" w:rsidP="000B7E9A">
            <w:pPr>
              <w:pStyle w:val="Tabletext"/>
            </w:pPr>
            <w:r w:rsidRPr="001A2F85">
              <w:t>Through this program, grants are awarded to higher education institutions to prepare eligible participants for PhD studies. To be eligible, students must be from a disadvantaged background and have demonstrated strong academic potential.</w:t>
            </w:r>
          </w:p>
        </w:tc>
        <w:tc>
          <w:tcPr>
            <w:tcW w:w="615" w:type="pct"/>
          </w:tcPr>
          <w:p w14:paraId="309D5FF0" w14:textId="77777777" w:rsidR="00090683" w:rsidRDefault="00090683" w:rsidP="000B7E9A">
            <w:pPr>
              <w:pStyle w:val="Tabletext"/>
            </w:pPr>
            <w:r w:rsidRPr="001A2F85">
              <w:t>US$220,000</w:t>
            </w:r>
          </w:p>
        </w:tc>
        <w:tc>
          <w:tcPr>
            <w:tcW w:w="658" w:type="pct"/>
          </w:tcPr>
          <w:p w14:paraId="20763FA6" w14:textId="77777777" w:rsidR="00090683" w:rsidRDefault="00090683" w:rsidP="000B7E9A">
            <w:pPr>
              <w:pStyle w:val="Tabletext"/>
            </w:pPr>
            <w:r w:rsidRPr="001A2F85">
              <w:t>Transition out</w:t>
            </w:r>
          </w:p>
        </w:tc>
      </w:tr>
      <w:tr w:rsidR="00090683" w14:paraId="700C5743" w14:textId="77777777" w:rsidTr="000B7E9A">
        <w:tblPrEx>
          <w:tblBorders>
            <w:bottom w:val="single" w:sz="4" w:space="0" w:color="646464"/>
            <w:insideH w:val="single" w:sz="4" w:space="0" w:color="646464"/>
          </w:tblBorders>
        </w:tblPrEx>
        <w:trPr>
          <w:gridBefore w:val="1"/>
          <w:wBefore w:w="217" w:type="pct"/>
          <w:cantSplit/>
        </w:trPr>
        <w:tc>
          <w:tcPr>
            <w:tcW w:w="778" w:type="pct"/>
          </w:tcPr>
          <w:p w14:paraId="582E2F1C" w14:textId="77777777" w:rsidR="00090683" w:rsidRDefault="00090683" w:rsidP="000B7E9A">
            <w:pPr>
              <w:pStyle w:val="Tabletext"/>
            </w:pPr>
            <w:r w:rsidRPr="001A2F85">
              <w:t>Student Support Services</w:t>
            </w:r>
          </w:p>
        </w:tc>
        <w:tc>
          <w:tcPr>
            <w:tcW w:w="547" w:type="pct"/>
          </w:tcPr>
          <w:p w14:paraId="7ED220A8" w14:textId="77777777" w:rsidR="00090683" w:rsidRDefault="00090683" w:rsidP="000B7E9A">
            <w:pPr>
              <w:pStyle w:val="Tabletext"/>
            </w:pPr>
            <w:r w:rsidRPr="001A2F85">
              <w:t>1968</w:t>
            </w:r>
          </w:p>
        </w:tc>
        <w:tc>
          <w:tcPr>
            <w:tcW w:w="2185" w:type="pct"/>
          </w:tcPr>
          <w:p w14:paraId="5E3BC4EA" w14:textId="77777777" w:rsidR="00090683" w:rsidRDefault="00090683" w:rsidP="000B7E9A">
            <w:pPr>
              <w:pStyle w:val="Tabletext"/>
            </w:pPr>
            <w:r w:rsidRPr="001A2F85">
              <w:t>This program provides grants to institutions to provide services such as academic tutoring, advice and assistance in postsecondary course selection and in exploring and applying for financial aid, counselling, and mentoring to higher education students.</w:t>
            </w:r>
          </w:p>
        </w:tc>
        <w:tc>
          <w:tcPr>
            <w:tcW w:w="615" w:type="pct"/>
          </w:tcPr>
          <w:p w14:paraId="35FE36D3" w14:textId="77777777" w:rsidR="00090683" w:rsidRDefault="00090683" w:rsidP="000B7E9A">
            <w:pPr>
              <w:pStyle w:val="Tabletext"/>
            </w:pPr>
            <w:r w:rsidRPr="001A2F85">
              <w:t>US$290,949</w:t>
            </w:r>
          </w:p>
        </w:tc>
        <w:tc>
          <w:tcPr>
            <w:tcW w:w="658" w:type="pct"/>
          </w:tcPr>
          <w:p w14:paraId="748A131E" w14:textId="77777777" w:rsidR="00090683" w:rsidRDefault="00090683" w:rsidP="000B7E9A">
            <w:pPr>
              <w:pStyle w:val="Tabletext"/>
            </w:pPr>
            <w:r w:rsidRPr="001A2F85">
              <w:t>Participation</w:t>
            </w:r>
          </w:p>
        </w:tc>
      </w:tr>
      <w:tr w:rsidR="00090683" w14:paraId="107D7C5A" w14:textId="77777777" w:rsidTr="000B7E9A">
        <w:tblPrEx>
          <w:tblBorders>
            <w:bottom w:val="single" w:sz="4" w:space="0" w:color="646464"/>
            <w:insideH w:val="single" w:sz="4" w:space="0" w:color="646464"/>
          </w:tblBorders>
        </w:tblPrEx>
        <w:trPr>
          <w:gridBefore w:val="1"/>
          <w:wBefore w:w="217" w:type="pct"/>
          <w:cantSplit/>
        </w:trPr>
        <w:tc>
          <w:tcPr>
            <w:tcW w:w="778" w:type="pct"/>
          </w:tcPr>
          <w:p w14:paraId="247C9ECD" w14:textId="77777777" w:rsidR="00090683" w:rsidRDefault="00090683" w:rsidP="000B7E9A">
            <w:pPr>
              <w:pStyle w:val="Tabletext"/>
            </w:pPr>
            <w:r w:rsidRPr="001A2F85">
              <w:t>Talent Search</w:t>
            </w:r>
          </w:p>
        </w:tc>
        <w:tc>
          <w:tcPr>
            <w:tcW w:w="547" w:type="pct"/>
          </w:tcPr>
          <w:p w14:paraId="5BE4E2E1" w14:textId="77777777" w:rsidR="00090683" w:rsidRDefault="00090683" w:rsidP="000B7E9A">
            <w:pPr>
              <w:pStyle w:val="Tabletext"/>
            </w:pPr>
            <w:r w:rsidRPr="001A2F85">
              <w:t>1965</w:t>
            </w:r>
          </w:p>
        </w:tc>
        <w:tc>
          <w:tcPr>
            <w:tcW w:w="2185" w:type="pct"/>
          </w:tcPr>
          <w:p w14:paraId="76E0CBB8" w14:textId="77777777" w:rsidR="00090683" w:rsidRDefault="00090683" w:rsidP="000B7E9A">
            <w:pPr>
              <w:pStyle w:val="Tabletext"/>
            </w:pPr>
            <w:r w:rsidRPr="001A2F85">
              <w:t>The Talent Search program identifies individual high school students who have the potential to succeed in higher education, and provides them with a range of support and preparatory services, including academic, career and financial counselling.</w:t>
            </w:r>
          </w:p>
        </w:tc>
        <w:tc>
          <w:tcPr>
            <w:tcW w:w="615" w:type="pct"/>
          </w:tcPr>
          <w:p w14:paraId="28F446F5" w14:textId="77777777" w:rsidR="00090683" w:rsidRDefault="00090683" w:rsidP="000B7E9A">
            <w:pPr>
              <w:pStyle w:val="Tabletext"/>
            </w:pPr>
            <w:r w:rsidRPr="001A2F85">
              <w:t>Maximum of US$230,000 in 2011</w:t>
            </w:r>
          </w:p>
        </w:tc>
        <w:tc>
          <w:tcPr>
            <w:tcW w:w="658" w:type="pct"/>
          </w:tcPr>
          <w:p w14:paraId="3E52FB3F" w14:textId="77777777" w:rsidR="00090683" w:rsidRDefault="00090683" w:rsidP="000B7E9A">
            <w:pPr>
              <w:pStyle w:val="Tabletext"/>
            </w:pPr>
            <w:r w:rsidRPr="001A2F85">
              <w:t>Pre-access and access</w:t>
            </w:r>
          </w:p>
        </w:tc>
      </w:tr>
      <w:tr w:rsidR="00090683" w14:paraId="72B9BADA" w14:textId="77777777" w:rsidTr="000B7E9A">
        <w:tblPrEx>
          <w:tblBorders>
            <w:bottom w:val="single" w:sz="4" w:space="0" w:color="646464"/>
            <w:insideH w:val="single" w:sz="4" w:space="0" w:color="646464"/>
          </w:tblBorders>
        </w:tblPrEx>
        <w:trPr>
          <w:gridBefore w:val="1"/>
          <w:wBefore w:w="217" w:type="pct"/>
          <w:cantSplit/>
        </w:trPr>
        <w:tc>
          <w:tcPr>
            <w:tcW w:w="778" w:type="pct"/>
          </w:tcPr>
          <w:p w14:paraId="391841B7" w14:textId="77777777" w:rsidR="00090683" w:rsidRDefault="00090683" w:rsidP="000B7E9A">
            <w:pPr>
              <w:pStyle w:val="Tabletext"/>
            </w:pPr>
            <w:r w:rsidRPr="001A2F85">
              <w:t>Training Program for Federal TRIO Programs Staff</w:t>
            </w:r>
          </w:p>
        </w:tc>
        <w:tc>
          <w:tcPr>
            <w:tcW w:w="547" w:type="pct"/>
          </w:tcPr>
          <w:p w14:paraId="729DEC15" w14:textId="77777777" w:rsidR="00090683" w:rsidRDefault="00090683" w:rsidP="000B7E9A">
            <w:pPr>
              <w:pStyle w:val="Tabletext"/>
            </w:pPr>
            <w:r w:rsidRPr="001A2F85">
              <w:t>1976</w:t>
            </w:r>
          </w:p>
        </w:tc>
        <w:tc>
          <w:tcPr>
            <w:tcW w:w="2185" w:type="pct"/>
          </w:tcPr>
          <w:p w14:paraId="2F76E355" w14:textId="77777777" w:rsidR="00090683" w:rsidRDefault="00090683" w:rsidP="000B7E9A">
            <w:pPr>
              <w:pStyle w:val="Tabletext"/>
            </w:pPr>
            <w:r w:rsidRPr="001A2F85">
              <w:t>This program provides grants to higher education institutions and other public and private non-profit organisations to support training for staff employed through the TRIO Programs.</w:t>
            </w:r>
          </w:p>
        </w:tc>
        <w:tc>
          <w:tcPr>
            <w:tcW w:w="615" w:type="pct"/>
          </w:tcPr>
          <w:p w14:paraId="7EFBF789" w14:textId="77777777" w:rsidR="00090683" w:rsidRDefault="00090683" w:rsidP="000B7E9A">
            <w:pPr>
              <w:pStyle w:val="Tabletext"/>
            </w:pPr>
            <w:r w:rsidRPr="001A2F85">
              <w:t>US$348,250</w:t>
            </w:r>
          </w:p>
        </w:tc>
        <w:tc>
          <w:tcPr>
            <w:tcW w:w="658" w:type="pct"/>
          </w:tcPr>
          <w:p w14:paraId="235443CC" w14:textId="77777777" w:rsidR="00090683" w:rsidRDefault="00090683" w:rsidP="000B7E9A">
            <w:pPr>
              <w:pStyle w:val="Tabletext"/>
            </w:pPr>
            <w:r w:rsidRPr="001A2F85">
              <w:t>-</w:t>
            </w:r>
          </w:p>
        </w:tc>
      </w:tr>
      <w:tr w:rsidR="00090683" w14:paraId="5B1C2008" w14:textId="77777777" w:rsidTr="000B7E9A">
        <w:tblPrEx>
          <w:tblBorders>
            <w:bottom w:val="single" w:sz="4" w:space="0" w:color="646464"/>
            <w:insideH w:val="single" w:sz="4" w:space="0" w:color="646464"/>
          </w:tblBorders>
        </w:tblPrEx>
        <w:trPr>
          <w:gridBefore w:val="1"/>
          <w:wBefore w:w="217" w:type="pct"/>
          <w:cantSplit/>
        </w:trPr>
        <w:tc>
          <w:tcPr>
            <w:tcW w:w="778" w:type="pct"/>
          </w:tcPr>
          <w:p w14:paraId="5A4243EA" w14:textId="77777777" w:rsidR="00090683" w:rsidRDefault="00090683" w:rsidP="000B7E9A">
            <w:pPr>
              <w:pStyle w:val="Tabletext"/>
            </w:pPr>
            <w:r w:rsidRPr="001A2F85">
              <w:t>Upward Bound</w:t>
            </w:r>
          </w:p>
        </w:tc>
        <w:tc>
          <w:tcPr>
            <w:tcW w:w="547" w:type="pct"/>
          </w:tcPr>
          <w:p w14:paraId="3B3458A0" w14:textId="77777777" w:rsidR="00090683" w:rsidRDefault="00090683" w:rsidP="000B7E9A">
            <w:pPr>
              <w:pStyle w:val="Tabletext"/>
            </w:pPr>
            <w:r w:rsidRPr="001A2F85">
              <w:t>1965</w:t>
            </w:r>
          </w:p>
        </w:tc>
        <w:tc>
          <w:tcPr>
            <w:tcW w:w="2185" w:type="pct"/>
          </w:tcPr>
          <w:p w14:paraId="6238CC30" w14:textId="77777777" w:rsidR="00090683" w:rsidRDefault="00090683" w:rsidP="000B7E9A">
            <w:pPr>
              <w:pStyle w:val="Tabletext"/>
            </w:pPr>
            <w:r w:rsidRPr="001A2F85">
              <w:t>Upward Bound projects provide intensive support to low-income or first-in-family students, including academic instruction in a range of core subjects, information on financial aid programs, and assistance with access to higher education or alternative education programs.</w:t>
            </w:r>
          </w:p>
        </w:tc>
        <w:tc>
          <w:tcPr>
            <w:tcW w:w="615" w:type="pct"/>
          </w:tcPr>
          <w:p w14:paraId="37FE3404" w14:textId="77777777" w:rsidR="00090683" w:rsidRDefault="00090683" w:rsidP="000B7E9A">
            <w:pPr>
              <w:pStyle w:val="Tabletext"/>
            </w:pPr>
            <w:r w:rsidRPr="001A2F85">
              <w:t>US$321,079</w:t>
            </w:r>
          </w:p>
        </w:tc>
        <w:tc>
          <w:tcPr>
            <w:tcW w:w="658" w:type="pct"/>
          </w:tcPr>
          <w:p w14:paraId="2E1E4A7B" w14:textId="77777777" w:rsidR="00090683" w:rsidRDefault="00090683" w:rsidP="000B7E9A">
            <w:pPr>
              <w:pStyle w:val="Tabletext"/>
            </w:pPr>
            <w:r w:rsidRPr="001A2F85">
              <w:t>Pre-access and access</w:t>
            </w:r>
          </w:p>
        </w:tc>
      </w:tr>
      <w:tr w:rsidR="00090683" w14:paraId="0464F9B6" w14:textId="77777777" w:rsidTr="000B7E9A">
        <w:tblPrEx>
          <w:tblBorders>
            <w:bottom w:val="single" w:sz="4" w:space="0" w:color="646464"/>
            <w:insideH w:val="single" w:sz="4" w:space="0" w:color="646464"/>
          </w:tblBorders>
        </w:tblPrEx>
        <w:trPr>
          <w:gridBefore w:val="1"/>
          <w:wBefore w:w="217" w:type="pct"/>
          <w:cantSplit/>
        </w:trPr>
        <w:tc>
          <w:tcPr>
            <w:tcW w:w="778" w:type="pct"/>
          </w:tcPr>
          <w:p w14:paraId="6105BA75" w14:textId="77777777" w:rsidR="00090683" w:rsidRDefault="00090683" w:rsidP="000B7E9A">
            <w:pPr>
              <w:pStyle w:val="Tabletext"/>
            </w:pPr>
            <w:r w:rsidRPr="001A2F85">
              <w:t>Upward Bound Math-Science</w:t>
            </w:r>
          </w:p>
        </w:tc>
        <w:tc>
          <w:tcPr>
            <w:tcW w:w="547" w:type="pct"/>
          </w:tcPr>
          <w:p w14:paraId="33CEF565" w14:textId="77777777" w:rsidR="00090683" w:rsidRDefault="00090683" w:rsidP="000B7E9A">
            <w:pPr>
              <w:pStyle w:val="Tabletext"/>
            </w:pPr>
            <w:r w:rsidRPr="001A2F85">
              <w:t>1990</w:t>
            </w:r>
          </w:p>
        </w:tc>
        <w:tc>
          <w:tcPr>
            <w:tcW w:w="2185" w:type="pct"/>
          </w:tcPr>
          <w:p w14:paraId="25A8E3D5" w14:textId="77777777" w:rsidR="00090683" w:rsidRDefault="00090683" w:rsidP="000B7E9A">
            <w:pPr>
              <w:pStyle w:val="Tabletext"/>
            </w:pPr>
            <w:r w:rsidRPr="001A2F85">
              <w:t xml:space="preserve">This program is a form of Upward Bound ‘designed to strengthen the math and science skills of participating students’. </w:t>
            </w:r>
          </w:p>
        </w:tc>
        <w:tc>
          <w:tcPr>
            <w:tcW w:w="615" w:type="pct"/>
          </w:tcPr>
          <w:p w14:paraId="5B39286F" w14:textId="77777777" w:rsidR="00090683" w:rsidRDefault="00090683" w:rsidP="000B7E9A">
            <w:pPr>
              <w:pStyle w:val="Tabletext"/>
            </w:pPr>
            <w:r w:rsidRPr="001A2F85">
              <w:t>US$258,749</w:t>
            </w:r>
          </w:p>
        </w:tc>
        <w:tc>
          <w:tcPr>
            <w:tcW w:w="658" w:type="pct"/>
          </w:tcPr>
          <w:p w14:paraId="3AD12429" w14:textId="77777777" w:rsidR="00090683" w:rsidRDefault="00090683" w:rsidP="000B7E9A">
            <w:pPr>
              <w:pStyle w:val="Tabletext"/>
            </w:pPr>
            <w:r w:rsidRPr="001A2F85">
              <w:t>Pre-access and access</w:t>
            </w:r>
          </w:p>
        </w:tc>
      </w:tr>
      <w:tr w:rsidR="00090683" w14:paraId="2F83E905" w14:textId="77777777" w:rsidTr="000B7E9A">
        <w:tblPrEx>
          <w:tblBorders>
            <w:bottom w:val="single" w:sz="4" w:space="0" w:color="646464"/>
            <w:insideH w:val="single" w:sz="4" w:space="0" w:color="646464"/>
          </w:tblBorders>
        </w:tblPrEx>
        <w:trPr>
          <w:gridBefore w:val="1"/>
          <w:wBefore w:w="217" w:type="pct"/>
          <w:cantSplit/>
        </w:trPr>
        <w:tc>
          <w:tcPr>
            <w:tcW w:w="778" w:type="pct"/>
          </w:tcPr>
          <w:p w14:paraId="30CC732A" w14:textId="77777777" w:rsidR="00090683" w:rsidRDefault="00090683" w:rsidP="000B7E9A">
            <w:pPr>
              <w:pStyle w:val="Tabletext"/>
            </w:pPr>
            <w:r w:rsidRPr="001A2F85">
              <w:t>Veterans Upward Bound</w:t>
            </w:r>
          </w:p>
        </w:tc>
        <w:tc>
          <w:tcPr>
            <w:tcW w:w="547" w:type="pct"/>
          </w:tcPr>
          <w:p w14:paraId="2E6AE701" w14:textId="77777777" w:rsidR="00090683" w:rsidRDefault="00090683" w:rsidP="000B7E9A">
            <w:pPr>
              <w:pStyle w:val="Tabletext"/>
            </w:pPr>
            <w:r w:rsidRPr="001A2F85">
              <w:t>1972</w:t>
            </w:r>
          </w:p>
        </w:tc>
        <w:tc>
          <w:tcPr>
            <w:tcW w:w="2185" w:type="pct"/>
          </w:tcPr>
          <w:p w14:paraId="562CD58C" w14:textId="77777777" w:rsidR="00090683" w:rsidRDefault="00090683" w:rsidP="000B7E9A">
            <w:pPr>
              <w:pStyle w:val="Tabletext"/>
            </w:pPr>
            <w:r w:rsidRPr="001A2F85">
              <w:t>Through the Veterans Upward Bound program, institutions provide a range of support for veterans with the intention of increasing their rates of enrolment and completion in higher education, including academic instruction in a range of core subjects.</w:t>
            </w:r>
          </w:p>
        </w:tc>
        <w:tc>
          <w:tcPr>
            <w:tcW w:w="615" w:type="pct"/>
          </w:tcPr>
          <w:p w14:paraId="110940F1" w14:textId="77777777" w:rsidR="00090683" w:rsidRDefault="00090683" w:rsidP="000B7E9A">
            <w:pPr>
              <w:pStyle w:val="Tabletext"/>
            </w:pPr>
            <w:r w:rsidRPr="001A2F85">
              <w:t>US$280,429</w:t>
            </w:r>
          </w:p>
        </w:tc>
        <w:tc>
          <w:tcPr>
            <w:tcW w:w="658" w:type="pct"/>
          </w:tcPr>
          <w:p w14:paraId="2B0D124D" w14:textId="77777777" w:rsidR="00090683" w:rsidRDefault="00090683" w:rsidP="000B7E9A">
            <w:pPr>
              <w:pStyle w:val="Tabletext"/>
            </w:pPr>
            <w:r w:rsidRPr="001A2F85">
              <w:t>Pre-access and access</w:t>
            </w:r>
          </w:p>
        </w:tc>
      </w:tr>
      <w:tr w:rsidR="00090683" w14:paraId="77925C2E" w14:textId="77777777" w:rsidTr="000B7E9A">
        <w:tblPrEx>
          <w:tblBorders>
            <w:bottom w:val="single" w:sz="4" w:space="0" w:color="646464"/>
            <w:insideH w:val="single" w:sz="4" w:space="0" w:color="646464"/>
          </w:tblBorders>
        </w:tblPrEx>
        <w:trPr>
          <w:gridBefore w:val="1"/>
          <w:wBefore w:w="217" w:type="pct"/>
          <w:cantSplit/>
        </w:trPr>
        <w:tc>
          <w:tcPr>
            <w:tcW w:w="4783" w:type="pct"/>
            <w:gridSpan w:val="5"/>
          </w:tcPr>
          <w:p w14:paraId="728F1E82" w14:textId="77777777" w:rsidR="00090683" w:rsidRDefault="00090683" w:rsidP="000B7E9A">
            <w:pPr>
              <w:pStyle w:val="Source"/>
            </w:pPr>
            <w:r>
              <w:t xml:space="preserve">Source: </w:t>
            </w:r>
            <w:r w:rsidRPr="001A2F85">
              <w:t>ope 2016d</w:t>
            </w:r>
          </w:p>
        </w:tc>
      </w:tr>
      <w:tr w:rsidR="00090683" w14:paraId="79852DD6" w14:textId="77777777" w:rsidTr="000B7E9A">
        <w:tblPrEx>
          <w:tblBorders>
            <w:bottom w:val="single" w:sz="4" w:space="0" w:color="646464"/>
            <w:insideH w:val="single" w:sz="4" w:space="0" w:color="646464"/>
          </w:tblBorders>
        </w:tblPrEx>
        <w:trPr>
          <w:gridBefore w:val="1"/>
          <w:wBefore w:w="217" w:type="pct"/>
          <w:cantSplit/>
          <w:trHeight w:hRule="exact" w:val="120"/>
        </w:trPr>
        <w:tc>
          <w:tcPr>
            <w:tcW w:w="4783" w:type="pct"/>
            <w:gridSpan w:val="5"/>
            <w:tcBorders>
              <w:bottom w:val="nil"/>
            </w:tcBorders>
          </w:tcPr>
          <w:p w14:paraId="44E753C3" w14:textId="77777777" w:rsidR="00090683" w:rsidRDefault="00090683" w:rsidP="000B7E9A">
            <w:pPr>
              <w:pStyle w:val="spacertbl"/>
            </w:pPr>
          </w:p>
        </w:tc>
      </w:tr>
    </w:tbl>
    <w:p w14:paraId="053C6E52" w14:textId="77777777" w:rsidR="00090683" w:rsidRPr="001A2F85" w:rsidRDefault="00090683" w:rsidP="00090683">
      <w:pPr>
        <w:pStyle w:val="BodyText"/>
      </w:pPr>
      <w:r w:rsidRPr="001A2F85">
        <w:t>A number of evaluations of the TRIO programs have been undertaken, with varying findings. In general, however, the evaluations have found positive impacts for measures such as graduation from high school, applications to higher education, applications for financial aid, enrolment in higher education and degree completion rates (Cahalan 2013).</w:t>
      </w:r>
    </w:p>
    <w:p w14:paraId="7A60F1C3" w14:textId="77777777" w:rsidR="00090683" w:rsidRPr="001A2F85" w:rsidRDefault="00090683" w:rsidP="00090683">
      <w:pPr>
        <w:pStyle w:val="BodyText"/>
      </w:pPr>
      <w:r w:rsidRPr="001A2F85">
        <w:t>Another key program administered by the OPE Student Service branch is GEAR UP—Gaining Early Awareness and Readiness for Undergraduate Programs. GEAR UP’s objective is ‘to increase the number of low-income students who are prepared to enter and succeed in postsecondary education’ (OPE 2016e). It offers state and partnership grants on a matching basis, with the maximum federal award for state grants capped at US$5,000,000 per year. Partnership grants are restricted to $800 per student (OPE 2016e). Grants are allocated for six-year periods through a competitive process, and projects must follow an entire cohort of students from no later than seventh grade through their high school years.</w:t>
      </w:r>
    </w:p>
    <w:p w14:paraId="7427CBF5" w14:textId="77777777" w:rsidR="00090683" w:rsidRPr="001A2F85" w:rsidRDefault="00090683" w:rsidP="00090683">
      <w:pPr>
        <w:pStyle w:val="Heading9"/>
      </w:pPr>
      <w:r w:rsidRPr="001A2F85">
        <w:t>Other initiatives</w:t>
      </w:r>
    </w:p>
    <w:p w14:paraId="35C87B9A" w14:textId="77777777" w:rsidR="00090683" w:rsidRPr="001A2F85" w:rsidRDefault="00090683" w:rsidP="00090683">
      <w:pPr>
        <w:pStyle w:val="BodyText"/>
      </w:pPr>
      <w:r w:rsidRPr="001A2F85">
        <w:t xml:space="preserve">There are a number of collaborative and knowledge-sharing initiatives for higher education equity practitioners in the United States. The Department of Education’s Institute of Education Sciences manages the ‘What Works Clearinghouse’, which provides a central point for resources and evidence on effective ways of improving student outcomes (IES 2016). </w:t>
      </w:r>
    </w:p>
    <w:p w14:paraId="673A97B0" w14:textId="77777777" w:rsidR="00090683" w:rsidRPr="001A2F85" w:rsidRDefault="00090683" w:rsidP="00090683">
      <w:pPr>
        <w:pStyle w:val="BodyText"/>
      </w:pPr>
      <w:r w:rsidRPr="001A2F85">
        <w:t xml:space="preserve">The Department of Education also invites submissions from higher education institutions detailing ‘promising and practical strategies, practices, programs, and activities that have improved rates of postsecondary success, transfer, and graduation’ and compiles them publicly on its ‘Promising Strategies’ website (U.S. Department of Education 2016). </w:t>
      </w:r>
    </w:p>
    <w:p w14:paraId="4DDA257C" w14:textId="77777777" w:rsidR="00090683" w:rsidRPr="001A2F85" w:rsidRDefault="00090683" w:rsidP="00090683">
      <w:pPr>
        <w:pStyle w:val="BodyText"/>
      </w:pPr>
      <w:r w:rsidRPr="001A2F85">
        <w:t>Additionally, the national Council on Opportunity in Education and state-based Educational Opportunity Organizations provide a way for institutions to share knowledge and professional development, and undertake activities such as policy development and advocacy to Congress (Cahalan 2013).</w:t>
      </w:r>
    </w:p>
    <w:p w14:paraId="44DCEB20" w14:textId="77777777" w:rsidR="00090683" w:rsidRPr="001A2F85" w:rsidRDefault="00090683" w:rsidP="00090683">
      <w:pPr>
        <w:pStyle w:val="Heading8"/>
      </w:pPr>
      <w:bookmarkStart w:id="732" w:name="_Toc466657182"/>
      <w:r w:rsidRPr="001A2F85">
        <w:t>Ontario, Canada</w:t>
      </w:r>
      <w:bookmarkEnd w:id="732"/>
    </w:p>
    <w:p w14:paraId="6A3505BC" w14:textId="77777777" w:rsidR="00090683" w:rsidRPr="001A2F85" w:rsidRDefault="00090683" w:rsidP="00090683">
      <w:pPr>
        <w:pStyle w:val="BodyText"/>
      </w:pPr>
      <w:r w:rsidRPr="001A2F85">
        <w:t>This case study varies from those above, as the education system in Canada is decentralised. Each province and territory is responsible for its own education system, although there is some federal funding at the postsecondary level such as the Canada Student Loans Program (Standing Senate Committee on Social Affairs, Science and Technology 2011). This case study examines the higher education system in Ontario, Canada’s second largest province, which has a relatively high rate of participation compared to other provinces. In 2015, 26 per cent of 18-24 year olds were enrolled in higher education, second only to Nova Scotia with 29 per cent (Weingarten et al</w:t>
      </w:r>
      <w:r>
        <w:t>.</w:t>
      </w:r>
      <w:r w:rsidRPr="001A2F85">
        <w:t xml:space="preserve"> 2015). Over 80 per cent of secondary students will continue to some form of postsecondary education (Norrie</w:t>
      </w:r>
      <w:r>
        <w:t> &amp; </w:t>
      </w:r>
      <w:r w:rsidRPr="001A2F85">
        <w:t>Zhao</w:t>
      </w:r>
      <w:r>
        <w:t> </w:t>
      </w:r>
      <w:r w:rsidRPr="001A2F85">
        <w:t>2011). The higher education system in Ontario consists of 20 public universities, 24 colleges, and more than 400 registered private career colleges (Government of Ontario 2016).</w:t>
      </w:r>
    </w:p>
    <w:p w14:paraId="0F29F8B5" w14:textId="77777777" w:rsidR="00090683" w:rsidRPr="001A2F85" w:rsidRDefault="00090683" w:rsidP="00090683">
      <w:pPr>
        <w:pStyle w:val="Heading9"/>
      </w:pPr>
      <w:r w:rsidRPr="001A2F85">
        <w:t>Funding for equity activities</w:t>
      </w:r>
    </w:p>
    <w:p w14:paraId="5836F173" w14:textId="77777777" w:rsidR="00090683" w:rsidRPr="001A2F85" w:rsidRDefault="00090683" w:rsidP="00090683">
      <w:pPr>
        <w:pStyle w:val="BodyText"/>
      </w:pPr>
      <w:r w:rsidRPr="001A2F85">
        <w:t xml:space="preserve">In the past decade, the Government of Ontario has implemented a number of policies with the objective of widening participation in higher education. Between 2003 and 2014, full time enrolment in the postsecondary system grew by 170,000 students, and the Government increased funding to the system by 83 per cent (Ministry of Advanced Education and Skills Development 2014). </w:t>
      </w:r>
    </w:p>
    <w:p w14:paraId="4ED99D5F" w14:textId="77777777" w:rsidR="00090683" w:rsidRPr="001A2F85" w:rsidRDefault="00090683" w:rsidP="00090683">
      <w:pPr>
        <w:pStyle w:val="BodyText"/>
      </w:pPr>
      <w:r w:rsidRPr="001A2F85">
        <w:t>There are currently a large number of grants and loans available through the Ontario Student Assistance Program to assist students with their tuition fees. The Government has recently announced changes to the student financial aid program, which will reduce the range of existing grants into a single grant and provide free tuition for students from low income families (CA$50,000 or less), beginning in the 2017-18 school year (Ministry of Finance 2016).</w:t>
      </w:r>
    </w:p>
    <w:p w14:paraId="0D772220" w14:textId="77777777" w:rsidR="00090683" w:rsidRPr="001A2F85" w:rsidRDefault="00090683" w:rsidP="00090683">
      <w:pPr>
        <w:pStyle w:val="BodyText"/>
      </w:pPr>
      <w:r w:rsidRPr="001A2F85">
        <w:t>In much of the literature regarding widening participation in Ontario, parental education is recognised as having a greater impact on whether an individual attends higher education than family income (Doran et al</w:t>
      </w:r>
      <w:r>
        <w:t>.</w:t>
      </w:r>
      <w:r w:rsidRPr="001A2F85">
        <w:t xml:space="preserve"> 2015</w:t>
      </w:r>
      <w:r>
        <w:t>;</w:t>
      </w:r>
      <w:r w:rsidRPr="001A2F85">
        <w:t xml:space="preserve"> Finnie et al</w:t>
      </w:r>
      <w:r>
        <w:t>.</w:t>
      </w:r>
      <w:r w:rsidRPr="001A2F85">
        <w:t xml:space="preserve"> 2011</w:t>
      </w:r>
      <w:r>
        <w:t>;</w:t>
      </w:r>
      <w:r w:rsidRPr="001A2F85">
        <w:t xml:space="preserve"> Rae 2005). Three under-represented groups are identified by the Government as a focus for widening participation activities: Aboriginal, first-generation (that is, </w:t>
      </w:r>
      <w:r>
        <w:t>F</w:t>
      </w:r>
      <w:r w:rsidRPr="001A2F85">
        <w:t>irst</w:t>
      </w:r>
      <w:r>
        <w:t xml:space="preserve"> i</w:t>
      </w:r>
      <w:r w:rsidRPr="001A2F85">
        <w:t>n</w:t>
      </w:r>
      <w:r>
        <w:t xml:space="preserve"> F</w:t>
      </w:r>
      <w:r w:rsidRPr="001A2F85">
        <w:t xml:space="preserve">amily), and students with disabilities. These groups are explicitly included in the Strategic Mandate Agreements that universities must negotiate with the Ministry of Training, Colleges and Universities </w:t>
      </w:r>
      <w:r>
        <w:t>(</w:t>
      </w:r>
      <w:r w:rsidRPr="001A2F85">
        <w:t>Doran et al</w:t>
      </w:r>
      <w:r>
        <w:t>.</w:t>
      </w:r>
      <w:r w:rsidRPr="001A2F85">
        <w:t xml:space="preserve"> 2015). These Agreements are a requirement of the Government’s Differentiation Policy Framework for Postsecondary Education (2013), which aims to help universities leverage their different strengths to build a more globally competitive higher education sector. The framework lists ‘access for all qualified learners’ as one of the Government’s priorities.</w:t>
      </w:r>
    </w:p>
    <w:p w14:paraId="2E64EC95" w14:textId="77777777" w:rsidR="00090683" w:rsidRPr="001A2F85" w:rsidRDefault="00090683" w:rsidP="00090683">
      <w:pPr>
        <w:pStyle w:val="Quote"/>
      </w:pPr>
      <w:r w:rsidRPr="001A2F85">
        <w:t>Recognizing the value of postsecondary education to an individual and to Ontario’s future, the government will continue to build on the gains it has made in increasing access to higher education for all qualified students over the past decade. This also includes an ongoing commitment to making postsecondary education accessible on the basis of ability to learn, not ability to pay.</w:t>
      </w:r>
    </w:p>
    <w:p w14:paraId="70D4EA7D" w14:textId="77777777" w:rsidR="00090683" w:rsidRPr="001A2F85" w:rsidRDefault="00090683" w:rsidP="00090683">
      <w:pPr>
        <w:pStyle w:val="QuoteSource"/>
      </w:pPr>
      <w:r w:rsidRPr="001A2F85">
        <w:t>Government of Ontario 2013</w:t>
      </w:r>
    </w:p>
    <w:p w14:paraId="3334BFDD" w14:textId="77777777" w:rsidR="00090683" w:rsidRPr="001A2F85" w:rsidRDefault="00090683" w:rsidP="00090683">
      <w:pPr>
        <w:pStyle w:val="BodyText"/>
      </w:pPr>
      <w:r w:rsidRPr="001A2F85">
        <w:t xml:space="preserve">Activities with the objective of widening participation and increasing participation by under-represented groups are largely undertaken by individual institutions. The Strategic Mandate Agreements, which cover a three-year period, include a section addressing the student population, outlining each institution’s strengths, strategies and the metrics that are used to measure participation of the three target groups and any other under-represented groups that individual universities identify. </w:t>
      </w:r>
    </w:p>
    <w:p w14:paraId="09B13DE8" w14:textId="77777777" w:rsidR="00090683" w:rsidRPr="001A2F85" w:rsidRDefault="00090683" w:rsidP="00090683">
      <w:pPr>
        <w:pStyle w:val="BodyText"/>
      </w:pPr>
      <w:r w:rsidRPr="001A2F85">
        <w:t>An analysis of the range of activities being undertaken by universities found that ‘each university has one or more initiatives to improve access to PSE [postsecondary education] for under-represented groups’ and that these initiatives cover all stages of the student life cycle (Doran et al</w:t>
      </w:r>
      <w:r>
        <w:t>.</w:t>
      </w:r>
      <w:r w:rsidRPr="001A2F85">
        <w:t xml:space="preserve"> 2015).</w:t>
      </w:r>
    </w:p>
    <w:p w14:paraId="6FA09EBB" w14:textId="77777777" w:rsidR="00090683" w:rsidRPr="001A2F85" w:rsidRDefault="00090683" w:rsidP="00090683">
      <w:pPr>
        <w:pStyle w:val="BodyText"/>
      </w:pPr>
      <w:r w:rsidRPr="001A2F85">
        <w:t xml:space="preserve">Some funding for these activities is provided by the provincial government, through ‘special purpose grants’. In 2015-16, CA$100 million—3 per cent of the Government’s total university funding—was allocated for access activities through special purpose grant funding (Ministry of Training, Colleges and Universities 2015): This included: </w:t>
      </w:r>
    </w:p>
    <w:p w14:paraId="7FF667A3" w14:textId="77777777" w:rsidR="00090683" w:rsidRPr="001A2F85" w:rsidRDefault="00090683" w:rsidP="00090683">
      <w:pPr>
        <w:pStyle w:val="ListBullet"/>
        <w:numPr>
          <w:ilvl w:val="0"/>
          <w:numId w:val="34"/>
        </w:numPr>
      </w:pPr>
      <w:r w:rsidRPr="001A2F85">
        <w:t>approximately $59 million for francophone/bilingual programming and supports at seven universities</w:t>
      </w:r>
    </w:p>
    <w:p w14:paraId="2AF2D439" w14:textId="77777777" w:rsidR="00090683" w:rsidRPr="001A2F85" w:rsidRDefault="00090683" w:rsidP="00090683">
      <w:pPr>
        <w:pStyle w:val="ListBullet"/>
        <w:numPr>
          <w:ilvl w:val="0"/>
          <w:numId w:val="34"/>
        </w:numPr>
      </w:pPr>
      <w:r w:rsidRPr="001A2F85">
        <w:t>approximately $24 million for programs and supports for students with disability</w:t>
      </w:r>
    </w:p>
    <w:p w14:paraId="40C459DC" w14:textId="77777777" w:rsidR="00090683" w:rsidRPr="001A2F85" w:rsidRDefault="00090683" w:rsidP="00090683">
      <w:pPr>
        <w:pStyle w:val="ListBullet"/>
        <w:numPr>
          <w:ilvl w:val="0"/>
          <w:numId w:val="34"/>
        </w:numPr>
      </w:pPr>
      <w:r w:rsidRPr="001A2F85">
        <w:t>approximately $17 million for Aboriginal initiatives and first-generation groups.</w:t>
      </w:r>
    </w:p>
    <w:p w14:paraId="47B82DE1" w14:textId="77777777" w:rsidR="00090683" w:rsidRPr="001A2F85" w:rsidRDefault="00090683" w:rsidP="00090683">
      <w:pPr>
        <w:pStyle w:val="BodyText"/>
      </w:pPr>
      <w:r w:rsidRPr="001A2F85">
        <w:t>The majority of the Government’s funding for universities is allocated based on each university’s baseline historic enrolments. The university funding model is currently being reviewed by the Government, with a consultation process undertaken in 2015.</w:t>
      </w:r>
    </w:p>
    <w:p w14:paraId="7FC4EC39" w14:textId="77777777" w:rsidR="00090683" w:rsidRPr="001A2F85" w:rsidRDefault="00090683" w:rsidP="00090683">
      <w:pPr>
        <w:pStyle w:val="BodyText"/>
      </w:pPr>
      <w:r w:rsidRPr="001A2F85">
        <w:t>A significant part of the Government’s support for access and equity initiatives is through scholarships and bursaries. In 2012-13, the Government allocated CA$1,805,762 for first generation bursary through its special purpose grants (to 23 universities), and CA$4,387,177 for first generation projects (to 17 universities).</w:t>
      </w:r>
    </w:p>
    <w:p w14:paraId="40A73E98" w14:textId="77777777" w:rsidR="00090683" w:rsidRPr="001A2F85" w:rsidRDefault="00090683" w:rsidP="00090683">
      <w:pPr>
        <w:pStyle w:val="Heading9"/>
      </w:pPr>
      <w:r w:rsidRPr="001A2F85">
        <w:t>Other initiatives</w:t>
      </w:r>
    </w:p>
    <w:p w14:paraId="6B1918AB" w14:textId="77777777" w:rsidR="00090683" w:rsidRPr="001A2F85" w:rsidRDefault="00090683" w:rsidP="00090683">
      <w:pPr>
        <w:pStyle w:val="BodyText"/>
      </w:pPr>
      <w:r w:rsidRPr="001A2F85">
        <w:t>The Higher Education Quality Council of Ontario, established in 2005 as an agency of the Government, is tasked with conducting research and evaluations into the postsecondary sector in Ontario and providing recommendations to the Minister. Its three current priority areas are access, learning outcomes, and system design. It recently formed a partnership with six universities, the Access and Retention Consortium, through which researchers from each institution administer and evaluate the effectiveness of different interventions (HEQCO 2016).</w:t>
      </w:r>
    </w:p>
    <w:p w14:paraId="3CD454F4" w14:textId="77777777" w:rsidR="00090683" w:rsidRPr="001A2F85" w:rsidRDefault="00090683" w:rsidP="00090683">
      <w:pPr>
        <w:pStyle w:val="BodyText"/>
      </w:pPr>
      <w:r w:rsidRPr="001A2F85">
        <w:t>The Government of Ontario and the Government of Canada also provide funding to Indspire, a national Indigenous-led non-profit organisation that provides financial awards and delivers programs with the aim of closing the gap in Indigenous education. In 2015-16, Indspire awarded over $12.2 million through 3,792 scholarships and bursaries to Indigenous students (Indspire 2016). A recent report from the organisation found that the average graduation rate of recipients was 93 per cent (Indspire 2015).</w:t>
      </w:r>
    </w:p>
    <w:p w14:paraId="38CBDFCB" w14:textId="77777777" w:rsidR="00090683" w:rsidRPr="001A2F85" w:rsidRDefault="00090683" w:rsidP="00090683">
      <w:pPr>
        <w:pStyle w:val="BodyText"/>
      </w:pPr>
    </w:p>
    <w:p w14:paraId="00554FB5" w14:textId="77777777" w:rsidR="00090683" w:rsidRPr="001A2F85" w:rsidRDefault="00090683" w:rsidP="00090683">
      <w:pPr>
        <w:pStyle w:val="BodyText"/>
        <w:sectPr w:rsidR="00090683" w:rsidRPr="001A2F85" w:rsidSect="00425AFC">
          <w:headerReference w:type="even" r:id="rId195"/>
          <w:headerReference w:type="default" r:id="rId196"/>
          <w:footerReference w:type="even" r:id="rId197"/>
          <w:footerReference w:type="default" r:id="rId198"/>
          <w:headerReference w:type="first" r:id="rId199"/>
          <w:footerReference w:type="first" r:id="rId200"/>
          <w:pgSz w:w="11907" w:h="16839" w:code="9"/>
          <w:pgMar w:top="1100" w:right="443" w:bottom="1320" w:left="3296" w:header="456" w:footer="262" w:gutter="0"/>
          <w:pgNumType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8"/>
        <w:gridCol w:w="3430"/>
      </w:tblGrid>
      <w:tr w:rsidR="00090683" w:rsidRPr="001A2F85" w14:paraId="0D80A82F" w14:textId="77777777" w:rsidTr="000B7E9A">
        <w:trPr>
          <w:trHeight w:hRule="exact" w:val="382"/>
        </w:trPr>
        <w:tc>
          <w:tcPr>
            <w:tcW w:w="4728" w:type="dxa"/>
            <w:shd w:val="clear" w:color="auto" w:fill="9D57A6"/>
          </w:tcPr>
          <w:p w14:paraId="63DF87E0" w14:textId="77777777" w:rsidR="00090683" w:rsidRPr="001A2F85" w:rsidRDefault="00090683" w:rsidP="000B7E9A">
            <w:pPr>
              <w:pStyle w:val="tagappendixChapter"/>
              <w:keepNext/>
            </w:pPr>
            <w:r>
              <w:rPr>
                <w:noProof/>
                <w:lang w:eastAsia="en-AU"/>
              </w:rPr>
              <mc:AlternateContent>
                <mc:Choice Requires="wps">
                  <w:drawing>
                    <wp:anchor distT="0" distB="0" distL="114300" distR="114300" simplePos="0" relativeHeight="251686400" behindDoc="0" locked="1" layoutInCell="1" allowOverlap="1" wp14:anchorId="59777FAA" wp14:editId="56C44603">
                      <wp:simplePos x="0" y="0"/>
                      <wp:positionH relativeFrom="page">
                        <wp:posOffset>158750</wp:posOffset>
                      </wp:positionH>
                      <wp:positionV relativeFrom="page">
                        <wp:posOffset>6350</wp:posOffset>
                      </wp:positionV>
                      <wp:extent cx="439420" cy="215265"/>
                      <wp:effectExtent l="0" t="0" r="0" b="0"/>
                      <wp:wrapNone/>
                      <wp:docPr id="12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AEFFE4" id="Freeform 5" o:spid="_x0000_s1026" style="position:absolute;margin-left:12.5pt;margin-top:.5pt;width:34.6pt;height:16.9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ejzI9H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116C9444" w14:textId="77777777" w:rsidR="00090683" w:rsidRPr="001A2F85" w:rsidRDefault="00090683" w:rsidP="000B7E9A">
            <w:pPr>
              <w:pStyle w:val="spacer"/>
            </w:pPr>
          </w:p>
        </w:tc>
      </w:tr>
      <w:tr w:rsidR="00090683" w:rsidRPr="001A2F85" w14:paraId="62FE747F" w14:textId="77777777" w:rsidTr="000B7E9A">
        <w:trPr>
          <w:trHeight w:hRule="exact" w:val="3665"/>
        </w:trPr>
        <w:tc>
          <w:tcPr>
            <w:tcW w:w="4728" w:type="dxa"/>
            <w:shd w:val="clear" w:color="auto" w:fill="9D57A6"/>
            <w:tcMar>
              <w:left w:w="0" w:type="dxa"/>
            </w:tcMar>
            <w:vAlign w:val="bottom"/>
          </w:tcPr>
          <w:p w14:paraId="1BC0BE63" w14:textId="77777777" w:rsidR="00090683" w:rsidRPr="001A2F85" w:rsidRDefault="00090683" w:rsidP="000B7E9A">
            <w:pPr>
              <w:pStyle w:val="Heading7"/>
              <w:outlineLvl w:val="6"/>
            </w:pPr>
            <w:r>
              <w:t>Written submissions</w:t>
            </w:r>
          </w:p>
        </w:tc>
        <w:tc>
          <w:tcPr>
            <w:tcW w:w="3430" w:type="dxa"/>
            <w:shd w:val="clear" w:color="auto" w:fill="9D57A6"/>
            <w:tcMar>
              <w:right w:w="344" w:type="dxa"/>
            </w:tcMar>
          </w:tcPr>
          <w:p w14:paraId="4C548EFE" w14:textId="77777777" w:rsidR="00090683" w:rsidRPr="001A2F85" w:rsidRDefault="00090683" w:rsidP="000B7E9A">
            <w:pPr>
              <w:pStyle w:val="HeadingAppendix"/>
            </w:pPr>
            <w:bookmarkStart w:id="733" w:name="_Toc466657183"/>
            <w:r>
              <w:t>C</w:t>
            </w:r>
            <w:bookmarkEnd w:id="733"/>
          </w:p>
        </w:tc>
      </w:tr>
      <w:tr w:rsidR="00090683" w:rsidRPr="001A2F85" w14:paraId="0DEED4BE" w14:textId="77777777" w:rsidTr="000B7E9A">
        <w:trPr>
          <w:trHeight w:hRule="exact" w:val="232"/>
        </w:trPr>
        <w:tc>
          <w:tcPr>
            <w:tcW w:w="4728" w:type="dxa"/>
            <w:shd w:val="clear" w:color="auto" w:fill="9D57A6"/>
            <w:tcMar>
              <w:left w:w="0" w:type="dxa"/>
            </w:tcMar>
          </w:tcPr>
          <w:p w14:paraId="56C81E40" w14:textId="77777777" w:rsidR="00090683" w:rsidRPr="001A2F85" w:rsidRDefault="00090683" w:rsidP="000B7E9A">
            <w:pPr>
              <w:pStyle w:val="spacer"/>
            </w:pPr>
          </w:p>
        </w:tc>
        <w:tc>
          <w:tcPr>
            <w:tcW w:w="3430" w:type="dxa"/>
            <w:shd w:val="clear" w:color="auto" w:fill="9D57A6"/>
            <w:tcMar>
              <w:right w:w="344" w:type="dxa"/>
            </w:tcMar>
          </w:tcPr>
          <w:p w14:paraId="563D6F97" w14:textId="77777777" w:rsidR="00090683" w:rsidRPr="001A2F85" w:rsidRDefault="00090683" w:rsidP="000B7E9A">
            <w:pPr>
              <w:pStyle w:val="App-Context"/>
              <w:keepNext/>
            </w:pPr>
            <w:bookmarkStart w:id="734" w:name="_Toc466657184"/>
            <w:r>
              <w:rPr>
                <w:noProof/>
              </w:rPr>
              <w:t>Written submissions</w:t>
            </w:r>
            <w:bookmarkEnd w:id="734"/>
          </w:p>
        </w:tc>
      </w:tr>
      <w:tr w:rsidR="00090683" w:rsidRPr="001A2F85" w14:paraId="4445C323" w14:textId="77777777" w:rsidTr="000B7E9A">
        <w:trPr>
          <w:trHeight w:hRule="exact" w:val="228"/>
        </w:trPr>
        <w:tc>
          <w:tcPr>
            <w:tcW w:w="4728" w:type="dxa"/>
            <w:tcBorders>
              <w:top w:val="single" w:sz="4" w:space="0" w:color="9D57A6"/>
            </w:tcBorders>
          </w:tcPr>
          <w:p w14:paraId="1E642B2F" w14:textId="77777777" w:rsidR="00090683" w:rsidRPr="001A2F85" w:rsidRDefault="00090683" w:rsidP="000B7E9A">
            <w:pPr>
              <w:pStyle w:val="spacer"/>
            </w:pPr>
          </w:p>
        </w:tc>
        <w:tc>
          <w:tcPr>
            <w:tcW w:w="3430" w:type="dxa"/>
            <w:tcBorders>
              <w:top w:val="single" w:sz="4" w:space="0" w:color="9D57A6"/>
            </w:tcBorders>
          </w:tcPr>
          <w:p w14:paraId="03D9595C" w14:textId="77777777" w:rsidR="00090683" w:rsidRPr="001A2F85" w:rsidRDefault="00090683" w:rsidP="000B7E9A">
            <w:pPr>
              <w:pStyle w:val="spacer"/>
            </w:pPr>
          </w:p>
        </w:tc>
      </w:tr>
    </w:tbl>
    <w:p w14:paraId="435BEFB4" w14:textId="77777777" w:rsidR="00090683" w:rsidRDefault="00090683" w:rsidP="00090683">
      <w:pPr>
        <w:pStyle w:val="BodyText"/>
      </w:pPr>
      <w:r>
        <w:t xml:space="preserve">The table below sets out a list of the written submissions provided to the evaluation. </w:t>
      </w:r>
    </w:p>
    <w:p w14:paraId="3907AC00" w14:textId="77777777" w:rsidR="00090683" w:rsidRDefault="00090683" w:rsidP="00090683">
      <w:pPr>
        <w:pStyle w:val="Caption"/>
        <w:spacing w:before="160"/>
      </w:pPr>
      <w:bookmarkStart w:id="735" w:name="_Toc466655782"/>
      <w:r>
        <w:rPr>
          <w:rStyle w:val="CaptionLabel"/>
        </w:rPr>
        <w:t>Table </w:t>
      </w:r>
      <w:r>
        <w:rPr>
          <w:rStyle w:val="CaptionLabel"/>
          <w:noProof/>
        </w:rPr>
        <w:t>C</w:t>
      </w:r>
      <w:r>
        <w:rPr>
          <w:rStyle w:val="CaptionLabel"/>
        </w:rPr>
        <w:t>.</w:t>
      </w:r>
      <w:r>
        <w:rPr>
          <w:rStyle w:val="CaptionLabel"/>
          <w:noProof/>
        </w:rPr>
        <w:t>1</w:t>
      </w:r>
      <w:r>
        <w:tab/>
        <w:t>wRITTEN submissions</w:t>
      </w:r>
      <w:bookmarkEnd w:id="735"/>
    </w:p>
    <w:tbl>
      <w:tblPr>
        <w:tblW w:w="8676" w:type="dxa"/>
        <w:tblInd w:w="-454" w:type="dxa"/>
        <w:tblLayout w:type="fixed"/>
        <w:tblCellMar>
          <w:left w:w="0" w:type="dxa"/>
          <w:bottom w:w="40" w:type="dxa"/>
          <w:right w:w="0" w:type="dxa"/>
        </w:tblCellMar>
        <w:tblLook w:val="0000" w:firstRow="0" w:lastRow="0" w:firstColumn="0" w:lastColumn="0" w:noHBand="0" w:noVBand="0"/>
      </w:tblPr>
      <w:tblGrid>
        <w:gridCol w:w="454"/>
        <w:gridCol w:w="1135"/>
        <w:gridCol w:w="7087"/>
      </w:tblGrid>
      <w:tr w:rsidR="00090683" w14:paraId="31C6B284" w14:textId="77777777" w:rsidTr="000B7E9A">
        <w:trPr>
          <w:cantSplit/>
          <w:tblHeader/>
        </w:trPr>
        <w:tc>
          <w:tcPr>
            <w:tcW w:w="916" w:type="pct"/>
            <w:gridSpan w:val="2"/>
            <w:shd w:val="clear" w:color="auto" w:fill="9D57A6"/>
            <w:tcMar>
              <w:left w:w="454" w:type="dxa"/>
              <w:bottom w:w="0" w:type="dxa"/>
            </w:tcMar>
          </w:tcPr>
          <w:p w14:paraId="765E4D25" w14:textId="77777777" w:rsidR="00090683" w:rsidRDefault="00090683" w:rsidP="000B7E9A">
            <w:pPr>
              <w:pStyle w:val="Tablecolumnheadings"/>
            </w:pPr>
            <w:r>
              <w:t>Number</w:t>
            </w:r>
          </w:p>
        </w:tc>
        <w:tc>
          <w:tcPr>
            <w:tcW w:w="4084" w:type="pct"/>
            <w:shd w:val="clear" w:color="auto" w:fill="9D57A6"/>
            <w:tcMar>
              <w:bottom w:w="0" w:type="dxa"/>
            </w:tcMar>
          </w:tcPr>
          <w:p w14:paraId="1AC279C8" w14:textId="77777777" w:rsidR="00090683" w:rsidRDefault="00090683" w:rsidP="000B7E9A">
            <w:pPr>
              <w:pStyle w:val="Tablecolumnheadings"/>
            </w:pPr>
            <w:r>
              <w:t>Submission author</w:t>
            </w:r>
          </w:p>
        </w:tc>
      </w:tr>
      <w:tr w:rsidR="00090683" w14:paraId="611FA04E" w14:textId="77777777" w:rsidTr="000B7E9A">
        <w:tblPrEx>
          <w:tblBorders>
            <w:bottom w:val="single" w:sz="4" w:space="0" w:color="646464"/>
            <w:insideH w:val="single" w:sz="4" w:space="0" w:color="646464"/>
          </w:tblBorders>
        </w:tblPrEx>
        <w:trPr>
          <w:gridBefore w:val="1"/>
          <w:wBefore w:w="262" w:type="pct"/>
          <w:cantSplit/>
        </w:trPr>
        <w:tc>
          <w:tcPr>
            <w:tcW w:w="654" w:type="pct"/>
            <w:tcBorders>
              <w:top w:val="nil"/>
            </w:tcBorders>
          </w:tcPr>
          <w:p w14:paraId="2EBB4905" w14:textId="77777777" w:rsidR="00090683" w:rsidRDefault="00090683" w:rsidP="000B7E9A">
            <w:pPr>
              <w:pStyle w:val="Tabletext"/>
            </w:pPr>
            <w:r>
              <w:rPr>
                <w:lang w:val="en-US"/>
              </w:rPr>
              <w:t>1</w:t>
            </w:r>
          </w:p>
        </w:tc>
        <w:tc>
          <w:tcPr>
            <w:tcW w:w="4084" w:type="pct"/>
            <w:tcBorders>
              <w:top w:val="nil"/>
            </w:tcBorders>
          </w:tcPr>
          <w:p w14:paraId="61ED2134" w14:textId="77777777" w:rsidR="00090683" w:rsidRDefault="00090683" w:rsidP="000B7E9A">
            <w:pPr>
              <w:pStyle w:val="Tabletext"/>
            </w:pPr>
            <w:r>
              <w:rPr>
                <w:lang w:val="en-US"/>
              </w:rPr>
              <w:t>Broome Senior High School</w:t>
            </w:r>
          </w:p>
        </w:tc>
      </w:tr>
      <w:tr w:rsidR="00090683" w14:paraId="449C886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555B711" w14:textId="77777777" w:rsidR="00090683" w:rsidRDefault="00090683" w:rsidP="000B7E9A">
            <w:pPr>
              <w:pStyle w:val="Tabletext"/>
            </w:pPr>
            <w:r>
              <w:rPr>
                <w:lang w:val="en-US"/>
              </w:rPr>
              <w:t>2</w:t>
            </w:r>
          </w:p>
        </w:tc>
        <w:tc>
          <w:tcPr>
            <w:tcW w:w="4084" w:type="pct"/>
          </w:tcPr>
          <w:p w14:paraId="145CBBC7" w14:textId="77777777" w:rsidR="00090683" w:rsidRDefault="00090683" w:rsidP="000B7E9A">
            <w:pPr>
              <w:pStyle w:val="Tabletext"/>
            </w:pPr>
            <w:r>
              <w:rPr>
                <w:lang w:val="en-US"/>
              </w:rPr>
              <w:t>Geraldton Grammar School</w:t>
            </w:r>
          </w:p>
        </w:tc>
      </w:tr>
      <w:tr w:rsidR="00090683" w14:paraId="42EE809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429995B" w14:textId="77777777" w:rsidR="00090683" w:rsidRDefault="00090683" w:rsidP="000B7E9A">
            <w:pPr>
              <w:pStyle w:val="Tabletext"/>
            </w:pPr>
            <w:r>
              <w:rPr>
                <w:lang w:val="en-US"/>
              </w:rPr>
              <w:t>3</w:t>
            </w:r>
          </w:p>
        </w:tc>
        <w:tc>
          <w:tcPr>
            <w:tcW w:w="4084" w:type="pct"/>
          </w:tcPr>
          <w:p w14:paraId="0AED0BE8" w14:textId="77777777" w:rsidR="00090683" w:rsidRDefault="00090683" w:rsidP="000B7E9A">
            <w:pPr>
              <w:pStyle w:val="Tabletext"/>
            </w:pPr>
            <w:r>
              <w:rPr>
                <w:color w:val="000000"/>
                <w:szCs w:val="20"/>
                <w:lang w:val="en-US"/>
              </w:rPr>
              <w:t>[Confidential]</w:t>
            </w:r>
          </w:p>
        </w:tc>
      </w:tr>
      <w:tr w:rsidR="00090683" w14:paraId="1B9027F4"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2C75135" w14:textId="77777777" w:rsidR="00090683" w:rsidRDefault="00090683" w:rsidP="000B7E9A">
            <w:pPr>
              <w:pStyle w:val="Tabletext"/>
            </w:pPr>
            <w:r>
              <w:rPr>
                <w:lang w:val="en-US"/>
              </w:rPr>
              <w:t>4</w:t>
            </w:r>
          </w:p>
        </w:tc>
        <w:tc>
          <w:tcPr>
            <w:tcW w:w="4084" w:type="pct"/>
          </w:tcPr>
          <w:p w14:paraId="438334DF" w14:textId="77777777" w:rsidR="00090683" w:rsidRDefault="00090683" w:rsidP="000B7E9A">
            <w:pPr>
              <w:pStyle w:val="Tabletext"/>
            </w:pPr>
            <w:r>
              <w:rPr>
                <w:lang w:val="en-US"/>
              </w:rPr>
              <w:t>Dapto High School</w:t>
            </w:r>
          </w:p>
        </w:tc>
      </w:tr>
      <w:tr w:rsidR="00090683" w14:paraId="3C02956D"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459866C" w14:textId="77777777" w:rsidR="00090683" w:rsidRDefault="00090683" w:rsidP="000B7E9A">
            <w:pPr>
              <w:pStyle w:val="Tabletext"/>
            </w:pPr>
            <w:r>
              <w:rPr>
                <w:lang w:val="en-US"/>
              </w:rPr>
              <w:t>5</w:t>
            </w:r>
          </w:p>
        </w:tc>
        <w:tc>
          <w:tcPr>
            <w:tcW w:w="4084" w:type="pct"/>
          </w:tcPr>
          <w:p w14:paraId="79869B59" w14:textId="77777777" w:rsidR="00090683" w:rsidRDefault="00090683" w:rsidP="000B7E9A">
            <w:pPr>
              <w:pStyle w:val="Tabletext"/>
            </w:pPr>
            <w:r>
              <w:rPr>
                <w:lang w:val="en-US"/>
              </w:rPr>
              <w:t>Meriwa Central School</w:t>
            </w:r>
          </w:p>
        </w:tc>
      </w:tr>
      <w:tr w:rsidR="00090683" w14:paraId="2A6123A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A2B463F" w14:textId="77777777" w:rsidR="00090683" w:rsidRDefault="00090683" w:rsidP="000B7E9A">
            <w:pPr>
              <w:pStyle w:val="Tabletext"/>
            </w:pPr>
            <w:r>
              <w:rPr>
                <w:lang w:val="en-US"/>
              </w:rPr>
              <w:t>6</w:t>
            </w:r>
          </w:p>
        </w:tc>
        <w:tc>
          <w:tcPr>
            <w:tcW w:w="4084" w:type="pct"/>
          </w:tcPr>
          <w:p w14:paraId="7932BBF2" w14:textId="77777777" w:rsidR="00090683" w:rsidRDefault="00090683" w:rsidP="000B7E9A">
            <w:pPr>
              <w:pStyle w:val="Tabletext"/>
            </w:pPr>
            <w:r>
              <w:rPr>
                <w:lang w:val="en-US"/>
              </w:rPr>
              <w:t>Willmot Public School</w:t>
            </w:r>
          </w:p>
        </w:tc>
      </w:tr>
      <w:tr w:rsidR="00090683" w14:paraId="6A9A8B4E"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BA2B249" w14:textId="77777777" w:rsidR="00090683" w:rsidRDefault="00090683" w:rsidP="000B7E9A">
            <w:pPr>
              <w:pStyle w:val="Tabletext"/>
            </w:pPr>
            <w:r>
              <w:rPr>
                <w:lang w:val="en-US"/>
              </w:rPr>
              <w:t>7</w:t>
            </w:r>
          </w:p>
        </w:tc>
        <w:tc>
          <w:tcPr>
            <w:tcW w:w="4084" w:type="pct"/>
          </w:tcPr>
          <w:p w14:paraId="5B9E7FD2" w14:textId="77777777" w:rsidR="00090683" w:rsidRDefault="00090683" w:rsidP="000B7E9A">
            <w:pPr>
              <w:pStyle w:val="Tabletext"/>
            </w:pPr>
            <w:r>
              <w:rPr>
                <w:color w:val="000000"/>
                <w:szCs w:val="20"/>
                <w:lang w:val="en-US"/>
              </w:rPr>
              <w:t>Gulargambone Central School</w:t>
            </w:r>
          </w:p>
        </w:tc>
      </w:tr>
      <w:tr w:rsidR="00090683" w14:paraId="7D23094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5DF1E61" w14:textId="77777777" w:rsidR="00090683" w:rsidRDefault="00090683" w:rsidP="000B7E9A">
            <w:pPr>
              <w:pStyle w:val="Tabletext"/>
            </w:pPr>
            <w:r>
              <w:rPr>
                <w:lang w:val="en-US"/>
              </w:rPr>
              <w:t>8</w:t>
            </w:r>
          </w:p>
        </w:tc>
        <w:tc>
          <w:tcPr>
            <w:tcW w:w="4084" w:type="pct"/>
          </w:tcPr>
          <w:p w14:paraId="1B9D506C" w14:textId="77777777" w:rsidR="00090683" w:rsidRDefault="00090683" w:rsidP="000B7E9A">
            <w:pPr>
              <w:pStyle w:val="Tabletext"/>
            </w:pPr>
            <w:r>
              <w:rPr>
                <w:color w:val="000000"/>
                <w:szCs w:val="20"/>
                <w:lang w:val="en-US"/>
              </w:rPr>
              <w:t>Banksia Park International High School</w:t>
            </w:r>
          </w:p>
        </w:tc>
      </w:tr>
      <w:tr w:rsidR="00090683" w14:paraId="0A395610"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4273ADD" w14:textId="77777777" w:rsidR="00090683" w:rsidRDefault="00090683" w:rsidP="000B7E9A">
            <w:pPr>
              <w:pStyle w:val="Tabletext"/>
            </w:pPr>
            <w:r>
              <w:rPr>
                <w:lang w:val="en-US"/>
              </w:rPr>
              <w:t>9</w:t>
            </w:r>
          </w:p>
        </w:tc>
        <w:tc>
          <w:tcPr>
            <w:tcW w:w="4084" w:type="pct"/>
          </w:tcPr>
          <w:p w14:paraId="3009FCF0" w14:textId="77777777" w:rsidR="00090683" w:rsidRDefault="00090683" w:rsidP="000B7E9A">
            <w:pPr>
              <w:pStyle w:val="Tabletext"/>
            </w:pPr>
            <w:r>
              <w:rPr>
                <w:color w:val="000000"/>
                <w:szCs w:val="20"/>
                <w:lang w:val="en-US"/>
              </w:rPr>
              <w:t>Coolah Central School</w:t>
            </w:r>
          </w:p>
        </w:tc>
      </w:tr>
      <w:tr w:rsidR="00090683" w14:paraId="280561E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4A7533E" w14:textId="77777777" w:rsidR="00090683" w:rsidRDefault="00090683" w:rsidP="000B7E9A">
            <w:pPr>
              <w:pStyle w:val="Tabletext"/>
            </w:pPr>
            <w:r>
              <w:rPr>
                <w:lang w:val="en-US"/>
              </w:rPr>
              <w:t>10</w:t>
            </w:r>
          </w:p>
        </w:tc>
        <w:tc>
          <w:tcPr>
            <w:tcW w:w="4084" w:type="pct"/>
          </w:tcPr>
          <w:p w14:paraId="32314A8A" w14:textId="77777777" w:rsidR="00090683" w:rsidRDefault="00090683" w:rsidP="000B7E9A">
            <w:pPr>
              <w:pStyle w:val="Tabletext"/>
            </w:pPr>
            <w:r>
              <w:rPr>
                <w:color w:val="000000"/>
                <w:szCs w:val="20"/>
                <w:lang w:val="en-US"/>
              </w:rPr>
              <w:t>Canterbury Boys' High School</w:t>
            </w:r>
          </w:p>
        </w:tc>
      </w:tr>
      <w:tr w:rsidR="00090683" w14:paraId="791BFFA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188D518" w14:textId="77777777" w:rsidR="00090683" w:rsidRDefault="00090683" w:rsidP="000B7E9A">
            <w:pPr>
              <w:pStyle w:val="Tabletext"/>
            </w:pPr>
            <w:r>
              <w:rPr>
                <w:lang w:val="en-US"/>
              </w:rPr>
              <w:t>11</w:t>
            </w:r>
          </w:p>
        </w:tc>
        <w:tc>
          <w:tcPr>
            <w:tcW w:w="4084" w:type="pct"/>
          </w:tcPr>
          <w:p w14:paraId="2963EA30" w14:textId="77777777" w:rsidR="00090683" w:rsidRDefault="00090683" w:rsidP="000B7E9A">
            <w:pPr>
              <w:pStyle w:val="Tabletext"/>
            </w:pPr>
            <w:r>
              <w:rPr>
                <w:color w:val="000000"/>
                <w:szCs w:val="20"/>
                <w:lang w:val="en-US"/>
              </w:rPr>
              <w:t>Woodridge State High School</w:t>
            </w:r>
          </w:p>
        </w:tc>
      </w:tr>
      <w:tr w:rsidR="00090683" w14:paraId="0B5CF11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22B0601" w14:textId="77777777" w:rsidR="00090683" w:rsidRDefault="00090683" w:rsidP="000B7E9A">
            <w:pPr>
              <w:pStyle w:val="Tabletext"/>
            </w:pPr>
            <w:r>
              <w:rPr>
                <w:lang w:val="en-US"/>
              </w:rPr>
              <w:t>12</w:t>
            </w:r>
          </w:p>
        </w:tc>
        <w:tc>
          <w:tcPr>
            <w:tcW w:w="4084" w:type="pct"/>
          </w:tcPr>
          <w:p w14:paraId="07921C86" w14:textId="77777777" w:rsidR="00090683" w:rsidRDefault="00090683" w:rsidP="000B7E9A">
            <w:pPr>
              <w:pStyle w:val="Tabletext"/>
            </w:pPr>
            <w:r>
              <w:rPr>
                <w:color w:val="000000"/>
                <w:szCs w:val="20"/>
                <w:lang w:val="en-US"/>
              </w:rPr>
              <w:t>Woodenbong Central School</w:t>
            </w:r>
          </w:p>
        </w:tc>
      </w:tr>
      <w:tr w:rsidR="00090683" w14:paraId="437C681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7999982" w14:textId="77777777" w:rsidR="00090683" w:rsidRDefault="00090683" w:rsidP="000B7E9A">
            <w:pPr>
              <w:pStyle w:val="Tabletext"/>
            </w:pPr>
            <w:r>
              <w:rPr>
                <w:lang w:val="en-US"/>
              </w:rPr>
              <w:t>13</w:t>
            </w:r>
          </w:p>
        </w:tc>
        <w:tc>
          <w:tcPr>
            <w:tcW w:w="4084" w:type="pct"/>
          </w:tcPr>
          <w:p w14:paraId="2AA2D2C4" w14:textId="77777777" w:rsidR="00090683" w:rsidRDefault="00090683" w:rsidP="000B7E9A">
            <w:pPr>
              <w:pStyle w:val="Tabletext"/>
            </w:pPr>
            <w:r>
              <w:rPr>
                <w:color w:val="000000"/>
                <w:szCs w:val="20"/>
                <w:lang w:val="en-US"/>
              </w:rPr>
              <w:t>Kingscliff High School</w:t>
            </w:r>
          </w:p>
        </w:tc>
      </w:tr>
      <w:tr w:rsidR="00090683" w14:paraId="50BC99D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6B13D3A" w14:textId="77777777" w:rsidR="00090683" w:rsidRDefault="00090683" w:rsidP="000B7E9A">
            <w:pPr>
              <w:pStyle w:val="Tabletext"/>
            </w:pPr>
            <w:r>
              <w:rPr>
                <w:lang w:val="en-US"/>
              </w:rPr>
              <w:t>14</w:t>
            </w:r>
          </w:p>
        </w:tc>
        <w:tc>
          <w:tcPr>
            <w:tcW w:w="4084" w:type="pct"/>
          </w:tcPr>
          <w:p w14:paraId="2886A6E0" w14:textId="77777777" w:rsidR="00090683" w:rsidRDefault="00090683" w:rsidP="000B7E9A">
            <w:pPr>
              <w:pStyle w:val="Tabletext"/>
            </w:pPr>
            <w:r>
              <w:rPr>
                <w:color w:val="000000"/>
                <w:szCs w:val="20"/>
                <w:lang w:val="en-US"/>
              </w:rPr>
              <w:t>Mabel Park State High School</w:t>
            </w:r>
          </w:p>
        </w:tc>
      </w:tr>
      <w:tr w:rsidR="00090683" w14:paraId="30FD8CDE"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E65DAD6" w14:textId="77777777" w:rsidR="00090683" w:rsidRDefault="00090683" w:rsidP="000B7E9A">
            <w:pPr>
              <w:pStyle w:val="Tabletext"/>
            </w:pPr>
            <w:r>
              <w:rPr>
                <w:lang w:val="en-US"/>
              </w:rPr>
              <w:t>15</w:t>
            </w:r>
          </w:p>
        </w:tc>
        <w:tc>
          <w:tcPr>
            <w:tcW w:w="4084" w:type="pct"/>
          </w:tcPr>
          <w:p w14:paraId="548943DE" w14:textId="77777777" w:rsidR="00090683" w:rsidRDefault="00090683" w:rsidP="000B7E9A">
            <w:pPr>
              <w:pStyle w:val="Tabletext"/>
            </w:pPr>
            <w:r>
              <w:rPr>
                <w:color w:val="000000"/>
                <w:szCs w:val="20"/>
                <w:lang w:val="en-US"/>
              </w:rPr>
              <w:t>Ingle Farm East Primary School</w:t>
            </w:r>
          </w:p>
        </w:tc>
      </w:tr>
      <w:tr w:rsidR="00090683" w14:paraId="05F2EE4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A11E5BC" w14:textId="77777777" w:rsidR="00090683" w:rsidRDefault="00090683" w:rsidP="000B7E9A">
            <w:pPr>
              <w:pStyle w:val="Tabletext"/>
            </w:pPr>
            <w:r>
              <w:rPr>
                <w:lang w:val="en-US"/>
              </w:rPr>
              <w:t>16</w:t>
            </w:r>
          </w:p>
        </w:tc>
        <w:tc>
          <w:tcPr>
            <w:tcW w:w="4084" w:type="pct"/>
          </w:tcPr>
          <w:p w14:paraId="6BA722E7" w14:textId="77777777" w:rsidR="00090683" w:rsidRDefault="00090683" w:rsidP="000B7E9A">
            <w:pPr>
              <w:pStyle w:val="Tabletext"/>
            </w:pPr>
            <w:r>
              <w:rPr>
                <w:color w:val="000000"/>
                <w:szCs w:val="20"/>
                <w:lang w:val="en-US"/>
              </w:rPr>
              <w:t>Girrawheen Senior High School</w:t>
            </w:r>
          </w:p>
        </w:tc>
      </w:tr>
      <w:tr w:rsidR="00090683" w14:paraId="0B4441A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3ACFFE0" w14:textId="77777777" w:rsidR="00090683" w:rsidRDefault="00090683" w:rsidP="000B7E9A">
            <w:pPr>
              <w:pStyle w:val="Tabletext"/>
            </w:pPr>
            <w:r>
              <w:rPr>
                <w:lang w:val="en-US"/>
              </w:rPr>
              <w:t>17</w:t>
            </w:r>
          </w:p>
        </w:tc>
        <w:tc>
          <w:tcPr>
            <w:tcW w:w="4084" w:type="pct"/>
          </w:tcPr>
          <w:p w14:paraId="2EE1108A" w14:textId="77777777" w:rsidR="00090683" w:rsidRDefault="00090683" w:rsidP="000B7E9A">
            <w:pPr>
              <w:pStyle w:val="Tabletext"/>
            </w:pPr>
            <w:r>
              <w:rPr>
                <w:color w:val="000000"/>
                <w:szCs w:val="20"/>
                <w:lang w:val="en-US"/>
              </w:rPr>
              <w:t>Western Sydney University student</w:t>
            </w:r>
          </w:p>
        </w:tc>
      </w:tr>
      <w:tr w:rsidR="00090683" w14:paraId="4AA31F0A"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49723AB" w14:textId="77777777" w:rsidR="00090683" w:rsidRDefault="00090683" w:rsidP="000B7E9A">
            <w:pPr>
              <w:pStyle w:val="Tabletext"/>
            </w:pPr>
            <w:r>
              <w:rPr>
                <w:lang w:val="en-US"/>
              </w:rPr>
              <w:t>18</w:t>
            </w:r>
          </w:p>
        </w:tc>
        <w:tc>
          <w:tcPr>
            <w:tcW w:w="4084" w:type="pct"/>
          </w:tcPr>
          <w:p w14:paraId="454030F6" w14:textId="77777777" w:rsidR="00090683" w:rsidRDefault="00090683" w:rsidP="000B7E9A">
            <w:pPr>
              <w:pStyle w:val="Tabletext"/>
            </w:pPr>
            <w:r>
              <w:rPr>
                <w:color w:val="000000"/>
                <w:szCs w:val="20"/>
                <w:lang w:val="en-US"/>
              </w:rPr>
              <w:t>Queensland Academy for Health Sciences</w:t>
            </w:r>
          </w:p>
        </w:tc>
      </w:tr>
      <w:tr w:rsidR="00090683" w14:paraId="272F418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EEA9C05" w14:textId="77777777" w:rsidR="00090683" w:rsidRDefault="00090683" w:rsidP="000B7E9A">
            <w:pPr>
              <w:pStyle w:val="Tabletext"/>
            </w:pPr>
            <w:r>
              <w:rPr>
                <w:lang w:val="en-US"/>
              </w:rPr>
              <w:t>19</w:t>
            </w:r>
          </w:p>
        </w:tc>
        <w:tc>
          <w:tcPr>
            <w:tcW w:w="4084" w:type="pct"/>
          </w:tcPr>
          <w:p w14:paraId="39706068" w14:textId="77777777" w:rsidR="00090683" w:rsidRDefault="00090683" w:rsidP="000B7E9A">
            <w:pPr>
              <w:pStyle w:val="Tabletext"/>
            </w:pPr>
            <w:r>
              <w:rPr>
                <w:color w:val="000000"/>
                <w:szCs w:val="20"/>
                <w:lang w:val="en-US"/>
              </w:rPr>
              <w:t>St Francis College</w:t>
            </w:r>
          </w:p>
        </w:tc>
      </w:tr>
      <w:tr w:rsidR="00090683" w14:paraId="38501B9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AF1F0BF" w14:textId="77777777" w:rsidR="00090683" w:rsidRDefault="00090683" w:rsidP="000B7E9A">
            <w:pPr>
              <w:pStyle w:val="Tabletext"/>
            </w:pPr>
            <w:r>
              <w:rPr>
                <w:lang w:val="en-US"/>
              </w:rPr>
              <w:t>20</w:t>
            </w:r>
          </w:p>
        </w:tc>
        <w:tc>
          <w:tcPr>
            <w:tcW w:w="4084" w:type="pct"/>
          </w:tcPr>
          <w:p w14:paraId="0EADB046" w14:textId="77777777" w:rsidR="00090683" w:rsidRDefault="00090683" w:rsidP="000B7E9A">
            <w:pPr>
              <w:pStyle w:val="Tabletext"/>
            </w:pPr>
            <w:r>
              <w:rPr>
                <w:color w:val="000000"/>
                <w:szCs w:val="20"/>
                <w:lang w:val="en-US"/>
              </w:rPr>
              <w:t>Granville Boys High School</w:t>
            </w:r>
          </w:p>
        </w:tc>
      </w:tr>
      <w:tr w:rsidR="00090683" w14:paraId="1E80E1E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43F1F22" w14:textId="77777777" w:rsidR="00090683" w:rsidRDefault="00090683" w:rsidP="000B7E9A">
            <w:pPr>
              <w:pStyle w:val="Tabletext"/>
            </w:pPr>
            <w:r>
              <w:rPr>
                <w:lang w:val="en-US"/>
              </w:rPr>
              <w:t>21</w:t>
            </w:r>
          </w:p>
        </w:tc>
        <w:tc>
          <w:tcPr>
            <w:tcW w:w="4084" w:type="pct"/>
          </w:tcPr>
          <w:p w14:paraId="349A4CCB" w14:textId="77777777" w:rsidR="00090683" w:rsidRDefault="00090683" w:rsidP="000B7E9A">
            <w:pPr>
              <w:pStyle w:val="Tabletext"/>
            </w:pPr>
            <w:r>
              <w:rPr>
                <w:color w:val="000000"/>
                <w:szCs w:val="20"/>
                <w:lang w:val="en-US"/>
              </w:rPr>
              <w:t>Tennille Vitagliano</w:t>
            </w:r>
          </w:p>
        </w:tc>
      </w:tr>
      <w:tr w:rsidR="00090683" w14:paraId="22C21458"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16688A5" w14:textId="77777777" w:rsidR="00090683" w:rsidRDefault="00090683" w:rsidP="000B7E9A">
            <w:pPr>
              <w:pStyle w:val="Tabletext"/>
            </w:pPr>
            <w:r>
              <w:rPr>
                <w:lang w:val="en-US"/>
              </w:rPr>
              <w:t>22</w:t>
            </w:r>
          </w:p>
        </w:tc>
        <w:tc>
          <w:tcPr>
            <w:tcW w:w="4084" w:type="pct"/>
          </w:tcPr>
          <w:p w14:paraId="65951135" w14:textId="77777777" w:rsidR="00090683" w:rsidRDefault="00090683" w:rsidP="000B7E9A">
            <w:pPr>
              <w:pStyle w:val="Tabletext"/>
            </w:pPr>
            <w:r>
              <w:rPr>
                <w:color w:val="000000"/>
                <w:szCs w:val="20"/>
                <w:lang w:val="en-US"/>
              </w:rPr>
              <w:t>Catholic Education Diocese of Wollongong</w:t>
            </w:r>
          </w:p>
        </w:tc>
      </w:tr>
      <w:tr w:rsidR="00090683" w14:paraId="04F3F084"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A9331A3" w14:textId="77777777" w:rsidR="00090683" w:rsidRDefault="00090683" w:rsidP="000B7E9A">
            <w:pPr>
              <w:pStyle w:val="Tabletext"/>
            </w:pPr>
            <w:r>
              <w:rPr>
                <w:lang w:val="en-US"/>
              </w:rPr>
              <w:t>23</w:t>
            </w:r>
          </w:p>
        </w:tc>
        <w:tc>
          <w:tcPr>
            <w:tcW w:w="4084" w:type="pct"/>
          </w:tcPr>
          <w:p w14:paraId="4BE4007F" w14:textId="77777777" w:rsidR="00090683" w:rsidRDefault="00090683" w:rsidP="000B7E9A">
            <w:pPr>
              <w:pStyle w:val="Tabletext"/>
            </w:pPr>
            <w:r>
              <w:rPr>
                <w:color w:val="000000"/>
                <w:szCs w:val="20"/>
                <w:lang w:val="en-US"/>
              </w:rPr>
              <w:t>Open Access College</w:t>
            </w:r>
          </w:p>
        </w:tc>
      </w:tr>
      <w:tr w:rsidR="00090683" w14:paraId="705EBCD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D5EAC68" w14:textId="77777777" w:rsidR="00090683" w:rsidRDefault="00090683" w:rsidP="000B7E9A">
            <w:pPr>
              <w:pStyle w:val="Tabletext"/>
            </w:pPr>
            <w:r>
              <w:rPr>
                <w:lang w:val="en-US"/>
              </w:rPr>
              <w:t>24</w:t>
            </w:r>
          </w:p>
        </w:tc>
        <w:tc>
          <w:tcPr>
            <w:tcW w:w="4084" w:type="pct"/>
          </w:tcPr>
          <w:p w14:paraId="5408CAF3" w14:textId="77777777" w:rsidR="00090683" w:rsidRDefault="00090683" w:rsidP="000B7E9A">
            <w:pPr>
              <w:pStyle w:val="Tabletext"/>
            </w:pPr>
            <w:r>
              <w:rPr>
                <w:color w:val="000000"/>
                <w:szCs w:val="20"/>
                <w:lang w:val="en-US"/>
              </w:rPr>
              <w:t>Kiara College</w:t>
            </w:r>
          </w:p>
        </w:tc>
      </w:tr>
      <w:tr w:rsidR="00090683" w14:paraId="33DDB79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D7E9762" w14:textId="77777777" w:rsidR="00090683" w:rsidRDefault="00090683" w:rsidP="000B7E9A">
            <w:pPr>
              <w:pStyle w:val="Tabletext"/>
            </w:pPr>
            <w:r>
              <w:rPr>
                <w:lang w:val="en-US"/>
              </w:rPr>
              <w:t>25</w:t>
            </w:r>
          </w:p>
        </w:tc>
        <w:tc>
          <w:tcPr>
            <w:tcW w:w="4084" w:type="pct"/>
          </w:tcPr>
          <w:p w14:paraId="7C82755F" w14:textId="77777777" w:rsidR="00090683" w:rsidRDefault="00090683" w:rsidP="000B7E9A">
            <w:pPr>
              <w:pStyle w:val="Tabletext"/>
            </w:pPr>
            <w:r>
              <w:rPr>
                <w:color w:val="000000"/>
                <w:szCs w:val="20"/>
                <w:lang w:val="en-US"/>
              </w:rPr>
              <w:t>Tenison Woods College</w:t>
            </w:r>
          </w:p>
        </w:tc>
      </w:tr>
      <w:tr w:rsidR="00090683" w14:paraId="6762A170"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BD831D5" w14:textId="77777777" w:rsidR="00090683" w:rsidRDefault="00090683" w:rsidP="000B7E9A">
            <w:pPr>
              <w:pStyle w:val="Tabletext"/>
            </w:pPr>
            <w:r>
              <w:rPr>
                <w:lang w:val="en-US"/>
              </w:rPr>
              <w:t>26</w:t>
            </w:r>
          </w:p>
        </w:tc>
        <w:tc>
          <w:tcPr>
            <w:tcW w:w="4084" w:type="pct"/>
            <w:vAlign w:val="bottom"/>
          </w:tcPr>
          <w:p w14:paraId="0FFC9166" w14:textId="77777777" w:rsidR="00090683" w:rsidRDefault="00090683" w:rsidP="000B7E9A">
            <w:pPr>
              <w:pStyle w:val="Tabletext"/>
            </w:pPr>
            <w:r>
              <w:rPr>
                <w:color w:val="000000"/>
                <w:szCs w:val="20"/>
                <w:lang w:val="en-US"/>
              </w:rPr>
              <w:t>Department of Education Public Schools Wagga Wagga Directorate</w:t>
            </w:r>
          </w:p>
        </w:tc>
      </w:tr>
      <w:tr w:rsidR="00090683" w14:paraId="2672F55C"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DD8260B" w14:textId="77777777" w:rsidR="00090683" w:rsidRDefault="00090683" w:rsidP="000B7E9A">
            <w:pPr>
              <w:pStyle w:val="Tabletext"/>
            </w:pPr>
            <w:r>
              <w:rPr>
                <w:lang w:val="en-US"/>
              </w:rPr>
              <w:t>27</w:t>
            </w:r>
          </w:p>
        </w:tc>
        <w:tc>
          <w:tcPr>
            <w:tcW w:w="4084" w:type="pct"/>
          </w:tcPr>
          <w:p w14:paraId="78386476" w14:textId="77777777" w:rsidR="00090683" w:rsidRDefault="00090683" w:rsidP="000B7E9A">
            <w:pPr>
              <w:pStyle w:val="Tabletext"/>
            </w:pPr>
            <w:r>
              <w:rPr>
                <w:color w:val="000000"/>
                <w:szCs w:val="20"/>
                <w:lang w:val="en-US"/>
              </w:rPr>
              <w:t>Lion</w:t>
            </w:r>
          </w:p>
        </w:tc>
      </w:tr>
      <w:tr w:rsidR="00090683" w14:paraId="751B05D8"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33B92E1" w14:textId="77777777" w:rsidR="00090683" w:rsidRDefault="00090683" w:rsidP="000B7E9A">
            <w:pPr>
              <w:pStyle w:val="Tabletext"/>
            </w:pPr>
            <w:r>
              <w:rPr>
                <w:lang w:val="en-US"/>
              </w:rPr>
              <w:t>28</w:t>
            </w:r>
          </w:p>
        </w:tc>
        <w:tc>
          <w:tcPr>
            <w:tcW w:w="4084" w:type="pct"/>
          </w:tcPr>
          <w:p w14:paraId="3F7E8E04" w14:textId="77777777" w:rsidR="00090683" w:rsidRDefault="00090683" w:rsidP="000B7E9A">
            <w:pPr>
              <w:pStyle w:val="Tabletext"/>
            </w:pPr>
            <w:r>
              <w:rPr>
                <w:color w:val="000000"/>
                <w:szCs w:val="20"/>
                <w:lang w:val="en-US"/>
              </w:rPr>
              <w:t>School in Queensland</w:t>
            </w:r>
          </w:p>
        </w:tc>
      </w:tr>
      <w:tr w:rsidR="00090683" w14:paraId="541198BD"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8BC19DE" w14:textId="77777777" w:rsidR="00090683" w:rsidRDefault="00090683" w:rsidP="000B7E9A">
            <w:pPr>
              <w:pStyle w:val="Tabletext"/>
            </w:pPr>
            <w:r>
              <w:rPr>
                <w:lang w:val="en-US"/>
              </w:rPr>
              <w:t>29</w:t>
            </w:r>
          </w:p>
        </w:tc>
        <w:tc>
          <w:tcPr>
            <w:tcW w:w="4084" w:type="pct"/>
          </w:tcPr>
          <w:p w14:paraId="533930CA" w14:textId="77777777" w:rsidR="00090683" w:rsidRDefault="00090683" w:rsidP="000B7E9A">
            <w:pPr>
              <w:pStyle w:val="Tabletext"/>
            </w:pPr>
            <w:r>
              <w:rPr>
                <w:color w:val="000000"/>
                <w:szCs w:val="20"/>
                <w:lang w:val="en-US"/>
              </w:rPr>
              <w:t>Deception Bay Flexible Learning Centre</w:t>
            </w:r>
          </w:p>
        </w:tc>
      </w:tr>
      <w:tr w:rsidR="00090683" w14:paraId="0D405978"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21D5EF4" w14:textId="77777777" w:rsidR="00090683" w:rsidRDefault="00090683" w:rsidP="000B7E9A">
            <w:pPr>
              <w:pStyle w:val="Tabletext"/>
            </w:pPr>
            <w:r>
              <w:rPr>
                <w:lang w:val="en-US"/>
              </w:rPr>
              <w:t>30</w:t>
            </w:r>
          </w:p>
        </w:tc>
        <w:tc>
          <w:tcPr>
            <w:tcW w:w="4084" w:type="pct"/>
          </w:tcPr>
          <w:p w14:paraId="7BD09DBD" w14:textId="77777777" w:rsidR="00090683" w:rsidRDefault="00090683" w:rsidP="000B7E9A">
            <w:pPr>
              <w:pStyle w:val="Tabletext"/>
            </w:pPr>
            <w:r>
              <w:rPr>
                <w:color w:val="000000"/>
                <w:szCs w:val="20"/>
                <w:lang w:val="en-US"/>
              </w:rPr>
              <w:t>Swallowcliffe P-7</w:t>
            </w:r>
          </w:p>
        </w:tc>
      </w:tr>
      <w:tr w:rsidR="00090683" w14:paraId="78171277"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8B5032B" w14:textId="77777777" w:rsidR="00090683" w:rsidRDefault="00090683" w:rsidP="000B7E9A">
            <w:pPr>
              <w:pStyle w:val="Tabletext"/>
            </w:pPr>
            <w:r>
              <w:rPr>
                <w:lang w:val="en-US"/>
              </w:rPr>
              <w:t>31</w:t>
            </w:r>
          </w:p>
        </w:tc>
        <w:tc>
          <w:tcPr>
            <w:tcW w:w="4084" w:type="pct"/>
          </w:tcPr>
          <w:p w14:paraId="534779C3" w14:textId="77777777" w:rsidR="00090683" w:rsidRDefault="00090683" w:rsidP="000B7E9A">
            <w:pPr>
              <w:pStyle w:val="Tabletext"/>
            </w:pPr>
            <w:r>
              <w:rPr>
                <w:color w:val="000000"/>
                <w:szCs w:val="20"/>
                <w:lang w:val="en-US"/>
              </w:rPr>
              <w:t>Monto State High School</w:t>
            </w:r>
          </w:p>
        </w:tc>
      </w:tr>
      <w:tr w:rsidR="00090683" w14:paraId="03FD2EF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82C5D43" w14:textId="77777777" w:rsidR="00090683" w:rsidRDefault="00090683" w:rsidP="000B7E9A">
            <w:pPr>
              <w:pStyle w:val="Tabletext"/>
            </w:pPr>
            <w:r>
              <w:rPr>
                <w:lang w:val="en-US"/>
              </w:rPr>
              <w:t>32</w:t>
            </w:r>
          </w:p>
        </w:tc>
        <w:tc>
          <w:tcPr>
            <w:tcW w:w="4084" w:type="pct"/>
          </w:tcPr>
          <w:p w14:paraId="49029AE5" w14:textId="77777777" w:rsidR="00090683" w:rsidRDefault="00090683" w:rsidP="000B7E9A">
            <w:pPr>
              <w:pStyle w:val="Tabletext"/>
            </w:pPr>
            <w:r>
              <w:rPr>
                <w:color w:val="000000"/>
                <w:szCs w:val="20"/>
                <w:lang w:val="en-US"/>
              </w:rPr>
              <w:t>Lake Cargelligo Central School</w:t>
            </w:r>
          </w:p>
        </w:tc>
      </w:tr>
      <w:tr w:rsidR="00090683" w14:paraId="0AA3ED3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2FE8EAC" w14:textId="77777777" w:rsidR="00090683" w:rsidRDefault="00090683" w:rsidP="000B7E9A">
            <w:pPr>
              <w:pStyle w:val="Tabletext"/>
            </w:pPr>
            <w:r>
              <w:rPr>
                <w:lang w:val="en-US"/>
              </w:rPr>
              <w:t>33</w:t>
            </w:r>
          </w:p>
        </w:tc>
        <w:tc>
          <w:tcPr>
            <w:tcW w:w="4084" w:type="pct"/>
          </w:tcPr>
          <w:p w14:paraId="1AB41C07" w14:textId="77777777" w:rsidR="00090683" w:rsidRDefault="00090683" w:rsidP="000B7E9A">
            <w:pPr>
              <w:pStyle w:val="Tabletext"/>
            </w:pPr>
            <w:r>
              <w:rPr>
                <w:color w:val="000000"/>
                <w:szCs w:val="20"/>
                <w:lang w:val="en-US"/>
              </w:rPr>
              <w:t>Ungarie Central School</w:t>
            </w:r>
          </w:p>
        </w:tc>
      </w:tr>
      <w:tr w:rsidR="00090683" w14:paraId="14A8C2F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DD04B6B" w14:textId="77777777" w:rsidR="00090683" w:rsidRDefault="00090683" w:rsidP="000B7E9A">
            <w:pPr>
              <w:pStyle w:val="Tabletext"/>
            </w:pPr>
            <w:r>
              <w:rPr>
                <w:lang w:val="en-US"/>
              </w:rPr>
              <w:t>34</w:t>
            </w:r>
          </w:p>
        </w:tc>
        <w:tc>
          <w:tcPr>
            <w:tcW w:w="4084" w:type="pct"/>
          </w:tcPr>
          <w:p w14:paraId="4AEA2C0D" w14:textId="77777777" w:rsidR="00090683" w:rsidRDefault="00090683" w:rsidP="000B7E9A">
            <w:pPr>
              <w:pStyle w:val="Tabletext"/>
            </w:pPr>
            <w:r>
              <w:rPr>
                <w:color w:val="000000"/>
                <w:szCs w:val="20"/>
                <w:lang w:val="en-US"/>
              </w:rPr>
              <w:t>Hope Christian College</w:t>
            </w:r>
          </w:p>
        </w:tc>
      </w:tr>
      <w:tr w:rsidR="00090683" w14:paraId="317E273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94B77AF" w14:textId="77777777" w:rsidR="00090683" w:rsidRDefault="00090683" w:rsidP="000B7E9A">
            <w:pPr>
              <w:pStyle w:val="Tabletext"/>
            </w:pPr>
            <w:r>
              <w:rPr>
                <w:lang w:val="en-US"/>
              </w:rPr>
              <w:t>35</w:t>
            </w:r>
          </w:p>
        </w:tc>
        <w:tc>
          <w:tcPr>
            <w:tcW w:w="4084" w:type="pct"/>
          </w:tcPr>
          <w:p w14:paraId="4F3B5023" w14:textId="77777777" w:rsidR="00090683" w:rsidRDefault="00090683" w:rsidP="000B7E9A">
            <w:pPr>
              <w:pStyle w:val="Tabletext"/>
            </w:pPr>
            <w:r>
              <w:rPr>
                <w:color w:val="000000"/>
                <w:szCs w:val="20"/>
                <w:lang w:val="en-US"/>
              </w:rPr>
              <w:t>Mendooran Central School</w:t>
            </w:r>
          </w:p>
        </w:tc>
      </w:tr>
      <w:tr w:rsidR="00090683" w14:paraId="36FF52BA"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FB2E396" w14:textId="77777777" w:rsidR="00090683" w:rsidRDefault="00090683" w:rsidP="000B7E9A">
            <w:pPr>
              <w:pStyle w:val="Tabletext"/>
            </w:pPr>
            <w:r>
              <w:rPr>
                <w:lang w:val="en-US"/>
              </w:rPr>
              <w:t>36</w:t>
            </w:r>
          </w:p>
        </w:tc>
        <w:tc>
          <w:tcPr>
            <w:tcW w:w="4084" w:type="pct"/>
          </w:tcPr>
          <w:p w14:paraId="1CD1C856" w14:textId="77777777" w:rsidR="00090683" w:rsidRDefault="00090683" w:rsidP="000B7E9A">
            <w:pPr>
              <w:pStyle w:val="Tabletext"/>
            </w:pPr>
            <w:r>
              <w:rPr>
                <w:color w:val="000000"/>
                <w:szCs w:val="20"/>
                <w:lang w:val="en-US"/>
              </w:rPr>
              <w:t>Holroyd High School (Principal)</w:t>
            </w:r>
          </w:p>
        </w:tc>
      </w:tr>
      <w:tr w:rsidR="00090683" w14:paraId="1468DB5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C1567FB" w14:textId="77777777" w:rsidR="00090683" w:rsidRDefault="00090683" w:rsidP="000B7E9A">
            <w:pPr>
              <w:pStyle w:val="Tabletext"/>
            </w:pPr>
            <w:r>
              <w:rPr>
                <w:lang w:val="en-US"/>
              </w:rPr>
              <w:t>37</w:t>
            </w:r>
          </w:p>
        </w:tc>
        <w:tc>
          <w:tcPr>
            <w:tcW w:w="4084" w:type="pct"/>
            <w:vAlign w:val="bottom"/>
          </w:tcPr>
          <w:p w14:paraId="5C431426" w14:textId="77777777" w:rsidR="00090683" w:rsidRDefault="00090683" w:rsidP="000B7E9A">
            <w:pPr>
              <w:pStyle w:val="Tabletext"/>
            </w:pPr>
            <w:r>
              <w:rPr>
                <w:color w:val="000000"/>
                <w:szCs w:val="20"/>
                <w:lang w:val="en-US"/>
              </w:rPr>
              <w:t>Birrong Girls High School</w:t>
            </w:r>
          </w:p>
        </w:tc>
      </w:tr>
      <w:tr w:rsidR="00090683" w14:paraId="01F2117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5B32A71" w14:textId="77777777" w:rsidR="00090683" w:rsidRDefault="00090683" w:rsidP="000B7E9A">
            <w:pPr>
              <w:pStyle w:val="Tabletext"/>
            </w:pPr>
            <w:r>
              <w:rPr>
                <w:lang w:val="en-US"/>
              </w:rPr>
              <w:t>38</w:t>
            </w:r>
          </w:p>
        </w:tc>
        <w:tc>
          <w:tcPr>
            <w:tcW w:w="4084" w:type="pct"/>
          </w:tcPr>
          <w:p w14:paraId="156FED5F" w14:textId="77777777" w:rsidR="00090683" w:rsidRDefault="00090683" w:rsidP="000B7E9A">
            <w:pPr>
              <w:pStyle w:val="Tabletext"/>
            </w:pPr>
            <w:r>
              <w:rPr>
                <w:color w:val="000000"/>
                <w:szCs w:val="20"/>
                <w:lang w:val="en-US"/>
              </w:rPr>
              <w:t>JJ Cahill Memorial High School</w:t>
            </w:r>
          </w:p>
        </w:tc>
      </w:tr>
      <w:tr w:rsidR="00090683" w14:paraId="30238E7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3E9474F8" w14:textId="77777777" w:rsidR="00090683" w:rsidRDefault="00090683" w:rsidP="000B7E9A">
            <w:pPr>
              <w:pStyle w:val="Tabletext"/>
            </w:pPr>
            <w:r>
              <w:rPr>
                <w:lang w:val="en-US"/>
              </w:rPr>
              <w:t>39</w:t>
            </w:r>
          </w:p>
        </w:tc>
        <w:tc>
          <w:tcPr>
            <w:tcW w:w="4084" w:type="pct"/>
          </w:tcPr>
          <w:p w14:paraId="6058222A" w14:textId="77777777" w:rsidR="00090683" w:rsidRDefault="00090683" w:rsidP="000B7E9A">
            <w:pPr>
              <w:pStyle w:val="Tabletext"/>
            </w:pPr>
            <w:r>
              <w:rPr>
                <w:color w:val="000000"/>
                <w:szCs w:val="20"/>
                <w:lang w:val="en-US"/>
              </w:rPr>
              <w:t>St. John’s Catholic Primary School Baradine</w:t>
            </w:r>
          </w:p>
        </w:tc>
      </w:tr>
      <w:tr w:rsidR="00090683" w14:paraId="13E178A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F1CF93E" w14:textId="77777777" w:rsidR="00090683" w:rsidRDefault="00090683" w:rsidP="000B7E9A">
            <w:pPr>
              <w:pStyle w:val="Tabletext"/>
            </w:pPr>
            <w:r>
              <w:rPr>
                <w:lang w:val="en-US"/>
              </w:rPr>
              <w:t>40</w:t>
            </w:r>
          </w:p>
        </w:tc>
        <w:tc>
          <w:tcPr>
            <w:tcW w:w="4084" w:type="pct"/>
          </w:tcPr>
          <w:p w14:paraId="75929816" w14:textId="77777777" w:rsidR="00090683" w:rsidRDefault="00090683" w:rsidP="000B7E9A">
            <w:pPr>
              <w:pStyle w:val="Tabletext"/>
            </w:pPr>
            <w:r>
              <w:rPr>
                <w:color w:val="000000"/>
                <w:szCs w:val="20"/>
                <w:lang w:val="en-US"/>
              </w:rPr>
              <w:t>Granville South Creative and Performing Arts High School</w:t>
            </w:r>
          </w:p>
        </w:tc>
      </w:tr>
      <w:tr w:rsidR="00090683" w14:paraId="28700B3E"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BDE97D4" w14:textId="77777777" w:rsidR="00090683" w:rsidRDefault="00090683" w:rsidP="000B7E9A">
            <w:pPr>
              <w:pStyle w:val="Tabletext"/>
            </w:pPr>
            <w:r>
              <w:rPr>
                <w:lang w:val="en-US"/>
              </w:rPr>
              <w:t>41</w:t>
            </w:r>
          </w:p>
        </w:tc>
        <w:tc>
          <w:tcPr>
            <w:tcW w:w="4084" w:type="pct"/>
          </w:tcPr>
          <w:p w14:paraId="35736ED7" w14:textId="77777777" w:rsidR="00090683" w:rsidRDefault="00090683" w:rsidP="000B7E9A">
            <w:pPr>
              <w:pStyle w:val="Tabletext"/>
            </w:pPr>
            <w:r>
              <w:rPr>
                <w:color w:val="000000"/>
                <w:szCs w:val="20"/>
                <w:lang w:val="en-US"/>
              </w:rPr>
              <w:t>Condobolin Public School</w:t>
            </w:r>
          </w:p>
        </w:tc>
      </w:tr>
      <w:tr w:rsidR="00090683" w14:paraId="1C263C5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D6C1AE5" w14:textId="77777777" w:rsidR="00090683" w:rsidRDefault="00090683" w:rsidP="000B7E9A">
            <w:pPr>
              <w:pStyle w:val="Tabletext"/>
            </w:pPr>
            <w:r>
              <w:rPr>
                <w:lang w:val="en-US"/>
              </w:rPr>
              <w:t>42</w:t>
            </w:r>
          </w:p>
        </w:tc>
        <w:tc>
          <w:tcPr>
            <w:tcW w:w="4084" w:type="pct"/>
          </w:tcPr>
          <w:p w14:paraId="6750A712" w14:textId="77777777" w:rsidR="00090683" w:rsidRDefault="00090683" w:rsidP="000B7E9A">
            <w:pPr>
              <w:pStyle w:val="Tabletext"/>
            </w:pPr>
            <w:r>
              <w:rPr>
                <w:color w:val="000000"/>
                <w:szCs w:val="20"/>
                <w:lang w:val="en-US"/>
              </w:rPr>
              <w:t>National Centre for Student Equity in Higher Education (Curtin University)</w:t>
            </w:r>
          </w:p>
        </w:tc>
      </w:tr>
      <w:tr w:rsidR="00090683" w14:paraId="48CFC5E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1E50D61" w14:textId="77777777" w:rsidR="00090683" w:rsidRDefault="00090683" w:rsidP="000B7E9A">
            <w:pPr>
              <w:pStyle w:val="Tabletext"/>
            </w:pPr>
            <w:r>
              <w:rPr>
                <w:lang w:val="en-US"/>
              </w:rPr>
              <w:t>43</w:t>
            </w:r>
          </w:p>
        </w:tc>
        <w:tc>
          <w:tcPr>
            <w:tcW w:w="4084" w:type="pct"/>
          </w:tcPr>
          <w:p w14:paraId="4B3EF1D1" w14:textId="77777777" w:rsidR="00090683" w:rsidRDefault="00090683" w:rsidP="000B7E9A">
            <w:pPr>
              <w:pStyle w:val="Tabletext"/>
            </w:pPr>
            <w:r>
              <w:rPr>
                <w:color w:val="000000"/>
                <w:szCs w:val="20"/>
                <w:lang w:val="en-US"/>
              </w:rPr>
              <w:t>Western Sydney Debating Union</w:t>
            </w:r>
          </w:p>
        </w:tc>
      </w:tr>
      <w:tr w:rsidR="00090683" w14:paraId="03BCC75A"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5E7293E" w14:textId="77777777" w:rsidR="00090683" w:rsidRDefault="00090683" w:rsidP="000B7E9A">
            <w:pPr>
              <w:pStyle w:val="Tabletext"/>
            </w:pPr>
            <w:r>
              <w:rPr>
                <w:lang w:val="en-US"/>
              </w:rPr>
              <w:t>44</w:t>
            </w:r>
          </w:p>
        </w:tc>
        <w:tc>
          <w:tcPr>
            <w:tcW w:w="4084" w:type="pct"/>
          </w:tcPr>
          <w:p w14:paraId="70262DED" w14:textId="77777777" w:rsidR="00090683" w:rsidRDefault="00090683" w:rsidP="000B7E9A">
            <w:pPr>
              <w:pStyle w:val="Tabletext"/>
            </w:pPr>
            <w:r>
              <w:rPr>
                <w:color w:val="000000"/>
                <w:szCs w:val="20"/>
                <w:lang w:val="en-US"/>
              </w:rPr>
              <w:t>Belmont City College</w:t>
            </w:r>
          </w:p>
        </w:tc>
      </w:tr>
      <w:tr w:rsidR="00090683" w14:paraId="0E6DBEA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C386AAF" w14:textId="77777777" w:rsidR="00090683" w:rsidRDefault="00090683" w:rsidP="000B7E9A">
            <w:pPr>
              <w:pStyle w:val="Tabletext"/>
            </w:pPr>
            <w:r>
              <w:rPr>
                <w:lang w:val="en-US"/>
              </w:rPr>
              <w:t>45</w:t>
            </w:r>
          </w:p>
        </w:tc>
        <w:tc>
          <w:tcPr>
            <w:tcW w:w="4084" w:type="pct"/>
          </w:tcPr>
          <w:p w14:paraId="1B61B51C" w14:textId="77777777" w:rsidR="00090683" w:rsidRDefault="00090683" w:rsidP="000B7E9A">
            <w:pPr>
              <w:pStyle w:val="Tabletext"/>
            </w:pPr>
            <w:r>
              <w:rPr>
                <w:color w:val="000000"/>
                <w:szCs w:val="20"/>
                <w:lang w:val="en-US"/>
              </w:rPr>
              <w:t>Condobolin High School (High School Teacher)</w:t>
            </w:r>
          </w:p>
        </w:tc>
      </w:tr>
      <w:tr w:rsidR="00090683" w14:paraId="0AB96DBB"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336D698" w14:textId="77777777" w:rsidR="00090683" w:rsidRDefault="00090683" w:rsidP="000B7E9A">
            <w:pPr>
              <w:pStyle w:val="Tabletext"/>
            </w:pPr>
            <w:r>
              <w:rPr>
                <w:lang w:val="en-US"/>
              </w:rPr>
              <w:t>46</w:t>
            </w:r>
          </w:p>
        </w:tc>
        <w:tc>
          <w:tcPr>
            <w:tcW w:w="4084" w:type="pct"/>
            <w:vAlign w:val="bottom"/>
          </w:tcPr>
          <w:p w14:paraId="09D3503A" w14:textId="77777777" w:rsidR="00090683" w:rsidRDefault="00090683" w:rsidP="000B7E9A">
            <w:pPr>
              <w:pStyle w:val="Tabletext"/>
            </w:pPr>
            <w:r>
              <w:rPr>
                <w:color w:val="000000"/>
                <w:szCs w:val="20"/>
                <w:lang w:val="en-US"/>
              </w:rPr>
              <w:t>McCarthy Catholic College</w:t>
            </w:r>
          </w:p>
        </w:tc>
      </w:tr>
      <w:tr w:rsidR="00090683" w14:paraId="621D5FE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6B35C4E" w14:textId="77777777" w:rsidR="00090683" w:rsidRDefault="00090683" w:rsidP="000B7E9A">
            <w:pPr>
              <w:pStyle w:val="Tabletext"/>
            </w:pPr>
            <w:r>
              <w:rPr>
                <w:lang w:val="en-US"/>
              </w:rPr>
              <w:t>47</w:t>
            </w:r>
          </w:p>
        </w:tc>
        <w:tc>
          <w:tcPr>
            <w:tcW w:w="4084" w:type="pct"/>
          </w:tcPr>
          <w:p w14:paraId="29E8C6BF" w14:textId="77777777" w:rsidR="00090683" w:rsidRDefault="00090683" w:rsidP="000B7E9A">
            <w:pPr>
              <w:pStyle w:val="Tabletext"/>
            </w:pPr>
            <w:r>
              <w:rPr>
                <w:color w:val="000000"/>
                <w:szCs w:val="20"/>
                <w:lang w:val="en-US"/>
              </w:rPr>
              <w:t>Regional Universities Network</w:t>
            </w:r>
          </w:p>
        </w:tc>
      </w:tr>
      <w:tr w:rsidR="00090683" w14:paraId="42FCDBDD"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BF43A6B" w14:textId="77777777" w:rsidR="00090683" w:rsidRDefault="00090683" w:rsidP="000B7E9A">
            <w:pPr>
              <w:pStyle w:val="Tabletext"/>
            </w:pPr>
            <w:r>
              <w:rPr>
                <w:lang w:val="en-US"/>
              </w:rPr>
              <w:t>48</w:t>
            </w:r>
          </w:p>
        </w:tc>
        <w:tc>
          <w:tcPr>
            <w:tcW w:w="4084" w:type="pct"/>
          </w:tcPr>
          <w:p w14:paraId="0371E222" w14:textId="77777777" w:rsidR="00090683" w:rsidRDefault="00090683" w:rsidP="000B7E9A">
            <w:pPr>
              <w:pStyle w:val="Tabletext"/>
            </w:pPr>
            <w:r>
              <w:rPr>
                <w:color w:val="000000"/>
                <w:szCs w:val="20"/>
                <w:lang w:val="en-US"/>
              </w:rPr>
              <w:t>TAFE Queensland Brisbane, Caboolture campus</w:t>
            </w:r>
          </w:p>
        </w:tc>
      </w:tr>
      <w:tr w:rsidR="00090683" w14:paraId="5FC1ADC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98B78E2" w14:textId="77777777" w:rsidR="00090683" w:rsidRDefault="00090683" w:rsidP="000B7E9A">
            <w:pPr>
              <w:pStyle w:val="Tabletext"/>
            </w:pPr>
            <w:r>
              <w:rPr>
                <w:lang w:val="en-US"/>
              </w:rPr>
              <w:t>49</w:t>
            </w:r>
          </w:p>
        </w:tc>
        <w:tc>
          <w:tcPr>
            <w:tcW w:w="4084" w:type="pct"/>
          </w:tcPr>
          <w:p w14:paraId="76A980DE" w14:textId="77777777" w:rsidR="00090683" w:rsidRDefault="00090683" w:rsidP="000B7E9A">
            <w:pPr>
              <w:pStyle w:val="Tabletext"/>
            </w:pPr>
            <w:r>
              <w:rPr>
                <w:color w:val="000000"/>
                <w:szCs w:val="20"/>
                <w:lang w:val="en-US"/>
              </w:rPr>
              <w:t>Dandenong High School</w:t>
            </w:r>
          </w:p>
        </w:tc>
      </w:tr>
      <w:tr w:rsidR="00090683" w14:paraId="04E44F4D"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43458C7" w14:textId="77777777" w:rsidR="00090683" w:rsidRDefault="00090683" w:rsidP="000B7E9A">
            <w:pPr>
              <w:pStyle w:val="Tabletext"/>
            </w:pPr>
            <w:r>
              <w:rPr>
                <w:lang w:val="en-US"/>
              </w:rPr>
              <w:t>50</w:t>
            </w:r>
          </w:p>
        </w:tc>
        <w:tc>
          <w:tcPr>
            <w:tcW w:w="4084" w:type="pct"/>
          </w:tcPr>
          <w:p w14:paraId="073E8797" w14:textId="77777777" w:rsidR="00090683" w:rsidRDefault="00090683" w:rsidP="000B7E9A">
            <w:pPr>
              <w:pStyle w:val="Tabletext"/>
            </w:pPr>
            <w:r>
              <w:rPr>
                <w:color w:val="000000"/>
                <w:szCs w:val="20"/>
                <w:lang w:val="en-US"/>
              </w:rPr>
              <w:t>Bass High School</w:t>
            </w:r>
          </w:p>
        </w:tc>
      </w:tr>
      <w:tr w:rsidR="00090683" w14:paraId="266174D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5C2ED3A" w14:textId="77777777" w:rsidR="00090683" w:rsidRDefault="00090683" w:rsidP="000B7E9A">
            <w:pPr>
              <w:pStyle w:val="Tabletext"/>
            </w:pPr>
            <w:r>
              <w:rPr>
                <w:lang w:val="en-US"/>
              </w:rPr>
              <w:t>51</w:t>
            </w:r>
          </w:p>
        </w:tc>
        <w:tc>
          <w:tcPr>
            <w:tcW w:w="4084" w:type="pct"/>
          </w:tcPr>
          <w:p w14:paraId="6213A302" w14:textId="77777777" w:rsidR="00090683" w:rsidRDefault="00090683" w:rsidP="000B7E9A">
            <w:pPr>
              <w:pStyle w:val="Tabletext"/>
            </w:pPr>
            <w:r>
              <w:rPr>
                <w:color w:val="000000"/>
                <w:szCs w:val="20"/>
                <w:lang w:val="en-US"/>
              </w:rPr>
              <w:t>Roxburgh College</w:t>
            </w:r>
          </w:p>
        </w:tc>
      </w:tr>
      <w:tr w:rsidR="00090683" w14:paraId="1365C67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3CD4D22" w14:textId="77777777" w:rsidR="00090683" w:rsidRDefault="00090683" w:rsidP="000B7E9A">
            <w:pPr>
              <w:pStyle w:val="Tabletext"/>
            </w:pPr>
            <w:r>
              <w:rPr>
                <w:lang w:val="en-US"/>
              </w:rPr>
              <w:t>52</w:t>
            </w:r>
          </w:p>
        </w:tc>
        <w:tc>
          <w:tcPr>
            <w:tcW w:w="4084" w:type="pct"/>
          </w:tcPr>
          <w:p w14:paraId="7614B4B7" w14:textId="77777777" w:rsidR="00090683" w:rsidRDefault="00090683" w:rsidP="000B7E9A">
            <w:pPr>
              <w:pStyle w:val="Tabletext"/>
            </w:pPr>
            <w:r>
              <w:rPr>
                <w:color w:val="000000"/>
                <w:szCs w:val="20"/>
                <w:lang w:val="en-US"/>
              </w:rPr>
              <w:t>McGuire College</w:t>
            </w:r>
          </w:p>
        </w:tc>
      </w:tr>
      <w:tr w:rsidR="00090683" w14:paraId="242BD55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27CACE9" w14:textId="77777777" w:rsidR="00090683" w:rsidRDefault="00090683" w:rsidP="000B7E9A">
            <w:pPr>
              <w:pStyle w:val="Tabletext"/>
            </w:pPr>
            <w:r>
              <w:rPr>
                <w:lang w:val="en-US"/>
              </w:rPr>
              <w:t>53</w:t>
            </w:r>
          </w:p>
        </w:tc>
        <w:tc>
          <w:tcPr>
            <w:tcW w:w="4084" w:type="pct"/>
          </w:tcPr>
          <w:p w14:paraId="44023804" w14:textId="77777777" w:rsidR="00090683" w:rsidRDefault="00090683" w:rsidP="000B7E9A">
            <w:pPr>
              <w:pStyle w:val="Tabletext"/>
            </w:pPr>
            <w:r>
              <w:rPr>
                <w:color w:val="000000"/>
                <w:szCs w:val="20"/>
                <w:lang w:val="en-US"/>
              </w:rPr>
              <w:t>Women in Science and Engineering (WiSE) Program, Western Sydney University</w:t>
            </w:r>
          </w:p>
        </w:tc>
      </w:tr>
      <w:tr w:rsidR="00090683" w14:paraId="0E9DC73D"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0A3FC97" w14:textId="77777777" w:rsidR="00090683" w:rsidRDefault="00090683" w:rsidP="000B7E9A">
            <w:pPr>
              <w:pStyle w:val="Tabletext"/>
            </w:pPr>
            <w:r>
              <w:rPr>
                <w:lang w:val="en-US"/>
              </w:rPr>
              <w:t>54</w:t>
            </w:r>
          </w:p>
        </w:tc>
        <w:tc>
          <w:tcPr>
            <w:tcW w:w="4084" w:type="pct"/>
          </w:tcPr>
          <w:p w14:paraId="6E1DF71B" w14:textId="77777777" w:rsidR="00090683" w:rsidRDefault="00090683" w:rsidP="000B7E9A">
            <w:pPr>
              <w:pStyle w:val="Tabletext"/>
            </w:pPr>
            <w:r>
              <w:rPr>
                <w:color w:val="000000"/>
                <w:szCs w:val="20"/>
                <w:lang w:val="en-US"/>
              </w:rPr>
              <w:t>[Confidential]</w:t>
            </w:r>
          </w:p>
        </w:tc>
      </w:tr>
      <w:tr w:rsidR="00090683" w14:paraId="74A73B0C"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5F12F86" w14:textId="77777777" w:rsidR="00090683" w:rsidRDefault="00090683" w:rsidP="000B7E9A">
            <w:pPr>
              <w:pStyle w:val="Tabletext"/>
            </w:pPr>
            <w:r>
              <w:rPr>
                <w:lang w:val="en-US"/>
              </w:rPr>
              <w:t>55</w:t>
            </w:r>
          </w:p>
        </w:tc>
        <w:tc>
          <w:tcPr>
            <w:tcW w:w="4084" w:type="pct"/>
          </w:tcPr>
          <w:p w14:paraId="20B902A5" w14:textId="77777777" w:rsidR="00090683" w:rsidRDefault="00090683" w:rsidP="000B7E9A">
            <w:pPr>
              <w:pStyle w:val="Tabletext"/>
            </w:pPr>
            <w:r>
              <w:rPr>
                <w:color w:val="000000"/>
                <w:szCs w:val="20"/>
                <w:lang w:val="en-US"/>
              </w:rPr>
              <w:t>Gilgandra Public School</w:t>
            </w:r>
          </w:p>
        </w:tc>
      </w:tr>
      <w:tr w:rsidR="00090683" w14:paraId="1587ADD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E9123A9" w14:textId="77777777" w:rsidR="00090683" w:rsidRDefault="00090683" w:rsidP="000B7E9A">
            <w:pPr>
              <w:pStyle w:val="Tabletext"/>
            </w:pPr>
            <w:r>
              <w:rPr>
                <w:lang w:val="en-US"/>
              </w:rPr>
              <w:t>56</w:t>
            </w:r>
          </w:p>
        </w:tc>
        <w:tc>
          <w:tcPr>
            <w:tcW w:w="4084" w:type="pct"/>
          </w:tcPr>
          <w:p w14:paraId="3111DE3E" w14:textId="77777777" w:rsidR="00090683" w:rsidRDefault="00090683" w:rsidP="000B7E9A">
            <w:pPr>
              <w:pStyle w:val="Tabletext"/>
            </w:pPr>
            <w:r>
              <w:rPr>
                <w:color w:val="000000"/>
                <w:szCs w:val="20"/>
                <w:lang w:val="en-US"/>
              </w:rPr>
              <w:t>Gilgandra High School</w:t>
            </w:r>
          </w:p>
        </w:tc>
      </w:tr>
      <w:tr w:rsidR="00090683" w14:paraId="16007A2A"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123F4BC" w14:textId="77777777" w:rsidR="00090683" w:rsidRDefault="00090683" w:rsidP="000B7E9A">
            <w:pPr>
              <w:pStyle w:val="Tabletext"/>
            </w:pPr>
            <w:r>
              <w:rPr>
                <w:lang w:val="en-US"/>
              </w:rPr>
              <w:t>57</w:t>
            </w:r>
          </w:p>
        </w:tc>
        <w:tc>
          <w:tcPr>
            <w:tcW w:w="4084" w:type="pct"/>
            <w:vAlign w:val="bottom"/>
          </w:tcPr>
          <w:p w14:paraId="2B70808D" w14:textId="77777777" w:rsidR="00090683" w:rsidRDefault="00090683" w:rsidP="000B7E9A">
            <w:pPr>
              <w:pStyle w:val="Tabletext"/>
            </w:pPr>
            <w:r>
              <w:rPr>
                <w:color w:val="000000"/>
                <w:szCs w:val="20"/>
                <w:lang w:val="en-US"/>
              </w:rPr>
              <w:t>Victoria University Secondary College</w:t>
            </w:r>
          </w:p>
        </w:tc>
      </w:tr>
      <w:tr w:rsidR="00090683" w14:paraId="2AF0607B"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B5B680A" w14:textId="77777777" w:rsidR="00090683" w:rsidRDefault="00090683" w:rsidP="000B7E9A">
            <w:pPr>
              <w:pStyle w:val="Tabletext"/>
            </w:pPr>
            <w:r>
              <w:rPr>
                <w:lang w:val="en-US"/>
              </w:rPr>
              <w:t>58</w:t>
            </w:r>
          </w:p>
        </w:tc>
        <w:tc>
          <w:tcPr>
            <w:tcW w:w="4084" w:type="pct"/>
          </w:tcPr>
          <w:p w14:paraId="6CB305BF" w14:textId="77777777" w:rsidR="00090683" w:rsidRDefault="00090683" w:rsidP="000B7E9A">
            <w:pPr>
              <w:pStyle w:val="Tabletext"/>
            </w:pPr>
            <w:r>
              <w:rPr>
                <w:color w:val="000000"/>
                <w:szCs w:val="20"/>
                <w:lang w:val="en-US"/>
              </w:rPr>
              <w:t>Bond University</w:t>
            </w:r>
          </w:p>
        </w:tc>
      </w:tr>
      <w:tr w:rsidR="00090683" w14:paraId="20330AF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2B21E55" w14:textId="77777777" w:rsidR="00090683" w:rsidRDefault="00090683" w:rsidP="000B7E9A">
            <w:pPr>
              <w:pStyle w:val="Tabletext"/>
            </w:pPr>
            <w:r>
              <w:rPr>
                <w:lang w:val="en-US"/>
              </w:rPr>
              <w:t>59</w:t>
            </w:r>
          </w:p>
        </w:tc>
        <w:tc>
          <w:tcPr>
            <w:tcW w:w="4084" w:type="pct"/>
            <w:vAlign w:val="bottom"/>
          </w:tcPr>
          <w:p w14:paraId="66427FF0" w14:textId="77777777" w:rsidR="00090683" w:rsidRDefault="00090683" w:rsidP="000B7E9A">
            <w:pPr>
              <w:pStyle w:val="Tabletext"/>
            </w:pPr>
            <w:r>
              <w:rPr>
                <w:color w:val="000000"/>
                <w:szCs w:val="20"/>
                <w:lang w:val="en-US"/>
              </w:rPr>
              <w:t>TAFE Queensland Brisbane, Logan campus</w:t>
            </w:r>
          </w:p>
        </w:tc>
      </w:tr>
      <w:tr w:rsidR="00090683" w14:paraId="2CCE55C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1381AA4" w14:textId="77777777" w:rsidR="00090683" w:rsidRDefault="00090683" w:rsidP="000B7E9A">
            <w:pPr>
              <w:pStyle w:val="Tabletext"/>
            </w:pPr>
            <w:r>
              <w:rPr>
                <w:lang w:val="en-US"/>
              </w:rPr>
              <w:t>60</w:t>
            </w:r>
          </w:p>
        </w:tc>
        <w:tc>
          <w:tcPr>
            <w:tcW w:w="4084" w:type="pct"/>
          </w:tcPr>
          <w:p w14:paraId="4062E3EA" w14:textId="77777777" w:rsidR="00090683" w:rsidRDefault="00090683" w:rsidP="000B7E9A">
            <w:pPr>
              <w:pStyle w:val="Tabletext"/>
            </w:pPr>
            <w:r>
              <w:rPr>
                <w:color w:val="000000"/>
                <w:szCs w:val="20"/>
                <w:lang w:val="en-US"/>
              </w:rPr>
              <w:t>Chester Hill North Public School</w:t>
            </w:r>
          </w:p>
        </w:tc>
      </w:tr>
      <w:tr w:rsidR="00090683" w14:paraId="31833C3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2BDC854" w14:textId="77777777" w:rsidR="00090683" w:rsidRDefault="00090683" w:rsidP="000B7E9A">
            <w:pPr>
              <w:pStyle w:val="Tabletext"/>
            </w:pPr>
            <w:r>
              <w:rPr>
                <w:lang w:val="en-US"/>
              </w:rPr>
              <w:t>61</w:t>
            </w:r>
          </w:p>
        </w:tc>
        <w:tc>
          <w:tcPr>
            <w:tcW w:w="4084" w:type="pct"/>
          </w:tcPr>
          <w:p w14:paraId="45BAFCDB" w14:textId="77777777" w:rsidR="00090683" w:rsidRDefault="00090683" w:rsidP="000B7E9A">
            <w:pPr>
              <w:pStyle w:val="Tabletext"/>
            </w:pPr>
            <w:r>
              <w:rPr>
                <w:color w:val="000000"/>
                <w:szCs w:val="20"/>
                <w:lang w:val="en-US"/>
              </w:rPr>
              <w:t>Lightning Ridge Central School</w:t>
            </w:r>
          </w:p>
        </w:tc>
      </w:tr>
      <w:tr w:rsidR="00090683" w14:paraId="539C0A0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2A92475" w14:textId="77777777" w:rsidR="00090683" w:rsidRDefault="00090683" w:rsidP="000B7E9A">
            <w:pPr>
              <w:pStyle w:val="Tabletext"/>
            </w:pPr>
            <w:r>
              <w:rPr>
                <w:lang w:val="en-US"/>
              </w:rPr>
              <w:t>62</w:t>
            </w:r>
          </w:p>
        </w:tc>
        <w:tc>
          <w:tcPr>
            <w:tcW w:w="4084" w:type="pct"/>
          </w:tcPr>
          <w:p w14:paraId="7DE84B41" w14:textId="77777777" w:rsidR="00090683" w:rsidRDefault="00090683" w:rsidP="000B7E9A">
            <w:pPr>
              <w:pStyle w:val="Tabletext"/>
            </w:pPr>
            <w:r>
              <w:rPr>
                <w:color w:val="000000"/>
                <w:szCs w:val="20"/>
                <w:lang w:val="en-US"/>
              </w:rPr>
              <w:t>Council of Private Higher Education (COPHE)</w:t>
            </w:r>
          </w:p>
        </w:tc>
      </w:tr>
      <w:tr w:rsidR="00090683" w14:paraId="34BD014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43898EA" w14:textId="77777777" w:rsidR="00090683" w:rsidRDefault="00090683" w:rsidP="000B7E9A">
            <w:pPr>
              <w:pStyle w:val="Tabletext"/>
            </w:pPr>
            <w:r>
              <w:rPr>
                <w:lang w:val="en-US"/>
              </w:rPr>
              <w:t>63</w:t>
            </w:r>
          </w:p>
        </w:tc>
        <w:tc>
          <w:tcPr>
            <w:tcW w:w="4084" w:type="pct"/>
          </w:tcPr>
          <w:p w14:paraId="2A4F069A" w14:textId="77777777" w:rsidR="00090683" w:rsidRDefault="00090683" w:rsidP="000B7E9A">
            <w:pPr>
              <w:pStyle w:val="Tabletext"/>
            </w:pPr>
            <w:r>
              <w:rPr>
                <w:color w:val="000000"/>
                <w:szCs w:val="20"/>
                <w:lang w:val="en-US"/>
              </w:rPr>
              <w:t>Distance Education Technology Infrastructure Unit (DART) NSW Department of Education Learning Systems Directorate</w:t>
            </w:r>
          </w:p>
        </w:tc>
      </w:tr>
      <w:tr w:rsidR="00090683" w14:paraId="5EB7E6B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1E62D79" w14:textId="77777777" w:rsidR="00090683" w:rsidRDefault="00090683" w:rsidP="000B7E9A">
            <w:pPr>
              <w:pStyle w:val="Tabletext"/>
            </w:pPr>
            <w:r>
              <w:rPr>
                <w:lang w:val="en-US"/>
              </w:rPr>
              <w:t>64</w:t>
            </w:r>
          </w:p>
        </w:tc>
        <w:tc>
          <w:tcPr>
            <w:tcW w:w="4084" w:type="pct"/>
          </w:tcPr>
          <w:p w14:paraId="066B5566" w14:textId="77777777" w:rsidR="00090683" w:rsidRDefault="00090683" w:rsidP="000B7E9A">
            <w:pPr>
              <w:pStyle w:val="Tabletext"/>
            </w:pPr>
            <w:r>
              <w:rPr>
                <w:color w:val="000000"/>
                <w:szCs w:val="20"/>
                <w:lang w:val="en-US"/>
              </w:rPr>
              <w:t>Meekatharra District High School</w:t>
            </w:r>
          </w:p>
        </w:tc>
      </w:tr>
      <w:tr w:rsidR="00090683" w14:paraId="6199583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01C0C2C" w14:textId="77777777" w:rsidR="00090683" w:rsidRDefault="00090683" w:rsidP="000B7E9A">
            <w:pPr>
              <w:pStyle w:val="Tabletext"/>
            </w:pPr>
            <w:r>
              <w:rPr>
                <w:lang w:val="en-US"/>
              </w:rPr>
              <w:t>65</w:t>
            </w:r>
          </w:p>
        </w:tc>
        <w:tc>
          <w:tcPr>
            <w:tcW w:w="4084" w:type="pct"/>
          </w:tcPr>
          <w:p w14:paraId="5F0BC534" w14:textId="77777777" w:rsidR="00090683" w:rsidRDefault="00090683" w:rsidP="000B7E9A">
            <w:pPr>
              <w:pStyle w:val="Tabletext"/>
            </w:pPr>
            <w:r>
              <w:rPr>
                <w:color w:val="000000"/>
                <w:szCs w:val="20"/>
                <w:lang w:val="en-US"/>
              </w:rPr>
              <w:t>Coolah Central School</w:t>
            </w:r>
          </w:p>
        </w:tc>
      </w:tr>
      <w:tr w:rsidR="00090683" w14:paraId="6A667D8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2D95D1D" w14:textId="77777777" w:rsidR="00090683" w:rsidRDefault="00090683" w:rsidP="000B7E9A">
            <w:pPr>
              <w:pStyle w:val="Tabletext"/>
            </w:pPr>
            <w:r>
              <w:rPr>
                <w:lang w:val="en-US"/>
              </w:rPr>
              <w:t>66</w:t>
            </w:r>
          </w:p>
        </w:tc>
        <w:tc>
          <w:tcPr>
            <w:tcW w:w="4084" w:type="pct"/>
            <w:vAlign w:val="bottom"/>
          </w:tcPr>
          <w:p w14:paraId="77D61166" w14:textId="77777777" w:rsidR="00090683" w:rsidRDefault="00090683" w:rsidP="000B7E9A">
            <w:pPr>
              <w:pStyle w:val="Tabletext"/>
            </w:pPr>
            <w:r>
              <w:rPr>
                <w:color w:val="000000"/>
                <w:szCs w:val="20"/>
                <w:lang w:val="en-US"/>
              </w:rPr>
              <w:t>Kuranda District State College</w:t>
            </w:r>
          </w:p>
        </w:tc>
      </w:tr>
      <w:tr w:rsidR="00090683" w14:paraId="46E17EB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8EA671A" w14:textId="77777777" w:rsidR="00090683" w:rsidRDefault="00090683" w:rsidP="000B7E9A">
            <w:pPr>
              <w:pStyle w:val="Tabletext"/>
            </w:pPr>
            <w:r>
              <w:rPr>
                <w:lang w:val="en-US"/>
              </w:rPr>
              <w:t>67</w:t>
            </w:r>
          </w:p>
        </w:tc>
        <w:tc>
          <w:tcPr>
            <w:tcW w:w="4084" w:type="pct"/>
          </w:tcPr>
          <w:p w14:paraId="53824016" w14:textId="77777777" w:rsidR="00090683" w:rsidRDefault="00090683" w:rsidP="000B7E9A">
            <w:pPr>
              <w:pStyle w:val="Tabletext"/>
            </w:pPr>
            <w:r>
              <w:rPr>
                <w:color w:val="000000"/>
                <w:szCs w:val="20"/>
                <w:lang w:val="en-US"/>
              </w:rPr>
              <w:t>Jess Lloyd</w:t>
            </w:r>
          </w:p>
        </w:tc>
      </w:tr>
      <w:tr w:rsidR="00090683" w14:paraId="01A9A41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3C6C31D" w14:textId="77777777" w:rsidR="00090683" w:rsidRDefault="00090683" w:rsidP="000B7E9A">
            <w:pPr>
              <w:pStyle w:val="Tabletext"/>
            </w:pPr>
            <w:r>
              <w:rPr>
                <w:lang w:val="en-US"/>
              </w:rPr>
              <w:t>68</w:t>
            </w:r>
          </w:p>
        </w:tc>
        <w:tc>
          <w:tcPr>
            <w:tcW w:w="4084" w:type="pct"/>
          </w:tcPr>
          <w:p w14:paraId="0B3815D1" w14:textId="77777777" w:rsidR="00090683" w:rsidRDefault="00090683" w:rsidP="000B7E9A">
            <w:pPr>
              <w:pStyle w:val="Tabletext"/>
            </w:pPr>
            <w:r>
              <w:rPr>
                <w:color w:val="000000"/>
                <w:szCs w:val="20"/>
                <w:lang w:val="en-US"/>
              </w:rPr>
              <w:t>Tyndale Christian School Strathalbyn</w:t>
            </w:r>
          </w:p>
        </w:tc>
      </w:tr>
      <w:tr w:rsidR="00090683" w14:paraId="7D2548C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4087319" w14:textId="77777777" w:rsidR="00090683" w:rsidRDefault="00090683" w:rsidP="000B7E9A">
            <w:pPr>
              <w:pStyle w:val="Tabletext"/>
            </w:pPr>
            <w:r>
              <w:rPr>
                <w:lang w:val="en-US"/>
              </w:rPr>
              <w:t>69</w:t>
            </w:r>
          </w:p>
        </w:tc>
        <w:tc>
          <w:tcPr>
            <w:tcW w:w="4084" w:type="pct"/>
          </w:tcPr>
          <w:p w14:paraId="33346C23" w14:textId="77777777" w:rsidR="00090683" w:rsidRDefault="00090683" w:rsidP="000B7E9A">
            <w:pPr>
              <w:pStyle w:val="Tabletext"/>
            </w:pPr>
            <w:r>
              <w:rPr>
                <w:color w:val="000000"/>
                <w:szCs w:val="20"/>
                <w:lang w:val="en-US"/>
              </w:rPr>
              <w:t>Caboolture State School</w:t>
            </w:r>
          </w:p>
        </w:tc>
      </w:tr>
      <w:tr w:rsidR="00090683" w14:paraId="4536826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A665191" w14:textId="77777777" w:rsidR="00090683" w:rsidRDefault="00090683" w:rsidP="000B7E9A">
            <w:pPr>
              <w:pStyle w:val="Tabletext"/>
            </w:pPr>
            <w:r>
              <w:rPr>
                <w:lang w:val="en-US"/>
              </w:rPr>
              <w:t>70</w:t>
            </w:r>
          </w:p>
        </w:tc>
        <w:tc>
          <w:tcPr>
            <w:tcW w:w="4084" w:type="pct"/>
          </w:tcPr>
          <w:p w14:paraId="6253D59B" w14:textId="77777777" w:rsidR="00090683" w:rsidRDefault="00090683" w:rsidP="000B7E9A">
            <w:pPr>
              <w:pStyle w:val="Tabletext"/>
            </w:pPr>
            <w:r>
              <w:rPr>
                <w:color w:val="000000"/>
                <w:szCs w:val="20"/>
                <w:lang w:val="en-US"/>
              </w:rPr>
              <w:t>North Bundaberg State High School</w:t>
            </w:r>
          </w:p>
        </w:tc>
      </w:tr>
      <w:tr w:rsidR="00090683" w14:paraId="59D8A93B"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735CD96" w14:textId="77777777" w:rsidR="00090683" w:rsidRDefault="00090683" w:rsidP="000B7E9A">
            <w:pPr>
              <w:pStyle w:val="Tabletext"/>
            </w:pPr>
            <w:r>
              <w:rPr>
                <w:lang w:val="en-US"/>
              </w:rPr>
              <w:t>71</w:t>
            </w:r>
          </w:p>
        </w:tc>
        <w:tc>
          <w:tcPr>
            <w:tcW w:w="4084" w:type="pct"/>
          </w:tcPr>
          <w:p w14:paraId="461CCC5B" w14:textId="77777777" w:rsidR="00090683" w:rsidRDefault="00090683" w:rsidP="000B7E9A">
            <w:pPr>
              <w:pStyle w:val="Tabletext"/>
            </w:pPr>
            <w:r>
              <w:rPr>
                <w:color w:val="000000"/>
                <w:szCs w:val="20"/>
                <w:lang w:val="en-US"/>
              </w:rPr>
              <w:t>University of Technology Sydney (UTS)</w:t>
            </w:r>
          </w:p>
        </w:tc>
      </w:tr>
      <w:tr w:rsidR="00090683" w14:paraId="6B6A344B"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7E12508" w14:textId="77777777" w:rsidR="00090683" w:rsidRDefault="00090683" w:rsidP="000B7E9A">
            <w:pPr>
              <w:pStyle w:val="Tabletext"/>
            </w:pPr>
            <w:r>
              <w:rPr>
                <w:lang w:val="en-US"/>
              </w:rPr>
              <w:t>72</w:t>
            </w:r>
          </w:p>
        </w:tc>
        <w:tc>
          <w:tcPr>
            <w:tcW w:w="4084" w:type="pct"/>
          </w:tcPr>
          <w:p w14:paraId="435693A0" w14:textId="77777777" w:rsidR="00090683" w:rsidRDefault="00090683" w:rsidP="000B7E9A">
            <w:pPr>
              <w:pStyle w:val="Tabletext"/>
            </w:pPr>
            <w:r>
              <w:rPr>
                <w:color w:val="000000"/>
                <w:szCs w:val="20"/>
                <w:lang w:val="en-US"/>
              </w:rPr>
              <w:t>PCYC Launceston (Inc)</w:t>
            </w:r>
          </w:p>
        </w:tc>
      </w:tr>
      <w:tr w:rsidR="00090683" w14:paraId="7561583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46512E9" w14:textId="77777777" w:rsidR="00090683" w:rsidRDefault="00090683" w:rsidP="000B7E9A">
            <w:pPr>
              <w:pStyle w:val="Tabletext"/>
            </w:pPr>
            <w:r>
              <w:rPr>
                <w:lang w:val="en-US"/>
              </w:rPr>
              <w:t>73</w:t>
            </w:r>
          </w:p>
        </w:tc>
        <w:tc>
          <w:tcPr>
            <w:tcW w:w="4084" w:type="pct"/>
          </w:tcPr>
          <w:p w14:paraId="1493639E" w14:textId="77777777" w:rsidR="00090683" w:rsidRDefault="00090683" w:rsidP="000B7E9A">
            <w:pPr>
              <w:pStyle w:val="Tabletext"/>
            </w:pPr>
            <w:r>
              <w:rPr>
                <w:color w:val="000000"/>
                <w:szCs w:val="20"/>
                <w:lang w:val="en-US"/>
              </w:rPr>
              <w:t>[Confidential]</w:t>
            </w:r>
          </w:p>
        </w:tc>
      </w:tr>
      <w:tr w:rsidR="00090683" w14:paraId="2BDB63DC"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32835D67" w14:textId="77777777" w:rsidR="00090683" w:rsidRDefault="00090683" w:rsidP="000B7E9A">
            <w:pPr>
              <w:pStyle w:val="Tabletext"/>
            </w:pPr>
            <w:r>
              <w:rPr>
                <w:lang w:val="en-US"/>
              </w:rPr>
              <w:t>74</w:t>
            </w:r>
          </w:p>
        </w:tc>
        <w:tc>
          <w:tcPr>
            <w:tcW w:w="4084" w:type="pct"/>
          </w:tcPr>
          <w:p w14:paraId="74A2FD46" w14:textId="77777777" w:rsidR="00090683" w:rsidRDefault="00090683" w:rsidP="000B7E9A">
            <w:pPr>
              <w:pStyle w:val="Tabletext"/>
            </w:pPr>
            <w:r>
              <w:rPr>
                <w:color w:val="000000"/>
                <w:szCs w:val="20"/>
                <w:lang w:val="en-US"/>
              </w:rPr>
              <w:t>Dunedoo Central School</w:t>
            </w:r>
          </w:p>
        </w:tc>
      </w:tr>
      <w:tr w:rsidR="00090683" w14:paraId="2BB0090B"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A92CB76" w14:textId="77777777" w:rsidR="00090683" w:rsidRDefault="00090683" w:rsidP="000B7E9A">
            <w:pPr>
              <w:pStyle w:val="Tabletext"/>
            </w:pPr>
            <w:r>
              <w:rPr>
                <w:lang w:val="en-US"/>
              </w:rPr>
              <w:t>75</w:t>
            </w:r>
          </w:p>
        </w:tc>
        <w:tc>
          <w:tcPr>
            <w:tcW w:w="4084" w:type="pct"/>
          </w:tcPr>
          <w:p w14:paraId="0C942DDC" w14:textId="77777777" w:rsidR="00090683" w:rsidRDefault="00090683" w:rsidP="000B7E9A">
            <w:pPr>
              <w:pStyle w:val="Tabletext"/>
            </w:pPr>
            <w:r>
              <w:rPr>
                <w:color w:val="000000"/>
                <w:szCs w:val="20"/>
                <w:lang w:val="en-US"/>
              </w:rPr>
              <w:t>Equity Practitioners in Higher Education Australasia (EPHEA)</w:t>
            </w:r>
          </w:p>
        </w:tc>
      </w:tr>
      <w:tr w:rsidR="00090683" w14:paraId="689A6E2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B57C6B6" w14:textId="77777777" w:rsidR="00090683" w:rsidRDefault="00090683" w:rsidP="000B7E9A">
            <w:pPr>
              <w:pStyle w:val="Tabletext"/>
            </w:pPr>
            <w:r>
              <w:rPr>
                <w:lang w:val="en-US"/>
              </w:rPr>
              <w:t>76</w:t>
            </w:r>
          </w:p>
        </w:tc>
        <w:tc>
          <w:tcPr>
            <w:tcW w:w="4084" w:type="pct"/>
          </w:tcPr>
          <w:p w14:paraId="116EF42F" w14:textId="77777777" w:rsidR="00090683" w:rsidRDefault="00090683" w:rsidP="000B7E9A">
            <w:pPr>
              <w:pStyle w:val="Tabletext"/>
            </w:pPr>
            <w:r>
              <w:rPr>
                <w:color w:val="000000"/>
                <w:szCs w:val="20"/>
                <w:lang w:val="en-US"/>
              </w:rPr>
              <w:t>Tom Price Senior High School</w:t>
            </w:r>
          </w:p>
        </w:tc>
      </w:tr>
      <w:tr w:rsidR="00090683" w14:paraId="539ADFC8"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78118DA" w14:textId="77777777" w:rsidR="00090683" w:rsidRDefault="00090683" w:rsidP="000B7E9A">
            <w:pPr>
              <w:pStyle w:val="Tabletext"/>
            </w:pPr>
            <w:r>
              <w:rPr>
                <w:lang w:val="en-US"/>
              </w:rPr>
              <w:t>77</w:t>
            </w:r>
          </w:p>
        </w:tc>
        <w:tc>
          <w:tcPr>
            <w:tcW w:w="4084" w:type="pct"/>
            <w:vAlign w:val="bottom"/>
          </w:tcPr>
          <w:p w14:paraId="7EA323A1" w14:textId="77777777" w:rsidR="00090683" w:rsidRDefault="00090683" w:rsidP="000B7E9A">
            <w:pPr>
              <w:pStyle w:val="Tabletext"/>
            </w:pPr>
            <w:r>
              <w:rPr>
                <w:color w:val="000000"/>
                <w:szCs w:val="20"/>
                <w:lang w:val="en-US"/>
              </w:rPr>
              <w:t>Western Australian Department of Corrective Services</w:t>
            </w:r>
          </w:p>
        </w:tc>
      </w:tr>
      <w:tr w:rsidR="00090683" w14:paraId="5610F9F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787E514" w14:textId="77777777" w:rsidR="00090683" w:rsidRDefault="00090683" w:rsidP="000B7E9A">
            <w:pPr>
              <w:pStyle w:val="Tabletext"/>
            </w:pPr>
            <w:r>
              <w:rPr>
                <w:lang w:val="en-US"/>
              </w:rPr>
              <w:t>78</w:t>
            </w:r>
          </w:p>
        </w:tc>
        <w:tc>
          <w:tcPr>
            <w:tcW w:w="4084" w:type="pct"/>
          </w:tcPr>
          <w:p w14:paraId="336C1FE9" w14:textId="77777777" w:rsidR="00090683" w:rsidRDefault="00090683" w:rsidP="000B7E9A">
            <w:pPr>
              <w:pStyle w:val="Tabletext"/>
            </w:pPr>
            <w:r>
              <w:rPr>
                <w:color w:val="000000"/>
                <w:szCs w:val="20"/>
                <w:lang w:val="en-US"/>
              </w:rPr>
              <w:t>University of Southern Queensland</w:t>
            </w:r>
          </w:p>
        </w:tc>
      </w:tr>
      <w:tr w:rsidR="00090683" w14:paraId="7BE6DC8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45388FF" w14:textId="77777777" w:rsidR="00090683" w:rsidRDefault="00090683" w:rsidP="000B7E9A">
            <w:pPr>
              <w:pStyle w:val="Tabletext"/>
            </w:pPr>
            <w:r>
              <w:rPr>
                <w:lang w:val="en-US"/>
              </w:rPr>
              <w:t>79</w:t>
            </w:r>
          </w:p>
        </w:tc>
        <w:tc>
          <w:tcPr>
            <w:tcW w:w="4084" w:type="pct"/>
            <w:vAlign w:val="bottom"/>
          </w:tcPr>
          <w:p w14:paraId="73BB84E9" w14:textId="77777777" w:rsidR="00090683" w:rsidRDefault="00090683" w:rsidP="000B7E9A">
            <w:pPr>
              <w:pStyle w:val="Tabletext"/>
            </w:pPr>
            <w:r>
              <w:rPr>
                <w:color w:val="000000"/>
                <w:szCs w:val="20"/>
                <w:lang w:val="en-US"/>
              </w:rPr>
              <w:t>Universities Australia</w:t>
            </w:r>
          </w:p>
        </w:tc>
      </w:tr>
      <w:tr w:rsidR="00090683" w14:paraId="1269476D"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2A6E083" w14:textId="77777777" w:rsidR="00090683" w:rsidRDefault="00090683" w:rsidP="000B7E9A">
            <w:pPr>
              <w:pStyle w:val="Tabletext"/>
            </w:pPr>
            <w:r>
              <w:rPr>
                <w:lang w:val="en-US"/>
              </w:rPr>
              <w:t>80</w:t>
            </w:r>
          </w:p>
        </w:tc>
        <w:tc>
          <w:tcPr>
            <w:tcW w:w="4084" w:type="pct"/>
          </w:tcPr>
          <w:p w14:paraId="36FFE7B8" w14:textId="77777777" w:rsidR="00090683" w:rsidRDefault="00090683" w:rsidP="000B7E9A">
            <w:pPr>
              <w:pStyle w:val="Tabletext"/>
            </w:pPr>
            <w:r>
              <w:rPr>
                <w:color w:val="000000"/>
                <w:szCs w:val="20"/>
                <w:lang w:val="en-US"/>
              </w:rPr>
              <w:t>Queensland Widening Tertiary Participation Consortium</w:t>
            </w:r>
          </w:p>
        </w:tc>
      </w:tr>
      <w:tr w:rsidR="00090683" w14:paraId="2C49AE0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BE5E24F" w14:textId="77777777" w:rsidR="00090683" w:rsidRDefault="00090683" w:rsidP="000B7E9A">
            <w:pPr>
              <w:pStyle w:val="Tabletext"/>
            </w:pPr>
            <w:r>
              <w:rPr>
                <w:lang w:val="en-US"/>
              </w:rPr>
              <w:t>81</w:t>
            </w:r>
          </w:p>
        </w:tc>
        <w:tc>
          <w:tcPr>
            <w:tcW w:w="4084" w:type="pct"/>
          </w:tcPr>
          <w:p w14:paraId="6D27D600" w14:textId="77777777" w:rsidR="00090683" w:rsidRDefault="00090683" w:rsidP="000B7E9A">
            <w:pPr>
              <w:pStyle w:val="Tabletext"/>
            </w:pPr>
            <w:r>
              <w:rPr>
                <w:color w:val="000000"/>
                <w:szCs w:val="20"/>
                <w:lang w:val="en-US"/>
              </w:rPr>
              <w:t>Bankstown Girls High School</w:t>
            </w:r>
          </w:p>
        </w:tc>
      </w:tr>
      <w:tr w:rsidR="00090683" w14:paraId="2AF550B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1A5BE93" w14:textId="77777777" w:rsidR="00090683" w:rsidRDefault="00090683" w:rsidP="000B7E9A">
            <w:pPr>
              <w:pStyle w:val="Tabletext"/>
            </w:pPr>
            <w:r>
              <w:rPr>
                <w:lang w:val="en-US"/>
              </w:rPr>
              <w:t>82</w:t>
            </w:r>
          </w:p>
        </w:tc>
        <w:tc>
          <w:tcPr>
            <w:tcW w:w="4084" w:type="pct"/>
          </w:tcPr>
          <w:p w14:paraId="6E8CCF30" w14:textId="77777777" w:rsidR="00090683" w:rsidRDefault="00090683" w:rsidP="000B7E9A">
            <w:pPr>
              <w:pStyle w:val="Tabletext"/>
            </w:pPr>
            <w:r>
              <w:rPr>
                <w:color w:val="000000"/>
                <w:szCs w:val="20"/>
                <w:lang w:val="en-US"/>
              </w:rPr>
              <w:t>Western Sydney University</w:t>
            </w:r>
          </w:p>
        </w:tc>
      </w:tr>
      <w:tr w:rsidR="00090683" w14:paraId="07BF66C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0261BBA" w14:textId="77777777" w:rsidR="00090683" w:rsidRDefault="00090683" w:rsidP="000B7E9A">
            <w:pPr>
              <w:pStyle w:val="Tabletext"/>
            </w:pPr>
            <w:r>
              <w:rPr>
                <w:lang w:val="en-US"/>
              </w:rPr>
              <w:t>83</w:t>
            </w:r>
          </w:p>
        </w:tc>
        <w:tc>
          <w:tcPr>
            <w:tcW w:w="4084" w:type="pct"/>
          </w:tcPr>
          <w:p w14:paraId="71027E97" w14:textId="77777777" w:rsidR="00090683" w:rsidRDefault="00090683" w:rsidP="000B7E9A">
            <w:pPr>
              <w:pStyle w:val="Tabletext"/>
            </w:pPr>
            <w:r>
              <w:rPr>
                <w:color w:val="000000"/>
                <w:szCs w:val="20"/>
                <w:lang w:val="en-US"/>
              </w:rPr>
              <w:t>YourTutor</w:t>
            </w:r>
          </w:p>
        </w:tc>
      </w:tr>
      <w:tr w:rsidR="00090683" w14:paraId="0BE01FFA"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4D5FCB6" w14:textId="77777777" w:rsidR="00090683" w:rsidRDefault="00090683" w:rsidP="000B7E9A">
            <w:pPr>
              <w:pStyle w:val="Tabletext"/>
            </w:pPr>
            <w:r>
              <w:rPr>
                <w:lang w:val="en-US"/>
              </w:rPr>
              <w:t>84</w:t>
            </w:r>
          </w:p>
        </w:tc>
        <w:tc>
          <w:tcPr>
            <w:tcW w:w="4084" w:type="pct"/>
          </w:tcPr>
          <w:p w14:paraId="304CC2F6" w14:textId="77777777" w:rsidR="00090683" w:rsidRDefault="00090683" w:rsidP="000B7E9A">
            <w:pPr>
              <w:pStyle w:val="Tabletext"/>
            </w:pPr>
            <w:r>
              <w:rPr>
                <w:color w:val="000000"/>
                <w:szCs w:val="20"/>
                <w:lang w:val="en-US"/>
              </w:rPr>
              <w:t>University of New South Wales (UNSW)</w:t>
            </w:r>
          </w:p>
        </w:tc>
      </w:tr>
      <w:tr w:rsidR="00090683" w14:paraId="4C1E8B00"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30376DAC" w14:textId="77777777" w:rsidR="00090683" w:rsidRDefault="00090683" w:rsidP="000B7E9A">
            <w:pPr>
              <w:pStyle w:val="Tabletext"/>
            </w:pPr>
            <w:r>
              <w:rPr>
                <w:lang w:val="en-US"/>
              </w:rPr>
              <w:t>85</w:t>
            </w:r>
          </w:p>
        </w:tc>
        <w:tc>
          <w:tcPr>
            <w:tcW w:w="4084" w:type="pct"/>
          </w:tcPr>
          <w:p w14:paraId="59772DA2" w14:textId="77777777" w:rsidR="00090683" w:rsidRDefault="00090683" w:rsidP="000B7E9A">
            <w:pPr>
              <w:pStyle w:val="Tabletext"/>
            </w:pPr>
            <w:r>
              <w:rPr>
                <w:color w:val="000000"/>
                <w:szCs w:val="20"/>
                <w:lang w:val="en-US"/>
              </w:rPr>
              <w:t>The University of Queensland</w:t>
            </w:r>
          </w:p>
        </w:tc>
      </w:tr>
      <w:tr w:rsidR="00090683" w14:paraId="349742E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AC74F19" w14:textId="77777777" w:rsidR="00090683" w:rsidRDefault="00090683" w:rsidP="000B7E9A">
            <w:pPr>
              <w:pStyle w:val="Tabletext"/>
            </w:pPr>
            <w:r>
              <w:rPr>
                <w:lang w:val="en-US"/>
              </w:rPr>
              <w:t>86</w:t>
            </w:r>
          </w:p>
        </w:tc>
        <w:tc>
          <w:tcPr>
            <w:tcW w:w="4084" w:type="pct"/>
            <w:vAlign w:val="bottom"/>
          </w:tcPr>
          <w:p w14:paraId="5B325297" w14:textId="77777777" w:rsidR="00090683" w:rsidRDefault="00090683" w:rsidP="000B7E9A">
            <w:pPr>
              <w:pStyle w:val="Tabletext"/>
            </w:pPr>
            <w:r>
              <w:rPr>
                <w:color w:val="000000"/>
                <w:szCs w:val="20"/>
                <w:lang w:val="en-US"/>
              </w:rPr>
              <w:t>Griffith University</w:t>
            </w:r>
          </w:p>
        </w:tc>
      </w:tr>
      <w:tr w:rsidR="00090683" w14:paraId="325B1E3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9EE3571" w14:textId="77777777" w:rsidR="00090683" w:rsidRDefault="00090683" w:rsidP="000B7E9A">
            <w:pPr>
              <w:pStyle w:val="Tabletext"/>
            </w:pPr>
            <w:r>
              <w:rPr>
                <w:lang w:val="en-US"/>
              </w:rPr>
              <w:t>87</w:t>
            </w:r>
          </w:p>
        </w:tc>
        <w:tc>
          <w:tcPr>
            <w:tcW w:w="4084" w:type="pct"/>
          </w:tcPr>
          <w:p w14:paraId="3284F942" w14:textId="77777777" w:rsidR="00090683" w:rsidRDefault="00090683" w:rsidP="000B7E9A">
            <w:pPr>
              <w:pStyle w:val="Tabletext"/>
            </w:pPr>
            <w:r>
              <w:rPr>
                <w:color w:val="000000"/>
                <w:szCs w:val="20"/>
                <w:lang w:val="en-US"/>
              </w:rPr>
              <w:t>National Aboriginal and Torres Strait Islander Higher Education Consortium</w:t>
            </w:r>
          </w:p>
        </w:tc>
      </w:tr>
      <w:tr w:rsidR="00090683" w14:paraId="34F15A1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CA2D129" w14:textId="77777777" w:rsidR="00090683" w:rsidRDefault="00090683" w:rsidP="000B7E9A">
            <w:pPr>
              <w:pStyle w:val="Tabletext"/>
            </w:pPr>
            <w:r>
              <w:rPr>
                <w:lang w:val="en-US"/>
              </w:rPr>
              <w:t>88</w:t>
            </w:r>
          </w:p>
        </w:tc>
        <w:tc>
          <w:tcPr>
            <w:tcW w:w="4084" w:type="pct"/>
          </w:tcPr>
          <w:p w14:paraId="3D3F000A" w14:textId="77777777" w:rsidR="00090683" w:rsidRDefault="00090683" w:rsidP="000B7E9A">
            <w:pPr>
              <w:pStyle w:val="Tabletext"/>
            </w:pPr>
            <w:r>
              <w:rPr>
                <w:color w:val="000000"/>
                <w:szCs w:val="20"/>
                <w:lang w:val="en-US"/>
              </w:rPr>
              <w:t>Council of Australian University Librarians (CAUL)</w:t>
            </w:r>
          </w:p>
        </w:tc>
      </w:tr>
      <w:tr w:rsidR="00090683" w14:paraId="71E8049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A194799" w14:textId="77777777" w:rsidR="00090683" w:rsidRDefault="00090683" w:rsidP="000B7E9A">
            <w:pPr>
              <w:pStyle w:val="Tabletext"/>
            </w:pPr>
            <w:r>
              <w:rPr>
                <w:lang w:val="en-US"/>
              </w:rPr>
              <w:t>89</w:t>
            </w:r>
          </w:p>
        </w:tc>
        <w:tc>
          <w:tcPr>
            <w:tcW w:w="4084" w:type="pct"/>
          </w:tcPr>
          <w:p w14:paraId="26DC7101" w14:textId="77777777" w:rsidR="00090683" w:rsidRDefault="00090683" w:rsidP="000B7E9A">
            <w:pPr>
              <w:pStyle w:val="Tabletext"/>
            </w:pPr>
            <w:r>
              <w:rPr>
                <w:color w:val="000000"/>
                <w:szCs w:val="20"/>
                <w:lang w:val="en-US"/>
              </w:rPr>
              <w:t>Edith Cowan University</w:t>
            </w:r>
          </w:p>
        </w:tc>
      </w:tr>
      <w:tr w:rsidR="00090683" w14:paraId="309CF63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D04C46F" w14:textId="77777777" w:rsidR="00090683" w:rsidRDefault="00090683" w:rsidP="000B7E9A">
            <w:pPr>
              <w:pStyle w:val="Tabletext"/>
            </w:pPr>
            <w:r>
              <w:rPr>
                <w:lang w:val="en-US"/>
              </w:rPr>
              <w:t>90</w:t>
            </w:r>
          </w:p>
        </w:tc>
        <w:tc>
          <w:tcPr>
            <w:tcW w:w="4084" w:type="pct"/>
          </w:tcPr>
          <w:p w14:paraId="6AF0BD59" w14:textId="77777777" w:rsidR="00090683" w:rsidRDefault="00090683" w:rsidP="000B7E9A">
            <w:pPr>
              <w:pStyle w:val="Tabletext"/>
            </w:pPr>
            <w:r>
              <w:rPr>
                <w:color w:val="000000"/>
                <w:szCs w:val="20"/>
                <w:lang w:val="en-US"/>
              </w:rPr>
              <w:t>University of Wollongong</w:t>
            </w:r>
          </w:p>
        </w:tc>
      </w:tr>
      <w:tr w:rsidR="00090683" w14:paraId="501BD20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09F8C8E" w14:textId="77777777" w:rsidR="00090683" w:rsidRDefault="00090683" w:rsidP="000B7E9A">
            <w:pPr>
              <w:pStyle w:val="Tabletext"/>
            </w:pPr>
            <w:r>
              <w:rPr>
                <w:lang w:val="en-US"/>
              </w:rPr>
              <w:t>91</w:t>
            </w:r>
          </w:p>
        </w:tc>
        <w:tc>
          <w:tcPr>
            <w:tcW w:w="4084" w:type="pct"/>
          </w:tcPr>
          <w:p w14:paraId="53DFE9DE" w14:textId="77777777" w:rsidR="00090683" w:rsidRDefault="00090683" w:rsidP="000B7E9A">
            <w:pPr>
              <w:pStyle w:val="Tabletext"/>
            </w:pPr>
            <w:r>
              <w:rPr>
                <w:color w:val="000000"/>
                <w:szCs w:val="20"/>
                <w:lang w:val="en-US"/>
              </w:rPr>
              <w:t>Australasian Corrections Education Association (ACEA)</w:t>
            </w:r>
          </w:p>
        </w:tc>
      </w:tr>
      <w:tr w:rsidR="00090683" w14:paraId="134D7C6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6550AFE" w14:textId="77777777" w:rsidR="00090683" w:rsidRDefault="00090683" w:rsidP="000B7E9A">
            <w:pPr>
              <w:pStyle w:val="Tabletext"/>
            </w:pPr>
            <w:r>
              <w:rPr>
                <w:lang w:val="en-US"/>
              </w:rPr>
              <w:t>92</w:t>
            </w:r>
          </w:p>
        </w:tc>
        <w:tc>
          <w:tcPr>
            <w:tcW w:w="4084" w:type="pct"/>
            <w:vAlign w:val="bottom"/>
          </w:tcPr>
          <w:p w14:paraId="179391CF" w14:textId="77777777" w:rsidR="00090683" w:rsidRDefault="00090683" w:rsidP="000B7E9A">
            <w:pPr>
              <w:pStyle w:val="Tabletext"/>
            </w:pPr>
            <w:r>
              <w:rPr>
                <w:color w:val="000000"/>
                <w:szCs w:val="20"/>
                <w:lang w:val="en-US"/>
              </w:rPr>
              <w:t>Australian Technology Network of Universities (ATN)</w:t>
            </w:r>
          </w:p>
        </w:tc>
      </w:tr>
      <w:tr w:rsidR="00090683" w14:paraId="7F094D6A"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EA96856" w14:textId="77777777" w:rsidR="00090683" w:rsidRDefault="00090683" w:rsidP="000B7E9A">
            <w:pPr>
              <w:pStyle w:val="Tabletext"/>
            </w:pPr>
            <w:r>
              <w:rPr>
                <w:lang w:val="en-US"/>
              </w:rPr>
              <w:t>93</w:t>
            </w:r>
          </w:p>
        </w:tc>
        <w:tc>
          <w:tcPr>
            <w:tcW w:w="4084" w:type="pct"/>
          </w:tcPr>
          <w:p w14:paraId="64146F93" w14:textId="77777777" w:rsidR="00090683" w:rsidRDefault="00090683" w:rsidP="000B7E9A">
            <w:pPr>
              <w:pStyle w:val="Tabletext"/>
            </w:pPr>
            <w:r>
              <w:rPr>
                <w:color w:val="000000"/>
                <w:szCs w:val="20"/>
                <w:lang w:val="en-US"/>
              </w:rPr>
              <w:t>James Cook University (JCU)</w:t>
            </w:r>
          </w:p>
        </w:tc>
      </w:tr>
      <w:tr w:rsidR="00090683" w14:paraId="4D74B4AE"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2EBD4BE" w14:textId="77777777" w:rsidR="00090683" w:rsidRDefault="00090683" w:rsidP="000B7E9A">
            <w:pPr>
              <w:pStyle w:val="Tabletext"/>
            </w:pPr>
            <w:r>
              <w:rPr>
                <w:lang w:val="en-US"/>
              </w:rPr>
              <w:t>94</w:t>
            </w:r>
          </w:p>
        </w:tc>
        <w:tc>
          <w:tcPr>
            <w:tcW w:w="4084" w:type="pct"/>
          </w:tcPr>
          <w:p w14:paraId="4C4D52F7" w14:textId="77777777" w:rsidR="00090683" w:rsidRDefault="00090683" w:rsidP="000B7E9A">
            <w:pPr>
              <w:pStyle w:val="Tabletext"/>
            </w:pPr>
            <w:r>
              <w:rPr>
                <w:color w:val="000000"/>
                <w:szCs w:val="20"/>
                <w:lang w:val="en-US"/>
              </w:rPr>
              <w:t>Condobolin High School (Careers Advisor)</w:t>
            </w:r>
          </w:p>
        </w:tc>
      </w:tr>
      <w:tr w:rsidR="00090683" w14:paraId="32DF64F0"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1446715" w14:textId="77777777" w:rsidR="00090683" w:rsidRDefault="00090683" w:rsidP="000B7E9A">
            <w:pPr>
              <w:pStyle w:val="Tabletext"/>
            </w:pPr>
            <w:r>
              <w:rPr>
                <w:lang w:val="en-US"/>
              </w:rPr>
              <w:t>95</w:t>
            </w:r>
          </w:p>
        </w:tc>
        <w:tc>
          <w:tcPr>
            <w:tcW w:w="4084" w:type="pct"/>
          </w:tcPr>
          <w:p w14:paraId="08334B60" w14:textId="77777777" w:rsidR="00090683" w:rsidRDefault="00090683" w:rsidP="000B7E9A">
            <w:pPr>
              <w:pStyle w:val="Tabletext"/>
            </w:pPr>
            <w:r>
              <w:rPr>
                <w:color w:val="000000"/>
                <w:szCs w:val="20"/>
                <w:lang w:val="en-US"/>
              </w:rPr>
              <w:t>Queensland re-engagement school</w:t>
            </w:r>
          </w:p>
        </w:tc>
      </w:tr>
      <w:tr w:rsidR="00090683" w14:paraId="0E67608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3F301478" w14:textId="77777777" w:rsidR="00090683" w:rsidRDefault="00090683" w:rsidP="000B7E9A">
            <w:pPr>
              <w:pStyle w:val="Tabletext"/>
            </w:pPr>
            <w:r>
              <w:rPr>
                <w:lang w:val="en-US"/>
              </w:rPr>
              <w:t>96</w:t>
            </w:r>
          </w:p>
        </w:tc>
        <w:tc>
          <w:tcPr>
            <w:tcW w:w="4084" w:type="pct"/>
          </w:tcPr>
          <w:p w14:paraId="328E0BCC" w14:textId="77777777" w:rsidR="00090683" w:rsidRDefault="00090683" w:rsidP="000B7E9A">
            <w:pPr>
              <w:pStyle w:val="Tabletext"/>
            </w:pPr>
            <w:r>
              <w:rPr>
                <w:color w:val="000000"/>
                <w:szCs w:val="20"/>
                <w:lang w:val="en-US"/>
              </w:rPr>
              <w:t>Innovative Research Universities (IRU)</w:t>
            </w:r>
          </w:p>
        </w:tc>
      </w:tr>
      <w:tr w:rsidR="00090683" w14:paraId="29999E2A"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EEF2FED" w14:textId="77777777" w:rsidR="00090683" w:rsidRDefault="00090683" w:rsidP="000B7E9A">
            <w:pPr>
              <w:pStyle w:val="Tabletext"/>
            </w:pPr>
            <w:r>
              <w:rPr>
                <w:lang w:val="en-US"/>
              </w:rPr>
              <w:t>97</w:t>
            </w:r>
          </w:p>
        </w:tc>
        <w:tc>
          <w:tcPr>
            <w:tcW w:w="4084" w:type="pct"/>
            <w:vAlign w:val="bottom"/>
          </w:tcPr>
          <w:p w14:paraId="290E6DDE" w14:textId="77777777" w:rsidR="00090683" w:rsidRDefault="00090683" w:rsidP="000B7E9A">
            <w:pPr>
              <w:pStyle w:val="Tabletext"/>
            </w:pPr>
            <w:r>
              <w:rPr>
                <w:color w:val="000000"/>
                <w:szCs w:val="20"/>
                <w:lang w:val="en-US"/>
              </w:rPr>
              <w:t>Bribie Island State High School</w:t>
            </w:r>
          </w:p>
        </w:tc>
      </w:tr>
      <w:tr w:rsidR="00090683" w14:paraId="7ACC948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55573CC" w14:textId="77777777" w:rsidR="00090683" w:rsidRDefault="00090683" w:rsidP="000B7E9A">
            <w:pPr>
              <w:pStyle w:val="Tabletext"/>
            </w:pPr>
            <w:r>
              <w:rPr>
                <w:lang w:val="en-US"/>
              </w:rPr>
              <w:t>98</w:t>
            </w:r>
          </w:p>
        </w:tc>
        <w:tc>
          <w:tcPr>
            <w:tcW w:w="4084" w:type="pct"/>
          </w:tcPr>
          <w:p w14:paraId="3A4817FA" w14:textId="77777777" w:rsidR="00090683" w:rsidRDefault="00090683" w:rsidP="000B7E9A">
            <w:pPr>
              <w:pStyle w:val="Tabletext"/>
            </w:pPr>
            <w:r>
              <w:rPr>
                <w:color w:val="000000"/>
                <w:szCs w:val="20"/>
                <w:lang w:val="en-US"/>
              </w:rPr>
              <w:t>Nanango State High School</w:t>
            </w:r>
          </w:p>
        </w:tc>
      </w:tr>
      <w:tr w:rsidR="00090683" w14:paraId="0F79AF1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56A0C08" w14:textId="77777777" w:rsidR="00090683" w:rsidRDefault="00090683" w:rsidP="000B7E9A">
            <w:pPr>
              <w:pStyle w:val="Tabletext"/>
            </w:pPr>
            <w:r>
              <w:rPr>
                <w:lang w:val="en-US"/>
              </w:rPr>
              <w:t>99</w:t>
            </w:r>
          </w:p>
        </w:tc>
        <w:tc>
          <w:tcPr>
            <w:tcW w:w="4084" w:type="pct"/>
            <w:vAlign w:val="bottom"/>
          </w:tcPr>
          <w:p w14:paraId="205C496D" w14:textId="77777777" w:rsidR="00090683" w:rsidRDefault="00090683" w:rsidP="000B7E9A">
            <w:pPr>
              <w:pStyle w:val="Tabletext"/>
            </w:pPr>
            <w:r>
              <w:rPr>
                <w:color w:val="000000"/>
                <w:szCs w:val="20"/>
                <w:lang w:val="en-US"/>
              </w:rPr>
              <w:t>Sarah Redfern High School</w:t>
            </w:r>
          </w:p>
        </w:tc>
      </w:tr>
      <w:tr w:rsidR="00090683" w14:paraId="46AB0364"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A3FE78B" w14:textId="77777777" w:rsidR="00090683" w:rsidRDefault="00090683" w:rsidP="000B7E9A">
            <w:pPr>
              <w:pStyle w:val="Tabletext"/>
            </w:pPr>
            <w:r>
              <w:rPr>
                <w:lang w:val="en-US"/>
              </w:rPr>
              <w:t>100</w:t>
            </w:r>
          </w:p>
        </w:tc>
        <w:tc>
          <w:tcPr>
            <w:tcW w:w="4084" w:type="pct"/>
          </w:tcPr>
          <w:p w14:paraId="10A28A94" w14:textId="77777777" w:rsidR="00090683" w:rsidRDefault="00090683" w:rsidP="000B7E9A">
            <w:pPr>
              <w:pStyle w:val="Tabletext"/>
            </w:pPr>
            <w:r>
              <w:rPr>
                <w:color w:val="000000"/>
                <w:szCs w:val="20"/>
                <w:lang w:val="en-US"/>
              </w:rPr>
              <w:t>Holroyd High School (Head Teacher Science)</w:t>
            </w:r>
          </w:p>
        </w:tc>
      </w:tr>
      <w:tr w:rsidR="00090683" w14:paraId="6CBF5C37"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9ADF2F0" w14:textId="77777777" w:rsidR="00090683" w:rsidRDefault="00090683" w:rsidP="000B7E9A">
            <w:pPr>
              <w:pStyle w:val="Tabletext"/>
            </w:pPr>
            <w:r>
              <w:rPr>
                <w:lang w:val="en-US"/>
              </w:rPr>
              <w:t>101</w:t>
            </w:r>
          </w:p>
        </w:tc>
        <w:tc>
          <w:tcPr>
            <w:tcW w:w="4084" w:type="pct"/>
          </w:tcPr>
          <w:p w14:paraId="114DB257" w14:textId="77777777" w:rsidR="00090683" w:rsidRDefault="00090683" w:rsidP="000B7E9A">
            <w:pPr>
              <w:pStyle w:val="Tabletext"/>
            </w:pPr>
            <w:r>
              <w:rPr>
                <w:color w:val="000000"/>
                <w:szCs w:val="20"/>
                <w:lang w:val="en-US"/>
              </w:rPr>
              <w:t>Deception Bay State High School</w:t>
            </w:r>
          </w:p>
        </w:tc>
      </w:tr>
      <w:tr w:rsidR="00090683" w14:paraId="128B197C"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441950F" w14:textId="77777777" w:rsidR="00090683" w:rsidRDefault="00090683" w:rsidP="000B7E9A">
            <w:pPr>
              <w:pStyle w:val="Tabletext"/>
            </w:pPr>
            <w:r>
              <w:rPr>
                <w:lang w:val="en-US"/>
              </w:rPr>
              <w:t>102</w:t>
            </w:r>
          </w:p>
        </w:tc>
        <w:tc>
          <w:tcPr>
            <w:tcW w:w="4084" w:type="pct"/>
          </w:tcPr>
          <w:p w14:paraId="6300034A" w14:textId="77777777" w:rsidR="00090683" w:rsidRDefault="00090683" w:rsidP="000B7E9A">
            <w:pPr>
              <w:pStyle w:val="Tabletext"/>
            </w:pPr>
            <w:r>
              <w:rPr>
                <w:color w:val="000000"/>
                <w:szCs w:val="20"/>
                <w:lang w:val="en-US"/>
              </w:rPr>
              <w:t>Yeronga State High School</w:t>
            </w:r>
          </w:p>
        </w:tc>
      </w:tr>
      <w:tr w:rsidR="00090683" w14:paraId="680E2A6B"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D5D573A" w14:textId="77777777" w:rsidR="00090683" w:rsidRDefault="00090683" w:rsidP="000B7E9A">
            <w:pPr>
              <w:pStyle w:val="Tabletext"/>
            </w:pPr>
            <w:r>
              <w:rPr>
                <w:lang w:val="en-US"/>
              </w:rPr>
              <w:t>103</w:t>
            </w:r>
          </w:p>
        </w:tc>
        <w:tc>
          <w:tcPr>
            <w:tcW w:w="4084" w:type="pct"/>
          </w:tcPr>
          <w:p w14:paraId="00E83A38" w14:textId="77777777" w:rsidR="00090683" w:rsidRDefault="00090683" w:rsidP="000B7E9A">
            <w:pPr>
              <w:pStyle w:val="Tabletext"/>
            </w:pPr>
            <w:r>
              <w:rPr>
                <w:color w:val="000000"/>
                <w:szCs w:val="20"/>
                <w:lang w:val="en-US"/>
              </w:rPr>
              <w:t>James Meehan High School</w:t>
            </w:r>
          </w:p>
        </w:tc>
      </w:tr>
      <w:tr w:rsidR="00090683" w14:paraId="5B506A8A"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27E2DEE" w14:textId="77777777" w:rsidR="00090683" w:rsidRDefault="00090683" w:rsidP="000B7E9A">
            <w:pPr>
              <w:pStyle w:val="Tabletext"/>
            </w:pPr>
            <w:r>
              <w:rPr>
                <w:lang w:val="en-US"/>
              </w:rPr>
              <w:t>104</w:t>
            </w:r>
          </w:p>
        </w:tc>
        <w:tc>
          <w:tcPr>
            <w:tcW w:w="4084" w:type="pct"/>
          </w:tcPr>
          <w:p w14:paraId="3DB4C759" w14:textId="77777777" w:rsidR="00090683" w:rsidRDefault="00090683" w:rsidP="000B7E9A">
            <w:pPr>
              <w:pStyle w:val="Tabletext"/>
            </w:pPr>
            <w:r>
              <w:rPr>
                <w:color w:val="000000"/>
                <w:szCs w:val="20"/>
                <w:lang w:val="en-US"/>
              </w:rPr>
              <w:t>Australian Indigenous Mentoring Experience (AIME)</w:t>
            </w:r>
          </w:p>
        </w:tc>
      </w:tr>
      <w:tr w:rsidR="00090683" w14:paraId="768172E0"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37140C5F" w14:textId="77777777" w:rsidR="00090683" w:rsidRDefault="00090683" w:rsidP="000B7E9A">
            <w:pPr>
              <w:pStyle w:val="Tabletext"/>
            </w:pPr>
            <w:r>
              <w:rPr>
                <w:lang w:val="en-US"/>
              </w:rPr>
              <w:t>105</w:t>
            </w:r>
          </w:p>
        </w:tc>
        <w:tc>
          <w:tcPr>
            <w:tcW w:w="4084" w:type="pct"/>
          </w:tcPr>
          <w:p w14:paraId="172B62FE" w14:textId="77777777" w:rsidR="00090683" w:rsidRDefault="00090683" w:rsidP="000B7E9A">
            <w:pPr>
              <w:pStyle w:val="Tabletext"/>
            </w:pPr>
            <w:r>
              <w:rPr>
                <w:color w:val="000000"/>
                <w:szCs w:val="20"/>
                <w:lang w:val="en-US"/>
              </w:rPr>
              <w:t>Mercy College</w:t>
            </w:r>
          </w:p>
        </w:tc>
      </w:tr>
      <w:tr w:rsidR="00090683" w14:paraId="1F426988"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F20FBF3" w14:textId="77777777" w:rsidR="00090683" w:rsidRDefault="00090683" w:rsidP="000B7E9A">
            <w:pPr>
              <w:pStyle w:val="Tabletext"/>
            </w:pPr>
            <w:r>
              <w:rPr>
                <w:lang w:val="en-US"/>
              </w:rPr>
              <w:t>106</w:t>
            </w:r>
          </w:p>
        </w:tc>
        <w:tc>
          <w:tcPr>
            <w:tcW w:w="4084" w:type="pct"/>
            <w:vAlign w:val="bottom"/>
          </w:tcPr>
          <w:p w14:paraId="0F6E8DCB" w14:textId="77777777" w:rsidR="00090683" w:rsidRDefault="00090683" w:rsidP="000B7E9A">
            <w:pPr>
              <w:pStyle w:val="Tabletext"/>
            </w:pPr>
            <w:r>
              <w:rPr>
                <w:color w:val="000000"/>
                <w:szCs w:val="20"/>
                <w:lang w:val="en-US"/>
              </w:rPr>
              <w:t>Copperfield College</w:t>
            </w:r>
          </w:p>
        </w:tc>
      </w:tr>
      <w:tr w:rsidR="00090683" w14:paraId="243CDB8E"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1D75681" w14:textId="77777777" w:rsidR="00090683" w:rsidRDefault="00090683" w:rsidP="000B7E9A">
            <w:pPr>
              <w:pStyle w:val="Tabletext"/>
            </w:pPr>
            <w:r>
              <w:rPr>
                <w:lang w:val="en-US"/>
              </w:rPr>
              <w:t>107</w:t>
            </w:r>
          </w:p>
        </w:tc>
        <w:tc>
          <w:tcPr>
            <w:tcW w:w="4084" w:type="pct"/>
          </w:tcPr>
          <w:p w14:paraId="4D1E735F" w14:textId="77777777" w:rsidR="00090683" w:rsidRDefault="00090683" w:rsidP="000B7E9A">
            <w:pPr>
              <w:pStyle w:val="Tabletext"/>
            </w:pPr>
            <w:r>
              <w:rPr>
                <w:color w:val="000000"/>
                <w:szCs w:val="20"/>
                <w:lang w:val="en-US"/>
              </w:rPr>
              <w:t>Strathfield South High School</w:t>
            </w:r>
          </w:p>
        </w:tc>
      </w:tr>
      <w:tr w:rsidR="00090683" w14:paraId="7252597D"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DBF9A78" w14:textId="77777777" w:rsidR="00090683" w:rsidRDefault="00090683" w:rsidP="000B7E9A">
            <w:pPr>
              <w:pStyle w:val="Tabletext"/>
            </w:pPr>
            <w:r>
              <w:rPr>
                <w:lang w:val="en-US"/>
              </w:rPr>
              <w:t>108</w:t>
            </w:r>
          </w:p>
        </w:tc>
        <w:tc>
          <w:tcPr>
            <w:tcW w:w="4084" w:type="pct"/>
          </w:tcPr>
          <w:p w14:paraId="4A95DD29" w14:textId="77777777" w:rsidR="00090683" w:rsidRDefault="00090683" w:rsidP="000B7E9A">
            <w:pPr>
              <w:pStyle w:val="Tabletext"/>
            </w:pPr>
            <w:r>
              <w:rPr>
                <w:color w:val="000000"/>
                <w:szCs w:val="20"/>
                <w:lang w:val="en-US"/>
              </w:rPr>
              <w:t>Matraville Sports High School</w:t>
            </w:r>
          </w:p>
        </w:tc>
      </w:tr>
      <w:tr w:rsidR="00090683" w14:paraId="5770A23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C400A51" w14:textId="77777777" w:rsidR="00090683" w:rsidRDefault="00090683" w:rsidP="000B7E9A">
            <w:pPr>
              <w:pStyle w:val="Tabletext"/>
            </w:pPr>
            <w:r>
              <w:rPr>
                <w:lang w:val="en-US"/>
              </w:rPr>
              <w:t>109</w:t>
            </w:r>
          </w:p>
        </w:tc>
        <w:tc>
          <w:tcPr>
            <w:tcW w:w="4084" w:type="pct"/>
          </w:tcPr>
          <w:p w14:paraId="1FD8B3A6" w14:textId="77777777" w:rsidR="00090683" w:rsidRDefault="00090683" w:rsidP="000B7E9A">
            <w:pPr>
              <w:pStyle w:val="Tabletext"/>
            </w:pPr>
            <w:r>
              <w:rPr>
                <w:color w:val="000000"/>
                <w:szCs w:val="20"/>
                <w:lang w:val="en-US"/>
              </w:rPr>
              <w:t>Group of Eight Australia (Go8)</w:t>
            </w:r>
          </w:p>
        </w:tc>
      </w:tr>
      <w:tr w:rsidR="00090683" w14:paraId="3DA7859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70B4F87" w14:textId="77777777" w:rsidR="00090683" w:rsidRDefault="00090683" w:rsidP="000B7E9A">
            <w:pPr>
              <w:pStyle w:val="Tabletext"/>
            </w:pPr>
            <w:r>
              <w:rPr>
                <w:lang w:val="en-US"/>
              </w:rPr>
              <w:t>110</w:t>
            </w:r>
          </w:p>
        </w:tc>
        <w:tc>
          <w:tcPr>
            <w:tcW w:w="4084" w:type="pct"/>
          </w:tcPr>
          <w:p w14:paraId="27F6AF15" w14:textId="77777777" w:rsidR="00090683" w:rsidRDefault="00090683" w:rsidP="000B7E9A">
            <w:pPr>
              <w:pStyle w:val="Tabletext"/>
            </w:pPr>
            <w:r>
              <w:rPr>
                <w:color w:val="000000"/>
                <w:szCs w:val="20"/>
                <w:lang w:val="en-US"/>
              </w:rPr>
              <w:t>[Confidential]</w:t>
            </w:r>
          </w:p>
        </w:tc>
      </w:tr>
      <w:tr w:rsidR="00090683" w14:paraId="1682F512"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EBC6D82" w14:textId="77777777" w:rsidR="00090683" w:rsidRDefault="00090683" w:rsidP="000B7E9A">
            <w:pPr>
              <w:pStyle w:val="Tabletext"/>
            </w:pPr>
            <w:r>
              <w:rPr>
                <w:lang w:val="en-US"/>
              </w:rPr>
              <w:t>111</w:t>
            </w:r>
          </w:p>
        </w:tc>
        <w:tc>
          <w:tcPr>
            <w:tcW w:w="4084" w:type="pct"/>
          </w:tcPr>
          <w:p w14:paraId="7DC1FFE5" w14:textId="77777777" w:rsidR="00090683" w:rsidRDefault="00090683" w:rsidP="000B7E9A">
            <w:pPr>
              <w:pStyle w:val="Tabletext"/>
            </w:pPr>
            <w:r>
              <w:rPr>
                <w:color w:val="000000"/>
                <w:szCs w:val="20"/>
                <w:lang w:val="en-US"/>
              </w:rPr>
              <w:t>Derby District High School</w:t>
            </w:r>
          </w:p>
        </w:tc>
      </w:tr>
      <w:tr w:rsidR="00090683" w14:paraId="5E98BB6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39007733" w14:textId="77777777" w:rsidR="00090683" w:rsidRDefault="00090683" w:rsidP="000B7E9A">
            <w:pPr>
              <w:pStyle w:val="Tabletext"/>
            </w:pPr>
            <w:r>
              <w:rPr>
                <w:lang w:val="en-US"/>
              </w:rPr>
              <w:t>112</w:t>
            </w:r>
          </w:p>
        </w:tc>
        <w:tc>
          <w:tcPr>
            <w:tcW w:w="4084" w:type="pct"/>
            <w:vAlign w:val="bottom"/>
          </w:tcPr>
          <w:p w14:paraId="61E9BA30" w14:textId="77777777" w:rsidR="00090683" w:rsidRDefault="00090683" w:rsidP="000B7E9A">
            <w:pPr>
              <w:pStyle w:val="Tabletext"/>
            </w:pPr>
            <w:r>
              <w:rPr>
                <w:color w:val="000000"/>
                <w:szCs w:val="20"/>
                <w:lang w:val="en-US"/>
              </w:rPr>
              <w:t>The University of Western Australia (UWA)</w:t>
            </w:r>
          </w:p>
        </w:tc>
      </w:tr>
      <w:tr w:rsidR="00090683" w14:paraId="0D62B78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45A0A7A" w14:textId="77777777" w:rsidR="00090683" w:rsidRDefault="00090683" w:rsidP="000B7E9A">
            <w:pPr>
              <w:pStyle w:val="Tabletext"/>
            </w:pPr>
            <w:r>
              <w:rPr>
                <w:lang w:val="en-US"/>
              </w:rPr>
              <w:t>113</w:t>
            </w:r>
          </w:p>
        </w:tc>
        <w:tc>
          <w:tcPr>
            <w:tcW w:w="4084" w:type="pct"/>
          </w:tcPr>
          <w:p w14:paraId="2D50BCAB" w14:textId="77777777" w:rsidR="00090683" w:rsidRDefault="00090683" w:rsidP="000B7E9A">
            <w:pPr>
              <w:pStyle w:val="Tabletext"/>
            </w:pPr>
            <w:r>
              <w:rPr>
                <w:color w:val="000000"/>
                <w:szCs w:val="20"/>
                <w:lang w:val="en-US"/>
              </w:rPr>
              <w:t>Narre Warren South P-12 College</w:t>
            </w:r>
          </w:p>
        </w:tc>
      </w:tr>
      <w:tr w:rsidR="00090683" w14:paraId="78FCD245"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F267900" w14:textId="77777777" w:rsidR="00090683" w:rsidRDefault="00090683" w:rsidP="000B7E9A">
            <w:pPr>
              <w:pStyle w:val="Tabletext"/>
            </w:pPr>
            <w:r>
              <w:rPr>
                <w:lang w:val="en-US"/>
              </w:rPr>
              <w:t>114</w:t>
            </w:r>
          </w:p>
        </w:tc>
        <w:tc>
          <w:tcPr>
            <w:tcW w:w="4084" w:type="pct"/>
          </w:tcPr>
          <w:p w14:paraId="21FCC420" w14:textId="77777777" w:rsidR="00090683" w:rsidRDefault="00090683" w:rsidP="000B7E9A">
            <w:pPr>
              <w:pStyle w:val="Tabletext"/>
            </w:pPr>
            <w:r>
              <w:rPr>
                <w:color w:val="000000"/>
                <w:szCs w:val="20"/>
                <w:lang w:val="en-US"/>
              </w:rPr>
              <w:t>University of Sydney</w:t>
            </w:r>
          </w:p>
        </w:tc>
      </w:tr>
      <w:tr w:rsidR="00090683" w14:paraId="517F1F3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61B8852" w14:textId="77777777" w:rsidR="00090683" w:rsidRDefault="00090683" w:rsidP="000B7E9A">
            <w:pPr>
              <w:pStyle w:val="Tabletext"/>
            </w:pPr>
            <w:r>
              <w:rPr>
                <w:lang w:val="en-US"/>
              </w:rPr>
              <w:t>115</w:t>
            </w:r>
          </w:p>
        </w:tc>
        <w:tc>
          <w:tcPr>
            <w:tcW w:w="4084" w:type="pct"/>
          </w:tcPr>
          <w:p w14:paraId="394970F4" w14:textId="77777777" w:rsidR="00090683" w:rsidRDefault="00090683" w:rsidP="000B7E9A">
            <w:pPr>
              <w:pStyle w:val="Tabletext"/>
            </w:pPr>
            <w:r>
              <w:rPr>
                <w:color w:val="000000"/>
                <w:szCs w:val="20"/>
                <w:lang w:val="en-US"/>
              </w:rPr>
              <w:t>Minaret College</w:t>
            </w:r>
          </w:p>
        </w:tc>
      </w:tr>
      <w:tr w:rsidR="00090683" w14:paraId="218194C7"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4DCCA36" w14:textId="77777777" w:rsidR="00090683" w:rsidRDefault="00090683" w:rsidP="000B7E9A">
            <w:pPr>
              <w:pStyle w:val="Tabletext"/>
            </w:pPr>
            <w:r>
              <w:rPr>
                <w:lang w:val="en-US"/>
              </w:rPr>
              <w:t>116</w:t>
            </w:r>
          </w:p>
        </w:tc>
        <w:tc>
          <w:tcPr>
            <w:tcW w:w="4084" w:type="pct"/>
          </w:tcPr>
          <w:p w14:paraId="7546358F" w14:textId="77777777" w:rsidR="00090683" w:rsidRDefault="00090683" w:rsidP="000B7E9A">
            <w:pPr>
              <w:pStyle w:val="Tabletext"/>
            </w:pPr>
            <w:r>
              <w:rPr>
                <w:color w:val="000000"/>
                <w:szCs w:val="20"/>
                <w:lang w:val="en-US"/>
              </w:rPr>
              <w:t>Kilcoy High School</w:t>
            </w:r>
          </w:p>
        </w:tc>
      </w:tr>
      <w:tr w:rsidR="00090683" w14:paraId="650941E1"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3356A71" w14:textId="77777777" w:rsidR="00090683" w:rsidRDefault="00090683" w:rsidP="000B7E9A">
            <w:pPr>
              <w:pStyle w:val="Tabletext"/>
            </w:pPr>
            <w:r>
              <w:rPr>
                <w:lang w:val="en-US"/>
              </w:rPr>
              <w:t>117</w:t>
            </w:r>
          </w:p>
        </w:tc>
        <w:tc>
          <w:tcPr>
            <w:tcW w:w="4084" w:type="pct"/>
            <w:vAlign w:val="bottom"/>
          </w:tcPr>
          <w:p w14:paraId="334123DA" w14:textId="77777777" w:rsidR="00090683" w:rsidRDefault="00090683" w:rsidP="000B7E9A">
            <w:pPr>
              <w:pStyle w:val="Tabletext"/>
            </w:pPr>
            <w:r>
              <w:rPr>
                <w:color w:val="000000"/>
                <w:szCs w:val="20"/>
                <w:lang w:val="en-US"/>
              </w:rPr>
              <w:t>National Aboriginal and Torres Strait Islander Postgraduate Association (NATSIPA)</w:t>
            </w:r>
          </w:p>
        </w:tc>
      </w:tr>
      <w:tr w:rsidR="00090683" w14:paraId="2D5EDC07"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F3143DC" w14:textId="77777777" w:rsidR="00090683" w:rsidRDefault="00090683" w:rsidP="000B7E9A">
            <w:pPr>
              <w:pStyle w:val="Tabletext"/>
            </w:pPr>
            <w:r>
              <w:rPr>
                <w:lang w:val="en-US"/>
              </w:rPr>
              <w:t>118</w:t>
            </w:r>
          </w:p>
        </w:tc>
        <w:tc>
          <w:tcPr>
            <w:tcW w:w="4084" w:type="pct"/>
          </w:tcPr>
          <w:p w14:paraId="100510B6" w14:textId="77777777" w:rsidR="00090683" w:rsidRDefault="00090683" w:rsidP="000B7E9A">
            <w:pPr>
              <w:pStyle w:val="Tabletext"/>
            </w:pPr>
            <w:r>
              <w:rPr>
                <w:color w:val="000000"/>
                <w:szCs w:val="20"/>
                <w:lang w:val="en-US"/>
              </w:rPr>
              <w:t>Narrogin Senior High School</w:t>
            </w:r>
          </w:p>
        </w:tc>
      </w:tr>
      <w:tr w:rsidR="00090683" w14:paraId="3A22FD7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B2BBE14" w14:textId="77777777" w:rsidR="00090683" w:rsidRDefault="00090683" w:rsidP="000B7E9A">
            <w:pPr>
              <w:pStyle w:val="Tabletext"/>
            </w:pPr>
            <w:r>
              <w:rPr>
                <w:lang w:val="en-US"/>
              </w:rPr>
              <w:t>119</w:t>
            </w:r>
          </w:p>
        </w:tc>
        <w:tc>
          <w:tcPr>
            <w:tcW w:w="4084" w:type="pct"/>
            <w:vAlign w:val="bottom"/>
          </w:tcPr>
          <w:p w14:paraId="4827CE52" w14:textId="77777777" w:rsidR="00090683" w:rsidRDefault="00090683" w:rsidP="000B7E9A">
            <w:pPr>
              <w:pStyle w:val="Tabletext"/>
            </w:pPr>
            <w:r>
              <w:rPr>
                <w:color w:val="000000"/>
                <w:szCs w:val="20"/>
                <w:lang w:val="en-US"/>
              </w:rPr>
              <w:t>La Trobe University</w:t>
            </w:r>
          </w:p>
        </w:tc>
      </w:tr>
      <w:tr w:rsidR="00090683" w14:paraId="3FC8DE1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B620090" w14:textId="77777777" w:rsidR="00090683" w:rsidRDefault="00090683" w:rsidP="000B7E9A">
            <w:pPr>
              <w:pStyle w:val="Tabletext"/>
            </w:pPr>
            <w:r>
              <w:rPr>
                <w:lang w:val="en-US"/>
              </w:rPr>
              <w:t>120</w:t>
            </w:r>
          </w:p>
        </w:tc>
        <w:tc>
          <w:tcPr>
            <w:tcW w:w="4084" w:type="pct"/>
          </w:tcPr>
          <w:p w14:paraId="29BC81B6" w14:textId="77777777" w:rsidR="00090683" w:rsidRDefault="00090683" w:rsidP="000B7E9A">
            <w:pPr>
              <w:pStyle w:val="Tabletext"/>
            </w:pPr>
            <w:r>
              <w:rPr>
                <w:color w:val="000000"/>
                <w:szCs w:val="20"/>
                <w:lang w:val="en-US"/>
              </w:rPr>
              <w:t>University of South Australia</w:t>
            </w:r>
          </w:p>
        </w:tc>
      </w:tr>
      <w:tr w:rsidR="00090683" w14:paraId="45D780D8"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7FCC9F6" w14:textId="77777777" w:rsidR="00090683" w:rsidRDefault="00090683" w:rsidP="000B7E9A">
            <w:pPr>
              <w:pStyle w:val="Tabletext"/>
            </w:pPr>
            <w:r>
              <w:rPr>
                <w:lang w:val="en-US"/>
              </w:rPr>
              <w:t>121</w:t>
            </w:r>
          </w:p>
        </w:tc>
        <w:tc>
          <w:tcPr>
            <w:tcW w:w="4084" w:type="pct"/>
          </w:tcPr>
          <w:p w14:paraId="57DC9F48" w14:textId="77777777" w:rsidR="00090683" w:rsidRDefault="00090683" w:rsidP="000B7E9A">
            <w:pPr>
              <w:pStyle w:val="Tabletext"/>
            </w:pPr>
            <w:r>
              <w:rPr>
                <w:lang w:val="en-US"/>
              </w:rPr>
              <w:t>[Confidential]</w:t>
            </w:r>
          </w:p>
        </w:tc>
      </w:tr>
      <w:tr w:rsidR="00090683" w14:paraId="45DE8CA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776C9B0" w14:textId="77777777" w:rsidR="00090683" w:rsidRDefault="00090683" w:rsidP="000B7E9A">
            <w:pPr>
              <w:pStyle w:val="Tabletext"/>
            </w:pPr>
            <w:r>
              <w:rPr>
                <w:lang w:val="en-US"/>
              </w:rPr>
              <w:t>122</w:t>
            </w:r>
          </w:p>
        </w:tc>
        <w:tc>
          <w:tcPr>
            <w:tcW w:w="4084" w:type="pct"/>
          </w:tcPr>
          <w:p w14:paraId="2324625F" w14:textId="77777777" w:rsidR="00090683" w:rsidRDefault="00090683" w:rsidP="000B7E9A">
            <w:pPr>
              <w:pStyle w:val="Tabletext"/>
            </w:pPr>
            <w:r>
              <w:rPr>
                <w:color w:val="000000"/>
                <w:szCs w:val="20"/>
                <w:lang w:val="en-US"/>
              </w:rPr>
              <w:t>Katanning Senior High School</w:t>
            </w:r>
          </w:p>
        </w:tc>
      </w:tr>
      <w:tr w:rsidR="00090683" w14:paraId="1D95DCD8"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5C7FBEE" w14:textId="77777777" w:rsidR="00090683" w:rsidRDefault="00090683" w:rsidP="000B7E9A">
            <w:pPr>
              <w:pStyle w:val="Tabletext"/>
            </w:pPr>
            <w:r>
              <w:rPr>
                <w:lang w:val="en-US"/>
              </w:rPr>
              <w:t>123</w:t>
            </w:r>
          </w:p>
        </w:tc>
        <w:tc>
          <w:tcPr>
            <w:tcW w:w="4084" w:type="pct"/>
          </w:tcPr>
          <w:p w14:paraId="64189195" w14:textId="77777777" w:rsidR="00090683" w:rsidRDefault="00090683" w:rsidP="000B7E9A">
            <w:pPr>
              <w:pStyle w:val="Tabletext"/>
            </w:pPr>
            <w:r>
              <w:rPr>
                <w:color w:val="000000"/>
                <w:szCs w:val="20"/>
                <w:lang w:val="en-US"/>
              </w:rPr>
              <w:t>Central Queensland University</w:t>
            </w:r>
          </w:p>
        </w:tc>
      </w:tr>
      <w:tr w:rsidR="00090683" w14:paraId="6A081783"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19460A89" w14:textId="77777777" w:rsidR="00090683" w:rsidRDefault="00090683" w:rsidP="000B7E9A">
            <w:pPr>
              <w:pStyle w:val="Tabletext"/>
            </w:pPr>
            <w:r>
              <w:rPr>
                <w:lang w:val="en-US"/>
              </w:rPr>
              <w:t>124</w:t>
            </w:r>
          </w:p>
        </w:tc>
        <w:tc>
          <w:tcPr>
            <w:tcW w:w="4084" w:type="pct"/>
          </w:tcPr>
          <w:p w14:paraId="2F0EE8DC" w14:textId="77777777" w:rsidR="00090683" w:rsidRDefault="00090683" w:rsidP="000B7E9A">
            <w:pPr>
              <w:pStyle w:val="Tabletext"/>
            </w:pPr>
            <w:r>
              <w:rPr>
                <w:color w:val="000000"/>
                <w:szCs w:val="20"/>
                <w:lang w:val="en-US"/>
              </w:rPr>
              <w:t>National Tertiary Education Union (NTEU)</w:t>
            </w:r>
          </w:p>
        </w:tc>
      </w:tr>
      <w:tr w:rsidR="00090683" w14:paraId="393DAE54"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37AE364" w14:textId="77777777" w:rsidR="00090683" w:rsidRDefault="00090683" w:rsidP="000B7E9A">
            <w:pPr>
              <w:pStyle w:val="Tabletext"/>
            </w:pPr>
            <w:r>
              <w:rPr>
                <w:lang w:val="en-US"/>
              </w:rPr>
              <w:t>125</w:t>
            </w:r>
          </w:p>
        </w:tc>
        <w:tc>
          <w:tcPr>
            <w:tcW w:w="4084" w:type="pct"/>
          </w:tcPr>
          <w:p w14:paraId="2C725543" w14:textId="77777777" w:rsidR="00090683" w:rsidRDefault="00090683" w:rsidP="000B7E9A">
            <w:pPr>
              <w:pStyle w:val="Tabletext"/>
            </w:pPr>
            <w:r>
              <w:rPr>
                <w:color w:val="000000"/>
                <w:szCs w:val="20"/>
                <w:lang w:val="en-US"/>
              </w:rPr>
              <w:t>Clontarf Aboriginal College</w:t>
            </w:r>
          </w:p>
        </w:tc>
      </w:tr>
      <w:tr w:rsidR="00090683" w14:paraId="756C77A7"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E558ED5" w14:textId="77777777" w:rsidR="00090683" w:rsidRDefault="00090683" w:rsidP="000B7E9A">
            <w:pPr>
              <w:pStyle w:val="Tabletext"/>
            </w:pPr>
            <w:r>
              <w:rPr>
                <w:lang w:val="en-US"/>
              </w:rPr>
              <w:t>126</w:t>
            </w:r>
          </w:p>
        </w:tc>
        <w:tc>
          <w:tcPr>
            <w:tcW w:w="4084" w:type="pct"/>
          </w:tcPr>
          <w:p w14:paraId="03552B58" w14:textId="77777777" w:rsidR="00090683" w:rsidRDefault="00090683" w:rsidP="000B7E9A">
            <w:pPr>
              <w:pStyle w:val="Tabletext"/>
            </w:pPr>
            <w:r>
              <w:rPr>
                <w:color w:val="000000"/>
                <w:szCs w:val="20"/>
                <w:lang w:val="en-US"/>
              </w:rPr>
              <w:t>The University of Adelaide</w:t>
            </w:r>
          </w:p>
        </w:tc>
      </w:tr>
      <w:tr w:rsidR="00090683" w14:paraId="6BB312CB"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D3733B6" w14:textId="77777777" w:rsidR="00090683" w:rsidRDefault="00090683" w:rsidP="000B7E9A">
            <w:pPr>
              <w:pStyle w:val="Tabletext"/>
            </w:pPr>
            <w:r>
              <w:rPr>
                <w:lang w:val="en-US"/>
              </w:rPr>
              <w:t>127</w:t>
            </w:r>
          </w:p>
        </w:tc>
        <w:tc>
          <w:tcPr>
            <w:tcW w:w="4084" w:type="pct"/>
            <w:vAlign w:val="bottom"/>
          </w:tcPr>
          <w:p w14:paraId="29C7A935" w14:textId="77777777" w:rsidR="00090683" w:rsidRDefault="00090683" w:rsidP="000B7E9A">
            <w:pPr>
              <w:pStyle w:val="Tabletext"/>
            </w:pPr>
            <w:r>
              <w:rPr>
                <w:color w:val="000000"/>
                <w:szCs w:val="20"/>
                <w:lang w:val="en-US"/>
              </w:rPr>
              <w:t>Australian Catholic University</w:t>
            </w:r>
          </w:p>
        </w:tc>
      </w:tr>
      <w:tr w:rsidR="00090683" w14:paraId="287C4CA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FE4ECF5" w14:textId="77777777" w:rsidR="00090683" w:rsidRDefault="00090683" w:rsidP="000B7E9A">
            <w:pPr>
              <w:pStyle w:val="Tabletext"/>
            </w:pPr>
            <w:r>
              <w:rPr>
                <w:lang w:val="en-US"/>
              </w:rPr>
              <w:t>128</w:t>
            </w:r>
          </w:p>
        </w:tc>
        <w:tc>
          <w:tcPr>
            <w:tcW w:w="4084" w:type="pct"/>
          </w:tcPr>
          <w:p w14:paraId="1C634C8C" w14:textId="77777777" w:rsidR="00090683" w:rsidRDefault="00090683" w:rsidP="000B7E9A">
            <w:pPr>
              <w:pStyle w:val="Tabletext"/>
            </w:pPr>
            <w:r>
              <w:rPr>
                <w:color w:val="000000"/>
                <w:szCs w:val="20"/>
                <w:lang w:val="en-US"/>
              </w:rPr>
              <w:t>Great Southern Migrant Services</w:t>
            </w:r>
          </w:p>
        </w:tc>
      </w:tr>
      <w:tr w:rsidR="00090683" w14:paraId="6DCD9590"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4395B2E8" w14:textId="77777777" w:rsidR="00090683" w:rsidRDefault="00090683" w:rsidP="000B7E9A">
            <w:pPr>
              <w:pStyle w:val="Tabletext"/>
            </w:pPr>
            <w:r>
              <w:rPr>
                <w:lang w:val="en-US"/>
              </w:rPr>
              <w:t>129</w:t>
            </w:r>
          </w:p>
        </w:tc>
        <w:tc>
          <w:tcPr>
            <w:tcW w:w="4084" w:type="pct"/>
          </w:tcPr>
          <w:p w14:paraId="60FD3B02" w14:textId="77777777" w:rsidR="00090683" w:rsidRDefault="00090683" w:rsidP="000B7E9A">
            <w:pPr>
              <w:pStyle w:val="Tabletext"/>
            </w:pPr>
            <w:r>
              <w:rPr>
                <w:color w:val="000000"/>
                <w:szCs w:val="20"/>
                <w:lang w:val="en-US"/>
              </w:rPr>
              <w:t>Australasian Council of Deans of Arts, Social Sciences and Humanities (DASSH)</w:t>
            </w:r>
          </w:p>
        </w:tc>
      </w:tr>
      <w:tr w:rsidR="00090683" w14:paraId="2A932F2D"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2EFAD5A" w14:textId="77777777" w:rsidR="00090683" w:rsidRDefault="00090683" w:rsidP="000B7E9A">
            <w:pPr>
              <w:pStyle w:val="Tabletext"/>
            </w:pPr>
            <w:r>
              <w:rPr>
                <w:lang w:val="en-US"/>
              </w:rPr>
              <w:t>130</w:t>
            </w:r>
          </w:p>
        </w:tc>
        <w:tc>
          <w:tcPr>
            <w:tcW w:w="4084" w:type="pct"/>
          </w:tcPr>
          <w:p w14:paraId="3FDA08DF" w14:textId="77777777" w:rsidR="00090683" w:rsidRDefault="00090683" w:rsidP="000B7E9A">
            <w:pPr>
              <w:pStyle w:val="Tabletext"/>
            </w:pPr>
            <w:r>
              <w:rPr>
                <w:color w:val="000000"/>
                <w:szCs w:val="20"/>
                <w:lang w:val="en-US"/>
              </w:rPr>
              <w:t>Australian Business Deans Council (ABDC)</w:t>
            </w:r>
          </w:p>
        </w:tc>
      </w:tr>
      <w:tr w:rsidR="00090683" w14:paraId="7A741EA6"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6B85ABDC" w14:textId="77777777" w:rsidR="00090683" w:rsidRDefault="00090683" w:rsidP="000B7E9A">
            <w:pPr>
              <w:pStyle w:val="Tabletext"/>
            </w:pPr>
            <w:r>
              <w:rPr>
                <w:lang w:val="en-US"/>
              </w:rPr>
              <w:t>131</w:t>
            </w:r>
          </w:p>
        </w:tc>
        <w:tc>
          <w:tcPr>
            <w:tcW w:w="4084" w:type="pct"/>
          </w:tcPr>
          <w:p w14:paraId="021F00F3" w14:textId="77777777" w:rsidR="00090683" w:rsidRDefault="00090683" w:rsidP="000B7E9A">
            <w:pPr>
              <w:pStyle w:val="Tabletext"/>
            </w:pPr>
            <w:r>
              <w:rPr>
                <w:color w:val="000000"/>
                <w:szCs w:val="20"/>
                <w:lang w:val="en-US"/>
              </w:rPr>
              <w:t>Boronia Pre-Release Centre for Women</w:t>
            </w:r>
          </w:p>
        </w:tc>
      </w:tr>
      <w:tr w:rsidR="00090683" w14:paraId="2ECCB2F9"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53C8C53C" w14:textId="77777777" w:rsidR="00090683" w:rsidRDefault="00090683" w:rsidP="000B7E9A">
            <w:pPr>
              <w:pStyle w:val="Tabletext"/>
            </w:pPr>
            <w:r>
              <w:rPr>
                <w:lang w:val="en-US"/>
              </w:rPr>
              <w:t>132</w:t>
            </w:r>
          </w:p>
        </w:tc>
        <w:tc>
          <w:tcPr>
            <w:tcW w:w="4084" w:type="pct"/>
          </w:tcPr>
          <w:p w14:paraId="5843742C" w14:textId="77777777" w:rsidR="00090683" w:rsidRDefault="00090683" w:rsidP="000B7E9A">
            <w:pPr>
              <w:pStyle w:val="Tabletext"/>
            </w:pPr>
            <w:r>
              <w:rPr>
                <w:color w:val="000000"/>
                <w:szCs w:val="20"/>
                <w:lang w:val="en-US"/>
              </w:rPr>
              <w:t>Tweed Heads South Public School</w:t>
            </w:r>
          </w:p>
        </w:tc>
      </w:tr>
      <w:tr w:rsidR="00090683" w14:paraId="7917DFBE"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7DFABF03" w14:textId="77777777" w:rsidR="00090683" w:rsidRDefault="00090683" w:rsidP="000B7E9A">
            <w:pPr>
              <w:pStyle w:val="Tabletext"/>
            </w:pPr>
            <w:r>
              <w:rPr>
                <w:lang w:val="en-US"/>
              </w:rPr>
              <w:t>133</w:t>
            </w:r>
          </w:p>
        </w:tc>
        <w:tc>
          <w:tcPr>
            <w:tcW w:w="4084" w:type="pct"/>
            <w:vAlign w:val="bottom"/>
          </w:tcPr>
          <w:p w14:paraId="177EDE03" w14:textId="77777777" w:rsidR="00090683" w:rsidRDefault="00090683" w:rsidP="000B7E9A">
            <w:pPr>
              <w:pStyle w:val="Tabletext"/>
            </w:pPr>
            <w:r>
              <w:rPr>
                <w:color w:val="000000"/>
                <w:szCs w:val="20"/>
                <w:lang w:val="en-US"/>
              </w:rPr>
              <w:t>The Smith Family</w:t>
            </w:r>
          </w:p>
        </w:tc>
      </w:tr>
      <w:tr w:rsidR="00090683" w14:paraId="7F4E7614"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23EF873E" w14:textId="77777777" w:rsidR="00090683" w:rsidRDefault="00090683" w:rsidP="000B7E9A">
            <w:pPr>
              <w:pStyle w:val="Tabletext"/>
            </w:pPr>
            <w:r>
              <w:rPr>
                <w:lang w:val="en-US"/>
              </w:rPr>
              <w:t>134</w:t>
            </w:r>
          </w:p>
        </w:tc>
        <w:tc>
          <w:tcPr>
            <w:tcW w:w="4084" w:type="pct"/>
          </w:tcPr>
          <w:p w14:paraId="37241BE2" w14:textId="77777777" w:rsidR="00090683" w:rsidRDefault="00090683" w:rsidP="000B7E9A">
            <w:pPr>
              <w:pStyle w:val="Tabletext"/>
            </w:pPr>
            <w:r>
              <w:rPr>
                <w:color w:val="000000"/>
                <w:szCs w:val="20"/>
                <w:lang w:val="en-US"/>
              </w:rPr>
              <w:t>Macquarie University</w:t>
            </w:r>
          </w:p>
        </w:tc>
      </w:tr>
      <w:tr w:rsidR="00090683" w14:paraId="4AB5888E"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0014DA53" w14:textId="77777777" w:rsidR="00090683" w:rsidRDefault="00090683" w:rsidP="000B7E9A">
            <w:pPr>
              <w:pStyle w:val="Tabletext"/>
            </w:pPr>
            <w:r>
              <w:rPr>
                <w:lang w:val="en-US"/>
              </w:rPr>
              <w:t>135</w:t>
            </w:r>
          </w:p>
        </w:tc>
        <w:tc>
          <w:tcPr>
            <w:tcW w:w="4084" w:type="pct"/>
          </w:tcPr>
          <w:p w14:paraId="3B085BC6" w14:textId="77777777" w:rsidR="00090683" w:rsidRDefault="00090683" w:rsidP="000B7E9A">
            <w:pPr>
              <w:pStyle w:val="Tabletext"/>
            </w:pPr>
            <w:r>
              <w:rPr>
                <w:color w:val="000000"/>
                <w:szCs w:val="20"/>
                <w:lang w:val="en-US"/>
              </w:rPr>
              <w:t>Boronia Pre-Release Centre for Women</w:t>
            </w:r>
          </w:p>
        </w:tc>
      </w:tr>
      <w:tr w:rsidR="00090683" w14:paraId="4ECA427F" w14:textId="77777777" w:rsidTr="000B7E9A">
        <w:tblPrEx>
          <w:tblBorders>
            <w:bottom w:val="single" w:sz="4" w:space="0" w:color="646464"/>
            <w:insideH w:val="single" w:sz="4" w:space="0" w:color="646464"/>
          </w:tblBorders>
        </w:tblPrEx>
        <w:trPr>
          <w:gridBefore w:val="1"/>
          <w:wBefore w:w="262" w:type="pct"/>
          <w:cantSplit/>
        </w:trPr>
        <w:tc>
          <w:tcPr>
            <w:tcW w:w="654" w:type="pct"/>
          </w:tcPr>
          <w:p w14:paraId="31449DF5" w14:textId="77777777" w:rsidR="00090683" w:rsidRDefault="00090683" w:rsidP="000B7E9A">
            <w:pPr>
              <w:pStyle w:val="Tabletext"/>
            </w:pPr>
            <w:r>
              <w:rPr>
                <w:lang w:val="en-US"/>
              </w:rPr>
              <w:t>136</w:t>
            </w:r>
          </w:p>
        </w:tc>
        <w:tc>
          <w:tcPr>
            <w:tcW w:w="4084" w:type="pct"/>
          </w:tcPr>
          <w:p w14:paraId="306C88D6" w14:textId="77777777" w:rsidR="00090683" w:rsidRDefault="00090683" w:rsidP="000B7E9A">
            <w:pPr>
              <w:pStyle w:val="Tabletext"/>
            </w:pPr>
            <w:r>
              <w:rPr>
                <w:color w:val="000000"/>
                <w:szCs w:val="20"/>
                <w:lang w:val="en-US"/>
              </w:rPr>
              <w:t>Department of Education Public Schools Wagga Wagga Directorate</w:t>
            </w:r>
          </w:p>
        </w:tc>
      </w:tr>
      <w:tr w:rsidR="00090683" w14:paraId="20D9DECB" w14:textId="77777777" w:rsidTr="000B7E9A">
        <w:tblPrEx>
          <w:tblBorders>
            <w:bottom w:val="single" w:sz="4" w:space="0" w:color="646464"/>
            <w:insideH w:val="single" w:sz="4" w:space="0" w:color="646464"/>
          </w:tblBorders>
        </w:tblPrEx>
        <w:trPr>
          <w:gridBefore w:val="1"/>
          <w:wBefore w:w="262" w:type="pct"/>
          <w:cantSplit/>
        </w:trPr>
        <w:tc>
          <w:tcPr>
            <w:tcW w:w="4738" w:type="pct"/>
            <w:gridSpan w:val="2"/>
          </w:tcPr>
          <w:p w14:paraId="4065EA4A" w14:textId="77777777" w:rsidR="00090683" w:rsidRDefault="00090683" w:rsidP="000B7E9A">
            <w:pPr>
              <w:pStyle w:val="Source"/>
            </w:pPr>
            <w:r>
              <w:t>Source: acil allen</w:t>
            </w:r>
          </w:p>
        </w:tc>
      </w:tr>
      <w:tr w:rsidR="00090683" w14:paraId="2903AE37" w14:textId="77777777" w:rsidTr="000B7E9A">
        <w:tblPrEx>
          <w:tblBorders>
            <w:bottom w:val="single" w:sz="4" w:space="0" w:color="646464"/>
            <w:insideH w:val="single" w:sz="4" w:space="0" w:color="646464"/>
          </w:tblBorders>
        </w:tblPrEx>
        <w:trPr>
          <w:gridBefore w:val="1"/>
          <w:wBefore w:w="262" w:type="pct"/>
          <w:cantSplit/>
          <w:trHeight w:hRule="exact" w:val="120"/>
        </w:trPr>
        <w:tc>
          <w:tcPr>
            <w:tcW w:w="4738" w:type="pct"/>
            <w:gridSpan w:val="2"/>
            <w:tcBorders>
              <w:bottom w:val="nil"/>
            </w:tcBorders>
          </w:tcPr>
          <w:p w14:paraId="6144D747" w14:textId="77777777" w:rsidR="00090683" w:rsidRDefault="00090683" w:rsidP="000B7E9A">
            <w:pPr>
              <w:pStyle w:val="spacertbl"/>
            </w:pPr>
          </w:p>
        </w:tc>
      </w:tr>
    </w:tbl>
    <w:p w14:paraId="0D3F2B48" w14:textId="77777777" w:rsidR="00090683" w:rsidRDefault="00090683" w:rsidP="00090683">
      <w:pPr>
        <w:pStyle w:val="BodyText"/>
      </w:pPr>
    </w:p>
    <w:p w14:paraId="4B6C1E94" w14:textId="77777777" w:rsidR="00090683" w:rsidRDefault="00090683" w:rsidP="00090683">
      <w:pPr>
        <w:pStyle w:val="BodyText"/>
      </w:pPr>
    </w:p>
    <w:p w14:paraId="0DDE012A" w14:textId="77777777" w:rsidR="00090683" w:rsidRDefault="00090683" w:rsidP="00090683">
      <w:pPr>
        <w:pStyle w:val="BodyText"/>
      </w:pPr>
    </w:p>
    <w:p w14:paraId="18DF633B" w14:textId="77777777" w:rsidR="00090683" w:rsidRPr="001A2F85" w:rsidRDefault="00090683" w:rsidP="00090683">
      <w:pPr>
        <w:pStyle w:val="BodyText"/>
      </w:pPr>
    </w:p>
    <w:p w14:paraId="4CEE8009" w14:textId="77777777" w:rsidR="00090683" w:rsidRPr="001A2F85" w:rsidRDefault="00090683" w:rsidP="00090683">
      <w:pPr>
        <w:pStyle w:val="BodyText"/>
        <w:sectPr w:rsidR="00090683" w:rsidRPr="001A2F85" w:rsidSect="000B6604">
          <w:pgSz w:w="11907" w:h="16839" w:code="9"/>
          <w:pgMar w:top="1100" w:right="443" w:bottom="1320" w:left="3296" w:header="456" w:footer="262" w:gutter="0"/>
          <w:pgNumType w:start="1"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2913"/>
      </w:tblGrid>
      <w:tr w:rsidR="00090683" w:rsidRPr="001A2F85" w14:paraId="58EAF815" w14:textId="77777777" w:rsidTr="000B7E9A">
        <w:trPr>
          <w:trHeight w:hRule="exact" w:val="382"/>
        </w:trPr>
        <w:tc>
          <w:tcPr>
            <w:tcW w:w="5245" w:type="dxa"/>
            <w:shd w:val="clear" w:color="auto" w:fill="9D57A6"/>
          </w:tcPr>
          <w:p w14:paraId="74B2BC8C" w14:textId="77777777" w:rsidR="00090683" w:rsidRPr="001A2F85" w:rsidRDefault="00090683" w:rsidP="000B7E9A">
            <w:pPr>
              <w:pStyle w:val="tagappendixChapter"/>
              <w:keepNext/>
            </w:pPr>
            <w:r>
              <w:rPr>
                <w:noProof/>
                <w:lang w:eastAsia="en-AU"/>
              </w:rPr>
              <mc:AlternateContent>
                <mc:Choice Requires="wps">
                  <w:drawing>
                    <wp:anchor distT="0" distB="0" distL="114300" distR="114300" simplePos="0" relativeHeight="251740672" behindDoc="0" locked="1" layoutInCell="1" allowOverlap="1" wp14:anchorId="606DA376" wp14:editId="42BED48E">
                      <wp:simplePos x="0" y="0"/>
                      <wp:positionH relativeFrom="page">
                        <wp:posOffset>158750</wp:posOffset>
                      </wp:positionH>
                      <wp:positionV relativeFrom="page">
                        <wp:posOffset>6350</wp:posOffset>
                      </wp:positionV>
                      <wp:extent cx="439420" cy="215265"/>
                      <wp:effectExtent l="0" t="0" r="0" b="0"/>
                      <wp:wrapNone/>
                      <wp:docPr id="38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C3D196" id="Freeform 5" o:spid="_x0000_s1026" style="position:absolute;margin-left:12.5pt;margin-top:.5pt;width:34.6pt;height:16.9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DL8oiS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2913" w:type="dxa"/>
            <w:shd w:val="clear" w:color="auto" w:fill="9D57A6"/>
          </w:tcPr>
          <w:p w14:paraId="07F83A8D" w14:textId="77777777" w:rsidR="00090683" w:rsidRPr="001A2F85" w:rsidRDefault="00090683" w:rsidP="000B7E9A">
            <w:pPr>
              <w:pStyle w:val="spacer"/>
            </w:pPr>
          </w:p>
        </w:tc>
      </w:tr>
      <w:tr w:rsidR="00090683" w:rsidRPr="001A2F85" w14:paraId="1DB14424" w14:textId="77777777" w:rsidTr="000B7E9A">
        <w:trPr>
          <w:trHeight w:hRule="exact" w:val="3665"/>
        </w:trPr>
        <w:tc>
          <w:tcPr>
            <w:tcW w:w="5245" w:type="dxa"/>
            <w:shd w:val="clear" w:color="auto" w:fill="9D57A6"/>
            <w:tcMar>
              <w:left w:w="0" w:type="dxa"/>
            </w:tcMar>
            <w:vAlign w:val="bottom"/>
          </w:tcPr>
          <w:p w14:paraId="493C14B2" w14:textId="77777777" w:rsidR="00090683" w:rsidRPr="001A2F85" w:rsidRDefault="00090683" w:rsidP="000B7E9A">
            <w:pPr>
              <w:pStyle w:val="Heading7"/>
              <w:outlineLvl w:val="6"/>
            </w:pPr>
            <w:r>
              <w:t>Additional charts based on university HEPPP annual reports</w:t>
            </w:r>
          </w:p>
        </w:tc>
        <w:tc>
          <w:tcPr>
            <w:tcW w:w="2913" w:type="dxa"/>
            <w:shd w:val="clear" w:color="auto" w:fill="9D57A6"/>
            <w:tcMar>
              <w:right w:w="344" w:type="dxa"/>
            </w:tcMar>
          </w:tcPr>
          <w:p w14:paraId="20F2CD0E" w14:textId="77777777" w:rsidR="00090683" w:rsidRPr="00D93426" w:rsidRDefault="00090683" w:rsidP="000B7E9A">
            <w:pPr>
              <w:pStyle w:val="HeadingAppendix"/>
              <w:rPr>
                <w:sz w:val="280"/>
                <w:szCs w:val="280"/>
              </w:rPr>
            </w:pPr>
            <w:r>
              <w:rPr>
                <w:sz w:val="280"/>
                <w:szCs w:val="280"/>
              </w:rPr>
              <w:t>D</w:t>
            </w:r>
          </w:p>
        </w:tc>
      </w:tr>
      <w:tr w:rsidR="00090683" w:rsidRPr="001A2F85" w14:paraId="4002238F" w14:textId="77777777" w:rsidTr="000B7E9A">
        <w:trPr>
          <w:trHeight w:hRule="exact" w:val="232"/>
        </w:trPr>
        <w:tc>
          <w:tcPr>
            <w:tcW w:w="5245" w:type="dxa"/>
            <w:shd w:val="clear" w:color="auto" w:fill="9D57A6"/>
            <w:tcMar>
              <w:left w:w="0" w:type="dxa"/>
            </w:tcMar>
          </w:tcPr>
          <w:p w14:paraId="348FD971" w14:textId="77777777" w:rsidR="00090683" w:rsidRPr="001A2F85" w:rsidRDefault="00090683" w:rsidP="000B7E9A">
            <w:pPr>
              <w:pStyle w:val="spacer"/>
            </w:pPr>
          </w:p>
        </w:tc>
        <w:tc>
          <w:tcPr>
            <w:tcW w:w="2913" w:type="dxa"/>
            <w:shd w:val="clear" w:color="auto" w:fill="9D57A6"/>
            <w:tcMar>
              <w:right w:w="344" w:type="dxa"/>
            </w:tcMar>
          </w:tcPr>
          <w:p w14:paraId="0D959F04" w14:textId="77777777" w:rsidR="00090683" w:rsidRPr="001A2F85" w:rsidRDefault="00090683" w:rsidP="000B7E9A">
            <w:pPr>
              <w:pStyle w:val="App-Context"/>
              <w:keepNext/>
            </w:pPr>
            <w:r>
              <w:rPr>
                <w:noProof/>
              </w:rPr>
              <w:t>Recommendations technical appendix</w:t>
            </w:r>
          </w:p>
        </w:tc>
      </w:tr>
      <w:tr w:rsidR="00090683" w:rsidRPr="001A2F85" w14:paraId="5BED905F" w14:textId="77777777" w:rsidTr="000B7E9A">
        <w:trPr>
          <w:trHeight w:hRule="exact" w:val="228"/>
        </w:trPr>
        <w:tc>
          <w:tcPr>
            <w:tcW w:w="5245" w:type="dxa"/>
            <w:tcBorders>
              <w:top w:val="single" w:sz="4" w:space="0" w:color="9D57A6"/>
            </w:tcBorders>
          </w:tcPr>
          <w:p w14:paraId="2D1B0D40" w14:textId="77777777" w:rsidR="00090683" w:rsidRPr="001A2F85" w:rsidRDefault="00090683" w:rsidP="000B7E9A">
            <w:pPr>
              <w:pStyle w:val="spacer"/>
            </w:pPr>
          </w:p>
        </w:tc>
        <w:tc>
          <w:tcPr>
            <w:tcW w:w="2913" w:type="dxa"/>
            <w:tcBorders>
              <w:top w:val="single" w:sz="4" w:space="0" w:color="9D57A6"/>
            </w:tcBorders>
          </w:tcPr>
          <w:p w14:paraId="01D82419" w14:textId="77777777" w:rsidR="00090683" w:rsidRPr="001A2F85" w:rsidRDefault="00090683" w:rsidP="000B7E9A">
            <w:pPr>
              <w:pStyle w:val="spacer"/>
            </w:pPr>
          </w:p>
        </w:tc>
      </w:tr>
    </w:tbl>
    <w:p w14:paraId="43C87CAF" w14:textId="77777777" w:rsidR="00090683" w:rsidRPr="001A2F85" w:rsidRDefault="00090683" w:rsidP="00090683">
      <w:pPr>
        <w:pStyle w:val="BodyText"/>
      </w:pPr>
      <w:r>
        <w:t xml:space="preserve">This appendix includes additional analysis of the data extracted from the university HEPPP annual reports. </w:t>
      </w:r>
    </w:p>
    <w:p w14:paraId="7D640CD4" w14:textId="77777777" w:rsidR="00090683" w:rsidRDefault="00090683" w:rsidP="00090683">
      <w:pPr>
        <w:pStyle w:val="Heading4"/>
      </w:pPr>
      <w:r>
        <w:t>Proportion of projects by priority target groups and region</w:t>
      </w:r>
    </w:p>
    <w:p w14:paraId="024D1742" w14:textId="77777777" w:rsidR="00090683" w:rsidRDefault="00090683" w:rsidP="00090683">
      <w:pPr>
        <w:pStyle w:val="BodyText"/>
      </w:pPr>
      <w:r>
        <w:t xml:space="preserve">The four charts below show the proportion of projects at each stage of the student life cycle by priority target groups, disaggregated by metropolitan and regional.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090683" w:rsidRPr="00AA4DEE" w14:paraId="2C22B621" w14:textId="77777777" w:rsidTr="000B7E9A">
        <w:trPr>
          <w:cantSplit/>
          <w:trHeight w:hRule="exact" w:val="160"/>
        </w:trPr>
        <w:tc>
          <w:tcPr>
            <w:tcW w:w="8168" w:type="dxa"/>
            <w:tcBorders>
              <w:bottom w:val="single" w:sz="4" w:space="0" w:color="auto"/>
            </w:tcBorders>
            <w:shd w:val="clear" w:color="auto" w:fill="auto"/>
          </w:tcPr>
          <w:p w14:paraId="6281E45D" w14:textId="77777777" w:rsidR="00090683" w:rsidRPr="00AA4DEE" w:rsidRDefault="00090683" w:rsidP="000B7E9A">
            <w:pPr>
              <w:pStyle w:val="spacer"/>
            </w:pPr>
          </w:p>
        </w:tc>
      </w:tr>
      <w:tr w:rsidR="00090683" w:rsidRPr="00897E60" w14:paraId="25252A0B" w14:textId="77777777" w:rsidTr="000B7E9A">
        <w:trPr>
          <w:cantSplit/>
        </w:trPr>
        <w:tc>
          <w:tcPr>
            <w:tcW w:w="8168" w:type="dxa"/>
            <w:tcBorders>
              <w:top w:val="single" w:sz="4" w:space="0" w:color="auto"/>
            </w:tcBorders>
            <w:shd w:val="clear" w:color="auto" w:fill="auto"/>
            <w:tcMar>
              <w:left w:w="0" w:type="dxa"/>
            </w:tcMar>
          </w:tcPr>
          <w:p w14:paraId="4AB1E183" w14:textId="7AD50D44" w:rsidR="00090683" w:rsidRPr="00897E60" w:rsidRDefault="00090683" w:rsidP="000B7E9A">
            <w:pPr>
              <w:pStyle w:val="Caption"/>
            </w:pPr>
            <w:r>
              <w:rPr>
                <w:rStyle w:val="CaptionLabel"/>
              </w:rPr>
              <w:t>Figure </w:t>
            </w:r>
            <w:r w:rsidR="00CE17FE">
              <w:rPr>
                <w:rStyle w:val="CaptionLabel"/>
              </w:rPr>
              <w:fldChar w:fldCharType="begin"/>
            </w:r>
            <w:r w:rsidR="00CE17FE">
              <w:rPr>
                <w:rStyle w:val="CaptionLabel"/>
              </w:rPr>
              <w:instrText xml:space="preserve"> STYLEREF 7 \s </w:instrText>
            </w:r>
            <w:r w:rsidR="00CE17FE">
              <w:rPr>
                <w:rStyle w:val="CaptionLabel"/>
              </w:rPr>
              <w:fldChar w:fldCharType="separate"/>
            </w:r>
            <w:r w:rsidR="0064083A">
              <w:rPr>
                <w:rStyle w:val="CaptionLabel"/>
                <w:noProof/>
              </w:rPr>
              <w:t>D</w:t>
            </w:r>
            <w:r w:rsidR="00CE17FE">
              <w:rPr>
                <w:rStyle w:val="CaptionLabel"/>
              </w:rPr>
              <w:fldChar w:fldCharType="end"/>
            </w:r>
            <w:r w:rsidR="00CE17FE">
              <w:rPr>
                <w:rStyle w:val="CaptionLabel"/>
              </w:rPr>
              <w:t>.</w:t>
            </w:r>
            <w:r w:rsidR="00CE17FE">
              <w:rPr>
                <w:rStyle w:val="CaptionLabel"/>
              </w:rPr>
              <w:fldChar w:fldCharType="begin"/>
            </w:r>
            <w:r w:rsidR="00CE17FE">
              <w:rPr>
                <w:rStyle w:val="CaptionLabel"/>
              </w:rPr>
              <w:instrText xml:space="preserve"> SEQ Figure_AP \* ARABIC \s 7 </w:instrText>
            </w:r>
            <w:r w:rsidR="00CE17FE">
              <w:rPr>
                <w:rStyle w:val="CaptionLabel"/>
              </w:rPr>
              <w:fldChar w:fldCharType="separate"/>
            </w:r>
            <w:r w:rsidR="0064083A">
              <w:rPr>
                <w:rStyle w:val="CaptionLabel"/>
                <w:noProof/>
              </w:rPr>
              <w:t>1</w:t>
            </w:r>
            <w:r w:rsidR="00CE17FE">
              <w:rPr>
                <w:rStyle w:val="CaptionLabel"/>
              </w:rPr>
              <w:fldChar w:fldCharType="end"/>
            </w:r>
            <w:r>
              <w:tab/>
              <w:t>Proportion of Outreach to schools and communities projects by priority target groups, by metropolitan and regional (average of 2010-2015)</w:t>
            </w:r>
          </w:p>
        </w:tc>
      </w:tr>
      <w:tr w:rsidR="00090683" w:rsidRPr="00AA4DEE" w14:paraId="05F9A63D" w14:textId="77777777" w:rsidTr="000B7E9A">
        <w:trPr>
          <w:cantSplit/>
          <w:trHeight w:hRule="exact" w:val="380"/>
        </w:trPr>
        <w:tc>
          <w:tcPr>
            <w:tcW w:w="8168" w:type="dxa"/>
            <w:tcBorders>
              <w:bottom w:val="single" w:sz="4" w:space="0" w:color="auto"/>
            </w:tcBorders>
            <w:shd w:val="clear" w:color="auto" w:fill="auto"/>
          </w:tcPr>
          <w:p w14:paraId="1DCABE77" w14:textId="77777777" w:rsidR="00090683" w:rsidRPr="00AA4DEE" w:rsidRDefault="00090683" w:rsidP="000B7E9A">
            <w:pPr>
              <w:pStyle w:val="spacer"/>
            </w:pPr>
            <w:r w:rsidRPr="00AA4DEE">
              <w:rPr>
                <w:noProof/>
                <w:lang w:eastAsia="en-AU"/>
              </w:rPr>
              <mc:AlternateContent>
                <mc:Choice Requires="wps">
                  <w:drawing>
                    <wp:anchor distT="0" distB="0" distL="114300" distR="114300" simplePos="0" relativeHeight="251742720" behindDoc="0" locked="1" layoutInCell="1" allowOverlap="1" wp14:anchorId="42B00ADB" wp14:editId="2DED21E8">
                      <wp:simplePos x="0" y="0"/>
                      <wp:positionH relativeFrom="rightMargin">
                        <wp:posOffset>-772795</wp:posOffset>
                      </wp:positionH>
                      <wp:positionV relativeFrom="page">
                        <wp:posOffset>0</wp:posOffset>
                      </wp:positionV>
                      <wp:extent cx="436880" cy="213360"/>
                      <wp:effectExtent l="0" t="0" r="1270" b="0"/>
                      <wp:wrapNone/>
                      <wp:docPr id="52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34C52F" id="Freeform 5" o:spid="_x0000_s1026" style="position:absolute;margin-left:-60.85pt;margin-top:0;width:34.4pt;height:16.8pt;z-index:251742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IZx3OB/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098A1BA9" w14:textId="77777777" w:rsidTr="000B7E9A">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556B1ED1" w14:textId="77777777" w:rsidR="00090683" w:rsidRPr="00AA4DEE" w:rsidRDefault="00090683" w:rsidP="000B7E9A">
            <w:pPr>
              <w:pStyle w:val="Figure"/>
            </w:pPr>
            <w:r w:rsidRPr="009913D0">
              <w:rPr>
                <w:noProof/>
                <w:lang w:eastAsia="en-AU"/>
              </w:rPr>
              <w:drawing>
                <wp:inline distT="0" distB="0" distL="0" distR="0" wp14:anchorId="0BE89125" wp14:editId="7D3A7E58">
                  <wp:extent cx="5181600" cy="219075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81600" cy="2190750"/>
                          </a:xfrm>
                          <a:prstGeom prst="rect">
                            <a:avLst/>
                          </a:prstGeom>
                          <a:noFill/>
                          <a:ln>
                            <a:noFill/>
                          </a:ln>
                        </pic:spPr>
                      </pic:pic>
                    </a:graphicData>
                  </a:graphic>
                </wp:inline>
              </w:drawing>
            </w:r>
          </w:p>
        </w:tc>
      </w:tr>
      <w:tr w:rsidR="00090683" w:rsidRPr="00AA4DEE" w14:paraId="6BA60F31" w14:textId="77777777" w:rsidTr="000B7E9A">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1253CCCF" w14:textId="77777777" w:rsidR="00090683" w:rsidRPr="00AA4DEE" w:rsidRDefault="00090683" w:rsidP="000B7E9A">
            <w:pPr>
              <w:pStyle w:val="Note"/>
            </w:pPr>
            <w:r w:rsidRPr="00AA4DEE">
              <w:t xml:space="preserve">Note: </w:t>
            </w:r>
            <w:r>
              <w:t>The sum of the percentages may exceed 100 per cent as project can be classified as more than one category</w:t>
            </w:r>
          </w:p>
          <w:p w14:paraId="33E4CD55" w14:textId="77777777" w:rsidR="00090683" w:rsidRPr="00AA4DEE" w:rsidRDefault="00090683" w:rsidP="000B7E9A">
            <w:pPr>
              <w:pStyle w:val="Source"/>
            </w:pPr>
            <w:r w:rsidRPr="00AA4DEE">
              <w:t xml:space="preserve">Source: </w:t>
            </w:r>
            <w:r>
              <w:t>HEPPP Annual Reports</w:t>
            </w:r>
          </w:p>
        </w:tc>
      </w:tr>
      <w:tr w:rsidR="00090683" w14:paraId="432CD72F" w14:textId="77777777" w:rsidTr="000B7E9A">
        <w:trPr>
          <w:trHeight w:hRule="exact" w:val="160"/>
        </w:trPr>
        <w:tc>
          <w:tcPr>
            <w:tcW w:w="8168" w:type="dxa"/>
            <w:tcBorders>
              <w:top w:val="single" w:sz="4" w:space="0" w:color="auto"/>
            </w:tcBorders>
            <w:shd w:val="clear" w:color="auto" w:fill="auto"/>
          </w:tcPr>
          <w:p w14:paraId="5CA1B86B" w14:textId="77777777" w:rsidR="00090683" w:rsidRDefault="00090683" w:rsidP="000B7E9A">
            <w:pPr>
              <w:pStyle w:val="spacertbl"/>
            </w:pPr>
          </w:p>
        </w:tc>
      </w:tr>
    </w:tbl>
    <w:p w14:paraId="2C0C2160" w14:textId="77777777" w:rsidR="00C0777A" w:rsidRDefault="00C0777A" w:rsidP="00090683">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090683" w:rsidRPr="00AA4DEE" w14:paraId="69341E34" w14:textId="77777777" w:rsidTr="000B7E9A">
        <w:trPr>
          <w:cantSplit/>
          <w:trHeight w:hRule="exact" w:val="160"/>
        </w:trPr>
        <w:tc>
          <w:tcPr>
            <w:tcW w:w="8168" w:type="dxa"/>
            <w:tcBorders>
              <w:bottom w:val="single" w:sz="4" w:space="0" w:color="auto"/>
            </w:tcBorders>
            <w:shd w:val="clear" w:color="auto" w:fill="auto"/>
          </w:tcPr>
          <w:p w14:paraId="261AB23A" w14:textId="77777777" w:rsidR="00090683" w:rsidRPr="00AA4DEE" w:rsidRDefault="00090683" w:rsidP="000B7E9A">
            <w:pPr>
              <w:pStyle w:val="spacer"/>
            </w:pPr>
          </w:p>
        </w:tc>
      </w:tr>
      <w:tr w:rsidR="00090683" w:rsidRPr="00897E60" w14:paraId="7C61C7F1" w14:textId="77777777" w:rsidTr="000B7E9A">
        <w:trPr>
          <w:cantSplit/>
        </w:trPr>
        <w:tc>
          <w:tcPr>
            <w:tcW w:w="8168" w:type="dxa"/>
            <w:tcBorders>
              <w:top w:val="single" w:sz="4" w:space="0" w:color="auto"/>
            </w:tcBorders>
            <w:shd w:val="clear" w:color="auto" w:fill="auto"/>
            <w:tcMar>
              <w:left w:w="0" w:type="dxa"/>
            </w:tcMar>
          </w:tcPr>
          <w:p w14:paraId="0F77A781" w14:textId="4632BBE2" w:rsidR="00090683" w:rsidRPr="00897E60" w:rsidRDefault="00090683" w:rsidP="000B7E9A">
            <w:pPr>
              <w:pStyle w:val="Caption"/>
            </w:pPr>
            <w:r>
              <w:rPr>
                <w:rStyle w:val="CaptionLabel"/>
              </w:rPr>
              <w:t>Figure </w:t>
            </w:r>
            <w:r w:rsidR="00CE17FE">
              <w:rPr>
                <w:rStyle w:val="CaptionLabel"/>
              </w:rPr>
              <w:fldChar w:fldCharType="begin"/>
            </w:r>
            <w:r w:rsidR="00CE17FE">
              <w:rPr>
                <w:rStyle w:val="CaptionLabel"/>
              </w:rPr>
              <w:instrText xml:space="preserve"> STYLEREF 7 \s </w:instrText>
            </w:r>
            <w:r w:rsidR="00CE17FE">
              <w:rPr>
                <w:rStyle w:val="CaptionLabel"/>
              </w:rPr>
              <w:fldChar w:fldCharType="separate"/>
            </w:r>
            <w:r w:rsidR="0064083A">
              <w:rPr>
                <w:rStyle w:val="CaptionLabel"/>
                <w:noProof/>
              </w:rPr>
              <w:t>D</w:t>
            </w:r>
            <w:r w:rsidR="00CE17FE">
              <w:rPr>
                <w:rStyle w:val="CaptionLabel"/>
              </w:rPr>
              <w:fldChar w:fldCharType="end"/>
            </w:r>
            <w:r w:rsidR="00CE17FE">
              <w:rPr>
                <w:rStyle w:val="CaptionLabel"/>
              </w:rPr>
              <w:t>.</w:t>
            </w:r>
            <w:r w:rsidR="00CE17FE">
              <w:rPr>
                <w:rStyle w:val="CaptionLabel"/>
              </w:rPr>
              <w:fldChar w:fldCharType="begin"/>
            </w:r>
            <w:r w:rsidR="00CE17FE">
              <w:rPr>
                <w:rStyle w:val="CaptionLabel"/>
              </w:rPr>
              <w:instrText xml:space="preserve"> SEQ Figure_AP \* ARABIC \s 7 </w:instrText>
            </w:r>
            <w:r w:rsidR="00CE17FE">
              <w:rPr>
                <w:rStyle w:val="CaptionLabel"/>
              </w:rPr>
              <w:fldChar w:fldCharType="separate"/>
            </w:r>
            <w:r w:rsidR="0064083A">
              <w:rPr>
                <w:rStyle w:val="CaptionLabel"/>
                <w:noProof/>
              </w:rPr>
              <w:t>2</w:t>
            </w:r>
            <w:r w:rsidR="00CE17FE">
              <w:rPr>
                <w:rStyle w:val="CaptionLabel"/>
              </w:rPr>
              <w:fldChar w:fldCharType="end"/>
            </w:r>
            <w:r>
              <w:tab/>
              <w:t>Proportion of Pathways and Admissions projects by priority target groups, by metropolitan and regional (average of 2010-2015)</w:t>
            </w:r>
          </w:p>
        </w:tc>
      </w:tr>
      <w:tr w:rsidR="00090683" w:rsidRPr="00AA4DEE" w14:paraId="167E5731" w14:textId="77777777" w:rsidTr="000B7E9A">
        <w:trPr>
          <w:cantSplit/>
          <w:trHeight w:hRule="exact" w:val="380"/>
        </w:trPr>
        <w:tc>
          <w:tcPr>
            <w:tcW w:w="8168" w:type="dxa"/>
            <w:tcBorders>
              <w:bottom w:val="single" w:sz="4" w:space="0" w:color="auto"/>
            </w:tcBorders>
            <w:shd w:val="clear" w:color="auto" w:fill="auto"/>
          </w:tcPr>
          <w:p w14:paraId="4E405EB6" w14:textId="77777777" w:rsidR="00090683" w:rsidRPr="00AA4DEE" w:rsidRDefault="00090683" w:rsidP="000B7E9A">
            <w:pPr>
              <w:pStyle w:val="spacer"/>
            </w:pPr>
            <w:r w:rsidRPr="00AA4DEE">
              <w:rPr>
                <w:noProof/>
                <w:lang w:eastAsia="en-AU"/>
              </w:rPr>
              <mc:AlternateContent>
                <mc:Choice Requires="wps">
                  <w:drawing>
                    <wp:anchor distT="0" distB="0" distL="114300" distR="114300" simplePos="0" relativeHeight="251741696" behindDoc="0" locked="1" layoutInCell="1" allowOverlap="1" wp14:anchorId="60C57263" wp14:editId="480DF798">
                      <wp:simplePos x="0" y="0"/>
                      <wp:positionH relativeFrom="rightMargin">
                        <wp:posOffset>-772795</wp:posOffset>
                      </wp:positionH>
                      <wp:positionV relativeFrom="page">
                        <wp:posOffset>0</wp:posOffset>
                      </wp:positionV>
                      <wp:extent cx="436880" cy="213360"/>
                      <wp:effectExtent l="0" t="0" r="1270" b="0"/>
                      <wp:wrapNone/>
                      <wp:docPr id="52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036E08" id="Freeform 5" o:spid="_x0000_s1026" style="position:absolute;margin-left:-60.85pt;margin-top:0;width:34.4pt;height:16.8pt;z-index:251741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NdfQ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fuSNd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46AD7E17" w14:textId="77777777" w:rsidTr="000B7E9A">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7E3BBEF" w14:textId="77777777" w:rsidR="00090683" w:rsidRPr="00AA4DEE" w:rsidRDefault="00090683" w:rsidP="000B7E9A">
            <w:pPr>
              <w:pStyle w:val="Figure"/>
            </w:pPr>
            <w:r w:rsidRPr="00664605">
              <w:rPr>
                <w:noProof/>
                <w:lang w:eastAsia="en-AU"/>
              </w:rPr>
              <w:drawing>
                <wp:inline distT="0" distB="0" distL="0" distR="0" wp14:anchorId="61C31EB5" wp14:editId="5AE06559">
                  <wp:extent cx="5191125" cy="22193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191125" cy="2219325"/>
                          </a:xfrm>
                          <a:prstGeom prst="rect">
                            <a:avLst/>
                          </a:prstGeom>
                          <a:noFill/>
                          <a:ln>
                            <a:noFill/>
                          </a:ln>
                        </pic:spPr>
                      </pic:pic>
                    </a:graphicData>
                  </a:graphic>
                </wp:inline>
              </w:drawing>
            </w:r>
          </w:p>
        </w:tc>
      </w:tr>
      <w:tr w:rsidR="00090683" w:rsidRPr="00AA4DEE" w14:paraId="3908C14E" w14:textId="77777777" w:rsidTr="000B7E9A">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8CB1006" w14:textId="77777777" w:rsidR="00090683" w:rsidRPr="00AA4DEE" w:rsidRDefault="00090683" w:rsidP="000B7E9A">
            <w:pPr>
              <w:pStyle w:val="Note"/>
            </w:pPr>
            <w:r w:rsidRPr="00AA4DEE">
              <w:t xml:space="preserve">Note: </w:t>
            </w:r>
            <w:r>
              <w:t>The sum of the percentages may exceed 100 per cent as project can be classified as more than one category</w:t>
            </w:r>
          </w:p>
          <w:p w14:paraId="71327D95" w14:textId="77777777" w:rsidR="00090683" w:rsidRPr="00AA4DEE" w:rsidRDefault="00090683" w:rsidP="000B7E9A">
            <w:pPr>
              <w:pStyle w:val="Source"/>
            </w:pPr>
            <w:r w:rsidRPr="00AA4DEE">
              <w:t xml:space="preserve">Source: </w:t>
            </w:r>
            <w:r>
              <w:t>HEPPP Annual Reports</w:t>
            </w:r>
          </w:p>
        </w:tc>
      </w:tr>
      <w:tr w:rsidR="00090683" w14:paraId="5177E1D1" w14:textId="77777777" w:rsidTr="000B7E9A">
        <w:trPr>
          <w:trHeight w:hRule="exact" w:val="160"/>
        </w:trPr>
        <w:tc>
          <w:tcPr>
            <w:tcW w:w="8168" w:type="dxa"/>
            <w:tcBorders>
              <w:top w:val="single" w:sz="4" w:space="0" w:color="auto"/>
            </w:tcBorders>
            <w:shd w:val="clear" w:color="auto" w:fill="auto"/>
          </w:tcPr>
          <w:p w14:paraId="1FEC90B3" w14:textId="77777777" w:rsidR="00090683" w:rsidRDefault="00090683" w:rsidP="000B7E9A">
            <w:pPr>
              <w:pStyle w:val="spacertbl"/>
            </w:pPr>
          </w:p>
        </w:tc>
      </w:tr>
    </w:tbl>
    <w:p w14:paraId="7F1EF101" w14:textId="77777777" w:rsidR="00090683" w:rsidRDefault="00090683" w:rsidP="00090683">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090683" w:rsidRPr="00AA4DEE" w14:paraId="576F82BC" w14:textId="77777777" w:rsidTr="000B7E9A">
        <w:trPr>
          <w:cantSplit/>
          <w:trHeight w:hRule="exact" w:val="160"/>
        </w:trPr>
        <w:tc>
          <w:tcPr>
            <w:tcW w:w="8168" w:type="dxa"/>
            <w:tcBorders>
              <w:bottom w:val="single" w:sz="4" w:space="0" w:color="auto"/>
            </w:tcBorders>
            <w:shd w:val="clear" w:color="auto" w:fill="auto"/>
          </w:tcPr>
          <w:p w14:paraId="6110AAA6" w14:textId="77777777" w:rsidR="00090683" w:rsidRPr="00AA4DEE" w:rsidRDefault="00090683" w:rsidP="000B7E9A">
            <w:pPr>
              <w:pStyle w:val="spacer"/>
            </w:pPr>
          </w:p>
        </w:tc>
      </w:tr>
      <w:tr w:rsidR="00090683" w:rsidRPr="00897E60" w14:paraId="0BD3BD4E" w14:textId="77777777" w:rsidTr="000B7E9A">
        <w:trPr>
          <w:cantSplit/>
        </w:trPr>
        <w:tc>
          <w:tcPr>
            <w:tcW w:w="8168" w:type="dxa"/>
            <w:tcBorders>
              <w:top w:val="single" w:sz="4" w:space="0" w:color="auto"/>
            </w:tcBorders>
            <w:shd w:val="clear" w:color="auto" w:fill="auto"/>
            <w:tcMar>
              <w:left w:w="0" w:type="dxa"/>
            </w:tcMar>
          </w:tcPr>
          <w:p w14:paraId="6BF75DBB" w14:textId="66B48601" w:rsidR="00090683" w:rsidRPr="00897E60" w:rsidRDefault="00090683" w:rsidP="000B7E9A">
            <w:pPr>
              <w:pStyle w:val="Caption"/>
            </w:pPr>
            <w:r>
              <w:rPr>
                <w:rStyle w:val="CaptionLabel"/>
              </w:rPr>
              <w:t>Figure </w:t>
            </w:r>
            <w:r w:rsidR="00CE17FE">
              <w:rPr>
                <w:rStyle w:val="CaptionLabel"/>
              </w:rPr>
              <w:fldChar w:fldCharType="begin"/>
            </w:r>
            <w:r w:rsidR="00CE17FE">
              <w:rPr>
                <w:rStyle w:val="CaptionLabel"/>
              </w:rPr>
              <w:instrText xml:space="preserve"> STYLEREF 7 \s </w:instrText>
            </w:r>
            <w:r w:rsidR="00CE17FE">
              <w:rPr>
                <w:rStyle w:val="CaptionLabel"/>
              </w:rPr>
              <w:fldChar w:fldCharType="separate"/>
            </w:r>
            <w:r w:rsidR="0064083A">
              <w:rPr>
                <w:rStyle w:val="CaptionLabel"/>
                <w:noProof/>
              </w:rPr>
              <w:t>D</w:t>
            </w:r>
            <w:r w:rsidR="00CE17FE">
              <w:rPr>
                <w:rStyle w:val="CaptionLabel"/>
              </w:rPr>
              <w:fldChar w:fldCharType="end"/>
            </w:r>
            <w:r w:rsidR="00CE17FE">
              <w:rPr>
                <w:rStyle w:val="CaptionLabel"/>
              </w:rPr>
              <w:t>.</w:t>
            </w:r>
            <w:r w:rsidR="00CE17FE">
              <w:rPr>
                <w:rStyle w:val="CaptionLabel"/>
              </w:rPr>
              <w:fldChar w:fldCharType="begin"/>
            </w:r>
            <w:r w:rsidR="00CE17FE">
              <w:rPr>
                <w:rStyle w:val="CaptionLabel"/>
              </w:rPr>
              <w:instrText xml:space="preserve"> SEQ Figure_AP \* ARABIC \s 7 </w:instrText>
            </w:r>
            <w:r w:rsidR="00CE17FE">
              <w:rPr>
                <w:rStyle w:val="CaptionLabel"/>
              </w:rPr>
              <w:fldChar w:fldCharType="separate"/>
            </w:r>
            <w:r w:rsidR="0064083A">
              <w:rPr>
                <w:rStyle w:val="CaptionLabel"/>
                <w:noProof/>
              </w:rPr>
              <w:t>3</w:t>
            </w:r>
            <w:r w:rsidR="00CE17FE">
              <w:rPr>
                <w:rStyle w:val="CaptionLabel"/>
              </w:rPr>
              <w:fldChar w:fldCharType="end"/>
            </w:r>
            <w:r>
              <w:tab/>
              <w:t>Proportion of Transition, Engagement and Progression projects by priority target groups, by metropolitan and regional (Average of 2010-2015)</w:t>
            </w:r>
          </w:p>
        </w:tc>
      </w:tr>
      <w:tr w:rsidR="00090683" w:rsidRPr="00AA4DEE" w14:paraId="33B87440" w14:textId="77777777" w:rsidTr="000B7E9A">
        <w:trPr>
          <w:cantSplit/>
          <w:trHeight w:hRule="exact" w:val="380"/>
        </w:trPr>
        <w:tc>
          <w:tcPr>
            <w:tcW w:w="8168" w:type="dxa"/>
            <w:tcBorders>
              <w:bottom w:val="single" w:sz="4" w:space="0" w:color="auto"/>
            </w:tcBorders>
            <w:shd w:val="clear" w:color="auto" w:fill="auto"/>
          </w:tcPr>
          <w:p w14:paraId="5512223D" w14:textId="77777777" w:rsidR="00090683" w:rsidRPr="00AA4DEE" w:rsidRDefault="00090683" w:rsidP="000B7E9A">
            <w:pPr>
              <w:pStyle w:val="spacer"/>
            </w:pPr>
            <w:r w:rsidRPr="00AA4DEE">
              <w:rPr>
                <w:noProof/>
                <w:lang w:eastAsia="en-AU"/>
              </w:rPr>
              <mc:AlternateContent>
                <mc:Choice Requires="wps">
                  <w:drawing>
                    <wp:anchor distT="0" distB="0" distL="114300" distR="114300" simplePos="0" relativeHeight="251743744" behindDoc="0" locked="1" layoutInCell="1" allowOverlap="1" wp14:anchorId="1D58A975" wp14:editId="6D9CED15">
                      <wp:simplePos x="0" y="0"/>
                      <wp:positionH relativeFrom="rightMargin">
                        <wp:posOffset>-772795</wp:posOffset>
                      </wp:positionH>
                      <wp:positionV relativeFrom="page">
                        <wp:posOffset>0</wp:posOffset>
                      </wp:positionV>
                      <wp:extent cx="436880" cy="213360"/>
                      <wp:effectExtent l="0" t="0" r="1270" b="0"/>
                      <wp:wrapNone/>
                      <wp:docPr id="529"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AFF7B3" id="Freeform 5" o:spid="_x0000_s1026" style="position:absolute;margin-left:-60.85pt;margin-top:0;width:34.4pt;height:16.8pt;z-index:251743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CvDOWB/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183B95A8" w14:textId="77777777" w:rsidTr="000B7E9A">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465078EA" w14:textId="77777777" w:rsidR="00090683" w:rsidRPr="00AA4DEE" w:rsidRDefault="00090683" w:rsidP="000B7E9A">
            <w:pPr>
              <w:pStyle w:val="Figure"/>
            </w:pPr>
            <w:r w:rsidRPr="009913D0">
              <w:rPr>
                <w:noProof/>
                <w:lang w:eastAsia="en-AU"/>
              </w:rPr>
              <w:drawing>
                <wp:inline distT="0" distB="0" distL="0" distR="0" wp14:anchorId="08DB88A7" wp14:editId="38403218">
                  <wp:extent cx="5172075" cy="22193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172075" cy="2219325"/>
                          </a:xfrm>
                          <a:prstGeom prst="rect">
                            <a:avLst/>
                          </a:prstGeom>
                          <a:noFill/>
                          <a:ln>
                            <a:noFill/>
                          </a:ln>
                        </pic:spPr>
                      </pic:pic>
                    </a:graphicData>
                  </a:graphic>
                </wp:inline>
              </w:drawing>
            </w:r>
          </w:p>
        </w:tc>
      </w:tr>
      <w:tr w:rsidR="00090683" w:rsidRPr="00AA4DEE" w14:paraId="0E3DF4BC" w14:textId="77777777" w:rsidTr="000B7E9A">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40E9100B" w14:textId="77777777" w:rsidR="00090683" w:rsidRPr="00AA4DEE" w:rsidRDefault="00090683" w:rsidP="000B7E9A">
            <w:pPr>
              <w:pStyle w:val="Note"/>
            </w:pPr>
            <w:r w:rsidRPr="00AA4DEE">
              <w:t xml:space="preserve">Note: </w:t>
            </w:r>
            <w:r>
              <w:t>The sum of the percentages may exceed 100 per cent as project can be classified as more than one category</w:t>
            </w:r>
          </w:p>
          <w:p w14:paraId="481950CF" w14:textId="77777777" w:rsidR="00090683" w:rsidRPr="00AA4DEE" w:rsidRDefault="00090683" w:rsidP="000B7E9A">
            <w:pPr>
              <w:pStyle w:val="Source"/>
            </w:pPr>
            <w:r w:rsidRPr="00AA4DEE">
              <w:t xml:space="preserve">Source: </w:t>
            </w:r>
            <w:r>
              <w:t>HEPPP Annual Reports</w:t>
            </w:r>
          </w:p>
        </w:tc>
      </w:tr>
      <w:tr w:rsidR="00090683" w14:paraId="054D0D6B" w14:textId="77777777" w:rsidTr="000B7E9A">
        <w:trPr>
          <w:trHeight w:hRule="exact" w:val="160"/>
        </w:trPr>
        <w:tc>
          <w:tcPr>
            <w:tcW w:w="8168" w:type="dxa"/>
            <w:tcBorders>
              <w:top w:val="single" w:sz="4" w:space="0" w:color="auto"/>
            </w:tcBorders>
            <w:shd w:val="clear" w:color="auto" w:fill="auto"/>
          </w:tcPr>
          <w:p w14:paraId="79E29A79" w14:textId="77777777" w:rsidR="00090683" w:rsidRDefault="00090683" w:rsidP="000B7E9A">
            <w:pPr>
              <w:pStyle w:val="spacertbl"/>
            </w:pPr>
          </w:p>
        </w:tc>
      </w:tr>
    </w:tbl>
    <w:p w14:paraId="78088647" w14:textId="77777777" w:rsidR="00090683" w:rsidRDefault="00090683" w:rsidP="00090683">
      <w:pPr>
        <w:pStyle w:val="BodyText"/>
      </w:pPr>
    </w:p>
    <w:p w14:paraId="17FFB953" w14:textId="77777777" w:rsidR="00C0777A" w:rsidRDefault="00C0777A" w:rsidP="00090683">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C0777A" w:rsidRPr="00AA4DEE" w14:paraId="05E95ED4" w14:textId="77777777" w:rsidTr="00B759F6">
        <w:trPr>
          <w:cantSplit/>
          <w:trHeight w:hRule="exact" w:val="160"/>
        </w:trPr>
        <w:tc>
          <w:tcPr>
            <w:tcW w:w="8168" w:type="dxa"/>
            <w:tcBorders>
              <w:bottom w:val="single" w:sz="4" w:space="0" w:color="auto"/>
            </w:tcBorders>
            <w:shd w:val="clear" w:color="auto" w:fill="auto"/>
          </w:tcPr>
          <w:p w14:paraId="583F0D2D" w14:textId="77777777" w:rsidR="00C0777A" w:rsidRPr="00AA4DEE" w:rsidRDefault="00C0777A" w:rsidP="00B759F6">
            <w:pPr>
              <w:pStyle w:val="spacer"/>
            </w:pPr>
          </w:p>
        </w:tc>
      </w:tr>
      <w:tr w:rsidR="00C0777A" w:rsidRPr="00897E60" w14:paraId="23D503AA" w14:textId="77777777" w:rsidTr="00B759F6">
        <w:trPr>
          <w:cantSplit/>
        </w:trPr>
        <w:tc>
          <w:tcPr>
            <w:tcW w:w="8168" w:type="dxa"/>
            <w:tcBorders>
              <w:top w:val="single" w:sz="4" w:space="0" w:color="auto"/>
            </w:tcBorders>
            <w:shd w:val="clear" w:color="auto" w:fill="auto"/>
            <w:tcMar>
              <w:left w:w="0" w:type="dxa"/>
            </w:tcMar>
          </w:tcPr>
          <w:p w14:paraId="64E79892" w14:textId="2C627DEE" w:rsidR="00C0777A" w:rsidRPr="00897E60" w:rsidRDefault="00C0777A" w:rsidP="00B759F6">
            <w:pPr>
              <w:pStyle w:val="Caption"/>
            </w:pPr>
            <w:r>
              <w:rPr>
                <w:rStyle w:val="CaptionLabel"/>
              </w:rPr>
              <w:t>Figure </w:t>
            </w:r>
            <w:r w:rsidR="00CE17FE">
              <w:rPr>
                <w:rStyle w:val="CaptionLabel"/>
              </w:rPr>
              <w:fldChar w:fldCharType="begin"/>
            </w:r>
            <w:r w:rsidR="00CE17FE">
              <w:rPr>
                <w:rStyle w:val="CaptionLabel"/>
              </w:rPr>
              <w:instrText xml:space="preserve"> STYLEREF 7 \s </w:instrText>
            </w:r>
            <w:r w:rsidR="00CE17FE">
              <w:rPr>
                <w:rStyle w:val="CaptionLabel"/>
              </w:rPr>
              <w:fldChar w:fldCharType="separate"/>
            </w:r>
            <w:r w:rsidR="0064083A">
              <w:rPr>
                <w:rStyle w:val="CaptionLabel"/>
                <w:noProof/>
              </w:rPr>
              <w:t>D</w:t>
            </w:r>
            <w:r w:rsidR="00CE17FE">
              <w:rPr>
                <w:rStyle w:val="CaptionLabel"/>
              </w:rPr>
              <w:fldChar w:fldCharType="end"/>
            </w:r>
            <w:r w:rsidR="00CE17FE">
              <w:rPr>
                <w:rStyle w:val="CaptionLabel"/>
              </w:rPr>
              <w:t>.</w:t>
            </w:r>
            <w:r w:rsidR="00CE17FE">
              <w:rPr>
                <w:rStyle w:val="CaptionLabel"/>
              </w:rPr>
              <w:fldChar w:fldCharType="begin"/>
            </w:r>
            <w:r w:rsidR="00CE17FE">
              <w:rPr>
                <w:rStyle w:val="CaptionLabel"/>
              </w:rPr>
              <w:instrText xml:space="preserve"> SEQ Figure_AP \* ARABIC \s 7 </w:instrText>
            </w:r>
            <w:r w:rsidR="00CE17FE">
              <w:rPr>
                <w:rStyle w:val="CaptionLabel"/>
              </w:rPr>
              <w:fldChar w:fldCharType="separate"/>
            </w:r>
            <w:r w:rsidR="0064083A">
              <w:rPr>
                <w:rStyle w:val="CaptionLabel"/>
                <w:noProof/>
              </w:rPr>
              <w:t>4</w:t>
            </w:r>
            <w:r w:rsidR="00CE17FE">
              <w:rPr>
                <w:rStyle w:val="CaptionLabel"/>
              </w:rPr>
              <w:fldChar w:fldCharType="end"/>
            </w:r>
            <w:r>
              <w:tab/>
              <w:t>Proportion of Attainment and Transition out projects by priority target groups, by metropolitan and regional (Average of 2010-2015)</w:t>
            </w:r>
          </w:p>
        </w:tc>
      </w:tr>
      <w:tr w:rsidR="00C0777A" w:rsidRPr="00AA4DEE" w14:paraId="47D3040B" w14:textId="77777777" w:rsidTr="00B759F6">
        <w:trPr>
          <w:cantSplit/>
          <w:trHeight w:hRule="exact" w:val="380"/>
        </w:trPr>
        <w:tc>
          <w:tcPr>
            <w:tcW w:w="8168" w:type="dxa"/>
            <w:tcBorders>
              <w:bottom w:val="single" w:sz="4" w:space="0" w:color="auto"/>
            </w:tcBorders>
            <w:shd w:val="clear" w:color="auto" w:fill="auto"/>
          </w:tcPr>
          <w:p w14:paraId="3DFA5671" w14:textId="77777777" w:rsidR="00C0777A" w:rsidRPr="00AA4DEE" w:rsidRDefault="00C0777A" w:rsidP="00B759F6">
            <w:pPr>
              <w:pStyle w:val="spacer"/>
            </w:pPr>
            <w:r w:rsidRPr="00AA4DEE">
              <w:rPr>
                <w:noProof/>
                <w:lang w:eastAsia="en-AU"/>
              </w:rPr>
              <mc:AlternateContent>
                <mc:Choice Requires="wps">
                  <w:drawing>
                    <wp:anchor distT="0" distB="0" distL="114300" distR="114300" simplePos="0" relativeHeight="251757056" behindDoc="0" locked="1" layoutInCell="1" allowOverlap="1" wp14:anchorId="2BE29707" wp14:editId="2EC8AC67">
                      <wp:simplePos x="0" y="0"/>
                      <wp:positionH relativeFrom="rightMargin">
                        <wp:posOffset>-772795</wp:posOffset>
                      </wp:positionH>
                      <wp:positionV relativeFrom="page">
                        <wp:posOffset>0</wp:posOffset>
                      </wp:positionV>
                      <wp:extent cx="436880" cy="213360"/>
                      <wp:effectExtent l="0" t="0" r="1270" b="0"/>
                      <wp:wrapNone/>
                      <wp:docPr id="66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536AC0" id="Freeform 5" o:spid="_x0000_s1026" style="position:absolute;margin-left:-60.85pt;margin-top:0;width:34.4pt;height:16.8pt;z-index:251757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HQPZkV/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0777A" w:rsidRPr="00AA4DEE" w14:paraId="4043920B" w14:textId="77777777" w:rsidTr="00B759F6">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54EEF6B" w14:textId="29EFAC8D" w:rsidR="00C0777A" w:rsidRPr="00AA4DEE" w:rsidRDefault="00C0777A" w:rsidP="00B759F6">
            <w:pPr>
              <w:pStyle w:val="Figure"/>
            </w:pPr>
            <w:r w:rsidRPr="009913D0">
              <w:rPr>
                <w:noProof/>
                <w:lang w:eastAsia="en-AU"/>
              </w:rPr>
              <w:drawing>
                <wp:inline distT="0" distB="0" distL="0" distR="0" wp14:anchorId="6ABB5DE2" wp14:editId="310D9DF0">
                  <wp:extent cx="5162550" cy="221932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162550" cy="2219325"/>
                          </a:xfrm>
                          <a:prstGeom prst="rect">
                            <a:avLst/>
                          </a:prstGeom>
                          <a:noFill/>
                          <a:ln>
                            <a:noFill/>
                          </a:ln>
                        </pic:spPr>
                      </pic:pic>
                    </a:graphicData>
                  </a:graphic>
                </wp:inline>
              </w:drawing>
            </w:r>
          </w:p>
        </w:tc>
      </w:tr>
      <w:tr w:rsidR="00C0777A" w:rsidRPr="00AA4DEE" w14:paraId="246A4E84" w14:textId="77777777" w:rsidTr="00B759F6">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8F554C7" w14:textId="77777777" w:rsidR="00C0777A" w:rsidRPr="00AA4DEE" w:rsidRDefault="00C0777A" w:rsidP="00C0777A">
            <w:pPr>
              <w:pStyle w:val="Note"/>
            </w:pPr>
            <w:r w:rsidRPr="00AA4DEE">
              <w:t xml:space="preserve">Note: </w:t>
            </w:r>
            <w:r>
              <w:t>The sum of the percentages may exceed 100 per cent as project can be classified as more than one category</w:t>
            </w:r>
          </w:p>
          <w:p w14:paraId="2892D7B7" w14:textId="76C25571" w:rsidR="00C0777A" w:rsidRPr="00AA4DEE" w:rsidRDefault="00C0777A" w:rsidP="00C0777A">
            <w:pPr>
              <w:pStyle w:val="Source"/>
            </w:pPr>
            <w:r w:rsidRPr="00AA4DEE">
              <w:t xml:space="preserve">Source: </w:t>
            </w:r>
            <w:r>
              <w:t>HEPPP Annual Reports</w:t>
            </w:r>
          </w:p>
        </w:tc>
      </w:tr>
      <w:tr w:rsidR="00C0777A" w14:paraId="0E58ADB4" w14:textId="77777777" w:rsidTr="00B759F6">
        <w:trPr>
          <w:trHeight w:hRule="exact" w:val="160"/>
        </w:trPr>
        <w:tc>
          <w:tcPr>
            <w:tcW w:w="8168" w:type="dxa"/>
            <w:tcBorders>
              <w:top w:val="single" w:sz="4" w:space="0" w:color="auto"/>
            </w:tcBorders>
            <w:shd w:val="clear" w:color="auto" w:fill="auto"/>
          </w:tcPr>
          <w:p w14:paraId="1D52D8ED" w14:textId="77777777" w:rsidR="00C0777A" w:rsidRDefault="00C0777A" w:rsidP="00B759F6">
            <w:pPr>
              <w:pStyle w:val="spacertbl"/>
            </w:pPr>
          </w:p>
        </w:tc>
      </w:tr>
    </w:tbl>
    <w:p w14:paraId="5C6677CB" w14:textId="77777777" w:rsidR="00090683" w:rsidRDefault="00090683" w:rsidP="00C0777A">
      <w:pPr>
        <w:pStyle w:val="Heading10nonumber"/>
      </w:pPr>
      <w:r>
        <w:t>Proportion of projects by priority target groups and university grouping</w:t>
      </w:r>
    </w:p>
    <w:p w14:paraId="36FB019B" w14:textId="6D1227E1" w:rsidR="00C0777A" w:rsidRDefault="00090683" w:rsidP="00C0777A">
      <w:pPr>
        <w:pStyle w:val="BodyText"/>
      </w:pPr>
      <w:r>
        <w:t xml:space="preserve">The four charts below show the proportion of projects at each stage of the student life cycle by priority target groups, disaggregated by university grouping.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C0777A" w:rsidRPr="00AA4DEE" w14:paraId="423AC79B" w14:textId="77777777" w:rsidTr="00B759F6">
        <w:trPr>
          <w:cantSplit/>
          <w:trHeight w:hRule="exact" w:val="160"/>
        </w:trPr>
        <w:tc>
          <w:tcPr>
            <w:tcW w:w="8168" w:type="dxa"/>
            <w:tcBorders>
              <w:bottom w:val="single" w:sz="4" w:space="0" w:color="auto"/>
            </w:tcBorders>
            <w:shd w:val="clear" w:color="auto" w:fill="auto"/>
          </w:tcPr>
          <w:p w14:paraId="3F5BDD04" w14:textId="77777777" w:rsidR="00C0777A" w:rsidRPr="00AA4DEE" w:rsidRDefault="00C0777A" w:rsidP="00B759F6">
            <w:pPr>
              <w:pStyle w:val="spacer"/>
            </w:pPr>
          </w:p>
        </w:tc>
      </w:tr>
      <w:tr w:rsidR="00C0777A" w:rsidRPr="00897E60" w14:paraId="31733840" w14:textId="77777777" w:rsidTr="00B759F6">
        <w:trPr>
          <w:cantSplit/>
        </w:trPr>
        <w:tc>
          <w:tcPr>
            <w:tcW w:w="8168" w:type="dxa"/>
            <w:tcBorders>
              <w:top w:val="single" w:sz="4" w:space="0" w:color="auto"/>
            </w:tcBorders>
            <w:shd w:val="clear" w:color="auto" w:fill="auto"/>
            <w:tcMar>
              <w:left w:w="0" w:type="dxa"/>
            </w:tcMar>
          </w:tcPr>
          <w:p w14:paraId="64086763" w14:textId="0FDB8160" w:rsidR="00C0777A" w:rsidRPr="00897E60" w:rsidRDefault="00C0777A" w:rsidP="00B759F6">
            <w:pPr>
              <w:pStyle w:val="Caption"/>
            </w:pPr>
            <w:r>
              <w:rPr>
                <w:rStyle w:val="CaptionLabel"/>
              </w:rPr>
              <w:t>Figure </w:t>
            </w:r>
            <w:r w:rsidR="00CE17FE">
              <w:rPr>
                <w:rStyle w:val="CaptionLabel"/>
              </w:rPr>
              <w:fldChar w:fldCharType="begin"/>
            </w:r>
            <w:r w:rsidR="00CE17FE">
              <w:rPr>
                <w:rStyle w:val="CaptionLabel"/>
              </w:rPr>
              <w:instrText xml:space="preserve"> STYLEREF 7 \s </w:instrText>
            </w:r>
            <w:r w:rsidR="00CE17FE">
              <w:rPr>
                <w:rStyle w:val="CaptionLabel"/>
              </w:rPr>
              <w:fldChar w:fldCharType="separate"/>
            </w:r>
            <w:r w:rsidR="0064083A">
              <w:rPr>
                <w:rStyle w:val="CaptionLabel"/>
                <w:noProof/>
              </w:rPr>
              <w:t>D</w:t>
            </w:r>
            <w:r w:rsidR="00CE17FE">
              <w:rPr>
                <w:rStyle w:val="CaptionLabel"/>
              </w:rPr>
              <w:fldChar w:fldCharType="end"/>
            </w:r>
            <w:r w:rsidR="00CE17FE">
              <w:rPr>
                <w:rStyle w:val="CaptionLabel"/>
              </w:rPr>
              <w:t>.</w:t>
            </w:r>
            <w:r w:rsidR="00CE17FE">
              <w:rPr>
                <w:rStyle w:val="CaptionLabel"/>
              </w:rPr>
              <w:fldChar w:fldCharType="begin"/>
            </w:r>
            <w:r w:rsidR="00CE17FE">
              <w:rPr>
                <w:rStyle w:val="CaptionLabel"/>
              </w:rPr>
              <w:instrText xml:space="preserve"> SEQ Figure_AP \* ARABIC \s 7 </w:instrText>
            </w:r>
            <w:r w:rsidR="00CE17FE">
              <w:rPr>
                <w:rStyle w:val="CaptionLabel"/>
              </w:rPr>
              <w:fldChar w:fldCharType="separate"/>
            </w:r>
            <w:r w:rsidR="0064083A">
              <w:rPr>
                <w:rStyle w:val="CaptionLabel"/>
                <w:noProof/>
              </w:rPr>
              <w:t>5</w:t>
            </w:r>
            <w:r w:rsidR="00CE17FE">
              <w:rPr>
                <w:rStyle w:val="CaptionLabel"/>
              </w:rPr>
              <w:fldChar w:fldCharType="end"/>
            </w:r>
            <w:r>
              <w:tab/>
              <w:t>Proportion of Outreach to Schools and Communities projects by priority target groups, by university grouping (Average of 2010-2015)</w:t>
            </w:r>
          </w:p>
        </w:tc>
      </w:tr>
      <w:tr w:rsidR="00C0777A" w:rsidRPr="00AA4DEE" w14:paraId="73C93DA5" w14:textId="77777777" w:rsidTr="00B759F6">
        <w:trPr>
          <w:cantSplit/>
          <w:trHeight w:hRule="exact" w:val="380"/>
        </w:trPr>
        <w:tc>
          <w:tcPr>
            <w:tcW w:w="8168" w:type="dxa"/>
            <w:tcBorders>
              <w:bottom w:val="single" w:sz="4" w:space="0" w:color="auto"/>
            </w:tcBorders>
            <w:shd w:val="clear" w:color="auto" w:fill="auto"/>
          </w:tcPr>
          <w:p w14:paraId="2C41CFAF" w14:textId="77777777" w:rsidR="00C0777A" w:rsidRPr="00AA4DEE" w:rsidRDefault="00C0777A" w:rsidP="00B759F6">
            <w:pPr>
              <w:pStyle w:val="spacer"/>
            </w:pPr>
            <w:r w:rsidRPr="00AA4DEE">
              <w:rPr>
                <w:noProof/>
                <w:lang w:eastAsia="en-AU"/>
              </w:rPr>
              <mc:AlternateContent>
                <mc:Choice Requires="wps">
                  <w:drawing>
                    <wp:anchor distT="0" distB="0" distL="114300" distR="114300" simplePos="0" relativeHeight="251759104" behindDoc="0" locked="1" layoutInCell="1" allowOverlap="1" wp14:anchorId="381EB122" wp14:editId="0C7E26D8">
                      <wp:simplePos x="0" y="0"/>
                      <wp:positionH relativeFrom="rightMargin">
                        <wp:posOffset>-772795</wp:posOffset>
                      </wp:positionH>
                      <wp:positionV relativeFrom="page">
                        <wp:posOffset>0</wp:posOffset>
                      </wp:positionV>
                      <wp:extent cx="436880" cy="213360"/>
                      <wp:effectExtent l="0" t="0" r="1270" b="0"/>
                      <wp:wrapNone/>
                      <wp:docPr id="671"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589DD6" id="Freeform 5" o:spid="_x0000_s1026" style="position:absolute;margin-left:-60.85pt;margin-top:0;width:34.4pt;height:16.8pt;z-index:251759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LcuHVV8AwAAwg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0777A" w:rsidRPr="00AA4DEE" w14:paraId="0CC0B2F9" w14:textId="77777777" w:rsidTr="00B759F6">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A4ED150" w14:textId="7488CA09" w:rsidR="00C0777A" w:rsidRPr="00AA4DEE" w:rsidRDefault="00C0777A" w:rsidP="00B759F6">
            <w:pPr>
              <w:pStyle w:val="Figure"/>
            </w:pPr>
            <w:r w:rsidRPr="009913D0">
              <w:rPr>
                <w:noProof/>
                <w:lang w:eastAsia="en-AU"/>
              </w:rPr>
              <w:drawing>
                <wp:inline distT="0" distB="0" distL="0" distR="0" wp14:anchorId="3EBBB6AD" wp14:editId="425BEAFB">
                  <wp:extent cx="5181600" cy="320992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181600" cy="3209925"/>
                          </a:xfrm>
                          <a:prstGeom prst="rect">
                            <a:avLst/>
                          </a:prstGeom>
                          <a:noFill/>
                          <a:ln>
                            <a:noFill/>
                          </a:ln>
                        </pic:spPr>
                      </pic:pic>
                    </a:graphicData>
                  </a:graphic>
                </wp:inline>
              </w:drawing>
            </w:r>
          </w:p>
        </w:tc>
      </w:tr>
      <w:tr w:rsidR="00C0777A" w:rsidRPr="00AA4DEE" w14:paraId="56E80E0B" w14:textId="77777777" w:rsidTr="00B759F6">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298DE016" w14:textId="77777777" w:rsidR="00C0777A" w:rsidRPr="00AA4DEE" w:rsidRDefault="00C0777A" w:rsidP="00C0777A">
            <w:pPr>
              <w:pStyle w:val="Note"/>
            </w:pPr>
            <w:r w:rsidRPr="00AA4DEE">
              <w:t xml:space="preserve">Note: </w:t>
            </w:r>
            <w:r>
              <w:t>The sum of the percentages may exceed 100 per cent as project can be classified as more than one category</w:t>
            </w:r>
          </w:p>
          <w:p w14:paraId="1103B94A" w14:textId="42DA6A68" w:rsidR="00C0777A" w:rsidRPr="00AA4DEE" w:rsidRDefault="00C0777A" w:rsidP="00C0777A">
            <w:pPr>
              <w:pStyle w:val="Source"/>
            </w:pPr>
            <w:r w:rsidRPr="00AA4DEE">
              <w:t xml:space="preserve">Source: </w:t>
            </w:r>
            <w:r>
              <w:t>HEPPP Annual Reports</w:t>
            </w:r>
          </w:p>
        </w:tc>
      </w:tr>
      <w:tr w:rsidR="00C0777A" w14:paraId="19100AAE" w14:textId="77777777" w:rsidTr="00B759F6">
        <w:trPr>
          <w:trHeight w:hRule="exact" w:val="160"/>
        </w:trPr>
        <w:tc>
          <w:tcPr>
            <w:tcW w:w="8168" w:type="dxa"/>
            <w:tcBorders>
              <w:top w:val="single" w:sz="4" w:space="0" w:color="auto"/>
            </w:tcBorders>
            <w:shd w:val="clear" w:color="auto" w:fill="auto"/>
          </w:tcPr>
          <w:p w14:paraId="1F6FA4C0" w14:textId="77777777" w:rsidR="00C0777A" w:rsidRDefault="00C0777A" w:rsidP="00B759F6">
            <w:pPr>
              <w:pStyle w:val="spacertbl"/>
            </w:pPr>
          </w:p>
        </w:tc>
      </w:tr>
    </w:tbl>
    <w:p w14:paraId="17768024" w14:textId="77777777" w:rsidR="00C0777A" w:rsidRDefault="00C0777A" w:rsidP="00B759F6">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C0777A" w:rsidRPr="00AA4DEE" w14:paraId="4FA6EAE5" w14:textId="77777777" w:rsidTr="00B759F6">
        <w:trPr>
          <w:cantSplit/>
          <w:trHeight w:hRule="exact" w:val="160"/>
        </w:trPr>
        <w:tc>
          <w:tcPr>
            <w:tcW w:w="8168" w:type="dxa"/>
            <w:tcBorders>
              <w:bottom w:val="single" w:sz="4" w:space="0" w:color="auto"/>
            </w:tcBorders>
            <w:shd w:val="clear" w:color="auto" w:fill="auto"/>
          </w:tcPr>
          <w:p w14:paraId="5F4AB24C" w14:textId="77777777" w:rsidR="00C0777A" w:rsidRPr="00AA4DEE" w:rsidRDefault="00C0777A" w:rsidP="00B759F6">
            <w:pPr>
              <w:pStyle w:val="spacer"/>
            </w:pPr>
          </w:p>
        </w:tc>
      </w:tr>
      <w:tr w:rsidR="00C0777A" w:rsidRPr="00897E60" w14:paraId="57343423" w14:textId="77777777" w:rsidTr="00B759F6">
        <w:trPr>
          <w:cantSplit/>
        </w:trPr>
        <w:tc>
          <w:tcPr>
            <w:tcW w:w="8168" w:type="dxa"/>
            <w:tcBorders>
              <w:top w:val="single" w:sz="4" w:space="0" w:color="auto"/>
            </w:tcBorders>
            <w:shd w:val="clear" w:color="auto" w:fill="auto"/>
            <w:tcMar>
              <w:left w:w="0" w:type="dxa"/>
            </w:tcMar>
          </w:tcPr>
          <w:p w14:paraId="518E3280" w14:textId="5D04E589" w:rsidR="00C0777A" w:rsidRPr="00897E60" w:rsidRDefault="00C0777A" w:rsidP="00B759F6">
            <w:pPr>
              <w:pStyle w:val="Caption"/>
            </w:pPr>
            <w:r>
              <w:rPr>
                <w:rStyle w:val="CaptionLabel"/>
              </w:rPr>
              <w:t>Figure </w:t>
            </w:r>
            <w:r w:rsidR="00CE17FE">
              <w:rPr>
                <w:rStyle w:val="CaptionLabel"/>
              </w:rPr>
              <w:fldChar w:fldCharType="begin"/>
            </w:r>
            <w:r w:rsidR="00CE17FE">
              <w:rPr>
                <w:rStyle w:val="CaptionLabel"/>
              </w:rPr>
              <w:instrText xml:space="preserve"> STYLEREF 7 \s </w:instrText>
            </w:r>
            <w:r w:rsidR="00CE17FE">
              <w:rPr>
                <w:rStyle w:val="CaptionLabel"/>
              </w:rPr>
              <w:fldChar w:fldCharType="separate"/>
            </w:r>
            <w:r w:rsidR="0064083A">
              <w:rPr>
                <w:rStyle w:val="CaptionLabel"/>
                <w:noProof/>
              </w:rPr>
              <w:t>D</w:t>
            </w:r>
            <w:r w:rsidR="00CE17FE">
              <w:rPr>
                <w:rStyle w:val="CaptionLabel"/>
              </w:rPr>
              <w:fldChar w:fldCharType="end"/>
            </w:r>
            <w:r w:rsidR="00CE17FE">
              <w:rPr>
                <w:rStyle w:val="CaptionLabel"/>
              </w:rPr>
              <w:t>.</w:t>
            </w:r>
            <w:r w:rsidR="00CE17FE">
              <w:rPr>
                <w:rStyle w:val="CaptionLabel"/>
              </w:rPr>
              <w:fldChar w:fldCharType="begin"/>
            </w:r>
            <w:r w:rsidR="00CE17FE">
              <w:rPr>
                <w:rStyle w:val="CaptionLabel"/>
              </w:rPr>
              <w:instrText xml:space="preserve"> SEQ Figure_AP \* ARABIC \s 7 </w:instrText>
            </w:r>
            <w:r w:rsidR="00CE17FE">
              <w:rPr>
                <w:rStyle w:val="CaptionLabel"/>
              </w:rPr>
              <w:fldChar w:fldCharType="separate"/>
            </w:r>
            <w:r w:rsidR="0064083A">
              <w:rPr>
                <w:rStyle w:val="CaptionLabel"/>
                <w:noProof/>
              </w:rPr>
              <w:t>6</w:t>
            </w:r>
            <w:r w:rsidR="00CE17FE">
              <w:rPr>
                <w:rStyle w:val="CaptionLabel"/>
              </w:rPr>
              <w:fldChar w:fldCharType="end"/>
            </w:r>
            <w:r>
              <w:tab/>
              <w:t>Proportion of Pathways and admissions projects by priority target groups, by university grouping (Average of 2010-2015)</w:t>
            </w:r>
          </w:p>
        </w:tc>
      </w:tr>
      <w:tr w:rsidR="00C0777A" w:rsidRPr="00AA4DEE" w14:paraId="6F7D3B8E" w14:textId="77777777" w:rsidTr="00B759F6">
        <w:trPr>
          <w:cantSplit/>
          <w:trHeight w:hRule="exact" w:val="380"/>
        </w:trPr>
        <w:tc>
          <w:tcPr>
            <w:tcW w:w="8168" w:type="dxa"/>
            <w:tcBorders>
              <w:bottom w:val="single" w:sz="4" w:space="0" w:color="auto"/>
            </w:tcBorders>
            <w:shd w:val="clear" w:color="auto" w:fill="auto"/>
          </w:tcPr>
          <w:p w14:paraId="08C1022D" w14:textId="77777777" w:rsidR="00C0777A" w:rsidRPr="00AA4DEE" w:rsidRDefault="00C0777A" w:rsidP="00B759F6">
            <w:pPr>
              <w:pStyle w:val="spacer"/>
            </w:pPr>
            <w:r w:rsidRPr="00AA4DEE">
              <w:rPr>
                <w:noProof/>
                <w:lang w:eastAsia="en-AU"/>
              </w:rPr>
              <mc:AlternateContent>
                <mc:Choice Requires="wps">
                  <w:drawing>
                    <wp:anchor distT="0" distB="0" distL="114300" distR="114300" simplePos="0" relativeHeight="251761152" behindDoc="0" locked="1" layoutInCell="1" allowOverlap="1" wp14:anchorId="69FA90AB" wp14:editId="4C8CD679">
                      <wp:simplePos x="0" y="0"/>
                      <wp:positionH relativeFrom="rightMargin">
                        <wp:posOffset>-772795</wp:posOffset>
                      </wp:positionH>
                      <wp:positionV relativeFrom="page">
                        <wp:posOffset>0</wp:posOffset>
                      </wp:positionV>
                      <wp:extent cx="436880" cy="213360"/>
                      <wp:effectExtent l="0" t="0" r="1270" b="0"/>
                      <wp:wrapNone/>
                      <wp:docPr id="67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997288" id="Freeform 5" o:spid="_x0000_s1026" style="position:absolute;margin-left:-60.85pt;margin-top:0;width:34.4pt;height:16.8pt;z-index:251761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6cfw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BO9bpx/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0777A" w:rsidRPr="00AA4DEE" w14:paraId="0FA69996" w14:textId="77777777" w:rsidTr="00B759F6">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3262B42B" w14:textId="7E77DA89" w:rsidR="00C0777A" w:rsidRPr="00AA4DEE" w:rsidRDefault="00C0777A" w:rsidP="00B759F6">
            <w:pPr>
              <w:pStyle w:val="Figure"/>
            </w:pPr>
            <w:r w:rsidRPr="003063AF">
              <w:rPr>
                <w:noProof/>
                <w:lang w:eastAsia="en-AU"/>
              </w:rPr>
              <w:drawing>
                <wp:inline distT="0" distB="0" distL="0" distR="0" wp14:anchorId="5707BD45" wp14:editId="5EF4D183">
                  <wp:extent cx="5191125" cy="3248025"/>
                  <wp:effectExtent l="0" t="0" r="952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191125" cy="3248025"/>
                          </a:xfrm>
                          <a:prstGeom prst="rect">
                            <a:avLst/>
                          </a:prstGeom>
                          <a:noFill/>
                          <a:ln>
                            <a:noFill/>
                          </a:ln>
                        </pic:spPr>
                      </pic:pic>
                    </a:graphicData>
                  </a:graphic>
                </wp:inline>
              </w:drawing>
            </w:r>
          </w:p>
        </w:tc>
      </w:tr>
      <w:tr w:rsidR="00C0777A" w:rsidRPr="00AA4DEE" w14:paraId="224C604A" w14:textId="77777777" w:rsidTr="00B759F6">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5B493527" w14:textId="77777777" w:rsidR="00C0777A" w:rsidRPr="00AA4DEE" w:rsidRDefault="00C0777A" w:rsidP="00C0777A">
            <w:pPr>
              <w:pStyle w:val="Note"/>
            </w:pPr>
            <w:r w:rsidRPr="00AA4DEE">
              <w:t xml:space="preserve">Note: </w:t>
            </w:r>
            <w:r>
              <w:t>The sum of the percentages may exceed 100 per cent as project can be classified as more than one category</w:t>
            </w:r>
          </w:p>
          <w:p w14:paraId="40B95DB3" w14:textId="22890ECF" w:rsidR="00C0777A" w:rsidRPr="00AA4DEE" w:rsidRDefault="00C0777A" w:rsidP="00C0777A">
            <w:pPr>
              <w:pStyle w:val="Source"/>
            </w:pPr>
            <w:r w:rsidRPr="00AA4DEE">
              <w:t xml:space="preserve">Source: </w:t>
            </w:r>
            <w:r>
              <w:t>HEPPP Annual Reports</w:t>
            </w:r>
          </w:p>
        </w:tc>
      </w:tr>
      <w:tr w:rsidR="00C0777A" w14:paraId="6E4CDDAA" w14:textId="77777777" w:rsidTr="00B759F6">
        <w:trPr>
          <w:trHeight w:hRule="exact" w:val="160"/>
        </w:trPr>
        <w:tc>
          <w:tcPr>
            <w:tcW w:w="8168" w:type="dxa"/>
            <w:tcBorders>
              <w:top w:val="single" w:sz="4" w:space="0" w:color="auto"/>
            </w:tcBorders>
            <w:shd w:val="clear" w:color="auto" w:fill="auto"/>
          </w:tcPr>
          <w:p w14:paraId="6716BC90" w14:textId="77777777" w:rsidR="00C0777A" w:rsidRDefault="00C0777A" w:rsidP="00B759F6">
            <w:pPr>
              <w:pStyle w:val="spacertbl"/>
            </w:pPr>
          </w:p>
        </w:tc>
      </w:tr>
    </w:tbl>
    <w:p w14:paraId="15E0BE8B" w14:textId="77777777" w:rsidR="00C0777A" w:rsidRDefault="00C0777A" w:rsidP="00B759F6">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fig_std"/>
      </w:tblPr>
      <w:tblGrid>
        <w:gridCol w:w="8168"/>
      </w:tblGrid>
      <w:tr w:rsidR="00C0777A" w:rsidRPr="00AA4DEE" w14:paraId="07C0DCC0" w14:textId="77777777" w:rsidTr="00B759F6">
        <w:trPr>
          <w:cantSplit/>
          <w:trHeight w:hRule="exact" w:val="160"/>
        </w:trPr>
        <w:tc>
          <w:tcPr>
            <w:tcW w:w="8168" w:type="dxa"/>
            <w:tcBorders>
              <w:bottom w:val="single" w:sz="4" w:space="0" w:color="auto"/>
            </w:tcBorders>
            <w:shd w:val="clear" w:color="auto" w:fill="auto"/>
          </w:tcPr>
          <w:p w14:paraId="02295C26" w14:textId="77777777" w:rsidR="00C0777A" w:rsidRPr="00AA4DEE" w:rsidRDefault="00C0777A" w:rsidP="00B759F6">
            <w:pPr>
              <w:pStyle w:val="spacer"/>
            </w:pPr>
          </w:p>
        </w:tc>
      </w:tr>
      <w:tr w:rsidR="00C0777A" w:rsidRPr="00897E60" w14:paraId="3B8866AC" w14:textId="77777777" w:rsidTr="00B759F6">
        <w:trPr>
          <w:cantSplit/>
        </w:trPr>
        <w:tc>
          <w:tcPr>
            <w:tcW w:w="8168" w:type="dxa"/>
            <w:tcBorders>
              <w:top w:val="single" w:sz="4" w:space="0" w:color="auto"/>
            </w:tcBorders>
            <w:shd w:val="clear" w:color="auto" w:fill="auto"/>
            <w:tcMar>
              <w:left w:w="0" w:type="dxa"/>
            </w:tcMar>
          </w:tcPr>
          <w:p w14:paraId="0CE1550C" w14:textId="2B24B51C" w:rsidR="00C0777A" w:rsidRPr="00897E60" w:rsidRDefault="00C0777A" w:rsidP="00B759F6">
            <w:pPr>
              <w:pStyle w:val="Caption"/>
            </w:pPr>
            <w:r>
              <w:rPr>
                <w:rStyle w:val="CaptionLabel"/>
              </w:rPr>
              <w:t>Figure </w:t>
            </w:r>
            <w:r w:rsidR="00CE17FE">
              <w:rPr>
                <w:rStyle w:val="CaptionLabel"/>
              </w:rPr>
              <w:fldChar w:fldCharType="begin"/>
            </w:r>
            <w:r w:rsidR="00CE17FE">
              <w:rPr>
                <w:rStyle w:val="CaptionLabel"/>
              </w:rPr>
              <w:instrText xml:space="preserve"> STYLEREF 7 \s </w:instrText>
            </w:r>
            <w:r w:rsidR="00CE17FE">
              <w:rPr>
                <w:rStyle w:val="CaptionLabel"/>
              </w:rPr>
              <w:fldChar w:fldCharType="separate"/>
            </w:r>
            <w:r w:rsidR="0064083A">
              <w:rPr>
                <w:rStyle w:val="CaptionLabel"/>
                <w:noProof/>
              </w:rPr>
              <w:t>D</w:t>
            </w:r>
            <w:r w:rsidR="00CE17FE">
              <w:rPr>
                <w:rStyle w:val="CaptionLabel"/>
              </w:rPr>
              <w:fldChar w:fldCharType="end"/>
            </w:r>
            <w:r w:rsidR="00CE17FE">
              <w:rPr>
                <w:rStyle w:val="CaptionLabel"/>
              </w:rPr>
              <w:t>.</w:t>
            </w:r>
            <w:r w:rsidR="00CE17FE">
              <w:rPr>
                <w:rStyle w:val="CaptionLabel"/>
              </w:rPr>
              <w:fldChar w:fldCharType="begin"/>
            </w:r>
            <w:r w:rsidR="00CE17FE">
              <w:rPr>
                <w:rStyle w:val="CaptionLabel"/>
              </w:rPr>
              <w:instrText xml:space="preserve"> SEQ Figure_AP \* ARABIC \s 7 </w:instrText>
            </w:r>
            <w:r w:rsidR="00CE17FE">
              <w:rPr>
                <w:rStyle w:val="CaptionLabel"/>
              </w:rPr>
              <w:fldChar w:fldCharType="separate"/>
            </w:r>
            <w:r w:rsidR="0064083A">
              <w:rPr>
                <w:rStyle w:val="CaptionLabel"/>
                <w:noProof/>
              </w:rPr>
              <w:t>7</w:t>
            </w:r>
            <w:r w:rsidR="00CE17FE">
              <w:rPr>
                <w:rStyle w:val="CaptionLabel"/>
              </w:rPr>
              <w:fldChar w:fldCharType="end"/>
            </w:r>
            <w:r>
              <w:tab/>
              <w:t>Proportion of Transition, engagement and progression projects by priority target groups, by university grouping (Average of 2010-2015)</w:t>
            </w:r>
          </w:p>
        </w:tc>
      </w:tr>
      <w:tr w:rsidR="00C0777A" w:rsidRPr="00AA4DEE" w14:paraId="3CBC0924" w14:textId="77777777" w:rsidTr="00B759F6">
        <w:trPr>
          <w:cantSplit/>
          <w:trHeight w:hRule="exact" w:val="380"/>
        </w:trPr>
        <w:tc>
          <w:tcPr>
            <w:tcW w:w="8168" w:type="dxa"/>
            <w:tcBorders>
              <w:bottom w:val="single" w:sz="4" w:space="0" w:color="auto"/>
            </w:tcBorders>
            <w:shd w:val="clear" w:color="auto" w:fill="auto"/>
          </w:tcPr>
          <w:p w14:paraId="7AD79D57" w14:textId="77777777" w:rsidR="00C0777A" w:rsidRPr="00AA4DEE" w:rsidRDefault="00C0777A" w:rsidP="00B759F6">
            <w:pPr>
              <w:pStyle w:val="spacer"/>
            </w:pPr>
            <w:r w:rsidRPr="00AA4DEE">
              <w:rPr>
                <w:noProof/>
                <w:lang w:eastAsia="en-AU"/>
              </w:rPr>
              <mc:AlternateContent>
                <mc:Choice Requires="wps">
                  <w:drawing>
                    <wp:anchor distT="0" distB="0" distL="114300" distR="114300" simplePos="0" relativeHeight="251763200" behindDoc="0" locked="1" layoutInCell="1" allowOverlap="1" wp14:anchorId="76613DE5" wp14:editId="0B90705B">
                      <wp:simplePos x="0" y="0"/>
                      <wp:positionH relativeFrom="rightMargin">
                        <wp:posOffset>-772795</wp:posOffset>
                      </wp:positionH>
                      <wp:positionV relativeFrom="page">
                        <wp:posOffset>0</wp:posOffset>
                      </wp:positionV>
                      <wp:extent cx="436880" cy="213360"/>
                      <wp:effectExtent l="0" t="0" r="1270" b="0"/>
                      <wp:wrapNone/>
                      <wp:docPr id="67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8DCA31" id="Freeform 5" o:spid="_x0000_s1026" style="position:absolute;margin-left:-60.85pt;margin-top:0;width:34.4pt;height:16.8pt;z-index:251763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DbfQMAAMI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PM0Db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0777A" w:rsidRPr="00AA4DEE" w14:paraId="615D883F" w14:textId="77777777" w:rsidTr="00B759F6">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14B791B5" w14:textId="5DB03084" w:rsidR="00C0777A" w:rsidRPr="00AA4DEE" w:rsidRDefault="00C0777A" w:rsidP="00B759F6">
            <w:pPr>
              <w:pStyle w:val="Figure"/>
            </w:pPr>
            <w:r w:rsidRPr="003063AF">
              <w:rPr>
                <w:noProof/>
                <w:lang w:eastAsia="en-AU"/>
              </w:rPr>
              <w:drawing>
                <wp:inline distT="0" distB="0" distL="0" distR="0" wp14:anchorId="4B422400" wp14:editId="436BEAFE">
                  <wp:extent cx="5172075" cy="324802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172075" cy="3248025"/>
                          </a:xfrm>
                          <a:prstGeom prst="rect">
                            <a:avLst/>
                          </a:prstGeom>
                          <a:noFill/>
                          <a:ln>
                            <a:noFill/>
                          </a:ln>
                        </pic:spPr>
                      </pic:pic>
                    </a:graphicData>
                  </a:graphic>
                </wp:inline>
              </w:drawing>
            </w:r>
          </w:p>
        </w:tc>
      </w:tr>
      <w:tr w:rsidR="00C0777A" w:rsidRPr="00AA4DEE" w14:paraId="2E5BC05A" w14:textId="77777777" w:rsidTr="00B759F6">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AE51A9B" w14:textId="77777777" w:rsidR="00C0777A" w:rsidRPr="00AA4DEE" w:rsidRDefault="00C0777A" w:rsidP="00C0777A">
            <w:pPr>
              <w:pStyle w:val="Note"/>
            </w:pPr>
            <w:r w:rsidRPr="00AA4DEE">
              <w:t xml:space="preserve">Note: </w:t>
            </w:r>
            <w:r>
              <w:t>The sum of the percentages may exceed 100 per cent as project can be classified as more than one category</w:t>
            </w:r>
          </w:p>
          <w:p w14:paraId="1EB55A73" w14:textId="123A6C60" w:rsidR="00C0777A" w:rsidRPr="00AA4DEE" w:rsidRDefault="00C0777A" w:rsidP="00C0777A">
            <w:pPr>
              <w:pStyle w:val="Source"/>
            </w:pPr>
            <w:r w:rsidRPr="00AA4DEE">
              <w:t xml:space="preserve">Source: </w:t>
            </w:r>
            <w:r>
              <w:t>HEPPP Annual Reports</w:t>
            </w:r>
          </w:p>
        </w:tc>
      </w:tr>
      <w:tr w:rsidR="00C0777A" w14:paraId="3A77CE89" w14:textId="77777777" w:rsidTr="00B759F6">
        <w:trPr>
          <w:trHeight w:hRule="exact" w:val="160"/>
        </w:trPr>
        <w:tc>
          <w:tcPr>
            <w:tcW w:w="8168" w:type="dxa"/>
            <w:tcBorders>
              <w:top w:val="single" w:sz="4" w:space="0" w:color="auto"/>
            </w:tcBorders>
            <w:shd w:val="clear" w:color="auto" w:fill="auto"/>
          </w:tcPr>
          <w:p w14:paraId="10EEF69E" w14:textId="77777777" w:rsidR="00C0777A" w:rsidRDefault="00C0777A" w:rsidP="00B759F6">
            <w:pPr>
              <w:pStyle w:val="spacertbl"/>
            </w:pPr>
          </w:p>
        </w:tc>
      </w:tr>
      <w:tr w:rsidR="00C0777A" w:rsidRPr="00AA4DEE" w14:paraId="181C990A" w14:textId="77777777" w:rsidTr="00B759F6">
        <w:trPr>
          <w:cantSplit/>
          <w:trHeight w:hRule="exact" w:val="160"/>
        </w:trPr>
        <w:tc>
          <w:tcPr>
            <w:tcW w:w="8168" w:type="dxa"/>
            <w:tcBorders>
              <w:bottom w:val="single" w:sz="4" w:space="0" w:color="auto"/>
            </w:tcBorders>
            <w:shd w:val="clear" w:color="auto" w:fill="auto"/>
          </w:tcPr>
          <w:p w14:paraId="427831D5" w14:textId="77777777" w:rsidR="00C0777A" w:rsidRPr="00AA4DEE" w:rsidRDefault="00C0777A" w:rsidP="00B759F6">
            <w:pPr>
              <w:pStyle w:val="spacer"/>
            </w:pPr>
          </w:p>
        </w:tc>
      </w:tr>
      <w:tr w:rsidR="00C0777A" w:rsidRPr="00897E60" w14:paraId="3F0656E5" w14:textId="77777777" w:rsidTr="00B759F6">
        <w:trPr>
          <w:cantSplit/>
        </w:trPr>
        <w:tc>
          <w:tcPr>
            <w:tcW w:w="8168" w:type="dxa"/>
            <w:tcBorders>
              <w:top w:val="single" w:sz="4" w:space="0" w:color="auto"/>
            </w:tcBorders>
            <w:shd w:val="clear" w:color="auto" w:fill="auto"/>
            <w:tcMar>
              <w:left w:w="0" w:type="dxa"/>
            </w:tcMar>
          </w:tcPr>
          <w:p w14:paraId="1C27D440" w14:textId="59D6CB2E" w:rsidR="00C0777A" w:rsidRPr="00897E60" w:rsidRDefault="00C0777A" w:rsidP="00B759F6">
            <w:pPr>
              <w:pStyle w:val="Caption"/>
            </w:pPr>
            <w:bookmarkStart w:id="736" w:name="_Toc409004816"/>
            <w:r>
              <w:rPr>
                <w:rStyle w:val="CaptionLabel"/>
              </w:rPr>
              <w:t>Figure </w:t>
            </w:r>
            <w:r w:rsidR="00CE17FE">
              <w:rPr>
                <w:rStyle w:val="CaptionLabel"/>
              </w:rPr>
              <w:fldChar w:fldCharType="begin"/>
            </w:r>
            <w:r w:rsidR="00CE17FE">
              <w:rPr>
                <w:rStyle w:val="CaptionLabel"/>
              </w:rPr>
              <w:instrText xml:space="preserve"> STYLEREF 7 \s </w:instrText>
            </w:r>
            <w:r w:rsidR="00CE17FE">
              <w:rPr>
                <w:rStyle w:val="CaptionLabel"/>
              </w:rPr>
              <w:fldChar w:fldCharType="separate"/>
            </w:r>
            <w:r w:rsidR="0064083A">
              <w:rPr>
                <w:rStyle w:val="CaptionLabel"/>
                <w:noProof/>
              </w:rPr>
              <w:t>D</w:t>
            </w:r>
            <w:r w:rsidR="00CE17FE">
              <w:rPr>
                <w:rStyle w:val="CaptionLabel"/>
              </w:rPr>
              <w:fldChar w:fldCharType="end"/>
            </w:r>
            <w:r w:rsidR="00CE17FE">
              <w:rPr>
                <w:rStyle w:val="CaptionLabel"/>
              </w:rPr>
              <w:t>.</w:t>
            </w:r>
            <w:r w:rsidR="00CE17FE">
              <w:rPr>
                <w:rStyle w:val="CaptionLabel"/>
              </w:rPr>
              <w:fldChar w:fldCharType="begin"/>
            </w:r>
            <w:r w:rsidR="00CE17FE">
              <w:rPr>
                <w:rStyle w:val="CaptionLabel"/>
              </w:rPr>
              <w:instrText xml:space="preserve"> SEQ Figure_AP \* ARABIC \s 7 </w:instrText>
            </w:r>
            <w:r w:rsidR="00CE17FE">
              <w:rPr>
                <w:rStyle w:val="CaptionLabel"/>
              </w:rPr>
              <w:fldChar w:fldCharType="separate"/>
            </w:r>
            <w:r w:rsidR="0064083A">
              <w:rPr>
                <w:rStyle w:val="CaptionLabel"/>
                <w:noProof/>
              </w:rPr>
              <w:t>8</w:t>
            </w:r>
            <w:r w:rsidR="00CE17FE">
              <w:rPr>
                <w:rStyle w:val="CaptionLabel"/>
              </w:rPr>
              <w:fldChar w:fldCharType="end"/>
            </w:r>
            <w:r>
              <w:tab/>
              <w:t>Proportion of Attainment and transition out projects by priority target groups, by university grouping (Average of 2010-2015)</w:t>
            </w:r>
            <w:bookmarkEnd w:id="736"/>
          </w:p>
        </w:tc>
      </w:tr>
      <w:tr w:rsidR="00C0777A" w:rsidRPr="00AA4DEE" w14:paraId="4CA8C4FF" w14:textId="77777777" w:rsidTr="00B759F6">
        <w:trPr>
          <w:cantSplit/>
          <w:trHeight w:hRule="exact" w:val="380"/>
        </w:trPr>
        <w:tc>
          <w:tcPr>
            <w:tcW w:w="8168" w:type="dxa"/>
            <w:tcBorders>
              <w:bottom w:val="single" w:sz="4" w:space="0" w:color="auto"/>
            </w:tcBorders>
            <w:shd w:val="clear" w:color="auto" w:fill="auto"/>
          </w:tcPr>
          <w:p w14:paraId="71405925" w14:textId="77777777" w:rsidR="00C0777A" w:rsidRPr="00AA4DEE" w:rsidRDefault="00C0777A" w:rsidP="00B759F6">
            <w:pPr>
              <w:pStyle w:val="spacer"/>
            </w:pPr>
            <w:r w:rsidRPr="00AA4DEE">
              <w:rPr>
                <w:noProof/>
                <w:lang w:eastAsia="en-AU"/>
              </w:rPr>
              <mc:AlternateContent>
                <mc:Choice Requires="wps">
                  <w:drawing>
                    <wp:anchor distT="0" distB="0" distL="114300" distR="114300" simplePos="0" relativeHeight="251765248" behindDoc="0" locked="1" layoutInCell="1" allowOverlap="1" wp14:anchorId="62AD53A1" wp14:editId="2E6E40CC">
                      <wp:simplePos x="0" y="0"/>
                      <wp:positionH relativeFrom="rightMargin">
                        <wp:posOffset>-772795</wp:posOffset>
                      </wp:positionH>
                      <wp:positionV relativeFrom="page">
                        <wp:posOffset>0</wp:posOffset>
                      </wp:positionV>
                      <wp:extent cx="436880" cy="213360"/>
                      <wp:effectExtent l="0" t="0" r="1270" b="0"/>
                      <wp:wrapNone/>
                      <wp:docPr id="68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71379" id="Freeform 5" o:spid="_x0000_s1026" style="position:absolute;margin-left:-60.85pt;margin-top:0;width:34.4pt;height:16.8pt;z-index:251765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AkbuDA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C0777A" w:rsidRPr="00AA4DEE" w14:paraId="14E8DD84" w14:textId="77777777" w:rsidTr="00B759F6">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19A3B7D" w14:textId="21D3A457" w:rsidR="00C0777A" w:rsidRPr="00AA4DEE" w:rsidRDefault="00C0777A" w:rsidP="00B759F6">
            <w:pPr>
              <w:pStyle w:val="Figure"/>
            </w:pPr>
            <w:r w:rsidRPr="003063AF">
              <w:rPr>
                <w:noProof/>
                <w:lang w:eastAsia="en-AU"/>
              </w:rPr>
              <w:drawing>
                <wp:inline distT="0" distB="0" distL="0" distR="0" wp14:anchorId="4F547113" wp14:editId="7582CD13">
                  <wp:extent cx="5162550" cy="324802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162550" cy="3248025"/>
                          </a:xfrm>
                          <a:prstGeom prst="rect">
                            <a:avLst/>
                          </a:prstGeom>
                          <a:noFill/>
                          <a:ln>
                            <a:noFill/>
                          </a:ln>
                        </pic:spPr>
                      </pic:pic>
                    </a:graphicData>
                  </a:graphic>
                </wp:inline>
              </w:drawing>
            </w:r>
          </w:p>
        </w:tc>
      </w:tr>
      <w:tr w:rsidR="00C0777A" w:rsidRPr="00AA4DEE" w14:paraId="57AAA375" w14:textId="77777777" w:rsidTr="00B759F6">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14758541" w14:textId="77777777" w:rsidR="00C0777A" w:rsidRPr="00AA4DEE" w:rsidRDefault="00C0777A" w:rsidP="00C0777A">
            <w:pPr>
              <w:pStyle w:val="Note"/>
            </w:pPr>
            <w:r w:rsidRPr="00AA4DEE">
              <w:t xml:space="preserve">Note: </w:t>
            </w:r>
            <w:r>
              <w:t>The sum of the percentages may exceed 100 per cent as project can be classified as more than one category</w:t>
            </w:r>
          </w:p>
          <w:p w14:paraId="23679422" w14:textId="7B85BD4A" w:rsidR="00C0777A" w:rsidRPr="00AA4DEE" w:rsidRDefault="00C0777A" w:rsidP="00C0777A">
            <w:pPr>
              <w:pStyle w:val="Source"/>
            </w:pPr>
            <w:r w:rsidRPr="00AA4DEE">
              <w:t xml:space="preserve">Source: </w:t>
            </w:r>
            <w:r>
              <w:t>HEPPP Annual Reports</w:t>
            </w:r>
          </w:p>
        </w:tc>
      </w:tr>
      <w:tr w:rsidR="00C0777A" w14:paraId="67E499CA" w14:textId="77777777" w:rsidTr="00B759F6">
        <w:trPr>
          <w:trHeight w:hRule="exact" w:val="160"/>
        </w:trPr>
        <w:tc>
          <w:tcPr>
            <w:tcW w:w="8168" w:type="dxa"/>
            <w:tcBorders>
              <w:top w:val="single" w:sz="4" w:space="0" w:color="auto"/>
            </w:tcBorders>
            <w:shd w:val="clear" w:color="auto" w:fill="auto"/>
          </w:tcPr>
          <w:p w14:paraId="484DB34E" w14:textId="77777777" w:rsidR="00C0777A" w:rsidRDefault="00C0777A" w:rsidP="00B759F6">
            <w:pPr>
              <w:pStyle w:val="spacertbl"/>
            </w:pPr>
          </w:p>
        </w:tc>
      </w:tr>
    </w:tbl>
    <w:p w14:paraId="47ECCE26" w14:textId="77777777" w:rsidR="00C0777A" w:rsidRDefault="00C0777A" w:rsidP="00B759F6">
      <w:pPr>
        <w:pStyle w:val="BodyText"/>
      </w:pPr>
    </w:p>
    <w:p w14:paraId="325DF8EF" w14:textId="77777777" w:rsidR="00090683" w:rsidRPr="001A2F85" w:rsidRDefault="00090683" w:rsidP="00090683">
      <w:pPr>
        <w:pStyle w:val="BodyText"/>
      </w:pPr>
    </w:p>
    <w:p w14:paraId="5A23BF84" w14:textId="77777777" w:rsidR="00090683" w:rsidRPr="001A2F85" w:rsidRDefault="00090683" w:rsidP="00090683">
      <w:pPr>
        <w:pStyle w:val="BodyText"/>
        <w:sectPr w:rsidR="00090683" w:rsidRPr="001A2F85" w:rsidSect="000B6604">
          <w:headerReference w:type="even" r:id="rId209"/>
          <w:headerReference w:type="default" r:id="rId210"/>
          <w:footerReference w:type="even" r:id="rId211"/>
          <w:footerReference w:type="default" r:id="rId212"/>
          <w:headerReference w:type="first" r:id="rId213"/>
          <w:footerReference w:type="first" r:id="rId214"/>
          <w:pgSz w:w="11907" w:h="16839" w:code="9"/>
          <w:pgMar w:top="1100" w:right="443" w:bottom="1320" w:left="3296" w:header="456" w:footer="262" w:gutter="0"/>
          <w:pgNumType w:start="1" w:chapStyle="7" w:chapSep="enDash"/>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2913"/>
      </w:tblGrid>
      <w:tr w:rsidR="00090683" w:rsidRPr="001A2F85" w14:paraId="688DB067" w14:textId="77777777" w:rsidTr="000B7E9A">
        <w:trPr>
          <w:trHeight w:hRule="exact" w:val="382"/>
        </w:trPr>
        <w:tc>
          <w:tcPr>
            <w:tcW w:w="5245" w:type="dxa"/>
            <w:shd w:val="clear" w:color="auto" w:fill="9D57A6"/>
          </w:tcPr>
          <w:p w14:paraId="28770ADD" w14:textId="77777777" w:rsidR="00090683" w:rsidRPr="001A2F85" w:rsidRDefault="00090683" w:rsidP="000B7E9A">
            <w:pPr>
              <w:pStyle w:val="tagappendixChapter"/>
              <w:keepNext/>
            </w:pPr>
            <w:r>
              <w:rPr>
                <w:noProof/>
                <w:lang w:eastAsia="en-AU"/>
              </w:rPr>
              <mc:AlternateContent>
                <mc:Choice Requires="wps">
                  <w:drawing>
                    <wp:anchor distT="0" distB="0" distL="114300" distR="114300" simplePos="0" relativeHeight="251739648" behindDoc="0" locked="1" layoutInCell="1" allowOverlap="1" wp14:anchorId="4E340D5A" wp14:editId="483813FD">
                      <wp:simplePos x="0" y="0"/>
                      <wp:positionH relativeFrom="page">
                        <wp:posOffset>158750</wp:posOffset>
                      </wp:positionH>
                      <wp:positionV relativeFrom="page">
                        <wp:posOffset>6350</wp:posOffset>
                      </wp:positionV>
                      <wp:extent cx="439420" cy="215265"/>
                      <wp:effectExtent l="0" t="0" r="0" b="0"/>
                      <wp:wrapNone/>
                      <wp:docPr id="127"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806155" id="Freeform 5" o:spid="_x0000_s1026" style="position:absolute;margin-left:12.5pt;margin-top:.5pt;width:34.6pt;height:16.9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144tdHsDAADC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2913" w:type="dxa"/>
            <w:shd w:val="clear" w:color="auto" w:fill="9D57A6"/>
          </w:tcPr>
          <w:p w14:paraId="79E886F0" w14:textId="77777777" w:rsidR="00090683" w:rsidRPr="001A2F85" w:rsidRDefault="00090683" w:rsidP="000B7E9A">
            <w:pPr>
              <w:pStyle w:val="spacer"/>
            </w:pPr>
          </w:p>
        </w:tc>
      </w:tr>
      <w:tr w:rsidR="00090683" w:rsidRPr="001A2F85" w14:paraId="4CF27824" w14:textId="77777777" w:rsidTr="000B7E9A">
        <w:trPr>
          <w:trHeight w:hRule="exact" w:val="3665"/>
        </w:trPr>
        <w:tc>
          <w:tcPr>
            <w:tcW w:w="5245" w:type="dxa"/>
            <w:shd w:val="clear" w:color="auto" w:fill="9D57A6"/>
            <w:tcMar>
              <w:left w:w="0" w:type="dxa"/>
            </w:tcMar>
            <w:vAlign w:val="bottom"/>
          </w:tcPr>
          <w:p w14:paraId="1EB54C24" w14:textId="77777777" w:rsidR="00090683" w:rsidRPr="001A2F85" w:rsidRDefault="00090683" w:rsidP="000B7E9A">
            <w:pPr>
              <w:pStyle w:val="Heading7"/>
              <w:outlineLvl w:val="6"/>
            </w:pPr>
            <w:bookmarkStart w:id="737" w:name="_Ref466251639"/>
            <w:r>
              <w:t xml:space="preserve">technical </w:t>
            </w:r>
            <w:bookmarkEnd w:id="737"/>
            <w:r>
              <w:t>appendix and econometrics method</w:t>
            </w:r>
          </w:p>
        </w:tc>
        <w:tc>
          <w:tcPr>
            <w:tcW w:w="2913" w:type="dxa"/>
            <w:shd w:val="clear" w:color="auto" w:fill="9D57A6"/>
            <w:tcMar>
              <w:right w:w="344" w:type="dxa"/>
            </w:tcMar>
          </w:tcPr>
          <w:p w14:paraId="2C36CA0F" w14:textId="77777777" w:rsidR="00090683" w:rsidRPr="00D93426" w:rsidRDefault="00090683" w:rsidP="000B7E9A">
            <w:pPr>
              <w:pStyle w:val="HeadingAppendix"/>
              <w:rPr>
                <w:sz w:val="280"/>
                <w:szCs w:val="280"/>
              </w:rPr>
            </w:pPr>
            <w:r>
              <w:rPr>
                <w:sz w:val="280"/>
                <w:szCs w:val="280"/>
              </w:rPr>
              <w:t>E</w:t>
            </w:r>
          </w:p>
        </w:tc>
      </w:tr>
      <w:tr w:rsidR="00090683" w:rsidRPr="001A2F85" w14:paraId="52B44B87" w14:textId="77777777" w:rsidTr="000B7E9A">
        <w:trPr>
          <w:trHeight w:hRule="exact" w:val="232"/>
        </w:trPr>
        <w:tc>
          <w:tcPr>
            <w:tcW w:w="5245" w:type="dxa"/>
            <w:shd w:val="clear" w:color="auto" w:fill="9D57A6"/>
            <w:tcMar>
              <w:left w:w="0" w:type="dxa"/>
            </w:tcMar>
          </w:tcPr>
          <w:p w14:paraId="0CF7DCFD" w14:textId="77777777" w:rsidR="00090683" w:rsidRPr="001A2F85" w:rsidRDefault="00090683" w:rsidP="000B7E9A">
            <w:pPr>
              <w:pStyle w:val="spacer"/>
            </w:pPr>
          </w:p>
        </w:tc>
        <w:tc>
          <w:tcPr>
            <w:tcW w:w="2913" w:type="dxa"/>
            <w:shd w:val="clear" w:color="auto" w:fill="9D57A6"/>
            <w:tcMar>
              <w:right w:w="344" w:type="dxa"/>
            </w:tcMar>
          </w:tcPr>
          <w:p w14:paraId="1BE59C92" w14:textId="77777777" w:rsidR="00090683" w:rsidRPr="001A2F85" w:rsidRDefault="00090683" w:rsidP="000B7E9A">
            <w:pPr>
              <w:pStyle w:val="App-Context"/>
              <w:keepNext/>
            </w:pPr>
            <w:bookmarkStart w:id="738" w:name="_Toc466657186"/>
            <w:r>
              <w:rPr>
                <w:noProof/>
              </w:rPr>
              <w:t>Recommendations technical appendix</w:t>
            </w:r>
            <w:bookmarkEnd w:id="738"/>
          </w:p>
        </w:tc>
      </w:tr>
      <w:tr w:rsidR="00090683" w:rsidRPr="001A2F85" w14:paraId="07B7ABFD" w14:textId="77777777" w:rsidTr="000B7E9A">
        <w:trPr>
          <w:trHeight w:hRule="exact" w:val="228"/>
        </w:trPr>
        <w:tc>
          <w:tcPr>
            <w:tcW w:w="5245" w:type="dxa"/>
            <w:tcBorders>
              <w:top w:val="single" w:sz="4" w:space="0" w:color="9D57A6"/>
            </w:tcBorders>
          </w:tcPr>
          <w:p w14:paraId="69C2669D" w14:textId="77777777" w:rsidR="00090683" w:rsidRPr="001A2F85" w:rsidRDefault="00090683" w:rsidP="000B7E9A">
            <w:pPr>
              <w:pStyle w:val="spacer"/>
            </w:pPr>
          </w:p>
        </w:tc>
        <w:tc>
          <w:tcPr>
            <w:tcW w:w="2913" w:type="dxa"/>
            <w:tcBorders>
              <w:top w:val="single" w:sz="4" w:space="0" w:color="9D57A6"/>
            </w:tcBorders>
          </w:tcPr>
          <w:p w14:paraId="61E77671" w14:textId="77777777" w:rsidR="00090683" w:rsidRPr="001A2F85" w:rsidRDefault="00090683" w:rsidP="000B7E9A">
            <w:pPr>
              <w:pStyle w:val="spacer"/>
            </w:pPr>
          </w:p>
        </w:tc>
      </w:tr>
    </w:tbl>
    <w:p w14:paraId="2C4DC1B5" w14:textId="77777777" w:rsidR="00090683" w:rsidRPr="001A2F85" w:rsidRDefault="00090683" w:rsidP="00090683">
      <w:pPr>
        <w:pStyle w:val="BodyText"/>
      </w:pPr>
      <w:r>
        <w:t xml:space="preserve">This appendix includes additional information that supports the discussion in Chapters 9 and 11. </w:t>
      </w:r>
    </w:p>
    <w:p w14:paraId="3E0D0A74" w14:textId="77777777" w:rsidR="00090683" w:rsidRDefault="00090683" w:rsidP="00090683">
      <w:pPr>
        <w:pStyle w:val="Heading8"/>
      </w:pPr>
      <w:bookmarkStart w:id="739" w:name="_Toc462945896"/>
      <w:bookmarkStart w:id="740" w:name="_Toc466657187"/>
      <w:r>
        <w:t>Econometrics method</w:t>
      </w:r>
    </w:p>
    <w:p w14:paraId="1556EBD8" w14:textId="77777777" w:rsidR="00090683" w:rsidRDefault="00090683" w:rsidP="00090683">
      <w:pPr>
        <w:pStyle w:val="BodyText"/>
      </w:pPr>
      <w:r>
        <w:t>This section summarises the econometric analysis method used to arrive at the results reported in Chapter 9. The econometric analysis aims to test the impact of socioeconomic status on student outcomes before and after the introduction of the demand driven system and HEPPP. The analysis consider retention, attrition, success and completion as functions of socioeconomic status and other explanatory factors that are available in the Higher Education Student Data Collection</w:t>
      </w:r>
      <w:r w:rsidDel="003B75C6">
        <w:t xml:space="preserve"> </w:t>
      </w:r>
      <w:r>
        <w:t xml:space="preserve">dataset. </w:t>
      </w:r>
    </w:p>
    <w:p w14:paraId="42A27FEE" w14:textId="77777777" w:rsidR="00090683" w:rsidRDefault="00090683" w:rsidP="00090683">
      <w:pPr>
        <w:pStyle w:val="BodyText"/>
      </w:pPr>
      <w:r>
        <w:t xml:space="preserve">As each of the above outcome variables (retention, attrition, success, and completion) can be thought of in a binary manner (does student </w:t>
      </w:r>
      <w:r>
        <w:rPr>
          <w:i/>
        </w:rPr>
        <w:t xml:space="preserve">i </w:t>
      </w:r>
      <w:r>
        <w:t xml:space="preserve">remain in their course next year? does student </w:t>
      </w:r>
      <w:r>
        <w:rPr>
          <w:i/>
        </w:rPr>
        <w:t>i</w:t>
      </w:r>
      <w:r>
        <w:t xml:space="preserve"> complete?), the analysis comprised several </w:t>
      </w:r>
      <w:r w:rsidRPr="00566200">
        <w:t>probit</w:t>
      </w:r>
      <w:r>
        <w:t xml:space="preserve"> (binary choice) models. These models are a standard statistical technique for analysing binary outcomes, where the </w:t>
      </w:r>
      <w:r w:rsidRPr="00566200">
        <w:rPr>
          <w:i/>
        </w:rPr>
        <w:t>propensity</w:t>
      </w:r>
      <w:r>
        <w:t xml:space="preserve"> for a student to achieve an outcome is modelled as a linear combination of explanatory variables. The probability of that outcome can then be calculated by evaluating a function (in this case a normal cumulative distribution function) at the value of the propensity for each student. </w:t>
      </w:r>
    </w:p>
    <w:p w14:paraId="6F12ABB8" w14:textId="77777777" w:rsidR="00090683" w:rsidRDefault="00090683" w:rsidP="00090683">
      <w:pPr>
        <w:pStyle w:val="BodyText"/>
      </w:pPr>
      <w:r>
        <w:t>The analysis involved estimation of one such model for each outcome, for each university, in each year. Each model was then used to consider the probability of the relevant outcome for a representative student (that is, a student with average characteristics), but with a particular socioeconomic status. For example, Section 9.6 shows the average retention and success probabilities for low SES and high SES students (with otherwise identical characteristics) before and after the introduction of the demand driven system and HEPPP. By varying the SES of the representative student, the analysis considers the partial effect of SES on outcomes, holding other factors constant.</w:t>
      </w:r>
    </w:p>
    <w:p w14:paraId="3A529F04" w14:textId="77777777" w:rsidR="00090683" w:rsidRDefault="00090683" w:rsidP="00090683">
      <w:pPr>
        <w:pStyle w:val="BodyText"/>
      </w:pPr>
      <w:r>
        <w:t>While this analysis does not establish a causal relationship between HEPPP programs and these outcomes, it does provide a comparison of outcomes for low SES students against those for other students, and contributes to the broader evidence base for the project. For example, if outcomes for disadvantaged students improve over time relative to outcomes for non-disadvantaged students, this may provide evidence that HEPPP contributes to positive outcomes.</w:t>
      </w:r>
    </w:p>
    <w:p w14:paraId="0EAB28F5" w14:textId="77777777" w:rsidR="00090683" w:rsidRDefault="00090683" w:rsidP="00090683">
      <w:pPr>
        <w:pStyle w:val="BodyText"/>
      </w:pPr>
      <w:r>
        <w:t>The additional factors (control variables) considered in the economic analysis include:</w:t>
      </w:r>
    </w:p>
    <w:p w14:paraId="574F03F0" w14:textId="77777777" w:rsidR="00090683" w:rsidRDefault="00090683" w:rsidP="00090683">
      <w:pPr>
        <w:pStyle w:val="ListBullet"/>
        <w:numPr>
          <w:ilvl w:val="0"/>
          <w:numId w:val="46"/>
        </w:numPr>
      </w:pPr>
      <w:r>
        <w:t>Field of education</w:t>
      </w:r>
    </w:p>
    <w:p w14:paraId="0D56EC3A" w14:textId="77777777" w:rsidR="00090683" w:rsidRDefault="00090683" w:rsidP="00090683">
      <w:pPr>
        <w:pStyle w:val="ListBullet"/>
        <w:numPr>
          <w:ilvl w:val="0"/>
          <w:numId w:val="46"/>
        </w:numPr>
      </w:pPr>
      <w:r>
        <w:t>Type of attendance (full time or part time)</w:t>
      </w:r>
    </w:p>
    <w:p w14:paraId="5AB11EF9" w14:textId="77777777" w:rsidR="00090683" w:rsidRDefault="00090683" w:rsidP="00090683">
      <w:pPr>
        <w:pStyle w:val="ListBullet"/>
        <w:numPr>
          <w:ilvl w:val="0"/>
          <w:numId w:val="46"/>
        </w:numPr>
      </w:pPr>
      <w:r>
        <w:t>Whether student is on a scholarship</w:t>
      </w:r>
    </w:p>
    <w:p w14:paraId="57FE0F3F" w14:textId="77777777" w:rsidR="00090683" w:rsidRDefault="00090683" w:rsidP="00090683">
      <w:pPr>
        <w:pStyle w:val="ListBullet"/>
        <w:numPr>
          <w:ilvl w:val="0"/>
          <w:numId w:val="46"/>
        </w:numPr>
      </w:pPr>
      <w:r>
        <w:t>How student is paying for course (CSP or Domestic FFS)</w:t>
      </w:r>
    </w:p>
    <w:p w14:paraId="489BC717" w14:textId="77777777" w:rsidR="00090683" w:rsidRDefault="00090683" w:rsidP="00090683">
      <w:pPr>
        <w:pStyle w:val="ListBullet"/>
        <w:numPr>
          <w:ilvl w:val="0"/>
          <w:numId w:val="46"/>
        </w:numPr>
      </w:pPr>
      <w:r>
        <w:t xml:space="preserve">ATAR </w:t>
      </w:r>
    </w:p>
    <w:p w14:paraId="1B31AA14" w14:textId="77777777" w:rsidR="00090683" w:rsidRDefault="00090683" w:rsidP="00090683">
      <w:pPr>
        <w:pStyle w:val="ListBullet"/>
        <w:numPr>
          <w:ilvl w:val="0"/>
          <w:numId w:val="46"/>
        </w:numPr>
      </w:pPr>
      <w:r>
        <w:t>Basis of admission into course</w:t>
      </w:r>
    </w:p>
    <w:p w14:paraId="5B568A3F" w14:textId="77777777" w:rsidR="00090683" w:rsidRDefault="00090683" w:rsidP="00090683">
      <w:pPr>
        <w:pStyle w:val="ListBullet"/>
        <w:numPr>
          <w:ilvl w:val="0"/>
          <w:numId w:val="46"/>
        </w:numPr>
      </w:pPr>
      <w:r>
        <w:t>Indigenous status</w:t>
      </w:r>
    </w:p>
    <w:p w14:paraId="22026995" w14:textId="77777777" w:rsidR="00090683" w:rsidRDefault="00090683" w:rsidP="00090683">
      <w:pPr>
        <w:pStyle w:val="ListBullet"/>
        <w:numPr>
          <w:ilvl w:val="0"/>
          <w:numId w:val="46"/>
        </w:numPr>
      </w:pPr>
      <w:r>
        <w:t>Gender</w:t>
      </w:r>
    </w:p>
    <w:p w14:paraId="519932AC" w14:textId="77777777" w:rsidR="00090683" w:rsidRDefault="00090683" w:rsidP="00090683">
      <w:pPr>
        <w:pStyle w:val="ListBullet"/>
        <w:numPr>
          <w:ilvl w:val="0"/>
          <w:numId w:val="46"/>
        </w:numPr>
      </w:pPr>
      <w:r>
        <w:t>Age category</w:t>
      </w:r>
    </w:p>
    <w:p w14:paraId="7D39DD80" w14:textId="77777777" w:rsidR="00090683" w:rsidRDefault="00090683" w:rsidP="00090683">
      <w:pPr>
        <w:pStyle w:val="ListBullet"/>
        <w:numPr>
          <w:ilvl w:val="0"/>
          <w:numId w:val="46"/>
        </w:numPr>
      </w:pPr>
      <w:r>
        <w:t>Born in Australia or Outside Australia</w:t>
      </w:r>
    </w:p>
    <w:p w14:paraId="2FF382B8" w14:textId="77777777" w:rsidR="00090683" w:rsidRDefault="00090683" w:rsidP="00090683">
      <w:pPr>
        <w:pStyle w:val="ListBullet"/>
        <w:numPr>
          <w:ilvl w:val="0"/>
          <w:numId w:val="46"/>
        </w:numPr>
      </w:pPr>
      <w:r>
        <w:t>English or Non-English Language spoken at home</w:t>
      </w:r>
    </w:p>
    <w:p w14:paraId="2BEA9334" w14:textId="77777777" w:rsidR="00090683" w:rsidRDefault="00090683" w:rsidP="00090683">
      <w:pPr>
        <w:pStyle w:val="BodyText"/>
      </w:pPr>
      <w:r>
        <w:t>Some other key data processing rules applied to this analysis include:</w:t>
      </w:r>
    </w:p>
    <w:p w14:paraId="611DFADE" w14:textId="77777777" w:rsidR="00090683" w:rsidRDefault="00090683" w:rsidP="00090683">
      <w:pPr>
        <w:pStyle w:val="ListBullet"/>
      </w:pPr>
      <w:r>
        <w:t>students with more than one recorded ‘enrolment’ in any year of data are omitted from the analysis (approximately 4 per cent of students)</w:t>
      </w:r>
    </w:p>
    <w:p w14:paraId="562E13B4" w14:textId="77777777" w:rsidR="00090683" w:rsidRDefault="00090683" w:rsidP="00090683">
      <w:pPr>
        <w:pStyle w:val="ListBullet"/>
      </w:pPr>
      <w:r>
        <w:t>all data for students who are not identify as ‘enrolled’ in at least one year, but who have data on grades in that year, are omitted from the analysis (approximately 5 per cent of students)</w:t>
      </w:r>
    </w:p>
    <w:p w14:paraId="40B6C04D" w14:textId="77777777" w:rsidR="00090683" w:rsidRPr="00DC05C2" w:rsidRDefault="00090683" w:rsidP="00090683">
      <w:pPr>
        <w:pStyle w:val="ListBullet"/>
      </w:pPr>
      <w:r>
        <w:t>students who are not identified as ‘enrolled’ in a year, but who have data on grades, are treated as enrolled within that year, for the purpose of this modelling.</w:t>
      </w:r>
    </w:p>
    <w:p w14:paraId="3DFC10A1" w14:textId="77777777" w:rsidR="00090683" w:rsidRDefault="00090683" w:rsidP="00090683">
      <w:pPr>
        <w:pStyle w:val="Heading8"/>
      </w:pPr>
      <w:r>
        <w:t>Staff survey questions on overall effectiveness</w:t>
      </w:r>
      <w:bookmarkEnd w:id="739"/>
      <w:bookmarkEnd w:id="740"/>
    </w:p>
    <w:p w14:paraId="0A16D558" w14:textId="77777777" w:rsidR="00090683" w:rsidRDefault="00090683" w:rsidP="00090683">
      <w:pPr>
        <w:pStyle w:val="BodyText"/>
      </w:pPr>
      <w:r w:rsidRPr="00CA35D9">
        <w:t xml:space="preserve">The surveys conducted with university staff </w:t>
      </w:r>
      <w:r>
        <w:t>also</w:t>
      </w:r>
      <w:r w:rsidRPr="00CA35D9">
        <w:t xml:space="preserve"> show that, while the majority of respondents agree that the present design of the HEPPP meets the current and future needs of low SES students, over 15 per cent disagree</w:t>
      </w:r>
      <w:r>
        <w:t xml:space="preserve"> (</w:t>
      </w:r>
      <w:r w:rsidRPr="00AD49C8">
        <w:t>Figure D.1</w:t>
      </w:r>
      <w:r>
        <w:t>).</w:t>
      </w:r>
      <w:r w:rsidRPr="00CA35D9">
        <w:t xml:space="preserve"> </w:t>
      </w:r>
    </w:p>
    <w:p w14:paraId="2903572E" w14:textId="77777777" w:rsidR="00090683" w:rsidRDefault="00090683" w:rsidP="00090683">
      <w:pPr>
        <w:pStyle w:val="BodyText"/>
      </w:pPr>
      <w:r w:rsidRPr="00CA35D9">
        <w:t>The area for improvement most commonly identified by these respondents is the length of the funding period. An extended funding period, it was suggested by many staff, would allow greater project/program sustainability and provide increased stability and consistency for staff and for staffing arrangements. Respondents also suggested increasing oversight and improving accountability and evaluation requirements regarding how the HEPPP funding is spent and the impact it makes. A range of other recommendations for improvements were made, including an increased level of funding and a review of the equity groups.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90683" w:rsidRPr="00AA4DEE" w14:paraId="6EBEDD0B" w14:textId="77777777" w:rsidTr="000B7E9A">
        <w:trPr>
          <w:cantSplit/>
          <w:trHeight w:hRule="exact" w:val="160"/>
        </w:trPr>
        <w:tc>
          <w:tcPr>
            <w:tcW w:w="8168" w:type="dxa"/>
            <w:tcBorders>
              <w:bottom w:val="single" w:sz="4" w:space="0" w:color="auto"/>
            </w:tcBorders>
          </w:tcPr>
          <w:p w14:paraId="00343AC2" w14:textId="77777777" w:rsidR="00090683" w:rsidRPr="00AA4DEE" w:rsidRDefault="00090683" w:rsidP="000B7E9A">
            <w:pPr>
              <w:pStyle w:val="spacer"/>
            </w:pPr>
          </w:p>
        </w:tc>
      </w:tr>
      <w:tr w:rsidR="00090683" w:rsidRPr="00897E60" w14:paraId="5CDB6E67" w14:textId="77777777" w:rsidTr="000B7E9A">
        <w:trPr>
          <w:cantSplit/>
        </w:trPr>
        <w:tc>
          <w:tcPr>
            <w:tcW w:w="8168" w:type="dxa"/>
            <w:tcBorders>
              <w:top w:val="single" w:sz="4" w:space="0" w:color="auto"/>
            </w:tcBorders>
            <w:tcMar>
              <w:left w:w="0" w:type="dxa"/>
            </w:tcMar>
          </w:tcPr>
          <w:p w14:paraId="2B32F485" w14:textId="77777777" w:rsidR="00090683" w:rsidRPr="00897E60" w:rsidRDefault="00090683" w:rsidP="000B7E9A">
            <w:pPr>
              <w:pStyle w:val="Caption"/>
            </w:pPr>
            <w:bookmarkStart w:id="741" w:name="_Ref466620255"/>
            <w:bookmarkStart w:id="742" w:name="_Toc462945939"/>
            <w:bookmarkStart w:id="743" w:name="_Toc466655735"/>
            <w:r>
              <w:rPr>
                <w:rStyle w:val="CaptionLabel"/>
              </w:rPr>
              <w:t>Figure E.</w:t>
            </w:r>
            <w:r>
              <w:rPr>
                <w:rStyle w:val="CaptionLabel"/>
                <w:noProof/>
              </w:rPr>
              <w:t>1</w:t>
            </w:r>
            <w:bookmarkEnd w:id="741"/>
            <w:r>
              <w:tab/>
              <w:t>University Staff survey, program design</w:t>
            </w:r>
            <w:bookmarkEnd w:id="742"/>
            <w:bookmarkEnd w:id="743"/>
          </w:p>
        </w:tc>
      </w:tr>
      <w:tr w:rsidR="00090683" w:rsidRPr="00AA4DEE" w14:paraId="230E6901" w14:textId="77777777" w:rsidTr="000B7E9A">
        <w:trPr>
          <w:cantSplit/>
          <w:trHeight w:hRule="exact" w:val="380"/>
        </w:trPr>
        <w:tc>
          <w:tcPr>
            <w:tcW w:w="8168" w:type="dxa"/>
            <w:tcBorders>
              <w:bottom w:val="single" w:sz="4" w:space="0" w:color="auto"/>
            </w:tcBorders>
          </w:tcPr>
          <w:p w14:paraId="69274852" w14:textId="77777777" w:rsidR="00090683" w:rsidRPr="00AA4DEE" w:rsidRDefault="00090683" w:rsidP="000B7E9A">
            <w:pPr>
              <w:pStyle w:val="spacer"/>
            </w:pPr>
            <w:r>
              <w:rPr>
                <w:noProof/>
                <w:lang w:eastAsia="en-AU"/>
              </w:rPr>
              <mc:AlternateContent>
                <mc:Choice Requires="wps">
                  <w:drawing>
                    <wp:anchor distT="0" distB="0" distL="114300" distR="114300" simplePos="0" relativeHeight="251721216" behindDoc="0" locked="1" layoutInCell="1" allowOverlap="1" wp14:anchorId="6712A83A" wp14:editId="2A63A4D5">
                      <wp:simplePos x="0" y="0"/>
                      <wp:positionH relativeFrom="rightMargin">
                        <wp:posOffset>-772795</wp:posOffset>
                      </wp:positionH>
                      <wp:positionV relativeFrom="page">
                        <wp:posOffset>0</wp:posOffset>
                      </wp:positionV>
                      <wp:extent cx="436880" cy="213360"/>
                      <wp:effectExtent l="0" t="0" r="1270" b="0"/>
                      <wp:wrapNone/>
                      <wp:docPr id="125"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7AB17E" id="Freeform 5" o:spid="_x0000_s1026" style="position:absolute;margin-left:-60.85pt;margin-top:0;width:34.4pt;height:16.8pt;z-index:251721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LCUHP9/AwAAwg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90683" w:rsidRPr="00AA4DEE" w14:paraId="57D4F06C" w14:textId="77777777" w:rsidTr="000B7E9A">
        <w:trPr>
          <w:cantSplit/>
        </w:trPr>
        <w:tc>
          <w:tcPr>
            <w:tcW w:w="8168" w:type="dxa"/>
            <w:tcBorders>
              <w:top w:val="single" w:sz="4" w:space="0" w:color="auto"/>
              <w:bottom w:val="single" w:sz="4" w:space="0" w:color="auto"/>
            </w:tcBorders>
            <w:tcMar>
              <w:top w:w="10" w:type="dxa"/>
              <w:bottom w:w="10" w:type="dxa"/>
              <w:right w:w="0" w:type="dxa"/>
            </w:tcMar>
          </w:tcPr>
          <w:p w14:paraId="7ADEFE76" w14:textId="77777777" w:rsidR="00090683" w:rsidRPr="00AA4DEE" w:rsidRDefault="00090683" w:rsidP="000B7E9A">
            <w:pPr>
              <w:pStyle w:val="Figure"/>
            </w:pPr>
            <w:r>
              <w:rPr>
                <w:noProof/>
                <w:lang w:eastAsia="en-AU"/>
              </w:rPr>
              <w:drawing>
                <wp:inline distT="0" distB="0" distL="0" distR="0" wp14:anchorId="35684A0D" wp14:editId="7CEDABDC">
                  <wp:extent cx="5133975" cy="2438400"/>
                  <wp:effectExtent l="0" t="0" r="0" b="0"/>
                  <wp:docPr id="91"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133975" cy="2438400"/>
                          </a:xfrm>
                          <a:prstGeom prst="rect">
                            <a:avLst/>
                          </a:prstGeom>
                          <a:noFill/>
                          <a:ln>
                            <a:noFill/>
                          </a:ln>
                        </pic:spPr>
                      </pic:pic>
                    </a:graphicData>
                  </a:graphic>
                </wp:inline>
              </w:drawing>
            </w:r>
          </w:p>
        </w:tc>
      </w:tr>
      <w:tr w:rsidR="00090683" w:rsidRPr="00AA4DEE" w14:paraId="646D1245" w14:textId="77777777" w:rsidTr="000B7E9A">
        <w:trPr>
          <w:cantSplit/>
        </w:trPr>
        <w:tc>
          <w:tcPr>
            <w:tcW w:w="8168" w:type="dxa"/>
            <w:tcBorders>
              <w:top w:val="single" w:sz="4" w:space="0" w:color="auto"/>
              <w:bottom w:val="single" w:sz="4" w:space="0" w:color="auto"/>
            </w:tcBorders>
            <w:tcMar>
              <w:top w:w="12" w:type="dxa"/>
              <w:left w:w="0" w:type="dxa"/>
              <w:bottom w:w="113" w:type="dxa"/>
            </w:tcMar>
          </w:tcPr>
          <w:p w14:paraId="1F184D4E" w14:textId="77777777" w:rsidR="00090683" w:rsidRPr="00AA4DEE" w:rsidRDefault="00090683" w:rsidP="000B7E9A">
            <w:pPr>
              <w:pStyle w:val="Note"/>
            </w:pPr>
            <w:r w:rsidRPr="00AA4DEE">
              <w:t xml:space="preserve">Note: </w:t>
            </w:r>
            <w:r>
              <w:t xml:space="preserve">From top to bottom: n= 355, </w:t>
            </w:r>
            <w:r w:rsidRPr="00650D2A">
              <w:t>356</w:t>
            </w:r>
          </w:p>
          <w:p w14:paraId="025A7CA9" w14:textId="77777777" w:rsidR="00090683" w:rsidRPr="00AA4DEE" w:rsidRDefault="00090683" w:rsidP="000B7E9A">
            <w:pPr>
              <w:pStyle w:val="Source"/>
            </w:pPr>
            <w:r w:rsidRPr="00AA4DEE">
              <w:t xml:space="preserve">Source: </w:t>
            </w:r>
            <w:r>
              <w:t>Survey of university staff 2016</w:t>
            </w:r>
          </w:p>
        </w:tc>
      </w:tr>
      <w:tr w:rsidR="00090683" w14:paraId="3394C8D8" w14:textId="77777777" w:rsidTr="000B7E9A">
        <w:trPr>
          <w:trHeight w:hRule="exact" w:val="160"/>
        </w:trPr>
        <w:tc>
          <w:tcPr>
            <w:tcW w:w="8168" w:type="dxa"/>
            <w:tcBorders>
              <w:top w:val="single" w:sz="4" w:space="0" w:color="auto"/>
            </w:tcBorders>
          </w:tcPr>
          <w:p w14:paraId="4762C7B8" w14:textId="77777777" w:rsidR="00090683" w:rsidRDefault="00090683" w:rsidP="000B7E9A">
            <w:pPr>
              <w:pStyle w:val="spacertbl"/>
            </w:pPr>
          </w:p>
        </w:tc>
      </w:tr>
    </w:tbl>
    <w:p w14:paraId="6DE9C8A1" w14:textId="77777777" w:rsidR="00090683" w:rsidRDefault="00090683" w:rsidP="00090683">
      <w:pPr>
        <w:pStyle w:val="Heading8"/>
      </w:pPr>
      <w:bookmarkStart w:id="744" w:name="_Toc466657188"/>
      <w:r>
        <w:t>The IRU funding proposal</w:t>
      </w:r>
      <w:bookmarkEnd w:id="744"/>
      <w:r>
        <w:t xml:space="preserve"> </w:t>
      </w:r>
    </w:p>
    <w:p w14:paraId="3CC2B13D" w14:textId="77777777" w:rsidR="00090683" w:rsidRPr="000D3EC6" w:rsidRDefault="00090683" w:rsidP="000B0B11">
      <w:pPr>
        <w:pStyle w:val="BodyText"/>
        <w:keepNext/>
      </w:pPr>
      <w:r w:rsidRPr="000D3EC6">
        <w:t xml:space="preserve">The IRU proposes </w:t>
      </w:r>
      <w:r>
        <w:t xml:space="preserve">(Submission 96) </w:t>
      </w:r>
      <w:r w:rsidRPr="000D3EC6">
        <w:t>that, based on the Bradley Review, the HEPPP be separated into two:</w:t>
      </w:r>
    </w:p>
    <w:p w14:paraId="1416489B" w14:textId="77777777" w:rsidR="00090683" w:rsidRPr="000D3EC6" w:rsidRDefault="00090683" w:rsidP="000B0B11">
      <w:pPr>
        <w:pStyle w:val="ListBullet"/>
        <w:keepNext/>
      </w:pPr>
      <w:r w:rsidRPr="000D3EC6">
        <w:t xml:space="preserve">an outreach program </w:t>
      </w:r>
    </w:p>
    <w:p w14:paraId="35EC14D0" w14:textId="77777777" w:rsidR="00090683" w:rsidRPr="000D3EC6" w:rsidRDefault="00090683" w:rsidP="000B0B11">
      <w:pPr>
        <w:pStyle w:val="ListBullet"/>
        <w:keepNext/>
      </w:pPr>
      <w:r w:rsidRPr="000D3EC6">
        <w:t>a loading for low SES enrolments (specifically, ‘the participation payment per low SES student should be a loading added to the commonwealth grant scheme’.</w:t>
      </w:r>
    </w:p>
    <w:p w14:paraId="3CE73360" w14:textId="77777777" w:rsidR="00090683" w:rsidRPr="000D3EC6" w:rsidRDefault="00090683" w:rsidP="00090683">
      <w:pPr>
        <w:pStyle w:val="BodyText"/>
      </w:pPr>
      <w:r w:rsidRPr="000D3EC6">
        <w:t>The IRU argues that a loading would ‘emphasise the payment is over and above discipline-driven allocations to supplement a factor they do not cover’ and would produce the following benefits:</w:t>
      </w:r>
    </w:p>
    <w:p w14:paraId="0CAAAC1D" w14:textId="77777777" w:rsidR="00090683" w:rsidRPr="000D3EC6" w:rsidRDefault="00090683" w:rsidP="00090683">
      <w:pPr>
        <w:pStyle w:val="ListBullet"/>
      </w:pPr>
      <w:r w:rsidRPr="000D3EC6">
        <w:t>‘much less input controlled accountability’, that is, ‘there would be no need for complicated reporting.’</w:t>
      </w:r>
    </w:p>
    <w:p w14:paraId="0A999DE5" w14:textId="77777777" w:rsidR="00090683" w:rsidRPr="00935296" w:rsidRDefault="00090683" w:rsidP="00090683">
      <w:pPr>
        <w:pStyle w:val="ListBullet"/>
      </w:pPr>
      <w:r w:rsidRPr="000D3EC6">
        <w:t>funding would have ‘remained the same per low SES student over time’—‘as a loading it would expand as student numbers grew.’</w:t>
      </w:r>
    </w:p>
    <w:p w14:paraId="424B0700" w14:textId="77777777" w:rsidR="00090683" w:rsidRDefault="00090683" w:rsidP="00090683">
      <w:pPr>
        <w:pStyle w:val="Heading8"/>
      </w:pPr>
      <w:bookmarkStart w:id="745" w:name="_Toc466657189"/>
      <w:r>
        <w:t>Background on the low SES measure</w:t>
      </w:r>
      <w:bookmarkEnd w:id="745"/>
    </w:p>
    <w:p w14:paraId="5358564D" w14:textId="77777777" w:rsidR="00090683" w:rsidRDefault="00090683" w:rsidP="00090683">
      <w:pPr>
        <w:pStyle w:val="BodyText"/>
      </w:pPr>
      <w:r>
        <w:t>The SEIFA IEO ‘is designed to reflect the educational and occupational level of communities’ and is composed of variables which measure educational attainment, education being undertaken and employment (</w:t>
      </w:r>
      <w:r w:rsidRPr="00AD49C8">
        <w:t>Table D.1</w:t>
      </w:r>
      <w:r>
        <w:t>) (ABS 2013).</w:t>
      </w:r>
    </w:p>
    <w:p w14:paraId="7EF3B6DD" w14:textId="77777777" w:rsidR="00090683" w:rsidRDefault="00090683" w:rsidP="00090683">
      <w:pPr>
        <w:pStyle w:val="Caption"/>
        <w:spacing w:before="160"/>
      </w:pPr>
      <w:bookmarkStart w:id="746" w:name="_Ref466620232"/>
      <w:bookmarkStart w:id="747" w:name="_Toc466655783"/>
      <w:r>
        <w:rPr>
          <w:rStyle w:val="CaptionLabel"/>
        </w:rPr>
        <w:t>Table </w:t>
      </w:r>
      <w:r>
        <w:rPr>
          <w:rStyle w:val="CaptionLabel"/>
          <w:noProof/>
        </w:rPr>
        <w:t>E</w:t>
      </w:r>
      <w:r>
        <w:rPr>
          <w:rStyle w:val="CaptionLabel"/>
        </w:rPr>
        <w:t>.</w:t>
      </w:r>
      <w:r>
        <w:rPr>
          <w:rStyle w:val="CaptionLabel"/>
          <w:noProof/>
        </w:rPr>
        <w:t>1</w:t>
      </w:r>
      <w:bookmarkEnd w:id="746"/>
      <w:r>
        <w:tab/>
        <w:t>SEIFA IEO VARIABLES</w:t>
      </w:r>
      <w:bookmarkEnd w:id="747"/>
    </w:p>
    <w:tbl>
      <w:tblPr>
        <w:tblW w:w="8616" w:type="dxa"/>
        <w:tblInd w:w="-454" w:type="dxa"/>
        <w:tblLayout w:type="fixed"/>
        <w:tblCellMar>
          <w:left w:w="0" w:type="dxa"/>
          <w:bottom w:w="40" w:type="dxa"/>
          <w:right w:w="0" w:type="dxa"/>
        </w:tblCellMar>
        <w:tblLook w:val="0000" w:firstRow="0" w:lastRow="0" w:firstColumn="0" w:lastColumn="0" w:noHBand="0" w:noVBand="0"/>
      </w:tblPr>
      <w:tblGrid>
        <w:gridCol w:w="454"/>
        <w:gridCol w:w="286"/>
        <w:gridCol w:w="6944"/>
        <w:gridCol w:w="932"/>
      </w:tblGrid>
      <w:tr w:rsidR="00090683" w14:paraId="2228EA17" w14:textId="77777777" w:rsidTr="000B7E9A">
        <w:trPr>
          <w:cantSplit/>
          <w:tblHeader/>
        </w:trPr>
        <w:tc>
          <w:tcPr>
            <w:tcW w:w="429" w:type="pct"/>
            <w:gridSpan w:val="2"/>
            <w:shd w:val="clear" w:color="auto" w:fill="9D57A6"/>
            <w:tcMar>
              <w:left w:w="454" w:type="dxa"/>
              <w:bottom w:w="0" w:type="dxa"/>
            </w:tcMar>
          </w:tcPr>
          <w:p w14:paraId="66BB35E4" w14:textId="77777777" w:rsidR="00090683" w:rsidRDefault="00090683" w:rsidP="000B7E9A">
            <w:pPr>
              <w:pStyle w:val="Tablecolumnheadings"/>
            </w:pPr>
          </w:p>
        </w:tc>
        <w:tc>
          <w:tcPr>
            <w:tcW w:w="4030" w:type="pct"/>
            <w:shd w:val="clear" w:color="auto" w:fill="9D57A6"/>
            <w:tcMar>
              <w:bottom w:w="0" w:type="dxa"/>
            </w:tcMar>
          </w:tcPr>
          <w:p w14:paraId="370F648A" w14:textId="77777777" w:rsidR="00090683" w:rsidRDefault="00090683" w:rsidP="000B7E9A">
            <w:pPr>
              <w:pStyle w:val="Tablecolumnheadings"/>
            </w:pPr>
            <w:r>
              <w:t>Variable</w:t>
            </w:r>
          </w:p>
        </w:tc>
        <w:tc>
          <w:tcPr>
            <w:tcW w:w="541" w:type="pct"/>
            <w:shd w:val="clear" w:color="auto" w:fill="9D57A6"/>
            <w:tcMar>
              <w:bottom w:w="0" w:type="dxa"/>
            </w:tcMar>
          </w:tcPr>
          <w:p w14:paraId="6490CD82" w14:textId="77777777" w:rsidR="00090683" w:rsidRDefault="00090683" w:rsidP="000B7E9A">
            <w:pPr>
              <w:pStyle w:val="Tablecolumnheadings"/>
            </w:pPr>
            <w:r>
              <w:t>Loading</w:t>
            </w:r>
          </w:p>
        </w:tc>
      </w:tr>
      <w:tr w:rsidR="00090683" w14:paraId="002805BC" w14:textId="77777777" w:rsidTr="000B7E9A">
        <w:tblPrEx>
          <w:tblBorders>
            <w:bottom w:val="single" w:sz="4" w:space="0" w:color="646464"/>
            <w:insideH w:val="single" w:sz="4" w:space="0" w:color="646464"/>
          </w:tblBorders>
        </w:tblPrEx>
        <w:trPr>
          <w:gridBefore w:val="1"/>
          <w:wBefore w:w="263" w:type="pct"/>
          <w:cantSplit/>
        </w:trPr>
        <w:tc>
          <w:tcPr>
            <w:tcW w:w="165" w:type="pct"/>
            <w:tcBorders>
              <w:top w:val="nil"/>
            </w:tcBorders>
          </w:tcPr>
          <w:p w14:paraId="16A9437C" w14:textId="77777777" w:rsidR="00090683" w:rsidRDefault="00090683" w:rsidP="000B7E9A">
            <w:pPr>
              <w:pStyle w:val="Tabletext"/>
            </w:pPr>
          </w:p>
        </w:tc>
        <w:tc>
          <w:tcPr>
            <w:tcW w:w="4030" w:type="pct"/>
            <w:tcBorders>
              <w:top w:val="nil"/>
            </w:tcBorders>
            <w:vAlign w:val="bottom"/>
          </w:tcPr>
          <w:p w14:paraId="768E9854" w14:textId="77777777" w:rsidR="00090683" w:rsidRDefault="00090683" w:rsidP="000B7E9A">
            <w:pPr>
              <w:pStyle w:val="Tabletext"/>
            </w:pPr>
            <w:r>
              <w:t>% of employed people who work in a skill Level 1 (highest) occupation</w:t>
            </w:r>
          </w:p>
        </w:tc>
        <w:tc>
          <w:tcPr>
            <w:tcW w:w="541" w:type="pct"/>
            <w:tcBorders>
              <w:top w:val="nil"/>
            </w:tcBorders>
            <w:vAlign w:val="center"/>
          </w:tcPr>
          <w:p w14:paraId="5776B5C4" w14:textId="77777777" w:rsidR="00090683" w:rsidRDefault="00090683" w:rsidP="000B7E9A">
            <w:pPr>
              <w:pStyle w:val="Tabletext"/>
              <w:jc w:val="center"/>
            </w:pPr>
            <w:r>
              <w:t>0.89</w:t>
            </w:r>
          </w:p>
        </w:tc>
      </w:tr>
      <w:tr w:rsidR="00090683" w14:paraId="319C4B8A" w14:textId="77777777" w:rsidTr="000B7E9A">
        <w:tblPrEx>
          <w:tblBorders>
            <w:bottom w:val="single" w:sz="4" w:space="0" w:color="646464"/>
            <w:insideH w:val="single" w:sz="4" w:space="0" w:color="646464"/>
          </w:tblBorders>
        </w:tblPrEx>
        <w:trPr>
          <w:gridBefore w:val="1"/>
          <w:wBefore w:w="263" w:type="pct"/>
          <w:cantSplit/>
        </w:trPr>
        <w:tc>
          <w:tcPr>
            <w:tcW w:w="165" w:type="pct"/>
          </w:tcPr>
          <w:p w14:paraId="1A70B57F" w14:textId="77777777" w:rsidR="00090683" w:rsidRDefault="00090683" w:rsidP="000B7E9A">
            <w:pPr>
              <w:pStyle w:val="Tabletext"/>
            </w:pPr>
          </w:p>
        </w:tc>
        <w:tc>
          <w:tcPr>
            <w:tcW w:w="4030" w:type="pct"/>
            <w:vAlign w:val="bottom"/>
          </w:tcPr>
          <w:p w14:paraId="70EF8574" w14:textId="77777777" w:rsidR="00090683" w:rsidRDefault="00090683" w:rsidP="000B7E9A">
            <w:pPr>
              <w:pStyle w:val="Tabletext"/>
            </w:pPr>
            <w:r>
              <w:t>% of people aged 15 years and over whose highest level of educational attainment is a diploma qualification</w:t>
            </w:r>
          </w:p>
        </w:tc>
        <w:tc>
          <w:tcPr>
            <w:tcW w:w="541" w:type="pct"/>
            <w:vAlign w:val="center"/>
          </w:tcPr>
          <w:p w14:paraId="2FDFA3D1" w14:textId="77777777" w:rsidR="00090683" w:rsidRDefault="00090683" w:rsidP="000B7E9A">
            <w:pPr>
              <w:pStyle w:val="Tabletext"/>
              <w:jc w:val="center"/>
            </w:pPr>
            <w:r>
              <w:t>0.68</w:t>
            </w:r>
          </w:p>
        </w:tc>
      </w:tr>
      <w:tr w:rsidR="00090683" w14:paraId="20790054" w14:textId="77777777" w:rsidTr="000B7E9A">
        <w:tblPrEx>
          <w:tblBorders>
            <w:bottom w:val="single" w:sz="4" w:space="0" w:color="646464"/>
            <w:insideH w:val="single" w:sz="4" w:space="0" w:color="646464"/>
          </w:tblBorders>
        </w:tblPrEx>
        <w:trPr>
          <w:gridBefore w:val="1"/>
          <w:wBefore w:w="263" w:type="pct"/>
          <w:cantSplit/>
        </w:trPr>
        <w:tc>
          <w:tcPr>
            <w:tcW w:w="165" w:type="pct"/>
          </w:tcPr>
          <w:p w14:paraId="540AB2F7" w14:textId="77777777" w:rsidR="00090683" w:rsidRDefault="00090683" w:rsidP="000B7E9A">
            <w:pPr>
              <w:pStyle w:val="Tabletext"/>
            </w:pPr>
          </w:p>
        </w:tc>
        <w:tc>
          <w:tcPr>
            <w:tcW w:w="4030" w:type="pct"/>
            <w:vAlign w:val="bottom"/>
          </w:tcPr>
          <w:p w14:paraId="398092A9" w14:textId="77777777" w:rsidR="00090683" w:rsidRDefault="00090683" w:rsidP="000B7E9A">
            <w:pPr>
              <w:pStyle w:val="Tabletext"/>
            </w:pPr>
            <w:r>
              <w:t>% of people aged 15 years and over at university or other tertiary institution</w:t>
            </w:r>
          </w:p>
        </w:tc>
        <w:tc>
          <w:tcPr>
            <w:tcW w:w="541" w:type="pct"/>
            <w:vAlign w:val="center"/>
          </w:tcPr>
          <w:p w14:paraId="14872A93" w14:textId="77777777" w:rsidR="00090683" w:rsidRDefault="00090683" w:rsidP="000B7E9A">
            <w:pPr>
              <w:pStyle w:val="Tabletext"/>
              <w:jc w:val="center"/>
            </w:pPr>
            <w:r>
              <w:t>0.57</w:t>
            </w:r>
          </w:p>
        </w:tc>
      </w:tr>
      <w:tr w:rsidR="00090683" w14:paraId="265FFC5D" w14:textId="77777777" w:rsidTr="000B7E9A">
        <w:tblPrEx>
          <w:tblBorders>
            <w:bottom w:val="single" w:sz="4" w:space="0" w:color="646464"/>
            <w:insideH w:val="single" w:sz="4" w:space="0" w:color="646464"/>
          </w:tblBorders>
        </w:tblPrEx>
        <w:trPr>
          <w:gridBefore w:val="1"/>
          <w:wBefore w:w="263" w:type="pct"/>
          <w:cantSplit/>
        </w:trPr>
        <w:tc>
          <w:tcPr>
            <w:tcW w:w="165" w:type="pct"/>
          </w:tcPr>
          <w:p w14:paraId="5D0E4F76" w14:textId="77777777" w:rsidR="00090683" w:rsidRDefault="00090683" w:rsidP="000B7E9A">
            <w:pPr>
              <w:pStyle w:val="Tabletext"/>
            </w:pPr>
          </w:p>
        </w:tc>
        <w:tc>
          <w:tcPr>
            <w:tcW w:w="4030" w:type="pct"/>
            <w:vAlign w:val="bottom"/>
          </w:tcPr>
          <w:p w14:paraId="090B3D82" w14:textId="77777777" w:rsidR="00090683" w:rsidRDefault="00090683" w:rsidP="000B7E9A">
            <w:pPr>
              <w:pStyle w:val="Tabletext"/>
            </w:pPr>
            <w:r>
              <w:t>% of employed people who work in a skill Level 2 occupation</w:t>
            </w:r>
          </w:p>
        </w:tc>
        <w:tc>
          <w:tcPr>
            <w:tcW w:w="541" w:type="pct"/>
            <w:vAlign w:val="center"/>
          </w:tcPr>
          <w:p w14:paraId="0F435D53" w14:textId="77777777" w:rsidR="00090683" w:rsidRDefault="00090683" w:rsidP="000B7E9A">
            <w:pPr>
              <w:pStyle w:val="Tabletext"/>
              <w:jc w:val="center"/>
            </w:pPr>
            <w:r>
              <w:t>0.34</w:t>
            </w:r>
          </w:p>
        </w:tc>
      </w:tr>
      <w:tr w:rsidR="00090683" w14:paraId="7969F0C6" w14:textId="77777777" w:rsidTr="000B7E9A">
        <w:tblPrEx>
          <w:tblBorders>
            <w:bottom w:val="single" w:sz="4" w:space="0" w:color="646464"/>
            <w:insideH w:val="single" w:sz="4" w:space="0" w:color="646464"/>
          </w:tblBorders>
        </w:tblPrEx>
        <w:trPr>
          <w:gridBefore w:val="1"/>
          <w:wBefore w:w="263" w:type="pct"/>
          <w:cantSplit/>
        </w:trPr>
        <w:tc>
          <w:tcPr>
            <w:tcW w:w="165" w:type="pct"/>
          </w:tcPr>
          <w:p w14:paraId="4B615300" w14:textId="77777777" w:rsidR="00090683" w:rsidRDefault="00090683" w:rsidP="000B7E9A">
            <w:pPr>
              <w:pStyle w:val="Tabletext"/>
            </w:pPr>
          </w:p>
        </w:tc>
        <w:tc>
          <w:tcPr>
            <w:tcW w:w="4030" w:type="pct"/>
            <w:vAlign w:val="bottom"/>
          </w:tcPr>
          <w:p w14:paraId="6FBA1152" w14:textId="77777777" w:rsidR="00090683" w:rsidRDefault="00090683" w:rsidP="000B7E9A">
            <w:pPr>
              <w:pStyle w:val="Tabletext"/>
            </w:pPr>
            <w:r>
              <w:t>% of people (in the labour force) unemployed</w:t>
            </w:r>
          </w:p>
        </w:tc>
        <w:tc>
          <w:tcPr>
            <w:tcW w:w="541" w:type="pct"/>
            <w:vAlign w:val="center"/>
          </w:tcPr>
          <w:p w14:paraId="50376D53" w14:textId="77777777" w:rsidR="00090683" w:rsidRDefault="00090683" w:rsidP="000B7E9A">
            <w:pPr>
              <w:pStyle w:val="Tabletext"/>
              <w:jc w:val="center"/>
            </w:pPr>
            <w:r>
              <w:t>-0.49</w:t>
            </w:r>
          </w:p>
        </w:tc>
      </w:tr>
      <w:tr w:rsidR="00090683" w14:paraId="2905519D" w14:textId="77777777" w:rsidTr="000B7E9A">
        <w:tblPrEx>
          <w:tblBorders>
            <w:bottom w:val="single" w:sz="4" w:space="0" w:color="646464"/>
            <w:insideH w:val="single" w:sz="4" w:space="0" w:color="646464"/>
          </w:tblBorders>
        </w:tblPrEx>
        <w:trPr>
          <w:gridBefore w:val="1"/>
          <w:wBefore w:w="263" w:type="pct"/>
          <w:cantSplit/>
        </w:trPr>
        <w:tc>
          <w:tcPr>
            <w:tcW w:w="165" w:type="pct"/>
          </w:tcPr>
          <w:p w14:paraId="7046E426" w14:textId="77777777" w:rsidR="00090683" w:rsidRDefault="00090683" w:rsidP="000B7E9A">
            <w:pPr>
              <w:pStyle w:val="Tabletext"/>
            </w:pPr>
          </w:p>
        </w:tc>
        <w:tc>
          <w:tcPr>
            <w:tcW w:w="4030" w:type="pct"/>
            <w:vAlign w:val="bottom"/>
          </w:tcPr>
          <w:p w14:paraId="6AAB6855" w14:textId="77777777" w:rsidR="00090683" w:rsidRDefault="00090683" w:rsidP="000B7E9A">
            <w:pPr>
              <w:pStyle w:val="Tabletext"/>
            </w:pPr>
            <w:r>
              <w:t>% of people aged 15 years and over whose highest level of educational attainment is a certificate III or IV</w:t>
            </w:r>
          </w:p>
        </w:tc>
        <w:tc>
          <w:tcPr>
            <w:tcW w:w="541" w:type="pct"/>
            <w:vAlign w:val="center"/>
          </w:tcPr>
          <w:p w14:paraId="4CCE7FB0" w14:textId="77777777" w:rsidR="00090683" w:rsidRDefault="00090683" w:rsidP="000B7E9A">
            <w:pPr>
              <w:pStyle w:val="Tabletext"/>
              <w:jc w:val="center"/>
            </w:pPr>
            <w:r>
              <w:t>-0.54</w:t>
            </w:r>
          </w:p>
        </w:tc>
      </w:tr>
      <w:tr w:rsidR="00090683" w14:paraId="0ECBC443" w14:textId="77777777" w:rsidTr="000B7E9A">
        <w:tblPrEx>
          <w:tblBorders>
            <w:bottom w:val="single" w:sz="4" w:space="0" w:color="646464"/>
            <w:insideH w:val="single" w:sz="4" w:space="0" w:color="646464"/>
          </w:tblBorders>
        </w:tblPrEx>
        <w:trPr>
          <w:gridBefore w:val="1"/>
          <w:wBefore w:w="263" w:type="pct"/>
          <w:cantSplit/>
        </w:trPr>
        <w:tc>
          <w:tcPr>
            <w:tcW w:w="165" w:type="pct"/>
          </w:tcPr>
          <w:p w14:paraId="4C18C33C" w14:textId="77777777" w:rsidR="00090683" w:rsidRDefault="00090683" w:rsidP="000B7E9A">
            <w:pPr>
              <w:pStyle w:val="Tabletext"/>
            </w:pPr>
          </w:p>
        </w:tc>
        <w:tc>
          <w:tcPr>
            <w:tcW w:w="4030" w:type="pct"/>
            <w:vAlign w:val="bottom"/>
          </w:tcPr>
          <w:p w14:paraId="6D06AE69" w14:textId="77777777" w:rsidR="00090683" w:rsidRDefault="00090683" w:rsidP="000B7E9A">
            <w:pPr>
              <w:pStyle w:val="Tabletext"/>
            </w:pPr>
            <w:r>
              <w:t>% of employed people who work in a skill Level 4 occupation</w:t>
            </w:r>
          </w:p>
        </w:tc>
        <w:tc>
          <w:tcPr>
            <w:tcW w:w="541" w:type="pct"/>
            <w:vAlign w:val="center"/>
          </w:tcPr>
          <w:p w14:paraId="345DD547" w14:textId="77777777" w:rsidR="00090683" w:rsidRDefault="00090683" w:rsidP="000B7E9A">
            <w:pPr>
              <w:pStyle w:val="Tabletext"/>
              <w:jc w:val="center"/>
            </w:pPr>
            <w:r>
              <w:t>-0.74</w:t>
            </w:r>
          </w:p>
        </w:tc>
      </w:tr>
      <w:tr w:rsidR="00090683" w14:paraId="73701D11" w14:textId="77777777" w:rsidTr="000B7E9A">
        <w:tblPrEx>
          <w:tblBorders>
            <w:bottom w:val="single" w:sz="4" w:space="0" w:color="646464"/>
            <w:insideH w:val="single" w:sz="4" w:space="0" w:color="646464"/>
          </w:tblBorders>
        </w:tblPrEx>
        <w:trPr>
          <w:gridBefore w:val="1"/>
          <w:wBefore w:w="263" w:type="pct"/>
          <w:cantSplit/>
        </w:trPr>
        <w:tc>
          <w:tcPr>
            <w:tcW w:w="165" w:type="pct"/>
          </w:tcPr>
          <w:p w14:paraId="3A34EC0C" w14:textId="77777777" w:rsidR="00090683" w:rsidRDefault="00090683" w:rsidP="000B7E9A">
            <w:pPr>
              <w:pStyle w:val="Tabletext"/>
            </w:pPr>
          </w:p>
        </w:tc>
        <w:tc>
          <w:tcPr>
            <w:tcW w:w="4030" w:type="pct"/>
            <w:vAlign w:val="bottom"/>
          </w:tcPr>
          <w:p w14:paraId="1B505A8F" w14:textId="77777777" w:rsidR="00090683" w:rsidRDefault="00090683" w:rsidP="000B7E9A">
            <w:pPr>
              <w:pStyle w:val="Tabletext"/>
            </w:pPr>
            <w:r>
              <w:t>% of employed people who work in a skill Level 5 (lowest) occupation</w:t>
            </w:r>
          </w:p>
        </w:tc>
        <w:tc>
          <w:tcPr>
            <w:tcW w:w="541" w:type="pct"/>
            <w:vAlign w:val="center"/>
          </w:tcPr>
          <w:p w14:paraId="74AEDD63" w14:textId="77777777" w:rsidR="00090683" w:rsidRDefault="00090683" w:rsidP="000B7E9A">
            <w:pPr>
              <w:pStyle w:val="Tabletext"/>
              <w:jc w:val="center"/>
            </w:pPr>
            <w:r>
              <w:t>-0.80</w:t>
            </w:r>
          </w:p>
        </w:tc>
      </w:tr>
      <w:tr w:rsidR="00090683" w14:paraId="36433991" w14:textId="77777777" w:rsidTr="000B7E9A">
        <w:tblPrEx>
          <w:tblBorders>
            <w:bottom w:val="single" w:sz="4" w:space="0" w:color="646464"/>
            <w:insideH w:val="single" w:sz="4" w:space="0" w:color="646464"/>
          </w:tblBorders>
        </w:tblPrEx>
        <w:trPr>
          <w:gridBefore w:val="1"/>
          <w:wBefore w:w="263" w:type="pct"/>
          <w:cantSplit/>
        </w:trPr>
        <w:tc>
          <w:tcPr>
            <w:tcW w:w="165" w:type="pct"/>
          </w:tcPr>
          <w:p w14:paraId="2F1809FE" w14:textId="77777777" w:rsidR="00090683" w:rsidRDefault="00090683" w:rsidP="000B7E9A">
            <w:pPr>
              <w:pStyle w:val="Tabletext"/>
            </w:pPr>
          </w:p>
        </w:tc>
        <w:tc>
          <w:tcPr>
            <w:tcW w:w="4030" w:type="pct"/>
            <w:vAlign w:val="bottom"/>
          </w:tcPr>
          <w:p w14:paraId="48440FA4" w14:textId="77777777" w:rsidR="00090683" w:rsidRDefault="00090683" w:rsidP="000B7E9A">
            <w:pPr>
              <w:pStyle w:val="Tabletext"/>
            </w:pPr>
            <w:r>
              <w:t>% of people aged 15 years and over whose highest level of education is Year 11 or lower</w:t>
            </w:r>
          </w:p>
        </w:tc>
        <w:tc>
          <w:tcPr>
            <w:tcW w:w="541" w:type="pct"/>
            <w:vAlign w:val="center"/>
          </w:tcPr>
          <w:p w14:paraId="7618F385" w14:textId="77777777" w:rsidR="00090683" w:rsidRDefault="00090683" w:rsidP="000B7E9A">
            <w:pPr>
              <w:pStyle w:val="Tabletext"/>
              <w:jc w:val="center"/>
            </w:pPr>
            <w:r>
              <w:t>-0.88</w:t>
            </w:r>
          </w:p>
        </w:tc>
      </w:tr>
      <w:tr w:rsidR="00090683" w14:paraId="5934F944" w14:textId="77777777" w:rsidTr="000B7E9A">
        <w:tblPrEx>
          <w:tblBorders>
            <w:bottom w:val="single" w:sz="4" w:space="0" w:color="646464"/>
            <w:insideH w:val="single" w:sz="4" w:space="0" w:color="646464"/>
          </w:tblBorders>
        </w:tblPrEx>
        <w:trPr>
          <w:gridBefore w:val="1"/>
          <w:wBefore w:w="263" w:type="pct"/>
          <w:cantSplit/>
        </w:trPr>
        <w:tc>
          <w:tcPr>
            <w:tcW w:w="4737" w:type="pct"/>
            <w:gridSpan w:val="3"/>
          </w:tcPr>
          <w:p w14:paraId="4C043A14" w14:textId="77777777" w:rsidR="00090683" w:rsidRDefault="00090683" w:rsidP="000B7E9A">
            <w:pPr>
              <w:pStyle w:val="Source"/>
            </w:pPr>
            <w:r>
              <w:t>Source: ABS 2013</w:t>
            </w:r>
          </w:p>
        </w:tc>
      </w:tr>
      <w:tr w:rsidR="00090683" w14:paraId="4C154168" w14:textId="77777777" w:rsidTr="000B7E9A">
        <w:tblPrEx>
          <w:tblBorders>
            <w:bottom w:val="single" w:sz="4" w:space="0" w:color="646464"/>
            <w:insideH w:val="single" w:sz="4" w:space="0" w:color="646464"/>
          </w:tblBorders>
        </w:tblPrEx>
        <w:trPr>
          <w:gridBefore w:val="1"/>
          <w:wBefore w:w="263" w:type="pct"/>
          <w:cantSplit/>
          <w:trHeight w:hRule="exact" w:val="120"/>
        </w:trPr>
        <w:tc>
          <w:tcPr>
            <w:tcW w:w="4737" w:type="pct"/>
            <w:gridSpan w:val="3"/>
            <w:tcBorders>
              <w:bottom w:val="nil"/>
            </w:tcBorders>
          </w:tcPr>
          <w:p w14:paraId="604B8409" w14:textId="77777777" w:rsidR="00090683" w:rsidRDefault="00090683" w:rsidP="000B7E9A">
            <w:pPr>
              <w:pStyle w:val="spacertbl"/>
            </w:pPr>
          </w:p>
        </w:tc>
      </w:tr>
    </w:tbl>
    <w:p w14:paraId="667B2173" w14:textId="77777777" w:rsidR="00090683" w:rsidRDefault="00090683" w:rsidP="00090683">
      <w:pPr>
        <w:pStyle w:val="BodyText"/>
      </w:pPr>
      <w:r>
        <w:rPr>
          <w:lang w:eastAsia="en-AU"/>
        </w:rPr>
        <w:t>As the ABS (2013) explains, ‘</w:t>
      </w:r>
      <w:r>
        <w:t xml:space="preserve">indexes are assigned to areas, not to individuals’ and ‘indicate the collective socioeconomic characteristics of the people living in an area.’ As a result ‘a relatively disadvantaged area is likely to have a high proportion of relatively disadvantaged people’ but it ‘is also likely to contain some people who are relatively advantaged’ (see also, Wise and Mathews, 2011). </w:t>
      </w:r>
    </w:p>
    <w:p w14:paraId="1CBF1D7C" w14:textId="77777777" w:rsidR="00090683" w:rsidRDefault="00090683" w:rsidP="00090683">
      <w:pPr>
        <w:pStyle w:val="BodyText"/>
        <w:rPr>
          <w:lang w:eastAsia="en-AU"/>
        </w:rPr>
      </w:pPr>
      <w:r>
        <w:t xml:space="preserve">A number of researchers have examined this issue as it relates to the SEIFA IEO. Using individual SES measures developed from the </w:t>
      </w:r>
      <w:r w:rsidRPr="00241CF5">
        <w:t>Longitudinal Surveys of Australian Youth</w:t>
      </w:r>
      <w:r>
        <w:t xml:space="preserve"> (LSAY) </w:t>
      </w:r>
      <w:r>
        <w:rPr>
          <w:lang w:eastAsia="en-AU"/>
        </w:rPr>
        <w:t xml:space="preserve">Karmel and Lim (2013) show that ‘considerable numbers of high-SES individuals live in [SEIFA IEO] low SES areas and vice versa.’ Using one method they estimate that the total level of correct classification of low SES individuals using the SEIFA IEO is ‘a little less than 30 per cent.’ </w:t>
      </w:r>
      <w:r>
        <w:t xml:space="preserve">Dockery, Seymour and Koshy (2015) develop a measure of likelihood to attend university using </w:t>
      </w:r>
      <w:r>
        <w:rPr>
          <w:lang w:eastAsia="en-AU"/>
        </w:rPr>
        <w:t xml:space="preserve">Household, Income and Labour Dynamics in Australia (HILDA) data and find that ‘among 17-year olds classified as being in the bottom quartile of SES by the area-based measure, around one-third actually have a better than average probability of entering university.’ (See also Coelli, 2010, Lim &amp; Gemici, 2011, and </w:t>
      </w:r>
      <w:r>
        <w:t>Edwards and van der Brugge 2013</w:t>
      </w:r>
      <w:r>
        <w:rPr>
          <w:lang w:eastAsia="en-AU"/>
        </w:rPr>
        <w:t>).</w:t>
      </w:r>
    </w:p>
    <w:p w14:paraId="6ADAD651" w14:textId="77777777" w:rsidR="00090683" w:rsidRDefault="00090683" w:rsidP="00090683">
      <w:pPr>
        <w:pStyle w:val="BodyText"/>
      </w:pPr>
      <w:r>
        <w:t xml:space="preserve">This issue could be addressed by using a SES measurement </w:t>
      </w:r>
      <w:r w:rsidRPr="00D768BE">
        <w:t>methodology based on the individual circumstances of each student</w:t>
      </w:r>
      <w:r>
        <w:t xml:space="preserve"> (Universities Australia 2008; Bradley et al. 2008; </w:t>
      </w:r>
      <w:r>
        <w:rPr>
          <w:lang w:eastAsia="en-AU"/>
        </w:rPr>
        <w:t xml:space="preserve">Karmel &amp; Lim 2013, </w:t>
      </w:r>
      <w:r>
        <w:t xml:space="preserve">Dockery, Seymour &amp; Koshy 2015). The literature indicates that one or a combination of parental education, parental occupation, parental income or household income are likely to be most appropriate student level indicators of SES (Western 1998; Jones 2002; James et al. 2008; </w:t>
      </w:r>
      <w:r>
        <w:rPr>
          <w:lang w:eastAsia="en-AU"/>
        </w:rPr>
        <w:t xml:space="preserve">Karmel &amp; Lim 2013; </w:t>
      </w:r>
      <w:r>
        <w:t xml:space="preserve">Dockery, Seymour &amp; Koshy 2015). Practically, the collection from students of their parent or parents’ </w:t>
      </w:r>
      <w:r w:rsidRPr="00480CF4">
        <w:t xml:space="preserve">occupation and education is </w:t>
      </w:r>
      <w:r>
        <w:t xml:space="preserve">most </w:t>
      </w:r>
      <w:r w:rsidRPr="00480CF4">
        <w:t>feasible and likely to yield the most reliable data</w:t>
      </w:r>
      <w:r>
        <w:t xml:space="preserve"> (Bradley et al. 2008; Western 1998; Jones 2002). This is a similar approach taken in the Australian school system where since</w:t>
      </w:r>
      <w:r w:rsidRPr="00B96A7B">
        <w:t xml:space="preserve"> 2005 nationally defined background characteristic information </w:t>
      </w:r>
      <w:r>
        <w:t>is</w:t>
      </w:r>
      <w:r w:rsidRPr="00B96A7B">
        <w:t xml:space="preserve"> collected for all Australian students</w:t>
      </w:r>
      <w:r>
        <w:t>, including parental education and occupation—school systems then use this information as an input into their school funding formulas (Bracks 2015).</w:t>
      </w:r>
    </w:p>
    <w:p w14:paraId="685CCB13" w14:textId="77777777" w:rsidR="00090683" w:rsidRDefault="00090683" w:rsidP="00090683">
      <w:pPr>
        <w:pStyle w:val="BodyText"/>
      </w:pPr>
      <w:r>
        <w:t>In adopting such an approach it would be necessary to undertake research into the extent which these factors can reliably be used as a measure for the SES of mature-age students. Any changes to the measure of low SES to improve accuracy would also need to take account of the a</w:t>
      </w:r>
      <w:r w:rsidRPr="00EA5361">
        <w:t>dditional costs or reporting requirements for universities and</w:t>
      </w:r>
      <w:r>
        <w:t xml:space="preserve"> TACs. </w:t>
      </w:r>
    </w:p>
    <w:p w14:paraId="4AE7763D" w14:textId="77777777" w:rsidR="00090683" w:rsidRDefault="00090683" w:rsidP="00090683">
      <w:pPr>
        <w:pStyle w:val="BodyText"/>
      </w:pPr>
      <w:r>
        <w:t xml:space="preserve">Beyond informing the allocation of funding under the HEPPP, the collection of data to allow a SES measure to be developed based on the </w:t>
      </w:r>
      <w:r w:rsidRPr="00D768BE">
        <w:t>individual circumstances of each student</w:t>
      </w:r>
      <w:r>
        <w:t xml:space="preserve"> is likely to generate considerable value through supporting and improving research into student equity.</w:t>
      </w:r>
    </w:p>
    <w:p w14:paraId="2CAFCFF0" w14:textId="77777777" w:rsidR="00090683" w:rsidRPr="00C75849" w:rsidRDefault="00090683" w:rsidP="00090683">
      <w:pPr>
        <w:pStyle w:val="BodyText"/>
      </w:pPr>
    </w:p>
    <w:p w14:paraId="6FC8F27E" w14:textId="77777777" w:rsidR="00090683" w:rsidRPr="001A2F85" w:rsidRDefault="00090683" w:rsidP="00090683">
      <w:pPr>
        <w:pStyle w:val="BodyText"/>
      </w:pPr>
    </w:p>
    <w:p w14:paraId="0B0BB07B" w14:textId="77777777" w:rsidR="00090683" w:rsidRDefault="00090683" w:rsidP="00090683">
      <w:pPr>
        <w:pStyle w:val="BodyText"/>
      </w:pPr>
    </w:p>
    <w:p w14:paraId="299B5F1F" w14:textId="042200F0" w:rsidR="00316B0A" w:rsidRDefault="00316B0A" w:rsidP="00090683">
      <w:pPr>
        <w:pStyle w:val="BodyText"/>
      </w:pPr>
    </w:p>
    <w:p w14:paraId="5CE27BC0" w14:textId="77777777" w:rsidR="00DB32CD" w:rsidRDefault="00DB32CD" w:rsidP="00090683">
      <w:pPr>
        <w:pStyle w:val="BodyText"/>
        <w:sectPr w:rsidR="00DB32CD" w:rsidSect="00DB32CD">
          <w:headerReference w:type="even" r:id="rId216"/>
          <w:headerReference w:type="default" r:id="rId217"/>
          <w:footerReference w:type="even" r:id="rId218"/>
          <w:footerReference w:type="default" r:id="rId219"/>
          <w:headerReference w:type="first" r:id="rId220"/>
          <w:footerReference w:type="first" r:id="rId221"/>
          <w:pgSz w:w="11907" w:h="16839" w:code="9"/>
          <w:pgMar w:top="1100" w:right="443" w:bottom="1320" w:left="3296" w:header="456" w:footer="262" w:gutter="0"/>
          <w:pgNumType w:start="1" w:chapStyle="7" w:chapSep="enDash"/>
          <w:cols w:space="708"/>
          <w:docGrid w:linePitch="360"/>
        </w:sectPr>
      </w:pPr>
    </w:p>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59"/>
        <w:gridCol w:w="13"/>
        <w:gridCol w:w="2479"/>
      </w:tblGrid>
      <w:tr w:rsidR="00DB32CD" w14:paraId="3AD9EA49" w14:textId="77777777" w:rsidTr="00425AFC">
        <w:trPr>
          <w:trHeight w:hRule="exact" w:val="8477"/>
        </w:trPr>
        <w:tc>
          <w:tcPr>
            <w:tcW w:w="8459" w:type="dxa"/>
            <w:shd w:val="clear" w:color="auto" w:fill="auto"/>
            <w:tcMar>
              <w:left w:w="0" w:type="dxa"/>
            </w:tcMar>
          </w:tcPr>
          <w:p w14:paraId="037B2A19" w14:textId="77777777" w:rsidR="00DB32CD" w:rsidRDefault="00DB32CD" w:rsidP="00425AFC">
            <w:pPr>
              <w:pStyle w:val="tagcontactsPage-Back"/>
            </w:pPr>
          </w:p>
        </w:tc>
        <w:tc>
          <w:tcPr>
            <w:tcW w:w="2492" w:type="dxa"/>
            <w:gridSpan w:val="2"/>
            <w:shd w:val="clear" w:color="auto" w:fill="auto"/>
            <w:tcMar>
              <w:top w:w="0" w:type="dxa"/>
              <w:right w:w="100" w:type="dxa"/>
            </w:tcMar>
          </w:tcPr>
          <w:p w14:paraId="270AC425" w14:textId="77777777" w:rsidR="00DB32CD" w:rsidRDefault="00DB32CD" w:rsidP="00425AFC">
            <w:pPr>
              <w:pStyle w:val="CpContactDetails"/>
            </w:pPr>
            <w:r>
              <w:t>ACIL ALLEN</w:t>
            </w:r>
            <w:r w:rsidRPr="00B0723F">
              <w:t xml:space="preserve"> </w:t>
            </w:r>
            <w:r>
              <w:t>CONSU</w:t>
            </w:r>
            <w:r w:rsidRPr="00B0723F">
              <w:t>L</w:t>
            </w:r>
            <w:r>
              <w:t xml:space="preserve">TING PTY </w:t>
            </w:r>
            <w:r w:rsidRPr="00B0723F">
              <w:t>L</w:t>
            </w:r>
            <w:r>
              <w:t>TD</w:t>
            </w:r>
            <w:r>
              <w:br/>
              <w:t>ABN 68 102 652 1</w:t>
            </w:r>
            <w:r w:rsidRPr="00B0723F">
              <w:t>4</w:t>
            </w:r>
            <w:r>
              <w:t>8</w:t>
            </w:r>
          </w:p>
          <w:p w14:paraId="631388B8" w14:textId="77777777" w:rsidR="00DB32CD" w:rsidRDefault="00DB32CD" w:rsidP="00425AFC">
            <w:pPr>
              <w:pStyle w:val="CpContactDetails"/>
            </w:pPr>
            <w:r>
              <w:t>acilallen</w:t>
            </w:r>
            <w:r w:rsidRPr="00B0723F">
              <w:t>.</w:t>
            </w:r>
            <w:r>
              <w:t>com.</w:t>
            </w:r>
            <w:r w:rsidRPr="00B0723F">
              <w:t>a</w:t>
            </w:r>
            <w:r>
              <w:t>u</w:t>
            </w:r>
          </w:p>
          <w:p w14:paraId="7F70ED68" w14:textId="77777777" w:rsidR="00DB32CD" w:rsidRDefault="00DB32CD" w:rsidP="00425AFC">
            <w:pPr>
              <w:pStyle w:val="CpContactDetails"/>
            </w:pPr>
          </w:p>
          <w:p w14:paraId="2A50A492" w14:textId="77777777" w:rsidR="00DB32CD" w:rsidRDefault="00DB32CD" w:rsidP="00425AFC">
            <w:pPr>
              <w:spacing w:before="240" w:after="240" w:line="300" w:lineRule="atLeast"/>
              <w:textAlignment w:val="baseline"/>
              <w:rPr>
                <w:rFonts w:ascii="Arial" w:hAnsi="Arial"/>
                <w:caps/>
                <w:color w:val="000100"/>
                <w:sz w:val="13"/>
              </w:rPr>
            </w:pPr>
          </w:p>
          <w:p w14:paraId="72C63D31" w14:textId="77777777" w:rsidR="00DB32CD" w:rsidRDefault="00DB32CD" w:rsidP="00425AFC">
            <w:pPr>
              <w:spacing w:before="240" w:after="240" w:line="300" w:lineRule="atLeast"/>
              <w:textAlignment w:val="baseline"/>
              <w:rPr>
                <w:rFonts w:ascii="Arial" w:hAnsi="Arial"/>
                <w:caps/>
                <w:color w:val="000100"/>
                <w:sz w:val="13"/>
              </w:rPr>
            </w:pPr>
          </w:p>
          <w:p w14:paraId="3A267DEF" w14:textId="77777777" w:rsidR="00DB32CD" w:rsidRPr="00B0723F" w:rsidRDefault="00DB32CD" w:rsidP="00425AFC">
            <w:pPr>
              <w:spacing w:before="240" w:after="240" w:line="300" w:lineRule="atLeast"/>
              <w:textAlignment w:val="baseline"/>
              <w:rPr>
                <w:rFonts w:ascii="Arial" w:hAnsi="Arial"/>
                <w:b/>
                <w:caps/>
                <w:color w:val="000100"/>
                <w:sz w:val="13"/>
              </w:rPr>
            </w:pPr>
            <w:r w:rsidRPr="00B0723F">
              <w:rPr>
                <w:rFonts w:ascii="Arial" w:hAnsi="Arial"/>
                <w:b/>
                <w:caps/>
                <w:color w:val="000100"/>
                <w:sz w:val="13"/>
              </w:rPr>
              <w:t>About ACIL Allen consulting</w:t>
            </w:r>
          </w:p>
          <w:p w14:paraId="71B9FA7C" w14:textId="77777777" w:rsidR="00DB32CD" w:rsidRPr="00B0723F" w:rsidRDefault="00DB32CD" w:rsidP="00425AFC">
            <w:pPr>
              <w:spacing w:before="240" w:after="240" w:line="300" w:lineRule="atLeast"/>
              <w:textAlignment w:val="baseline"/>
              <w:rPr>
                <w:rFonts w:ascii="Arial" w:hAnsi="Arial"/>
                <w:caps/>
                <w:color w:val="000100"/>
                <w:sz w:val="13"/>
              </w:rPr>
            </w:pPr>
            <w:r w:rsidRPr="00B0723F">
              <w:rPr>
                <w:rFonts w:ascii="Arial" w:hAnsi="Arial"/>
                <w:caps/>
                <w:color w:val="000100"/>
                <w:sz w:val="13"/>
              </w:rPr>
              <w:t>ACIL Allen Consulting is one of the largest independent, economic, public policy, and public affairs management consulting firms in Australia.</w:t>
            </w:r>
          </w:p>
          <w:p w14:paraId="06CB5DE3" w14:textId="77777777" w:rsidR="00DB32CD" w:rsidRPr="00B0723F" w:rsidRDefault="00DB32CD" w:rsidP="00425AFC">
            <w:pPr>
              <w:spacing w:before="240" w:after="240" w:line="300" w:lineRule="atLeast"/>
              <w:textAlignment w:val="baseline"/>
              <w:rPr>
                <w:rFonts w:ascii="Arial" w:hAnsi="Arial"/>
                <w:caps/>
                <w:color w:val="000100"/>
                <w:sz w:val="13"/>
              </w:rPr>
            </w:pPr>
            <w:r w:rsidRPr="00B0723F">
              <w:rPr>
                <w:rFonts w:ascii="Arial" w:hAnsi="Arial"/>
                <w:caps/>
                <w:color w:val="000100"/>
                <w:sz w:val="13"/>
              </w:rPr>
              <w:t>We advise companies, institutions and governments on economics, policy and corporate public affairs management.</w:t>
            </w:r>
          </w:p>
          <w:p w14:paraId="42DD843D" w14:textId="77777777" w:rsidR="00DB32CD" w:rsidRPr="00B0723F" w:rsidRDefault="00DB32CD" w:rsidP="00425AFC">
            <w:pPr>
              <w:spacing w:before="240" w:after="240" w:line="300" w:lineRule="atLeast"/>
              <w:textAlignment w:val="baseline"/>
              <w:rPr>
                <w:rFonts w:ascii="Arial" w:hAnsi="Arial"/>
                <w:caps/>
                <w:color w:val="000100"/>
                <w:sz w:val="13"/>
              </w:rPr>
            </w:pPr>
            <w:r w:rsidRPr="00B0723F">
              <w:rPr>
                <w:rFonts w:ascii="Arial" w:hAnsi="Arial"/>
                <w:caps/>
                <w:color w:val="000100"/>
                <w:sz w:val="13"/>
              </w:rPr>
              <w:t>We provide senior advisory services that bring unparalleled strategic thinking and real world experience to bear on problem solving and strategy formulation.</w:t>
            </w:r>
          </w:p>
          <w:p w14:paraId="4726E988" w14:textId="77777777" w:rsidR="00DB32CD" w:rsidRDefault="00DB32CD" w:rsidP="00425AFC">
            <w:pPr>
              <w:pStyle w:val="CpContactDetails"/>
            </w:pPr>
          </w:p>
        </w:tc>
      </w:tr>
      <w:tr w:rsidR="00DB32CD" w14:paraId="357ED001" w14:textId="77777777" w:rsidTr="00425AFC">
        <w:trPr>
          <w:trHeight w:hRule="exact" w:val="1360"/>
        </w:trPr>
        <w:tc>
          <w:tcPr>
            <w:tcW w:w="8472" w:type="dxa"/>
            <w:gridSpan w:val="2"/>
            <w:shd w:val="clear" w:color="auto" w:fill="auto"/>
            <w:tcMar>
              <w:left w:w="0" w:type="dxa"/>
              <w:right w:w="436" w:type="dxa"/>
            </w:tcMar>
          </w:tcPr>
          <w:p w14:paraId="54FDD13A" w14:textId="77777777" w:rsidR="00DB32CD" w:rsidRDefault="00DB32CD" w:rsidP="00425AFC">
            <w:pPr>
              <w:pStyle w:val="spacer"/>
            </w:pPr>
          </w:p>
        </w:tc>
        <w:tc>
          <w:tcPr>
            <w:tcW w:w="2479" w:type="dxa"/>
            <w:shd w:val="clear" w:color="auto" w:fill="auto"/>
          </w:tcPr>
          <w:p w14:paraId="28508EB0" w14:textId="77777777" w:rsidR="00DB32CD" w:rsidRDefault="00DB32CD" w:rsidP="00425AFC">
            <w:pPr>
              <w:pStyle w:val="spacer"/>
            </w:pPr>
          </w:p>
        </w:tc>
      </w:tr>
      <w:tr w:rsidR="00DB32CD" w14:paraId="12E4B319" w14:textId="77777777" w:rsidTr="00425AFC">
        <w:trPr>
          <w:trHeight w:hRule="exact" w:val="2752"/>
        </w:trPr>
        <w:tc>
          <w:tcPr>
            <w:tcW w:w="8472" w:type="dxa"/>
            <w:gridSpan w:val="2"/>
            <w:shd w:val="clear" w:color="auto" w:fill="auto"/>
            <w:tcMar>
              <w:left w:w="0" w:type="dxa"/>
              <w:right w:w="436" w:type="dxa"/>
            </w:tcMar>
          </w:tcPr>
          <w:p w14:paraId="5CFE7693" w14:textId="77777777" w:rsidR="00DB32CD" w:rsidRDefault="00DB32CD" w:rsidP="00425AFC">
            <w:pPr>
              <w:pStyle w:val="CpDisclaimer"/>
            </w:pPr>
          </w:p>
        </w:tc>
        <w:tc>
          <w:tcPr>
            <w:tcW w:w="2479" w:type="dxa"/>
            <w:shd w:val="clear" w:color="auto" w:fill="auto"/>
            <w:tcMar>
              <w:right w:w="400" w:type="dxa"/>
            </w:tcMar>
          </w:tcPr>
          <w:p w14:paraId="2917D8CB" w14:textId="77777777" w:rsidR="00DB32CD" w:rsidRDefault="00DB32CD" w:rsidP="00425AFC">
            <w:pPr>
              <w:pStyle w:val="CpDisclaimer"/>
            </w:pPr>
          </w:p>
        </w:tc>
      </w:tr>
    </w:tbl>
    <w:p w14:paraId="7DB0D681" w14:textId="77777777" w:rsidR="00DB32CD" w:rsidRDefault="00DB32CD" w:rsidP="00DB32CD">
      <w:pPr>
        <w:pStyle w:val="BodyText"/>
      </w:pPr>
    </w:p>
    <w:sectPr w:rsidR="00DB32CD" w:rsidSect="00DB32CD">
      <w:headerReference w:type="even" r:id="rId222"/>
      <w:headerReference w:type="default" r:id="rId223"/>
      <w:footerReference w:type="even" r:id="rId224"/>
      <w:footerReference w:type="default" r:id="rId225"/>
      <w:headerReference w:type="first" r:id="rId226"/>
      <w:footerReference w:type="first" r:id="rId227"/>
      <w:pgSz w:w="11907" w:h="16839" w:code="9"/>
      <w:pgMar w:top="1100" w:right="442" w:bottom="482" w:left="476" w:header="454" w:footer="261" w:gutter="0"/>
      <w:pgNumType w:chapStyle="7" w:chapSep="e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EE7E6" w14:textId="77777777" w:rsidR="00671E51" w:rsidRDefault="00671E51" w:rsidP="00D337DD">
      <w:pPr>
        <w:spacing w:after="0" w:line="240" w:lineRule="auto"/>
      </w:pPr>
      <w:r>
        <w:separator/>
      </w:r>
    </w:p>
  </w:endnote>
  <w:endnote w:type="continuationSeparator" w:id="0">
    <w:p w14:paraId="18BD59B7" w14:textId="77777777" w:rsidR="00671E51" w:rsidRDefault="00671E51"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swiss"/>
    <w:notTrueType/>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Arial"/>
    <w:panose1 w:val="00000000000000000000"/>
    <w:charset w:val="00"/>
    <w:family w:val="modern"/>
    <w:notTrueType/>
    <w:pitch w:val="variable"/>
    <w:sig w:usb0="00000007" w:usb1="00000000" w:usb2="00000000" w:usb3="00000000" w:csb0="00000093" w:csb1="00000000"/>
  </w:font>
  <w:font w:name="Marigold">
    <w:panose1 w:val="00000000000000000000"/>
    <w:charset w:val="00"/>
    <w:family w:val="script"/>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2C744CCB" w14:textId="77777777" w:rsidTr="00425AFC">
      <w:trPr>
        <w:trHeight w:val="620"/>
      </w:trPr>
      <w:tc>
        <w:tcPr>
          <w:tcW w:w="7596" w:type="dxa"/>
          <w:shd w:val="clear" w:color="auto" w:fill="auto"/>
          <w:tcMar>
            <w:right w:w="72" w:type="dxa"/>
          </w:tcMar>
          <w:vAlign w:val="bottom"/>
        </w:tcPr>
        <w:p w14:paraId="6FE92441" w14:textId="77777777" w:rsidR="00671E51" w:rsidRDefault="00DA6AE4" w:rsidP="00425AFC">
          <w:pPr>
            <w:pStyle w:val="FooterText"/>
          </w:pPr>
          <w:r>
            <w:fldChar w:fldCharType="begin"/>
          </w:r>
          <w:r>
            <w:instrText xml:space="preserve"> STYLEREF  "Cp Title"  \* MERGEFORMAT </w:instrText>
          </w:r>
          <w:r>
            <w:fldChar w:fldCharType="separate"/>
          </w:r>
          <w:r w:rsidR="0064083A" w:rsidRPr="0064083A">
            <w:rPr>
              <w:b/>
              <w:bCs/>
              <w:noProof/>
            </w:rPr>
            <w:t>EVALUATION OF THE HEPPP</w:t>
          </w:r>
          <w:r>
            <w:rPr>
              <w:b/>
              <w:bCs/>
              <w:noProof/>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rPr>
            <w:t>HIGHER EDUCATION PARTICIPATION AND PARTNERSHIPS</w:t>
          </w:r>
          <w:r w:rsidR="0064083A">
            <w:rPr>
              <w:noProof/>
            </w:rPr>
            <w:t xml:space="preserve"> PROGRAM</w:t>
          </w:r>
          <w:r>
            <w:rPr>
              <w:noProof/>
            </w:rPr>
            <w:fldChar w:fldCharType="end"/>
          </w:r>
        </w:p>
      </w:tc>
      <w:tc>
        <w:tcPr>
          <w:tcW w:w="570" w:type="dxa"/>
          <w:shd w:val="clear" w:color="auto" w:fill="auto"/>
          <w:vAlign w:val="bottom"/>
        </w:tcPr>
        <w:p w14:paraId="5E20D410" w14:textId="77777777" w:rsidR="00671E51" w:rsidRDefault="00671E51" w:rsidP="00425AFC">
          <w:pPr>
            <w:pStyle w:val="pageNumber"/>
          </w:pPr>
          <w:r>
            <w:fldChar w:fldCharType="begin"/>
          </w:r>
          <w:r>
            <w:instrText xml:space="preserve"> PAGE   \* MERGEFORMAT </w:instrText>
          </w:r>
          <w:r>
            <w:fldChar w:fldCharType="separate"/>
          </w:r>
          <w:r>
            <w:rPr>
              <w:noProof/>
            </w:rPr>
            <w:t>1</w:t>
          </w:r>
          <w:r>
            <w:rPr>
              <w:noProof/>
            </w:rPr>
            <w:fldChar w:fldCharType="end"/>
          </w:r>
        </w:p>
      </w:tc>
    </w:tr>
  </w:tbl>
  <w:p w14:paraId="04B2DF91" w14:textId="77777777" w:rsidR="00671E51" w:rsidRPr="00B21CCC" w:rsidRDefault="00671E51" w:rsidP="00425AFC">
    <w:pPr>
      <w:pStyle w:val="Footer"/>
    </w:pPr>
  </w:p>
  <w:p w14:paraId="5D376CA8" w14:textId="77777777" w:rsidR="00671E51" w:rsidRDefault="00671E51"/>
  <w:p w14:paraId="32503E9A" w14:textId="77777777" w:rsidR="00671E51" w:rsidRDefault="00671E51"/>
  <w:p w14:paraId="4B7E5E0E" w14:textId="77777777" w:rsidR="00671E51" w:rsidRDefault="00671E5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23528931" w14:textId="77777777" w:rsidTr="000B6604">
      <w:trPr>
        <w:trHeight w:val="620"/>
      </w:trPr>
      <w:tc>
        <w:tcPr>
          <w:tcW w:w="7596" w:type="dxa"/>
          <w:tcMar>
            <w:right w:w="72" w:type="dxa"/>
          </w:tcMar>
          <w:vAlign w:val="bottom"/>
        </w:tcPr>
        <w:p w14:paraId="2F7E34F7"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17C2B2D0" w14:textId="77777777" w:rsidR="00671E51" w:rsidRDefault="00671E51" w:rsidP="000B6604">
          <w:pPr>
            <w:pStyle w:val="pageNumber"/>
          </w:pPr>
          <w:r>
            <w:fldChar w:fldCharType="begin"/>
          </w:r>
          <w:r>
            <w:instrText xml:space="preserve"> PAGE   \* MERGEFORMAT </w:instrText>
          </w:r>
          <w:r>
            <w:fldChar w:fldCharType="separate"/>
          </w:r>
          <w:r>
            <w:rPr>
              <w:noProof/>
            </w:rPr>
            <w:t>4</w:t>
          </w:r>
          <w:r>
            <w:fldChar w:fldCharType="end"/>
          </w:r>
        </w:p>
      </w:tc>
    </w:tr>
  </w:tbl>
  <w:p w14:paraId="3065D60C" w14:textId="77777777" w:rsidR="00671E51" w:rsidRPr="00B21CCC" w:rsidRDefault="00671E51" w:rsidP="000B6604">
    <w:pPr>
      <w:pStyle w:val="Footer"/>
    </w:pPr>
  </w:p>
  <w:p w14:paraId="4DD15B82" w14:textId="77777777" w:rsidR="00671E51" w:rsidRDefault="00671E51"/>
  <w:p w14:paraId="73B05933" w14:textId="77777777" w:rsidR="00671E51" w:rsidRDefault="00671E5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5B6544F6" w14:textId="77777777" w:rsidTr="000B6604">
      <w:trPr>
        <w:trHeight w:val="620"/>
      </w:trPr>
      <w:tc>
        <w:tcPr>
          <w:tcW w:w="7368" w:type="dxa"/>
          <w:tcMar>
            <w:right w:w="72" w:type="dxa"/>
          </w:tcMar>
          <w:vAlign w:val="bottom"/>
        </w:tcPr>
        <w:p w14:paraId="6D00B126"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w:t>
          </w:r>
          <w:r>
            <w:rPr>
              <w:noProof/>
            </w:rPr>
            <w:t xml:space="preserve"> OF THE HEPPP</w:t>
          </w:r>
          <w:r>
            <w:rPr>
              <w:noProof/>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w:t>
          </w:r>
          <w:r>
            <w:rPr>
              <w:noProof/>
            </w:rPr>
            <w:t xml:space="preserve"> PARTICIPATION AND PARTNERSHIPS PROGRAM</w:t>
          </w:r>
          <w:r>
            <w:rPr>
              <w:noProof/>
            </w:rPr>
            <w:fldChar w:fldCharType="end"/>
          </w:r>
        </w:p>
      </w:tc>
      <w:tc>
        <w:tcPr>
          <w:tcW w:w="800" w:type="dxa"/>
          <w:vAlign w:val="bottom"/>
        </w:tcPr>
        <w:p w14:paraId="4E98EA67" w14:textId="77777777" w:rsidR="00671E51" w:rsidRDefault="00671E51" w:rsidP="000B6604">
          <w:pPr>
            <w:pStyle w:val="pageNumber"/>
          </w:pPr>
          <w:r>
            <w:fldChar w:fldCharType="begin"/>
          </w:r>
          <w:r>
            <w:instrText xml:space="preserve"> PAGE   \* MERGEFORMAT </w:instrText>
          </w:r>
          <w:r>
            <w:fldChar w:fldCharType="separate"/>
          </w:r>
          <w:r w:rsidR="00DA6AE4">
            <w:rPr>
              <w:noProof/>
            </w:rPr>
            <w:t>xii</w:t>
          </w:r>
          <w:r>
            <w:fldChar w:fldCharType="end"/>
          </w:r>
        </w:p>
      </w:tc>
    </w:tr>
  </w:tbl>
  <w:p w14:paraId="57137F83" w14:textId="77777777" w:rsidR="00671E51" w:rsidRPr="00B21CCC" w:rsidRDefault="00671E51" w:rsidP="000B660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7FF59A63" w14:textId="77777777" w:rsidTr="000B6604">
      <w:trPr>
        <w:trHeight w:val="620"/>
      </w:trPr>
      <w:tc>
        <w:tcPr>
          <w:tcW w:w="7596" w:type="dxa"/>
          <w:tcMar>
            <w:right w:w="72" w:type="dxa"/>
          </w:tcMar>
          <w:vAlign w:val="bottom"/>
        </w:tcPr>
        <w:p w14:paraId="09B561EB"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0E7A2BF9" w14:textId="77777777" w:rsidR="00671E51" w:rsidRDefault="00671E51" w:rsidP="000B6604">
          <w:pPr>
            <w:pStyle w:val="pageNumber"/>
          </w:pPr>
          <w:r>
            <w:fldChar w:fldCharType="begin"/>
          </w:r>
          <w:r>
            <w:instrText xml:space="preserve"> PAGE   \* MERGEFORMAT </w:instrText>
          </w:r>
          <w:r>
            <w:fldChar w:fldCharType="separate"/>
          </w:r>
          <w:r>
            <w:rPr>
              <w:noProof/>
            </w:rPr>
            <w:t>4</w:t>
          </w:r>
          <w:r>
            <w:fldChar w:fldCharType="end"/>
          </w:r>
        </w:p>
      </w:tc>
    </w:tr>
  </w:tbl>
  <w:p w14:paraId="0C30CB3E" w14:textId="77777777" w:rsidR="00671E51" w:rsidRPr="00B21CCC" w:rsidRDefault="00671E51" w:rsidP="000B6604">
    <w:pPr>
      <w:pStyle w:val="Footer"/>
    </w:pPr>
  </w:p>
  <w:p w14:paraId="46F1C5FE" w14:textId="77777777" w:rsidR="00671E51" w:rsidRDefault="00671E51"/>
  <w:p w14:paraId="44456B27" w14:textId="77777777" w:rsidR="00671E51" w:rsidRDefault="00671E5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6F181245" w14:textId="77777777" w:rsidTr="000B6604">
      <w:trPr>
        <w:trHeight w:val="620"/>
      </w:trPr>
      <w:tc>
        <w:tcPr>
          <w:tcW w:w="7596" w:type="dxa"/>
          <w:tcMar>
            <w:right w:w="72" w:type="dxa"/>
          </w:tcMar>
          <w:vAlign w:val="bottom"/>
        </w:tcPr>
        <w:p w14:paraId="73EAC470"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107EE4B1" w14:textId="77777777" w:rsidR="00671E51" w:rsidRDefault="00671E51" w:rsidP="000B6604">
          <w:pPr>
            <w:pStyle w:val="pageNumber"/>
          </w:pPr>
          <w:r>
            <w:fldChar w:fldCharType="begin"/>
          </w:r>
          <w:r>
            <w:instrText xml:space="preserve"> PAGE   \* MERGEFORMAT </w:instrText>
          </w:r>
          <w:r>
            <w:fldChar w:fldCharType="separate"/>
          </w:r>
          <w:r>
            <w:rPr>
              <w:noProof/>
            </w:rPr>
            <w:t>i</w:t>
          </w:r>
          <w:r>
            <w:fldChar w:fldCharType="end"/>
          </w:r>
        </w:p>
      </w:tc>
    </w:tr>
  </w:tbl>
  <w:p w14:paraId="0981D535" w14:textId="77777777" w:rsidR="00671E51" w:rsidRPr="00B21CCC" w:rsidRDefault="00671E51" w:rsidP="000B6604">
    <w:pPr>
      <w:pStyle w:val="Footer"/>
    </w:pPr>
  </w:p>
  <w:p w14:paraId="54DD1AB5" w14:textId="77777777" w:rsidR="00671E51" w:rsidRDefault="00671E51"/>
  <w:p w14:paraId="41568465" w14:textId="77777777" w:rsidR="00671E51" w:rsidRDefault="00671E5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4E22C4EE" w14:textId="77777777" w:rsidTr="000B6604">
      <w:trPr>
        <w:trHeight w:val="620"/>
      </w:trPr>
      <w:tc>
        <w:tcPr>
          <w:tcW w:w="7368" w:type="dxa"/>
          <w:tcMar>
            <w:right w:w="72" w:type="dxa"/>
          </w:tcMar>
          <w:vAlign w:val="bottom"/>
        </w:tcPr>
        <w:p w14:paraId="43912907"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w:t>
          </w:r>
          <w:r>
            <w:rPr>
              <w:noProof/>
            </w:rPr>
            <w:t xml:space="preserve"> OF THE HEPPP</w:t>
          </w:r>
          <w:r>
            <w:rPr>
              <w:noProof/>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w:t>
          </w:r>
          <w:r>
            <w:rPr>
              <w:noProof/>
            </w:rPr>
            <w:t xml:space="preserve"> PARTICIPATION AND PARTNERSHIPS PROGRAM</w:t>
          </w:r>
          <w:r>
            <w:rPr>
              <w:noProof/>
            </w:rPr>
            <w:fldChar w:fldCharType="end"/>
          </w:r>
        </w:p>
      </w:tc>
      <w:tc>
        <w:tcPr>
          <w:tcW w:w="800" w:type="dxa"/>
          <w:vAlign w:val="bottom"/>
        </w:tcPr>
        <w:p w14:paraId="32DFC8B0" w14:textId="77777777" w:rsidR="00671E51" w:rsidRDefault="00671E51" w:rsidP="000B6604">
          <w:pPr>
            <w:pStyle w:val="pageNumber"/>
          </w:pPr>
          <w:r>
            <w:fldChar w:fldCharType="begin"/>
          </w:r>
          <w:r>
            <w:instrText xml:space="preserve"> PAGE   \* MERGEFORMAT </w:instrText>
          </w:r>
          <w:r>
            <w:fldChar w:fldCharType="separate"/>
          </w:r>
          <w:r w:rsidR="00DA6AE4">
            <w:rPr>
              <w:noProof/>
            </w:rPr>
            <w:t>xxiv</w:t>
          </w:r>
          <w:r>
            <w:fldChar w:fldCharType="end"/>
          </w:r>
        </w:p>
      </w:tc>
    </w:tr>
  </w:tbl>
  <w:p w14:paraId="26E9B2C2" w14:textId="77777777" w:rsidR="00671E51" w:rsidRPr="00B21CCC" w:rsidRDefault="00671E51" w:rsidP="000B660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5E91FF86" w14:textId="77777777" w:rsidTr="000B6604">
      <w:trPr>
        <w:trHeight w:val="620"/>
      </w:trPr>
      <w:tc>
        <w:tcPr>
          <w:tcW w:w="7596" w:type="dxa"/>
          <w:tcMar>
            <w:right w:w="72" w:type="dxa"/>
          </w:tcMar>
          <w:vAlign w:val="bottom"/>
        </w:tcPr>
        <w:p w14:paraId="7A97C9A6"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2C1FE49C" w14:textId="77777777" w:rsidR="00671E51" w:rsidRDefault="00671E51" w:rsidP="000B6604">
          <w:pPr>
            <w:pStyle w:val="pageNumber"/>
          </w:pPr>
          <w:r>
            <w:fldChar w:fldCharType="begin"/>
          </w:r>
          <w:r>
            <w:instrText xml:space="preserve"> PAGE   \* MERGEFORMAT </w:instrText>
          </w:r>
          <w:r>
            <w:fldChar w:fldCharType="separate"/>
          </w:r>
          <w:r>
            <w:rPr>
              <w:noProof/>
            </w:rPr>
            <w:t>i</w:t>
          </w:r>
          <w:r>
            <w:fldChar w:fldCharType="end"/>
          </w:r>
        </w:p>
      </w:tc>
    </w:tr>
  </w:tbl>
  <w:p w14:paraId="2204A321" w14:textId="77777777" w:rsidR="00671E51" w:rsidRPr="00B21CCC" w:rsidRDefault="00671E51" w:rsidP="000B6604">
    <w:pPr>
      <w:pStyle w:val="Footer"/>
    </w:pPr>
  </w:p>
  <w:p w14:paraId="26F2EE99" w14:textId="77777777" w:rsidR="00671E51" w:rsidRDefault="00671E51"/>
  <w:p w14:paraId="50B8339B" w14:textId="77777777" w:rsidR="00671E51" w:rsidRDefault="00671E5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7E161654" w14:textId="77777777" w:rsidTr="000B6604">
      <w:trPr>
        <w:trHeight w:val="620"/>
      </w:trPr>
      <w:tc>
        <w:tcPr>
          <w:tcW w:w="7596" w:type="dxa"/>
          <w:tcMar>
            <w:right w:w="72" w:type="dxa"/>
          </w:tcMar>
          <w:vAlign w:val="bottom"/>
        </w:tcPr>
        <w:p w14:paraId="02786CA7"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60ECF8EA"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306385E2" w14:textId="77777777" w:rsidR="00671E51" w:rsidRPr="00B21CCC" w:rsidRDefault="00671E51" w:rsidP="000B6604">
    <w:pPr>
      <w:pStyle w:val="Footer"/>
    </w:pPr>
  </w:p>
  <w:p w14:paraId="75140232" w14:textId="77777777" w:rsidR="00671E51" w:rsidRDefault="00671E51"/>
  <w:p w14:paraId="1BA522DD" w14:textId="77777777" w:rsidR="00671E51" w:rsidRDefault="00671E5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4853B28A" w14:textId="77777777" w:rsidTr="000B6604">
      <w:trPr>
        <w:trHeight w:val="620"/>
      </w:trPr>
      <w:tc>
        <w:tcPr>
          <w:tcW w:w="7368" w:type="dxa"/>
          <w:tcMar>
            <w:right w:w="72" w:type="dxa"/>
          </w:tcMar>
          <w:vAlign w:val="bottom"/>
        </w:tcPr>
        <w:p w14:paraId="485C7E0F" w14:textId="77777777" w:rsidR="00671E51" w:rsidRPr="00AA2350" w:rsidRDefault="00887830" w:rsidP="000B6604">
          <w:pPr>
            <w:pStyle w:val="FooterText"/>
            <w:rPr>
              <w:b/>
            </w:rPr>
          </w:pPr>
          <w:r w:rsidRPr="00AA2350">
            <w:rPr>
              <w:b/>
            </w:rPr>
            <w:fldChar w:fldCharType="begin"/>
          </w:r>
          <w:r w:rsidRPr="00AA2350">
            <w:rPr>
              <w:b/>
            </w:rPr>
            <w:instrText xml:space="preserve"> STYLEREF  "Cp Title"  \* MERGEFORMAT </w:instrText>
          </w:r>
          <w:r w:rsidRPr="00AA2350">
            <w:rPr>
              <w:b/>
            </w:rPr>
            <w:fldChar w:fldCharType="separate"/>
          </w:r>
          <w:r w:rsidR="00DA6AE4" w:rsidRPr="00DA6AE4">
            <w:rPr>
              <w:b/>
              <w:bCs/>
              <w:noProof/>
              <w:lang w:val="en-US"/>
            </w:rPr>
            <w:t>EVALUATION OF THE HEPPP</w:t>
          </w:r>
          <w:r w:rsidRPr="00AA2350">
            <w:rPr>
              <w:b/>
              <w:bCs/>
              <w:noProof/>
              <w:lang w:val="en-US"/>
            </w:rPr>
            <w:fldChar w:fldCharType="end"/>
          </w:r>
          <w:r w:rsidR="00671E51" w:rsidRPr="00AA2350">
            <w:rPr>
              <w:b/>
            </w:rPr>
            <w:t xml:space="preserve"> </w:t>
          </w:r>
          <w:r w:rsidRPr="00AA2350">
            <w:rPr>
              <w:b/>
            </w:rPr>
            <w:fldChar w:fldCharType="begin"/>
          </w:r>
          <w:r w:rsidRPr="00AA2350">
            <w:rPr>
              <w:b/>
            </w:rPr>
            <w:instrText xml:space="preserve"> STYLEREF  "Cp SubTitle"  \* MERGEFORMAT </w:instrText>
          </w:r>
          <w:r w:rsidRPr="00AA2350">
            <w:rPr>
              <w:b/>
            </w:rPr>
            <w:fldChar w:fldCharType="separate"/>
          </w:r>
          <w:r w:rsidR="00DA6AE4" w:rsidRPr="00DA6AE4">
            <w:rPr>
              <w:b/>
              <w:bCs/>
              <w:noProof/>
              <w:lang w:val="en-US"/>
            </w:rPr>
            <w:t>HIGHER EDUCATION PARTICIPATION AND PARTNERSHIPS</w:t>
          </w:r>
          <w:r w:rsidR="00DA6AE4">
            <w:rPr>
              <w:b/>
              <w:noProof/>
            </w:rPr>
            <w:t xml:space="preserve"> PROGRAM</w:t>
          </w:r>
          <w:r w:rsidRPr="00AA2350">
            <w:rPr>
              <w:b/>
              <w:noProof/>
            </w:rPr>
            <w:fldChar w:fldCharType="end"/>
          </w:r>
        </w:p>
      </w:tc>
      <w:tc>
        <w:tcPr>
          <w:tcW w:w="800" w:type="dxa"/>
          <w:vAlign w:val="bottom"/>
        </w:tcPr>
        <w:p w14:paraId="1F5CDB3F" w14:textId="77777777" w:rsidR="00671E51" w:rsidRDefault="00671E51" w:rsidP="000B6604">
          <w:pPr>
            <w:pStyle w:val="pageNumber"/>
          </w:pPr>
          <w:r>
            <w:fldChar w:fldCharType="begin"/>
          </w:r>
          <w:r>
            <w:instrText xml:space="preserve"> PAGE   \* MERGEFORMAT </w:instrText>
          </w:r>
          <w:r>
            <w:fldChar w:fldCharType="separate"/>
          </w:r>
          <w:r w:rsidR="00DA6AE4">
            <w:rPr>
              <w:noProof/>
            </w:rPr>
            <w:t>1</w:t>
          </w:r>
          <w:r>
            <w:fldChar w:fldCharType="end"/>
          </w:r>
        </w:p>
      </w:tc>
    </w:tr>
  </w:tbl>
  <w:p w14:paraId="4DF529E1" w14:textId="77777777" w:rsidR="00671E51" w:rsidRPr="00B21CCC" w:rsidRDefault="00671E51" w:rsidP="000B660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453C4FEA" w14:textId="77777777" w:rsidTr="000B6604">
      <w:trPr>
        <w:trHeight w:val="620"/>
      </w:trPr>
      <w:tc>
        <w:tcPr>
          <w:tcW w:w="7596" w:type="dxa"/>
          <w:tcMar>
            <w:right w:w="72" w:type="dxa"/>
          </w:tcMar>
          <w:vAlign w:val="bottom"/>
        </w:tcPr>
        <w:p w14:paraId="1C5C2A24"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16C957DC"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35D2984E" w14:textId="77777777" w:rsidR="00671E51" w:rsidRPr="00B21CCC" w:rsidRDefault="00671E51" w:rsidP="000B6604">
    <w:pPr>
      <w:pStyle w:val="Footer"/>
    </w:pPr>
  </w:p>
  <w:p w14:paraId="6B29A912" w14:textId="77777777" w:rsidR="00671E51" w:rsidRDefault="00671E51"/>
  <w:p w14:paraId="38481558" w14:textId="77777777" w:rsidR="00671E51" w:rsidRDefault="00671E51"/>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62727126" w14:textId="77777777" w:rsidTr="000B6604">
      <w:trPr>
        <w:trHeight w:val="620"/>
      </w:trPr>
      <w:tc>
        <w:tcPr>
          <w:tcW w:w="7596" w:type="dxa"/>
          <w:tcMar>
            <w:right w:w="72" w:type="dxa"/>
          </w:tcMar>
          <w:vAlign w:val="bottom"/>
        </w:tcPr>
        <w:p w14:paraId="69022076" w14:textId="77777777" w:rsidR="00671E51" w:rsidRDefault="00DA6AE4" w:rsidP="000B6604">
          <w:pPr>
            <w:pStyle w:val="FooterText"/>
            <w:numPr>
              <w:ilvl w:val="1"/>
              <w:numId w:val="0"/>
            </w:numPr>
            <w:ind w:left="240" w:hanging="240"/>
            <w:contextualSpacing/>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11A42D81" w14:textId="77777777" w:rsidR="00671E51" w:rsidRDefault="00671E51" w:rsidP="000B6604">
          <w:pPr>
            <w:pStyle w:val="pageNumber"/>
            <w:numPr>
              <w:ilvl w:val="1"/>
              <w:numId w:val="0"/>
            </w:numPr>
            <w:ind w:left="240" w:hanging="240"/>
            <w:contextualSpacing/>
          </w:pPr>
          <w:r>
            <w:fldChar w:fldCharType="begin"/>
          </w:r>
          <w:r>
            <w:instrText xml:space="preserve"> PAGE   \* MERGEFORMAT </w:instrText>
          </w:r>
          <w:r>
            <w:fldChar w:fldCharType="separate"/>
          </w:r>
          <w:r>
            <w:rPr>
              <w:noProof/>
            </w:rPr>
            <w:t>1</w:t>
          </w:r>
          <w:r>
            <w:fldChar w:fldCharType="end"/>
          </w:r>
        </w:p>
      </w:tc>
    </w:tr>
  </w:tbl>
  <w:p w14:paraId="5B6B9CFD" w14:textId="77777777" w:rsidR="00671E51" w:rsidRPr="00B21CCC" w:rsidRDefault="00671E51" w:rsidP="000B6604">
    <w:pPr>
      <w:pStyle w:val="Footer"/>
    </w:pPr>
  </w:p>
  <w:p w14:paraId="4A727C1D" w14:textId="77777777" w:rsidR="00671E51" w:rsidRDefault="00671E51"/>
  <w:p w14:paraId="25103516" w14:textId="77777777" w:rsidR="00671E51" w:rsidRDefault="00671E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BE666" w14:textId="77777777" w:rsidR="00671E51" w:rsidRDefault="00671E5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31CA6944" w14:textId="77777777" w:rsidTr="000B6604">
      <w:trPr>
        <w:trHeight w:val="620"/>
      </w:trPr>
      <w:tc>
        <w:tcPr>
          <w:tcW w:w="7368" w:type="dxa"/>
          <w:tcMar>
            <w:right w:w="72" w:type="dxa"/>
          </w:tcMar>
          <w:vAlign w:val="bottom"/>
        </w:tcPr>
        <w:p w14:paraId="6D271BCE" w14:textId="77777777" w:rsidR="00671E51" w:rsidRDefault="00DA6AE4" w:rsidP="000B6604">
          <w:pPr>
            <w:pStyle w:val="FooterText"/>
            <w:numPr>
              <w:ilvl w:val="1"/>
              <w:numId w:val="0"/>
            </w:numPr>
            <w:ind w:left="240" w:hanging="240"/>
            <w:contextualSpacing/>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10629A69" w14:textId="77777777" w:rsidR="00671E51" w:rsidRDefault="00671E51" w:rsidP="000B6604">
          <w:pPr>
            <w:pStyle w:val="pageNumber"/>
            <w:numPr>
              <w:ilvl w:val="1"/>
              <w:numId w:val="0"/>
            </w:numPr>
            <w:ind w:left="240" w:hanging="240"/>
            <w:contextualSpacing/>
          </w:pPr>
          <w:r>
            <w:fldChar w:fldCharType="begin"/>
          </w:r>
          <w:r>
            <w:instrText xml:space="preserve"> PAGE   \* MERGEFORMAT </w:instrText>
          </w:r>
          <w:r>
            <w:fldChar w:fldCharType="separate"/>
          </w:r>
          <w:r w:rsidR="00DA6AE4">
            <w:rPr>
              <w:noProof/>
            </w:rPr>
            <w:t>8</w:t>
          </w:r>
          <w:r>
            <w:fldChar w:fldCharType="end"/>
          </w:r>
        </w:p>
      </w:tc>
    </w:tr>
  </w:tbl>
  <w:p w14:paraId="3D35153E" w14:textId="77777777" w:rsidR="00671E51" w:rsidRPr="00B21CCC" w:rsidRDefault="00671E51" w:rsidP="000B660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7DB98C75" w14:textId="77777777" w:rsidTr="000B6604">
      <w:trPr>
        <w:trHeight w:val="620"/>
      </w:trPr>
      <w:tc>
        <w:tcPr>
          <w:tcW w:w="7596" w:type="dxa"/>
          <w:tcMar>
            <w:right w:w="72" w:type="dxa"/>
          </w:tcMar>
          <w:vAlign w:val="bottom"/>
        </w:tcPr>
        <w:p w14:paraId="66FAE0F2" w14:textId="77777777" w:rsidR="00671E51" w:rsidRDefault="00DA6AE4" w:rsidP="000B6604">
          <w:pPr>
            <w:pStyle w:val="FooterText"/>
            <w:numPr>
              <w:ilvl w:val="1"/>
              <w:numId w:val="0"/>
            </w:numPr>
            <w:ind w:left="240" w:hanging="240"/>
            <w:contextualSpacing/>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41949F8C" w14:textId="77777777" w:rsidR="00671E51" w:rsidRDefault="00671E51" w:rsidP="000B6604">
          <w:pPr>
            <w:pStyle w:val="pageNumber"/>
            <w:numPr>
              <w:ilvl w:val="1"/>
              <w:numId w:val="0"/>
            </w:numPr>
            <w:ind w:left="240" w:hanging="240"/>
            <w:contextualSpacing/>
          </w:pPr>
          <w:r>
            <w:fldChar w:fldCharType="begin"/>
          </w:r>
          <w:r>
            <w:instrText xml:space="preserve"> PAGE   \* MERGEFORMAT </w:instrText>
          </w:r>
          <w:r>
            <w:fldChar w:fldCharType="separate"/>
          </w:r>
          <w:r>
            <w:rPr>
              <w:noProof/>
            </w:rPr>
            <w:t>1</w:t>
          </w:r>
          <w:r>
            <w:fldChar w:fldCharType="end"/>
          </w:r>
        </w:p>
      </w:tc>
    </w:tr>
  </w:tbl>
  <w:p w14:paraId="524E5319" w14:textId="77777777" w:rsidR="00671E51" w:rsidRPr="00B21CCC" w:rsidRDefault="00671E51" w:rsidP="000B6604">
    <w:pPr>
      <w:pStyle w:val="Footer"/>
    </w:pPr>
  </w:p>
  <w:p w14:paraId="21D6C3D2" w14:textId="77777777" w:rsidR="00671E51" w:rsidRDefault="00671E51"/>
  <w:p w14:paraId="47230BAE" w14:textId="77777777" w:rsidR="00671E51" w:rsidRDefault="00671E5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671E51" w14:paraId="6CE02792" w14:textId="77777777" w:rsidTr="000B6604">
      <w:trPr>
        <w:trHeight w:val="620"/>
      </w:trPr>
      <w:tc>
        <w:tcPr>
          <w:tcW w:w="12300" w:type="dxa"/>
          <w:tcMar>
            <w:right w:w="72" w:type="dxa"/>
          </w:tcMar>
          <w:vAlign w:val="bottom"/>
        </w:tcPr>
        <w:p w14:paraId="20B9C7BE" w14:textId="77777777" w:rsidR="00671E51" w:rsidRDefault="00DA6AE4" w:rsidP="000B6604">
          <w:pPr>
            <w:pStyle w:val="FooterText"/>
            <w:numPr>
              <w:ilvl w:val="1"/>
              <w:numId w:val="0"/>
            </w:numPr>
            <w:ind w:left="240" w:hanging="240"/>
            <w:contextualSpacing/>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800" w:type="dxa"/>
          <w:vAlign w:val="bottom"/>
        </w:tcPr>
        <w:p w14:paraId="12309566" w14:textId="77777777" w:rsidR="00671E51" w:rsidRDefault="00671E51" w:rsidP="000B6604">
          <w:pPr>
            <w:pStyle w:val="pageNumber"/>
            <w:numPr>
              <w:ilvl w:val="1"/>
              <w:numId w:val="0"/>
            </w:numPr>
            <w:ind w:left="240" w:hanging="240"/>
            <w:contextualSpacing/>
          </w:pPr>
          <w:r>
            <w:fldChar w:fldCharType="begin"/>
          </w:r>
          <w:r>
            <w:instrText xml:space="preserve"> PAGE   \* MERGEFORMAT </w:instrText>
          </w:r>
          <w:r>
            <w:fldChar w:fldCharType="separate"/>
          </w:r>
          <w:r>
            <w:rPr>
              <w:noProof/>
            </w:rPr>
            <w:t>1</w:t>
          </w:r>
          <w:r>
            <w:fldChar w:fldCharType="end"/>
          </w:r>
        </w:p>
      </w:tc>
    </w:tr>
  </w:tbl>
  <w:p w14:paraId="6E5AEABF" w14:textId="77777777" w:rsidR="00671E51" w:rsidRPr="003961FB" w:rsidRDefault="00671E51" w:rsidP="000B660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671E51" w14:paraId="2CC49B6A" w14:textId="77777777" w:rsidTr="000B6604">
      <w:trPr>
        <w:trHeight w:val="620"/>
      </w:trPr>
      <w:tc>
        <w:tcPr>
          <w:tcW w:w="12300" w:type="dxa"/>
          <w:tcMar>
            <w:right w:w="72" w:type="dxa"/>
          </w:tcMar>
          <w:vAlign w:val="bottom"/>
        </w:tcPr>
        <w:p w14:paraId="7EAA0A80" w14:textId="77777777" w:rsidR="00671E51" w:rsidRDefault="00DA6AE4" w:rsidP="000B6604">
          <w:pPr>
            <w:pStyle w:val="FooterText"/>
            <w:numPr>
              <w:ilvl w:val="1"/>
              <w:numId w:val="0"/>
            </w:numPr>
            <w:ind w:left="240" w:hanging="240"/>
            <w:contextualSpacing/>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5C61BE0B" w14:textId="77777777" w:rsidR="00671E51" w:rsidRDefault="00671E51" w:rsidP="000B6604">
          <w:pPr>
            <w:pStyle w:val="pageNumber"/>
            <w:numPr>
              <w:ilvl w:val="1"/>
              <w:numId w:val="0"/>
            </w:numPr>
            <w:ind w:left="240" w:hanging="240"/>
            <w:contextualSpacing/>
          </w:pPr>
          <w:r>
            <w:fldChar w:fldCharType="begin"/>
          </w:r>
          <w:r>
            <w:instrText xml:space="preserve"> PAGE   \* MERGEFORMAT </w:instrText>
          </w:r>
          <w:r>
            <w:fldChar w:fldCharType="separate"/>
          </w:r>
          <w:r w:rsidR="00DA6AE4">
            <w:rPr>
              <w:noProof/>
            </w:rPr>
            <w:t>9</w:t>
          </w:r>
          <w:r>
            <w:fldChar w:fldCharType="end"/>
          </w:r>
        </w:p>
      </w:tc>
    </w:tr>
  </w:tbl>
  <w:p w14:paraId="0D8B0F2C" w14:textId="77777777" w:rsidR="00671E51" w:rsidRPr="003961FB" w:rsidRDefault="00671E51" w:rsidP="000B6604">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671E51" w14:paraId="4F1C7361" w14:textId="77777777" w:rsidTr="000B6604">
      <w:trPr>
        <w:trHeight w:val="620"/>
      </w:trPr>
      <w:tc>
        <w:tcPr>
          <w:tcW w:w="12300" w:type="dxa"/>
          <w:tcMar>
            <w:right w:w="72" w:type="dxa"/>
          </w:tcMar>
          <w:vAlign w:val="bottom"/>
        </w:tcPr>
        <w:p w14:paraId="407805C9" w14:textId="77777777" w:rsidR="00671E51" w:rsidRDefault="00DA6AE4" w:rsidP="000B6604">
          <w:pPr>
            <w:pStyle w:val="FooterText"/>
            <w:numPr>
              <w:ilvl w:val="1"/>
              <w:numId w:val="0"/>
            </w:numPr>
            <w:ind w:left="240" w:hanging="240"/>
            <w:contextualSpacing/>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800" w:type="dxa"/>
          <w:vAlign w:val="bottom"/>
        </w:tcPr>
        <w:p w14:paraId="5782C716" w14:textId="77777777" w:rsidR="00671E51" w:rsidRDefault="00671E51" w:rsidP="000B6604">
          <w:pPr>
            <w:pStyle w:val="pageNumber"/>
            <w:numPr>
              <w:ilvl w:val="1"/>
              <w:numId w:val="0"/>
            </w:numPr>
            <w:ind w:left="240" w:hanging="240"/>
            <w:contextualSpacing/>
          </w:pPr>
          <w:r>
            <w:fldChar w:fldCharType="begin"/>
          </w:r>
          <w:r>
            <w:instrText xml:space="preserve"> PAGE   \* MERGEFORMAT </w:instrText>
          </w:r>
          <w:r>
            <w:fldChar w:fldCharType="separate"/>
          </w:r>
          <w:r>
            <w:rPr>
              <w:noProof/>
            </w:rPr>
            <w:t>1</w:t>
          </w:r>
          <w:r>
            <w:fldChar w:fldCharType="end"/>
          </w:r>
        </w:p>
      </w:tc>
    </w:tr>
  </w:tbl>
  <w:p w14:paraId="118328A8" w14:textId="77777777" w:rsidR="00671E51" w:rsidRPr="003961FB" w:rsidRDefault="00671E51" w:rsidP="000B660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775FD56B" w14:textId="77777777" w:rsidTr="000B6604">
      <w:trPr>
        <w:trHeight w:val="620"/>
      </w:trPr>
      <w:tc>
        <w:tcPr>
          <w:tcW w:w="7596" w:type="dxa"/>
          <w:tcMar>
            <w:right w:w="72" w:type="dxa"/>
          </w:tcMar>
          <w:vAlign w:val="bottom"/>
        </w:tcPr>
        <w:p w14:paraId="598CE41E"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0D1846C6"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328B729E" w14:textId="77777777" w:rsidR="00671E51" w:rsidRPr="00B21CCC" w:rsidRDefault="00671E51" w:rsidP="000B6604">
    <w:pPr>
      <w:pStyle w:val="Footer"/>
    </w:pPr>
  </w:p>
  <w:p w14:paraId="2AB8DDE8" w14:textId="77777777" w:rsidR="00671E51" w:rsidRDefault="00671E51"/>
  <w:p w14:paraId="1125E434" w14:textId="77777777" w:rsidR="00671E51" w:rsidRDefault="00671E51"/>
  <w:p w14:paraId="75B046F9" w14:textId="77777777" w:rsidR="00671E51" w:rsidRDefault="00671E51"/>
  <w:p w14:paraId="069FC57B" w14:textId="77777777" w:rsidR="00671E51" w:rsidRDefault="00671E51"/>
  <w:p w14:paraId="3A67BF73" w14:textId="77777777" w:rsidR="00671E51" w:rsidRDefault="00671E51"/>
  <w:p w14:paraId="3928685C" w14:textId="77777777" w:rsidR="00671E51" w:rsidRDefault="00671E5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072A0DE2" w14:textId="77777777" w:rsidTr="000B6604">
      <w:trPr>
        <w:trHeight w:val="620"/>
      </w:trPr>
      <w:tc>
        <w:tcPr>
          <w:tcW w:w="7368" w:type="dxa"/>
          <w:tcMar>
            <w:right w:w="72" w:type="dxa"/>
          </w:tcMar>
          <w:vAlign w:val="bottom"/>
        </w:tcPr>
        <w:p w14:paraId="75F11AE6"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3DA1E70F" w14:textId="77777777" w:rsidR="00671E51" w:rsidRDefault="00671E51" w:rsidP="000B6604">
          <w:pPr>
            <w:pStyle w:val="pageNumber"/>
          </w:pPr>
          <w:r>
            <w:fldChar w:fldCharType="begin"/>
          </w:r>
          <w:r>
            <w:instrText xml:space="preserve"> PAGE   \* MERGEFORMAT </w:instrText>
          </w:r>
          <w:r>
            <w:fldChar w:fldCharType="separate"/>
          </w:r>
          <w:r w:rsidR="00DA6AE4">
            <w:rPr>
              <w:noProof/>
            </w:rPr>
            <w:t>11</w:t>
          </w:r>
          <w:r>
            <w:fldChar w:fldCharType="end"/>
          </w:r>
        </w:p>
      </w:tc>
    </w:tr>
  </w:tbl>
  <w:p w14:paraId="73634C00" w14:textId="77777777" w:rsidR="00671E51" w:rsidRPr="00B21CCC" w:rsidRDefault="00671E51" w:rsidP="000B6604">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5202A96E" w14:textId="77777777" w:rsidTr="000B6604">
      <w:trPr>
        <w:trHeight w:val="620"/>
      </w:trPr>
      <w:tc>
        <w:tcPr>
          <w:tcW w:w="7596" w:type="dxa"/>
          <w:tcMar>
            <w:right w:w="72" w:type="dxa"/>
          </w:tcMar>
          <w:vAlign w:val="bottom"/>
        </w:tcPr>
        <w:p w14:paraId="7618FA23"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3740F4F8"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4B2ACAE9" w14:textId="77777777" w:rsidR="00671E51" w:rsidRPr="00B21CCC" w:rsidRDefault="00671E51" w:rsidP="000B6604">
    <w:pPr>
      <w:pStyle w:val="Footer"/>
    </w:pPr>
  </w:p>
  <w:p w14:paraId="43B72057" w14:textId="77777777" w:rsidR="00671E51" w:rsidRDefault="00671E51"/>
  <w:p w14:paraId="63607F52" w14:textId="77777777" w:rsidR="00671E51" w:rsidRDefault="00671E51"/>
  <w:p w14:paraId="08016534" w14:textId="77777777" w:rsidR="00671E51" w:rsidRDefault="00671E51"/>
  <w:p w14:paraId="38942B65" w14:textId="77777777" w:rsidR="00671E51" w:rsidRDefault="00671E51"/>
  <w:p w14:paraId="2751A1AD" w14:textId="77777777" w:rsidR="00671E51" w:rsidRDefault="00671E51"/>
  <w:p w14:paraId="01B4377A" w14:textId="77777777" w:rsidR="00671E51" w:rsidRDefault="00671E51"/>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41B3E9BA" w14:textId="77777777" w:rsidTr="000B6604">
      <w:trPr>
        <w:trHeight w:val="620"/>
      </w:trPr>
      <w:tc>
        <w:tcPr>
          <w:tcW w:w="7596" w:type="dxa"/>
          <w:tcMar>
            <w:right w:w="72" w:type="dxa"/>
          </w:tcMar>
          <w:vAlign w:val="bottom"/>
        </w:tcPr>
        <w:p w14:paraId="63886DFE"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03F0A343"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2E1A5ABD" w14:textId="77777777" w:rsidR="00671E51" w:rsidRPr="00B21CCC" w:rsidRDefault="00671E51" w:rsidP="000B6604">
    <w:pPr>
      <w:pStyle w:val="Footer"/>
    </w:pPr>
  </w:p>
  <w:p w14:paraId="4417DA27" w14:textId="77777777" w:rsidR="00671E51" w:rsidRDefault="00671E51"/>
  <w:p w14:paraId="6218EDAC" w14:textId="77777777" w:rsidR="00671E51" w:rsidRDefault="00671E51"/>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42B588BF" w14:textId="77777777" w:rsidTr="000B6604">
      <w:trPr>
        <w:trHeight w:val="620"/>
      </w:trPr>
      <w:tc>
        <w:tcPr>
          <w:tcW w:w="7368" w:type="dxa"/>
          <w:tcMar>
            <w:right w:w="72" w:type="dxa"/>
          </w:tcMar>
          <w:vAlign w:val="bottom"/>
        </w:tcPr>
        <w:p w14:paraId="74AE6856"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61E5A9F2" w14:textId="77777777" w:rsidR="00671E51" w:rsidRDefault="00671E51" w:rsidP="000B6604">
          <w:pPr>
            <w:pStyle w:val="pageNumber"/>
          </w:pPr>
          <w:r>
            <w:fldChar w:fldCharType="begin"/>
          </w:r>
          <w:r>
            <w:instrText xml:space="preserve"> PAGE   \* MERGEFORMAT </w:instrText>
          </w:r>
          <w:r>
            <w:fldChar w:fldCharType="separate"/>
          </w:r>
          <w:r w:rsidR="00DA6AE4">
            <w:rPr>
              <w:noProof/>
            </w:rPr>
            <w:t>29</w:t>
          </w:r>
          <w:r>
            <w:fldChar w:fldCharType="end"/>
          </w:r>
        </w:p>
      </w:tc>
    </w:tr>
  </w:tbl>
  <w:p w14:paraId="494BED70" w14:textId="77777777" w:rsidR="00671E51" w:rsidRPr="00B21CCC" w:rsidRDefault="00671E51" w:rsidP="000B66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48E04C65" w14:textId="77777777" w:rsidTr="00425AFC">
      <w:trPr>
        <w:trHeight w:val="620"/>
      </w:trPr>
      <w:tc>
        <w:tcPr>
          <w:tcW w:w="7596" w:type="dxa"/>
          <w:shd w:val="clear" w:color="auto" w:fill="auto"/>
          <w:tcMar>
            <w:right w:w="72" w:type="dxa"/>
          </w:tcMar>
          <w:vAlign w:val="bottom"/>
        </w:tcPr>
        <w:p w14:paraId="120193F4" w14:textId="77777777" w:rsidR="00671E51" w:rsidRDefault="00DA6AE4" w:rsidP="00425AFC">
          <w:pPr>
            <w:pStyle w:val="FooterText"/>
          </w:pPr>
          <w:r>
            <w:fldChar w:fldCharType="begin"/>
          </w:r>
          <w:r>
            <w:instrText xml:space="preserve"> STYLEREF  "Cp Title"  \* MERGEFORMAT </w:instrText>
          </w:r>
          <w:r>
            <w:fldChar w:fldCharType="separate"/>
          </w:r>
          <w:r w:rsidR="0064083A" w:rsidRPr="0064083A">
            <w:rPr>
              <w:b/>
              <w:bCs/>
              <w:noProof/>
            </w:rPr>
            <w:t>EVALUATION OF THE HEPPP</w:t>
          </w:r>
          <w:r>
            <w:rPr>
              <w:b/>
              <w:bCs/>
              <w:noProof/>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rPr>
            <w:t>HIGHER EDUCATION PARTICIPATION AND PARTNERSHIPS</w:t>
          </w:r>
          <w:r w:rsidR="0064083A">
            <w:rPr>
              <w:noProof/>
            </w:rPr>
            <w:t xml:space="preserve"> PROGRAM</w:t>
          </w:r>
          <w:r>
            <w:rPr>
              <w:noProof/>
            </w:rPr>
            <w:fldChar w:fldCharType="end"/>
          </w:r>
        </w:p>
      </w:tc>
      <w:tc>
        <w:tcPr>
          <w:tcW w:w="570" w:type="dxa"/>
          <w:shd w:val="clear" w:color="auto" w:fill="auto"/>
          <w:vAlign w:val="bottom"/>
        </w:tcPr>
        <w:p w14:paraId="6195BF7F" w14:textId="77777777" w:rsidR="00671E51" w:rsidRDefault="00671E51" w:rsidP="00425AFC">
          <w:pPr>
            <w:pStyle w:val="pageNumber"/>
          </w:pPr>
          <w:r>
            <w:fldChar w:fldCharType="begin"/>
          </w:r>
          <w:r>
            <w:instrText xml:space="preserve"> PAGE   \* MERGEFORMAT </w:instrText>
          </w:r>
          <w:r>
            <w:fldChar w:fldCharType="separate"/>
          </w:r>
          <w:r>
            <w:rPr>
              <w:noProof/>
            </w:rPr>
            <w:t>1</w:t>
          </w:r>
          <w:r>
            <w:rPr>
              <w:noProof/>
            </w:rPr>
            <w:fldChar w:fldCharType="end"/>
          </w:r>
        </w:p>
      </w:tc>
    </w:tr>
  </w:tbl>
  <w:p w14:paraId="5FDF8FB0" w14:textId="77777777" w:rsidR="00671E51" w:rsidRPr="00B21CCC" w:rsidRDefault="00671E51" w:rsidP="00425AFC">
    <w:pPr>
      <w:pStyle w:val="Footer"/>
    </w:pPr>
  </w:p>
  <w:p w14:paraId="1E983A57" w14:textId="77777777" w:rsidR="00671E51" w:rsidRDefault="00671E51"/>
  <w:p w14:paraId="5102E88E" w14:textId="77777777" w:rsidR="00671E51" w:rsidRDefault="00671E51"/>
  <w:p w14:paraId="77A07E54" w14:textId="77777777" w:rsidR="00671E51" w:rsidRDefault="00671E51"/>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1EE2EB38" w14:textId="77777777" w:rsidTr="000B6604">
      <w:trPr>
        <w:trHeight w:val="620"/>
      </w:trPr>
      <w:tc>
        <w:tcPr>
          <w:tcW w:w="7596" w:type="dxa"/>
          <w:tcMar>
            <w:right w:w="72" w:type="dxa"/>
          </w:tcMar>
          <w:vAlign w:val="bottom"/>
        </w:tcPr>
        <w:p w14:paraId="73FC42BC"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2F9915B7"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02667FBD" w14:textId="77777777" w:rsidR="00671E51" w:rsidRPr="00B21CCC" w:rsidRDefault="00671E51" w:rsidP="000B6604">
    <w:pPr>
      <w:pStyle w:val="Footer"/>
    </w:pPr>
  </w:p>
  <w:p w14:paraId="313F3893" w14:textId="77777777" w:rsidR="00671E51" w:rsidRDefault="00671E51"/>
  <w:p w14:paraId="616A1ABF" w14:textId="77777777" w:rsidR="00671E51" w:rsidRDefault="00671E51"/>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5E29B7BE" w14:textId="77777777" w:rsidTr="000B6604">
      <w:trPr>
        <w:trHeight w:val="620"/>
      </w:trPr>
      <w:tc>
        <w:tcPr>
          <w:tcW w:w="7596" w:type="dxa"/>
          <w:tcMar>
            <w:right w:w="72" w:type="dxa"/>
          </w:tcMar>
          <w:vAlign w:val="bottom"/>
        </w:tcPr>
        <w:p w14:paraId="2DA5AECB"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482F6B07"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017AE9D1" w14:textId="77777777" w:rsidR="00671E51" w:rsidRPr="00B21CCC" w:rsidRDefault="00671E51" w:rsidP="000B6604">
    <w:pPr>
      <w:pStyle w:val="Footer"/>
    </w:pPr>
  </w:p>
  <w:p w14:paraId="636898B7" w14:textId="77777777" w:rsidR="00671E51" w:rsidRDefault="00671E51"/>
  <w:p w14:paraId="3EB7A19D" w14:textId="77777777" w:rsidR="00671E51" w:rsidRDefault="00671E51"/>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75BD9B76" w14:textId="77777777" w:rsidTr="000B6604">
      <w:trPr>
        <w:trHeight w:val="620"/>
      </w:trPr>
      <w:tc>
        <w:tcPr>
          <w:tcW w:w="7368" w:type="dxa"/>
          <w:tcMar>
            <w:right w:w="72" w:type="dxa"/>
          </w:tcMar>
          <w:vAlign w:val="bottom"/>
        </w:tcPr>
        <w:p w14:paraId="4A9BE3F9"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59859BFA" w14:textId="77777777" w:rsidR="00671E51" w:rsidRDefault="00671E51" w:rsidP="000B6604">
          <w:pPr>
            <w:pStyle w:val="pageNumber"/>
          </w:pPr>
          <w:r>
            <w:fldChar w:fldCharType="begin"/>
          </w:r>
          <w:r>
            <w:instrText xml:space="preserve"> PAGE   \* MERGEFORMAT </w:instrText>
          </w:r>
          <w:r>
            <w:fldChar w:fldCharType="separate"/>
          </w:r>
          <w:r w:rsidR="00DA6AE4">
            <w:rPr>
              <w:noProof/>
            </w:rPr>
            <w:t>41</w:t>
          </w:r>
          <w:r>
            <w:fldChar w:fldCharType="end"/>
          </w:r>
        </w:p>
      </w:tc>
    </w:tr>
  </w:tbl>
  <w:p w14:paraId="0601EF50" w14:textId="77777777" w:rsidR="00671E51" w:rsidRPr="00B21CCC" w:rsidRDefault="00671E51" w:rsidP="000B6604">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3B5A5930" w14:textId="77777777" w:rsidTr="000B6604">
      <w:trPr>
        <w:trHeight w:val="620"/>
      </w:trPr>
      <w:tc>
        <w:tcPr>
          <w:tcW w:w="7596" w:type="dxa"/>
          <w:tcMar>
            <w:right w:w="72" w:type="dxa"/>
          </w:tcMar>
          <w:vAlign w:val="bottom"/>
        </w:tcPr>
        <w:p w14:paraId="139B017E"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3C950129"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141C515E" w14:textId="77777777" w:rsidR="00671E51" w:rsidRPr="00B21CCC" w:rsidRDefault="00671E51" w:rsidP="000B6604">
    <w:pPr>
      <w:pStyle w:val="Footer"/>
    </w:pPr>
  </w:p>
  <w:p w14:paraId="1D6A4F34" w14:textId="77777777" w:rsidR="00671E51" w:rsidRDefault="00671E51"/>
  <w:p w14:paraId="126D3F62" w14:textId="77777777" w:rsidR="00671E51" w:rsidRDefault="00671E51"/>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6FA1455A" w14:textId="77777777" w:rsidTr="000B6604">
      <w:trPr>
        <w:trHeight w:val="620"/>
      </w:trPr>
      <w:tc>
        <w:tcPr>
          <w:tcW w:w="7596" w:type="dxa"/>
          <w:tcMar>
            <w:right w:w="72" w:type="dxa"/>
          </w:tcMar>
          <w:vAlign w:val="bottom"/>
        </w:tcPr>
        <w:p w14:paraId="67D35C97"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3293EABE"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18EE6EBB" w14:textId="77777777" w:rsidR="00671E51" w:rsidRPr="00B21CCC" w:rsidRDefault="00671E51" w:rsidP="000B6604">
    <w:pPr>
      <w:pStyle w:val="Footer"/>
    </w:pPr>
  </w:p>
  <w:p w14:paraId="0E1AB81B" w14:textId="77777777" w:rsidR="00671E51" w:rsidRDefault="00671E51"/>
  <w:p w14:paraId="321591D1" w14:textId="77777777" w:rsidR="00671E51" w:rsidRDefault="00671E51"/>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3595D1F9" w14:textId="77777777" w:rsidTr="000B6604">
      <w:trPr>
        <w:trHeight w:val="620"/>
      </w:trPr>
      <w:tc>
        <w:tcPr>
          <w:tcW w:w="7368" w:type="dxa"/>
          <w:tcMar>
            <w:right w:w="72" w:type="dxa"/>
          </w:tcMar>
          <w:vAlign w:val="bottom"/>
        </w:tcPr>
        <w:p w14:paraId="73DC082B"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5B325939" w14:textId="77777777" w:rsidR="00671E51" w:rsidRDefault="00671E51" w:rsidP="000B6604">
          <w:pPr>
            <w:pStyle w:val="pageNumber"/>
          </w:pPr>
          <w:r>
            <w:fldChar w:fldCharType="begin"/>
          </w:r>
          <w:r>
            <w:instrText xml:space="preserve"> PAGE   \* MERGEFORMAT </w:instrText>
          </w:r>
          <w:r>
            <w:fldChar w:fldCharType="separate"/>
          </w:r>
          <w:r w:rsidR="00DA6AE4">
            <w:rPr>
              <w:noProof/>
            </w:rPr>
            <w:t>42</w:t>
          </w:r>
          <w:r>
            <w:fldChar w:fldCharType="end"/>
          </w:r>
        </w:p>
      </w:tc>
    </w:tr>
  </w:tbl>
  <w:p w14:paraId="4FA5175F" w14:textId="77777777" w:rsidR="00671E51" w:rsidRPr="00B21CCC" w:rsidRDefault="00671E51" w:rsidP="000B6604">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20AFA143" w14:textId="77777777" w:rsidTr="000B6604">
      <w:trPr>
        <w:trHeight w:val="620"/>
      </w:trPr>
      <w:tc>
        <w:tcPr>
          <w:tcW w:w="7596" w:type="dxa"/>
          <w:tcMar>
            <w:right w:w="72" w:type="dxa"/>
          </w:tcMar>
          <w:vAlign w:val="bottom"/>
        </w:tcPr>
        <w:p w14:paraId="71BB3790"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364F7105"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0CCA5605" w14:textId="77777777" w:rsidR="00671E51" w:rsidRPr="00B21CCC" w:rsidRDefault="00671E51" w:rsidP="000B6604">
    <w:pPr>
      <w:pStyle w:val="Footer"/>
    </w:pPr>
  </w:p>
  <w:p w14:paraId="4952A6A7" w14:textId="77777777" w:rsidR="00671E51" w:rsidRDefault="00671E51"/>
  <w:p w14:paraId="02D02E49" w14:textId="77777777" w:rsidR="00671E51" w:rsidRDefault="00671E51"/>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6F73200F" w14:textId="77777777" w:rsidTr="000B6604">
      <w:trPr>
        <w:trHeight w:val="620"/>
      </w:trPr>
      <w:tc>
        <w:tcPr>
          <w:tcW w:w="7596" w:type="dxa"/>
          <w:tcMar>
            <w:right w:w="72" w:type="dxa"/>
          </w:tcMar>
          <w:vAlign w:val="bottom"/>
        </w:tcPr>
        <w:p w14:paraId="7920651F"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6AD4594F"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2EA1E31A" w14:textId="77777777" w:rsidR="00671E51" w:rsidRPr="00B21CCC" w:rsidRDefault="00671E51" w:rsidP="000B6604">
    <w:pPr>
      <w:pStyle w:val="Footer"/>
    </w:pPr>
  </w:p>
  <w:p w14:paraId="13921578" w14:textId="77777777" w:rsidR="00671E51" w:rsidRDefault="00671E51"/>
  <w:p w14:paraId="664E58D6" w14:textId="77777777" w:rsidR="00671E51" w:rsidRDefault="00671E51"/>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6B3D59A3" w14:textId="77777777" w:rsidTr="000B6604">
      <w:trPr>
        <w:trHeight w:val="620"/>
      </w:trPr>
      <w:tc>
        <w:tcPr>
          <w:tcW w:w="7368" w:type="dxa"/>
          <w:tcMar>
            <w:right w:w="72" w:type="dxa"/>
          </w:tcMar>
          <w:vAlign w:val="bottom"/>
        </w:tcPr>
        <w:p w14:paraId="780B1A36"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5CF983AD" w14:textId="77777777" w:rsidR="00671E51" w:rsidRDefault="00671E51" w:rsidP="000B6604">
          <w:pPr>
            <w:pStyle w:val="pageNumber"/>
          </w:pPr>
          <w:r>
            <w:fldChar w:fldCharType="begin"/>
          </w:r>
          <w:r>
            <w:instrText xml:space="preserve"> PAGE   \* MERGEFORMAT </w:instrText>
          </w:r>
          <w:r>
            <w:fldChar w:fldCharType="separate"/>
          </w:r>
          <w:r w:rsidR="00DA6AE4">
            <w:rPr>
              <w:noProof/>
            </w:rPr>
            <w:t>60</w:t>
          </w:r>
          <w:r>
            <w:fldChar w:fldCharType="end"/>
          </w:r>
        </w:p>
      </w:tc>
    </w:tr>
  </w:tbl>
  <w:p w14:paraId="2BA4C198" w14:textId="77777777" w:rsidR="00671E51" w:rsidRPr="00B21CCC" w:rsidRDefault="00671E51" w:rsidP="000B6604">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20F4D57A" w14:textId="77777777" w:rsidTr="000B6604">
      <w:trPr>
        <w:trHeight w:val="620"/>
      </w:trPr>
      <w:tc>
        <w:tcPr>
          <w:tcW w:w="7596" w:type="dxa"/>
          <w:tcMar>
            <w:right w:w="72" w:type="dxa"/>
          </w:tcMar>
          <w:vAlign w:val="bottom"/>
        </w:tcPr>
        <w:p w14:paraId="6546B72D"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64EE31AE"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6BAE670F" w14:textId="77777777" w:rsidR="00671E51" w:rsidRPr="00B21CCC" w:rsidRDefault="00671E51" w:rsidP="000B6604">
    <w:pPr>
      <w:pStyle w:val="Footer"/>
    </w:pPr>
  </w:p>
  <w:p w14:paraId="1CB49E11" w14:textId="77777777" w:rsidR="00671E51" w:rsidRDefault="00671E51"/>
  <w:p w14:paraId="5820B024" w14:textId="77777777" w:rsidR="00671E51" w:rsidRDefault="00671E5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AF418" w14:textId="77777777" w:rsidR="00671E51" w:rsidRDefault="00671E51">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3B8D62C9" w14:textId="77777777" w:rsidTr="000B6604">
      <w:trPr>
        <w:trHeight w:val="620"/>
      </w:trPr>
      <w:tc>
        <w:tcPr>
          <w:tcW w:w="7596" w:type="dxa"/>
          <w:tcMar>
            <w:right w:w="72" w:type="dxa"/>
          </w:tcMar>
          <w:vAlign w:val="bottom"/>
        </w:tcPr>
        <w:p w14:paraId="6FC8B0E5"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013724DA"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3A139D93" w14:textId="77777777" w:rsidR="00671E51" w:rsidRPr="00B21CCC" w:rsidRDefault="00671E51" w:rsidP="000B6604">
    <w:pPr>
      <w:pStyle w:val="Footer"/>
    </w:pPr>
  </w:p>
  <w:p w14:paraId="1D90EC91" w14:textId="77777777" w:rsidR="00671E51" w:rsidRDefault="00671E51"/>
  <w:p w14:paraId="5BD03A2F" w14:textId="77777777" w:rsidR="00671E51" w:rsidRDefault="00671E51"/>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61107281" w14:textId="77777777" w:rsidTr="000B6604">
      <w:trPr>
        <w:trHeight w:val="620"/>
      </w:trPr>
      <w:tc>
        <w:tcPr>
          <w:tcW w:w="7368" w:type="dxa"/>
          <w:tcMar>
            <w:right w:w="72" w:type="dxa"/>
          </w:tcMar>
          <w:vAlign w:val="bottom"/>
        </w:tcPr>
        <w:p w14:paraId="0059F51A"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161C91C2" w14:textId="77777777" w:rsidR="00671E51" w:rsidRDefault="00671E51" w:rsidP="000B6604">
          <w:pPr>
            <w:pStyle w:val="pageNumber"/>
          </w:pPr>
          <w:r>
            <w:fldChar w:fldCharType="begin"/>
          </w:r>
          <w:r>
            <w:instrText xml:space="preserve"> PAGE   \* MERGEFORMAT </w:instrText>
          </w:r>
          <w:r>
            <w:fldChar w:fldCharType="separate"/>
          </w:r>
          <w:r w:rsidR="00DA6AE4">
            <w:rPr>
              <w:noProof/>
            </w:rPr>
            <w:t>B–1</w:t>
          </w:r>
          <w:r>
            <w:fldChar w:fldCharType="end"/>
          </w:r>
        </w:p>
      </w:tc>
    </w:tr>
  </w:tbl>
  <w:p w14:paraId="4F059B75" w14:textId="77777777" w:rsidR="00671E51" w:rsidRPr="00B21CCC" w:rsidRDefault="00671E51" w:rsidP="000B6604">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714098B1" w14:textId="77777777" w:rsidTr="000B6604">
      <w:trPr>
        <w:trHeight w:val="620"/>
      </w:trPr>
      <w:tc>
        <w:tcPr>
          <w:tcW w:w="7596" w:type="dxa"/>
          <w:tcMar>
            <w:right w:w="72" w:type="dxa"/>
          </w:tcMar>
          <w:vAlign w:val="bottom"/>
        </w:tcPr>
        <w:p w14:paraId="463C9F72"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1EBDC523"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562EBB5B" w14:textId="77777777" w:rsidR="00671E51" w:rsidRPr="00B21CCC" w:rsidRDefault="00671E51" w:rsidP="000B6604">
    <w:pPr>
      <w:pStyle w:val="Footer"/>
    </w:pPr>
  </w:p>
  <w:p w14:paraId="59D6720A" w14:textId="77777777" w:rsidR="00671E51" w:rsidRDefault="00671E51"/>
  <w:p w14:paraId="12E1DDA0" w14:textId="77777777" w:rsidR="00671E51" w:rsidRDefault="00671E51"/>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671E51" w14:paraId="7771ABE8" w14:textId="77777777" w:rsidTr="00425AFC">
      <w:trPr>
        <w:trHeight w:val="620"/>
      </w:trPr>
      <w:tc>
        <w:tcPr>
          <w:tcW w:w="12300" w:type="dxa"/>
          <w:shd w:val="clear" w:color="auto" w:fill="auto"/>
          <w:tcMar>
            <w:right w:w="72" w:type="dxa"/>
          </w:tcMar>
          <w:vAlign w:val="bottom"/>
        </w:tcPr>
        <w:p w14:paraId="4866C999" w14:textId="77777777" w:rsidR="00671E51" w:rsidRDefault="00DA6AE4" w:rsidP="00425AFC">
          <w:pPr>
            <w:pStyle w:val="FooterText"/>
          </w:pPr>
          <w:r>
            <w:fldChar w:fldCharType="begin"/>
          </w:r>
          <w:r>
            <w:instrText xml:space="preserve"> STYLEREF  "Cp Title"  \* MERGEFORMAT </w:instrText>
          </w:r>
          <w:r>
            <w:fldChar w:fldCharType="separate"/>
          </w:r>
          <w:r w:rsidR="0064083A" w:rsidRPr="0064083A">
            <w:rPr>
              <w:b/>
              <w:bCs/>
              <w:noProof/>
            </w:rPr>
            <w:t>EVALUATION OF THE HEPPP</w:t>
          </w:r>
          <w:r>
            <w:rPr>
              <w:b/>
              <w:bCs/>
              <w:noProof/>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rPr>
            <w:t>HIGHER EDUCATION PARTICIPATION AND PARTNERSHIPS PROGRAM</w:t>
          </w:r>
          <w:r>
            <w:rPr>
              <w:b/>
              <w:bCs/>
              <w:noProof/>
            </w:rPr>
            <w:fldChar w:fldCharType="end"/>
          </w:r>
        </w:p>
      </w:tc>
      <w:tc>
        <w:tcPr>
          <w:tcW w:w="800" w:type="dxa"/>
          <w:shd w:val="clear" w:color="auto" w:fill="auto"/>
          <w:vAlign w:val="bottom"/>
        </w:tcPr>
        <w:p w14:paraId="2A50C3BB" w14:textId="77777777" w:rsidR="00671E51" w:rsidRDefault="00671E51" w:rsidP="00425AFC">
          <w:pPr>
            <w:pStyle w:val="pageNumber"/>
          </w:pPr>
          <w:r>
            <w:fldChar w:fldCharType="begin"/>
          </w:r>
          <w:r>
            <w:instrText xml:space="preserve"> PAGE   \* MERGEFORMAT </w:instrText>
          </w:r>
          <w:r>
            <w:fldChar w:fldCharType="separate"/>
          </w:r>
          <w:r>
            <w:rPr>
              <w:noProof/>
            </w:rPr>
            <w:t>1</w:t>
          </w:r>
          <w:r>
            <w:rPr>
              <w:noProof/>
            </w:rPr>
            <w:fldChar w:fldCharType="end"/>
          </w:r>
        </w:p>
      </w:tc>
    </w:tr>
  </w:tbl>
  <w:p w14:paraId="5DF43B46" w14:textId="77777777" w:rsidR="00671E51" w:rsidRPr="00425AFC" w:rsidRDefault="00671E51" w:rsidP="00425AF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671E51" w14:paraId="4A88624D" w14:textId="77777777" w:rsidTr="00425AFC">
      <w:trPr>
        <w:trHeight w:val="620"/>
      </w:trPr>
      <w:tc>
        <w:tcPr>
          <w:tcW w:w="12300" w:type="dxa"/>
          <w:shd w:val="clear" w:color="auto" w:fill="auto"/>
          <w:tcMar>
            <w:right w:w="72" w:type="dxa"/>
          </w:tcMar>
          <w:vAlign w:val="bottom"/>
        </w:tcPr>
        <w:p w14:paraId="4398AA25" w14:textId="77777777" w:rsidR="00671E51" w:rsidRDefault="00DA6AE4" w:rsidP="00425AFC">
          <w:pPr>
            <w:pStyle w:val="FooterText"/>
          </w:pPr>
          <w:r>
            <w:fldChar w:fldCharType="begin"/>
          </w:r>
          <w:r>
            <w:instrText xml:space="preserve"> STYLEREF  "Cp Title"  \* MERGEFORMAT </w:instrText>
          </w:r>
          <w:r>
            <w:fldChar w:fldCharType="separate"/>
          </w:r>
          <w:r w:rsidRPr="00DA6AE4">
            <w:rPr>
              <w:b/>
              <w:bCs/>
              <w:noProof/>
            </w:rPr>
            <w:t>EVALUATION OF THE HEPPP</w:t>
          </w:r>
          <w:r>
            <w:rPr>
              <w:b/>
              <w:bCs/>
              <w:noProof/>
            </w:rPr>
            <w:fldChar w:fldCharType="end"/>
          </w:r>
          <w:r w:rsidR="00671E51">
            <w:t xml:space="preserve"> </w:t>
          </w:r>
          <w:r>
            <w:fldChar w:fldCharType="begin"/>
          </w:r>
          <w:r>
            <w:instrText xml:space="preserve"> STYLEREF  "Cp SubTitle"  \* MERGEFORMAT </w:instrText>
          </w:r>
          <w:r>
            <w:fldChar w:fldCharType="separate"/>
          </w:r>
          <w:r w:rsidRPr="00DA6AE4">
            <w:rPr>
              <w:b/>
              <w:bCs/>
              <w:noProof/>
            </w:rPr>
            <w:t>HIGHER EDUCATION PARTICIPATION AND PARTNERSHIPS PROGRAM</w:t>
          </w:r>
          <w:r>
            <w:rPr>
              <w:b/>
              <w:bCs/>
              <w:noProof/>
            </w:rPr>
            <w:fldChar w:fldCharType="end"/>
          </w:r>
        </w:p>
      </w:tc>
      <w:tc>
        <w:tcPr>
          <w:tcW w:w="800" w:type="dxa"/>
          <w:shd w:val="clear" w:color="auto" w:fill="auto"/>
          <w:vAlign w:val="bottom"/>
        </w:tcPr>
        <w:p w14:paraId="52C429E7" w14:textId="77777777" w:rsidR="00671E51" w:rsidRDefault="00671E51" w:rsidP="00425AFC">
          <w:pPr>
            <w:pStyle w:val="pageNumber"/>
          </w:pPr>
          <w:r>
            <w:fldChar w:fldCharType="begin"/>
          </w:r>
          <w:r>
            <w:instrText xml:space="preserve"> PAGE   \* MERGEFORMAT </w:instrText>
          </w:r>
          <w:r>
            <w:fldChar w:fldCharType="separate"/>
          </w:r>
          <w:r w:rsidR="00DA6AE4">
            <w:rPr>
              <w:noProof/>
            </w:rPr>
            <w:t>B–3</w:t>
          </w:r>
          <w:r>
            <w:rPr>
              <w:noProof/>
            </w:rPr>
            <w:fldChar w:fldCharType="end"/>
          </w:r>
        </w:p>
      </w:tc>
    </w:tr>
  </w:tbl>
  <w:p w14:paraId="4D6ABB16" w14:textId="77777777" w:rsidR="00671E51" w:rsidRPr="00425AFC" w:rsidRDefault="00671E51" w:rsidP="00425AFC">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10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2300"/>
      <w:gridCol w:w="800"/>
    </w:tblGrid>
    <w:tr w:rsidR="00671E51" w14:paraId="2E35674F" w14:textId="77777777" w:rsidTr="00425AFC">
      <w:trPr>
        <w:trHeight w:val="620"/>
      </w:trPr>
      <w:tc>
        <w:tcPr>
          <w:tcW w:w="12300" w:type="dxa"/>
          <w:shd w:val="clear" w:color="auto" w:fill="auto"/>
          <w:tcMar>
            <w:right w:w="72" w:type="dxa"/>
          </w:tcMar>
          <w:vAlign w:val="bottom"/>
        </w:tcPr>
        <w:p w14:paraId="1996488A" w14:textId="77777777" w:rsidR="00671E51" w:rsidRDefault="00DA6AE4" w:rsidP="00425AFC">
          <w:pPr>
            <w:pStyle w:val="FooterText"/>
          </w:pPr>
          <w:r>
            <w:fldChar w:fldCharType="begin"/>
          </w:r>
          <w:r>
            <w:instrText xml:space="preserve"> STYLEREF  "Cp Title"  \* MERGEFORMAT </w:instrText>
          </w:r>
          <w:r>
            <w:fldChar w:fldCharType="separate"/>
          </w:r>
          <w:r w:rsidR="0064083A" w:rsidRPr="0064083A">
            <w:rPr>
              <w:b/>
              <w:bCs/>
              <w:noProof/>
            </w:rPr>
            <w:t>EVALUATION OF THE HEPPP</w:t>
          </w:r>
          <w:r>
            <w:rPr>
              <w:b/>
              <w:bCs/>
              <w:noProof/>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rPr>
            <w:t>HIGHER EDUCATION PARTICIPATION AND PARTNERSHIPS PROGRAM</w:t>
          </w:r>
          <w:r>
            <w:rPr>
              <w:b/>
              <w:bCs/>
              <w:noProof/>
            </w:rPr>
            <w:fldChar w:fldCharType="end"/>
          </w:r>
        </w:p>
      </w:tc>
      <w:tc>
        <w:tcPr>
          <w:tcW w:w="800" w:type="dxa"/>
          <w:shd w:val="clear" w:color="auto" w:fill="auto"/>
          <w:vAlign w:val="bottom"/>
        </w:tcPr>
        <w:p w14:paraId="356992E7" w14:textId="77777777" w:rsidR="00671E51" w:rsidRDefault="00671E51" w:rsidP="00425AFC">
          <w:pPr>
            <w:pStyle w:val="pageNumber"/>
          </w:pPr>
          <w:r>
            <w:fldChar w:fldCharType="begin"/>
          </w:r>
          <w:r>
            <w:instrText xml:space="preserve"> PAGE   \* MERGEFORMAT </w:instrText>
          </w:r>
          <w:r>
            <w:fldChar w:fldCharType="separate"/>
          </w:r>
          <w:r>
            <w:rPr>
              <w:noProof/>
            </w:rPr>
            <w:t>1</w:t>
          </w:r>
          <w:r>
            <w:rPr>
              <w:noProof/>
            </w:rPr>
            <w:fldChar w:fldCharType="end"/>
          </w:r>
        </w:p>
      </w:tc>
    </w:tr>
  </w:tbl>
  <w:p w14:paraId="502547CE" w14:textId="77777777" w:rsidR="00671E51" w:rsidRPr="00425AFC" w:rsidRDefault="00671E51" w:rsidP="00425AF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681F5144" w14:textId="77777777" w:rsidTr="000B6604">
      <w:trPr>
        <w:trHeight w:val="620"/>
      </w:trPr>
      <w:tc>
        <w:tcPr>
          <w:tcW w:w="7596" w:type="dxa"/>
          <w:tcMar>
            <w:right w:w="72" w:type="dxa"/>
          </w:tcMar>
          <w:vAlign w:val="bottom"/>
        </w:tcPr>
        <w:p w14:paraId="37C29FDE"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407BCAC9"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147D8C27" w14:textId="77777777" w:rsidR="00671E51" w:rsidRPr="00B21CCC" w:rsidRDefault="00671E51" w:rsidP="000B6604">
    <w:pPr>
      <w:pStyle w:val="Footer"/>
    </w:pPr>
  </w:p>
  <w:p w14:paraId="2F765D9B" w14:textId="77777777" w:rsidR="00671E51" w:rsidRDefault="00671E51"/>
  <w:p w14:paraId="6AF1C7F1" w14:textId="77777777" w:rsidR="00671E51" w:rsidRDefault="00671E51"/>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6AEFAAFB" w14:textId="77777777" w:rsidTr="000B6604">
      <w:trPr>
        <w:trHeight w:val="620"/>
      </w:trPr>
      <w:tc>
        <w:tcPr>
          <w:tcW w:w="7368" w:type="dxa"/>
          <w:tcMar>
            <w:right w:w="72" w:type="dxa"/>
          </w:tcMar>
          <w:vAlign w:val="bottom"/>
        </w:tcPr>
        <w:p w14:paraId="6DB25B96" w14:textId="77777777" w:rsidR="00671E51" w:rsidRDefault="00DA6AE4" w:rsidP="000B6604">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vAlign w:val="bottom"/>
        </w:tcPr>
        <w:p w14:paraId="6E7072C4" w14:textId="77777777" w:rsidR="00671E51" w:rsidRDefault="00671E51" w:rsidP="000B6604">
          <w:pPr>
            <w:pStyle w:val="pageNumber"/>
          </w:pPr>
          <w:r>
            <w:fldChar w:fldCharType="begin"/>
          </w:r>
          <w:r>
            <w:instrText xml:space="preserve"> PAGE   \* MERGEFORMAT </w:instrText>
          </w:r>
          <w:r>
            <w:fldChar w:fldCharType="separate"/>
          </w:r>
          <w:r w:rsidR="00DA6AE4">
            <w:rPr>
              <w:noProof/>
            </w:rPr>
            <w:t>C–4</w:t>
          </w:r>
          <w:r>
            <w:fldChar w:fldCharType="end"/>
          </w:r>
        </w:p>
      </w:tc>
    </w:tr>
  </w:tbl>
  <w:p w14:paraId="077F610A" w14:textId="77777777" w:rsidR="00671E51" w:rsidRPr="00B21CCC" w:rsidRDefault="00671E51" w:rsidP="000B6604">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58E7333C" w14:textId="77777777" w:rsidTr="000B6604">
      <w:trPr>
        <w:trHeight w:val="620"/>
      </w:trPr>
      <w:tc>
        <w:tcPr>
          <w:tcW w:w="7596" w:type="dxa"/>
          <w:tcMar>
            <w:right w:w="72" w:type="dxa"/>
          </w:tcMar>
          <w:vAlign w:val="bottom"/>
        </w:tcPr>
        <w:p w14:paraId="1BF6C076"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64422736" w14:textId="77777777" w:rsidR="00671E51" w:rsidRDefault="00671E51" w:rsidP="000B6604">
          <w:pPr>
            <w:pStyle w:val="pageNumber"/>
          </w:pPr>
          <w:r>
            <w:fldChar w:fldCharType="begin"/>
          </w:r>
          <w:r>
            <w:instrText xml:space="preserve"> PAGE   \* MERGEFORMAT </w:instrText>
          </w:r>
          <w:r>
            <w:fldChar w:fldCharType="separate"/>
          </w:r>
          <w:r>
            <w:rPr>
              <w:noProof/>
            </w:rPr>
            <w:t>1</w:t>
          </w:r>
          <w:r>
            <w:fldChar w:fldCharType="end"/>
          </w:r>
        </w:p>
      </w:tc>
    </w:tr>
  </w:tbl>
  <w:p w14:paraId="38A55EDD" w14:textId="77777777" w:rsidR="00671E51" w:rsidRPr="00B21CCC" w:rsidRDefault="00671E51" w:rsidP="000B6604">
    <w:pPr>
      <w:pStyle w:val="Footer"/>
    </w:pPr>
  </w:p>
  <w:p w14:paraId="3B350480" w14:textId="77777777" w:rsidR="00671E51" w:rsidRDefault="00671E51"/>
  <w:p w14:paraId="7BFA6F86" w14:textId="77777777" w:rsidR="00671E51" w:rsidRDefault="00671E51"/>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336040B8" w14:textId="77777777" w:rsidTr="00B9270E">
      <w:trPr>
        <w:trHeight w:val="620"/>
      </w:trPr>
      <w:tc>
        <w:tcPr>
          <w:tcW w:w="7596" w:type="dxa"/>
          <w:shd w:val="clear" w:color="auto" w:fill="auto"/>
          <w:tcMar>
            <w:right w:w="72" w:type="dxa"/>
          </w:tcMar>
          <w:vAlign w:val="bottom"/>
        </w:tcPr>
        <w:p w14:paraId="5242C821" w14:textId="77777777" w:rsidR="00671E51" w:rsidRDefault="00DA6AE4" w:rsidP="00B9270E">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shd w:val="clear" w:color="auto" w:fill="auto"/>
          <w:vAlign w:val="bottom"/>
        </w:tcPr>
        <w:p w14:paraId="6704849C" w14:textId="77777777" w:rsidR="00671E51" w:rsidRDefault="00671E51" w:rsidP="00B9270E">
          <w:pPr>
            <w:pStyle w:val="pageNumber"/>
          </w:pPr>
          <w:r>
            <w:fldChar w:fldCharType="begin"/>
          </w:r>
          <w:r>
            <w:instrText xml:space="preserve"> PAGE   \* MERGEFORMAT </w:instrText>
          </w:r>
          <w:r>
            <w:fldChar w:fldCharType="separate"/>
          </w:r>
          <w:r>
            <w:rPr>
              <w:noProof/>
            </w:rPr>
            <w:t>A–1</w:t>
          </w:r>
          <w:r>
            <w:rPr>
              <w:noProof/>
            </w:rPr>
            <w:fldChar w:fldCharType="end"/>
          </w:r>
        </w:p>
      </w:tc>
    </w:tr>
  </w:tbl>
  <w:p w14:paraId="0E9FA9D7" w14:textId="77777777" w:rsidR="00671E51" w:rsidRPr="00B21CCC" w:rsidRDefault="00671E51" w:rsidP="00B9270E">
    <w:pPr>
      <w:pStyle w:val="Footer"/>
    </w:pPr>
  </w:p>
  <w:p w14:paraId="1E434C2A" w14:textId="77777777" w:rsidR="00671E51" w:rsidRDefault="00671E51"/>
  <w:p w14:paraId="16CD9D6F" w14:textId="77777777" w:rsidR="00671E51" w:rsidRDefault="00671E5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7759B" w14:textId="77777777" w:rsidR="00671E51" w:rsidRDefault="00671E51">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3B8F8F77" w14:textId="77777777" w:rsidTr="006640EC">
      <w:trPr>
        <w:trHeight w:val="620"/>
      </w:trPr>
      <w:tc>
        <w:tcPr>
          <w:tcW w:w="7368" w:type="dxa"/>
          <w:shd w:val="clear" w:color="auto" w:fill="auto"/>
          <w:tcMar>
            <w:right w:w="72" w:type="dxa"/>
          </w:tcMar>
          <w:vAlign w:val="bottom"/>
        </w:tcPr>
        <w:p w14:paraId="28AABA8C" w14:textId="77777777" w:rsidR="00671E51" w:rsidRDefault="00DA6AE4" w:rsidP="00B9270E">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shd w:val="clear" w:color="auto" w:fill="auto"/>
          <w:vAlign w:val="bottom"/>
        </w:tcPr>
        <w:p w14:paraId="38C36893" w14:textId="77777777" w:rsidR="00671E51" w:rsidRDefault="00671E51" w:rsidP="00B9270E">
          <w:pPr>
            <w:pStyle w:val="pageNumber"/>
          </w:pPr>
          <w:r>
            <w:fldChar w:fldCharType="begin"/>
          </w:r>
          <w:r>
            <w:instrText xml:space="preserve"> PAGE   \* MERGEFORMAT </w:instrText>
          </w:r>
          <w:r>
            <w:fldChar w:fldCharType="separate"/>
          </w:r>
          <w:r w:rsidR="00DA6AE4">
            <w:rPr>
              <w:noProof/>
            </w:rPr>
            <w:t>D–5</w:t>
          </w:r>
          <w:r>
            <w:rPr>
              <w:noProof/>
            </w:rPr>
            <w:fldChar w:fldCharType="end"/>
          </w:r>
        </w:p>
      </w:tc>
    </w:tr>
  </w:tbl>
  <w:p w14:paraId="0D7FADB0" w14:textId="77777777" w:rsidR="00671E51" w:rsidRPr="00B21CCC" w:rsidRDefault="00671E51" w:rsidP="00B9270E">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4D52455B" w14:textId="77777777" w:rsidTr="00B9270E">
      <w:trPr>
        <w:trHeight w:val="620"/>
      </w:trPr>
      <w:tc>
        <w:tcPr>
          <w:tcW w:w="7596" w:type="dxa"/>
          <w:shd w:val="clear" w:color="auto" w:fill="auto"/>
          <w:tcMar>
            <w:right w:w="72" w:type="dxa"/>
          </w:tcMar>
          <w:vAlign w:val="bottom"/>
        </w:tcPr>
        <w:p w14:paraId="35EC99D6" w14:textId="77777777" w:rsidR="00671E51" w:rsidRDefault="00DA6AE4" w:rsidP="00B9270E">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shd w:val="clear" w:color="auto" w:fill="auto"/>
          <w:vAlign w:val="bottom"/>
        </w:tcPr>
        <w:p w14:paraId="50D66E4C" w14:textId="77777777" w:rsidR="00671E51" w:rsidRDefault="00671E51" w:rsidP="00B9270E">
          <w:pPr>
            <w:pStyle w:val="pageNumber"/>
          </w:pPr>
          <w:r>
            <w:fldChar w:fldCharType="begin"/>
          </w:r>
          <w:r>
            <w:instrText xml:space="preserve"> PAGE   \* MERGEFORMAT </w:instrText>
          </w:r>
          <w:r>
            <w:fldChar w:fldCharType="separate"/>
          </w:r>
          <w:r>
            <w:rPr>
              <w:noProof/>
            </w:rPr>
            <w:t>A–1</w:t>
          </w:r>
          <w:r>
            <w:rPr>
              <w:noProof/>
            </w:rPr>
            <w:fldChar w:fldCharType="end"/>
          </w:r>
        </w:p>
      </w:tc>
    </w:tr>
  </w:tbl>
  <w:p w14:paraId="683B958A" w14:textId="77777777" w:rsidR="00671E51" w:rsidRPr="00B21CCC" w:rsidRDefault="00671E51" w:rsidP="00B9270E">
    <w:pPr>
      <w:pStyle w:val="Footer"/>
    </w:pPr>
  </w:p>
  <w:p w14:paraId="50E4B509" w14:textId="77777777" w:rsidR="00671E51" w:rsidRDefault="00671E51"/>
  <w:p w14:paraId="7101F54E" w14:textId="77777777" w:rsidR="00671E51" w:rsidRDefault="00671E5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CD834" w14:textId="77777777" w:rsidR="00671E51" w:rsidRPr="00DB32CD" w:rsidRDefault="00671E51" w:rsidP="00DB32CD">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0BA9BC07" w14:textId="77777777" w:rsidTr="00425AFC">
      <w:trPr>
        <w:trHeight w:val="620"/>
      </w:trPr>
      <w:tc>
        <w:tcPr>
          <w:tcW w:w="7368" w:type="dxa"/>
          <w:shd w:val="clear" w:color="auto" w:fill="auto"/>
          <w:tcMar>
            <w:right w:w="72" w:type="dxa"/>
          </w:tcMar>
          <w:vAlign w:val="bottom"/>
        </w:tcPr>
        <w:p w14:paraId="2A6AEFCF" w14:textId="77777777" w:rsidR="00671E51" w:rsidRDefault="00DA6AE4" w:rsidP="00DB32CD">
          <w:pPr>
            <w:pStyle w:val="FooterText"/>
          </w:pPr>
          <w:r>
            <w:fldChar w:fldCharType="begin"/>
          </w:r>
          <w:r>
            <w:instrText xml:space="preserve"> STYLEREF  "Cp Title"  \* MERGEFORMAT </w:instrText>
          </w:r>
          <w:r>
            <w:fldChar w:fldCharType="separate"/>
          </w:r>
          <w:r w:rsidRPr="00DA6AE4">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Pr="00DA6AE4">
            <w:rPr>
              <w:b/>
              <w:bCs/>
              <w:noProof/>
              <w:lang w:val="en-US"/>
            </w:rPr>
            <w:t>HIGHER EDUCATION PARTICIPATION AND PARTNERSHIPS</w:t>
          </w:r>
          <w:r>
            <w:rPr>
              <w:noProof/>
            </w:rPr>
            <w:t xml:space="preserve"> PROGRAM</w:t>
          </w:r>
          <w:r>
            <w:rPr>
              <w:noProof/>
            </w:rPr>
            <w:fldChar w:fldCharType="end"/>
          </w:r>
        </w:p>
      </w:tc>
      <w:tc>
        <w:tcPr>
          <w:tcW w:w="800" w:type="dxa"/>
          <w:shd w:val="clear" w:color="auto" w:fill="auto"/>
          <w:vAlign w:val="bottom"/>
        </w:tcPr>
        <w:p w14:paraId="637E9F14" w14:textId="77777777" w:rsidR="00671E51" w:rsidRDefault="00671E51" w:rsidP="00DB32CD">
          <w:pPr>
            <w:pStyle w:val="pageNumber"/>
          </w:pPr>
          <w:r>
            <w:fldChar w:fldCharType="begin"/>
          </w:r>
          <w:r>
            <w:instrText xml:space="preserve"> PAGE   \* MERGEFORMAT </w:instrText>
          </w:r>
          <w:r>
            <w:fldChar w:fldCharType="separate"/>
          </w:r>
          <w:r w:rsidR="00DA6AE4">
            <w:rPr>
              <w:noProof/>
            </w:rPr>
            <w:t>E–4</w:t>
          </w:r>
          <w:r>
            <w:rPr>
              <w:noProof/>
            </w:rPr>
            <w:fldChar w:fldCharType="end"/>
          </w:r>
        </w:p>
      </w:tc>
    </w:tr>
  </w:tbl>
  <w:p w14:paraId="099F1264" w14:textId="77777777" w:rsidR="00671E51" w:rsidRPr="00B21CCC" w:rsidRDefault="00671E51" w:rsidP="00DB32CD">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F83E2" w14:textId="77777777" w:rsidR="00671E51" w:rsidRPr="00DB32CD" w:rsidRDefault="00671E51" w:rsidP="00DB32CD">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B4321" w14:textId="77777777" w:rsidR="00671E51" w:rsidRPr="00DB32CD" w:rsidRDefault="00671E51" w:rsidP="00DB32CD">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4EAD6" w14:textId="77777777" w:rsidR="00671E51" w:rsidRPr="00DB32CD" w:rsidRDefault="00671E51" w:rsidP="00DB32CD">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78"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5350"/>
    </w:tblGrid>
    <w:tr w:rsidR="00671E51" w14:paraId="4C7A186A" w14:textId="77777777" w:rsidTr="00425AFC">
      <w:trPr>
        <w:trHeight w:hRule="exact" w:val="780"/>
      </w:trPr>
      <w:tc>
        <w:tcPr>
          <w:tcW w:w="5628" w:type="dxa"/>
          <w:shd w:val="clear" w:color="auto" w:fill="auto"/>
        </w:tcPr>
        <w:p w14:paraId="73F4F74E" w14:textId="77777777" w:rsidR="00671E51" w:rsidRDefault="00671E51" w:rsidP="00425AFC">
          <w:pPr>
            <w:pStyle w:val="spacer"/>
          </w:pPr>
        </w:p>
      </w:tc>
      <w:tc>
        <w:tcPr>
          <w:tcW w:w="5350" w:type="dxa"/>
          <w:tcBorders>
            <w:bottom w:val="single" w:sz="4" w:space="0" w:color="auto"/>
          </w:tcBorders>
          <w:shd w:val="clear" w:color="auto" w:fill="auto"/>
        </w:tcPr>
        <w:p w14:paraId="17C06F4A" w14:textId="77777777" w:rsidR="00671E51" w:rsidRDefault="00671E51" w:rsidP="00425AFC">
          <w:pPr>
            <w:pStyle w:val="spacer"/>
          </w:pPr>
          <w:r>
            <w:rPr>
              <w:noProof/>
              <w:lang w:eastAsia="en-AU"/>
            </w:rPr>
            <mc:AlternateContent>
              <mc:Choice Requires="wps">
                <w:drawing>
                  <wp:anchor distT="0" distB="0" distL="114300" distR="114300" simplePos="0" relativeHeight="251698176" behindDoc="0" locked="1" layoutInCell="1" allowOverlap="1" wp14:anchorId="75DEDB74" wp14:editId="0195EBA7">
                    <wp:simplePos x="0" y="0"/>
                    <wp:positionH relativeFrom="page">
                      <wp:posOffset>1813560</wp:posOffset>
                    </wp:positionH>
                    <wp:positionV relativeFrom="page">
                      <wp:posOffset>27305</wp:posOffset>
                    </wp:positionV>
                    <wp:extent cx="781050" cy="382905"/>
                    <wp:effectExtent l="0" t="0" r="0" b="0"/>
                    <wp:wrapNone/>
                    <wp:docPr id="292"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050"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A68B4E" id="cp_sails_contacts" o:spid="_x0000_s1026" style="position:absolute;margin-left:142.8pt;margin-top:2.15pt;width:61.5pt;height:30.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" path="m822,r,828l,828,822,xm863,828r823,l1686,,863,828xe" fillcolor="#ffaf3a" stroked="f">
                    <v:path arrowok="t" o:connecttype="custom" o:connectlocs="380797,0;380797,382905;0,382905;380797,0;399790,382905;781050,382905;781050,0;399790,382905" o:connectangles="0,0,0,0,0,0,0,0"/>
                    <o:lock v:ext="edit" aspectratio="t" verticies="t"/>
                    <w10:wrap anchorx="page" anchory="page"/>
                    <w10:anchorlock/>
                  </v:shape>
                </w:pict>
              </mc:Fallback>
            </mc:AlternateContent>
          </w:r>
        </w:p>
      </w:tc>
    </w:tr>
    <w:tr w:rsidR="00671E51" w14:paraId="64A70104" w14:textId="77777777" w:rsidTr="00425AFC">
      <w:trPr>
        <w:trHeight w:hRule="exact" w:val="520"/>
      </w:trPr>
      <w:tc>
        <w:tcPr>
          <w:tcW w:w="5628" w:type="dxa"/>
          <w:shd w:val="clear" w:color="auto" w:fill="auto"/>
        </w:tcPr>
        <w:p w14:paraId="03076CA2" w14:textId="77777777" w:rsidR="00671E51" w:rsidRDefault="00671E51" w:rsidP="00425AFC">
          <w:pPr>
            <w:pStyle w:val="spacer"/>
          </w:pPr>
        </w:p>
      </w:tc>
      <w:tc>
        <w:tcPr>
          <w:tcW w:w="5350" w:type="dxa"/>
          <w:tcBorders>
            <w:top w:val="single" w:sz="4" w:space="0" w:color="auto"/>
          </w:tcBorders>
          <w:shd w:val="clear" w:color="auto" w:fill="auto"/>
        </w:tcPr>
        <w:p w14:paraId="4EDF3953" w14:textId="77777777" w:rsidR="00671E51" w:rsidRDefault="00671E51" w:rsidP="00425AFC">
          <w:pPr>
            <w:pStyle w:val="spacer"/>
          </w:pPr>
        </w:p>
      </w:tc>
    </w:tr>
  </w:tbl>
  <w:p w14:paraId="0AFF57D9" w14:textId="77777777" w:rsidR="00671E51" w:rsidRPr="00DB32CD" w:rsidRDefault="00671E51" w:rsidP="00DB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4D0F8" w14:textId="77777777" w:rsidR="00671E51" w:rsidRDefault="00671E5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28199957" w14:textId="77777777" w:rsidTr="000B6604">
      <w:trPr>
        <w:trHeight w:val="620"/>
      </w:trPr>
      <w:tc>
        <w:tcPr>
          <w:tcW w:w="7596" w:type="dxa"/>
          <w:tcMar>
            <w:right w:w="72" w:type="dxa"/>
          </w:tcMar>
          <w:vAlign w:val="bottom"/>
        </w:tcPr>
        <w:p w14:paraId="59D3A155"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26E130CB" w14:textId="77777777" w:rsidR="00671E51" w:rsidRDefault="00671E51" w:rsidP="000B6604">
          <w:pPr>
            <w:pStyle w:val="pageNumber"/>
          </w:pPr>
          <w:r>
            <w:fldChar w:fldCharType="begin"/>
          </w:r>
          <w:r>
            <w:instrText xml:space="preserve"> PAGE   \* MERGEFORMAT </w:instrText>
          </w:r>
          <w:r>
            <w:fldChar w:fldCharType="separate"/>
          </w:r>
          <w:r>
            <w:rPr>
              <w:noProof/>
            </w:rPr>
            <w:t>4</w:t>
          </w:r>
          <w:r>
            <w:fldChar w:fldCharType="end"/>
          </w:r>
        </w:p>
      </w:tc>
    </w:tr>
  </w:tbl>
  <w:p w14:paraId="791C5DEB" w14:textId="77777777" w:rsidR="00671E51" w:rsidRPr="00B21CCC" w:rsidRDefault="00671E51" w:rsidP="000B6604">
    <w:pPr>
      <w:pStyle w:val="Footer"/>
    </w:pPr>
  </w:p>
  <w:p w14:paraId="504BECDE" w14:textId="77777777" w:rsidR="00671E51" w:rsidRDefault="00671E51"/>
  <w:p w14:paraId="0BCADB17" w14:textId="77777777" w:rsidR="00671E51" w:rsidRDefault="00671E5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671E51" w14:paraId="59FFC316" w14:textId="77777777" w:rsidTr="000B6604">
      <w:trPr>
        <w:trHeight w:val="620"/>
      </w:trPr>
      <w:tc>
        <w:tcPr>
          <w:tcW w:w="7368" w:type="dxa"/>
          <w:tcMar>
            <w:right w:w="72" w:type="dxa"/>
          </w:tcMar>
          <w:vAlign w:val="bottom"/>
        </w:tcPr>
        <w:p w14:paraId="41DEB125" w14:textId="77777777" w:rsidR="00671E51" w:rsidRPr="00AA2350" w:rsidRDefault="00887830" w:rsidP="000B6604">
          <w:pPr>
            <w:pStyle w:val="FooterText"/>
            <w:rPr>
              <w:b/>
            </w:rPr>
          </w:pPr>
          <w:r w:rsidRPr="00AA2350">
            <w:rPr>
              <w:b/>
            </w:rPr>
            <w:fldChar w:fldCharType="begin"/>
          </w:r>
          <w:r w:rsidRPr="00AA2350">
            <w:rPr>
              <w:b/>
            </w:rPr>
            <w:instrText xml:space="preserve"> STYLEREF  "Cp Title"  \* MERGEFORMAT </w:instrText>
          </w:r>
          <w:r w:rsidRPr="00AA2350">
            <w:rPr>
              <w:b/>
            </w:rPr>
            <w:fldChar w:fldCharType="separate"/>
          </w:r>
          <w:r w:rsidR="00DA6AE4" w:rsidRPr="00DA6AE4">
            <w:rPr>
              <w:b/>
              <w:bCs/>
              <w:noProof/>
              <w:lang w:val="en-US"/>
            </w:rPr>
            <w:t>EVALUATION OF THE HEPPP</w:t>
          </w:r>
          <w:r w:rsidRPr="00AA2350">
            <w:rPr>
              <w:b/>
              <w:bCs/>
              <w:noProof/>
              <w:lang w:val="en-US"/>
            </w:rPr>
            <w:fldChar w:fldCharType="end"/>
          </w:r>
          <w:r w:rsidR="00671E51" w:rsidRPr="00AA2350">
            <w:rPr>
              <w:b/>
            </w:rPr>
            <w:t xml:space="preserve"> </w:t>
          </w:r>
          <w:r w:rsidRPr="00AA2350">
            <w:rPr>
              <w:b/>
            </w:rPr>
            <w:fldChar w:fldCharType="begin"/>
          </w:r>
          <w:r w:rsidRPr="00AA2350">
            <w:rPr>
              <w:b/>
            </w:rPr>
            <w:instrText xml:space="preserve"> STYLEREF  "Cp SubTitle"  \* MERGEFORMAT </w:instrText>
          </w:r>
          <w:r w:rsidRPr="00AA2350">
            <w:rPr>
              <w:b/>
            </w:rPr>
            <w:fldChar w:fldCharType="separate"/>
          </w:r>
          <w:r w:rsidR="00DA6AE4" w:rsidRPr="00DA6AE4">
            <w:rPr>
              <w:b/>
              <w:bCs/>
              <w:noProof/>
              <w:lang w:val="en-US"/>
            </w:rPr>
            <w:t>HIGHER EDUCATION PARTICIPATION AND PARTNERSHIPS</w:t>
          </w:r>
          <w:r w:rsidR="00DA6AE4">
            <w:rPr>
              <w:b/>
              <w:noProof/>
            </w:rPr>
            <w:t xml:space="preserve"> PROGRAM</w:t>
          </w:r>
          <w:r w:rsidRPr="00AA2350">
            <w:rPr>
              <w:b/>
              <w:noProof/>
            </w:rPr>
            <w:fldChar w:fldCharType="end"/>
          </w:r>
        </w:p>
      </w:tc>
      <w:tc>
        <w:tcPr>
          <w:tcW w:w="800" w:type="dxa"/>
          <w:vAlign w:val="bottom"/>
        </w:tcPr>
        <w:p w14:paraId="173EA9AB" w14:textId="77777777" w:rsidR="00671E51" w:rsidRDefault="00671E51" w:rsidP="000B6604">
          <w:pPr>
            <w:pStyle w:val="pageNumber"/>
          </w:pPr>
          <w:r>
            <w:fldChar w:fldCharType="begin"/>
          </w:r>
          <w:r>
            <w:instrText xml:space="preserve"> PAGE   \* MERGEFORMAT </w:instrText>
          </w:r>
          <w:r>
            <w:fldChar w:fldCharType="separate"/>
          </w:r>
          <w:r w:rsidR="00DA6AE4">
            <w:rPr>
              <w:noProof/>
            </w:rPr>
            <w:t>ix</w:t>
          </w:r>
          <w:r>
            <w:fldChar w:fldCharType="end"/>
          </w:r>
        </w:p>
      </w:tc>
    </w:tr>
  </w:tbl>
  <w:p w14:paraId="43EC0526" w14:textId="77777777" w:rsidR="00671E51" w:rsidRPr="00B21CCC" w:rsidRDefault="00671E51" w:rsidP="000B660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671E51" w14:paraId="654D874A" w14:textId="77777777" w:rsidTr="000B6604">
      <w:trPr>
        <w:trHeight w:val="620"/>
      </w:trPr>
      <w:tc>
        <w:tcPr>
          <w:tcW w:w="7596" w:type="dxa"/>
          <w:tcMar>
            <w:right w:w="72" w:type="dxa"/>
          </w:tcMar>
          <w:vAlign w:val="bottom"/>
        </w:tcPr>
        <w:p w14:paraId="076D0B5B" w14:textId="77777777" w:rsidR="00671E51" w:rsidRDefault="00DA6AE4" w:rsidP="000B6604">
          <w:pPr>
            <w:pStyle w:val="FooterText"/>
          </w:pPr>
          <w:r>
            <w:fldChar w:fldCharType="begin"/>
          </w:r>
          <w:r>
            <w:instrText xml:space="preserve"> STYLEREF  "Cp Title"  \* MERGEFORMAT </w:instrText>
          </w:r>
          <w:r>
            <w:fldChar w:fldCharType="separate"/>
          </w:r>
          <w:r w:rsidR="0064083A" w:rsidRPr="0064083A">
            <w:rPr>
              <w:b/>
              <w:bCs/>
              <w:noProof/>
              <w:lang w:val="en-US"/>
            </w:rPr>
            <w:t>EVALUATION OF THE HEPPP</w:t>
          </w:r>
          <w:r>
            <w:rPr>
              <w:b/>
              <w:bCs/>
              <w:noProof/>
              <w:lang w:val="en-US"/>
            </w:rPr>
            <w:fldChar w:fldCharType="end"/>
          </w:r>
          <w:r w:rsidR="00671E51">
            <w:t xml:space="preserve"> </w:t>
          </w:r>
          <w:r>
            <w:fldChar w:fldCharType="begin"/>
          </w:r>
          <w:r>
            <w:instrText xml:space="preserve"> STYLEREF  "Cp SubTitle"  \* MERGEFORMAT </w:instrText>
          </w:r>
          <w:r>
            <w:fldChar w:fldCharType="separate"/>
          </w:r>
          <w:r w:rsidR="0064083A" w:rsidRPr="0064083A">
            <w:rPr>
              <w:b/>
              <w:bCs/>
              <w:noProof/>
              <w:lang w:val="en-US"/>
            </w:rPr>
            <w:t>HIGHER EDUCATION PARTICIPATION AND PARTNERSHIPS PROGRAM</w:t>
          </w:r>
          <w:r>
            <w:rPr>
              <w:b/>
              <w:bCs/>
              <w:noProof/>
              <w:lang w:val="en-US"/>
            </w:rPr>
            <w:fldChar w:fldCharType="end"/>
          </w:r>
        </w:p>
      </w:tc>
      <w:tc>
        <w:tcPr>
          <w:tcW w:w="570" w:type="dxa"/>
          <w:vAlign w:val="bottom"/>
        </w:tcPr>
        <w:p w14:paraId="7D5948DF" w14:textId="77777777" w:rsidR="00671E51" w:rsidRDefault="00671E51" w:rsidP="000B6604">
          <w:pPr>
            <w:pStyle w:val="pageNumber"/>
          </w:pPr>
          <w:r>
            <w:fldChar w:fldCharType="begin"/>
          </w:r>
          <w:r>
            <w:instrText xml:space="preserve"> PAGE   \* MERGEFORMAT </w:instrText>
          </w:r>
          <w:r>
            <w:fldChar w:fldCharType="separate"/>
          </w:r>
          <w:r>
            <w:rPr>
              <w:noProof/>
            </w:rPr>
            <w:t>4</w:t>
          </w:r>
          <w:r>
            <w:fldChar w:fldCharType="end"/>
          </w:r>
        </w:p>
      </w:tc>
    </w:tr>
  </w:tbl>
  <w:p w14:paraId="6A4C0F5A" w14:textId="77777777" w:rsidR="00671E51" w:rsidRPr="00B21CCC" w:rsidRDefault="00671E51" w:rsidP="000B6604">
    <w:pPr>
      <w:pStyle w:val="Footer"/>
    </w:pPr>
  </w:p>
  <w:p w14:paraId="02F5D800" w14:textId="77777777" w:rsidR="00671E51" w:rsidRDefault="00671E51"/>
  <w:p w14:paraId="2C6C257C" w14:textId="77777777" w:rsidR="00671E51" w:rsidRDefault="00671E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3E385" w14:textId="77777777" w:rsidR="00671E51" w:rsidRDefault="00671E51" w:rsidP="00D337DD">
      <w:pPr>
        <w:spacing w:after="0" w:line="240" w:lineRule="auto"/>
      </w:pPr>
      <w:r>
        <w:separator/>
      </w:r>
    </w:p>
  </w:footnote>
  <w:footnote w:type="continuationSeparator" w:id="0">
    <w:p w14:paraId="2888E5E7" w14:textId="77777777" w:rsidR="00671E51" w:rsidRDefault="00671E51" w:rsidP="00D337DD">
      <w:pPr>
        <w:spacing w:after="0" w:line="240" w:lineRule="auto"/>
      </w:pPr>
      <w:r>
        <w:continuationSeparator/>
      </w:r>
    </w:p>
  </w:footnote>
  <w:footnote w:id="1">
    <w:p w14:paraId="7702910E" w14:textId="77777777" w:rsidR="00671E51" w:rsidRDefault="00671E51" w:rsidP="00BD71AA">
      <w:pPr>
        <w:pStyle w:val="FootnoteText"/>
      </w:pPr>
      <w:r>
        <w:rPr>
          <w:rStyle w:val="FootnoteReference"/>
        </w:rPr>
        <w:footnoteRef/>
      </w:r>
      <w:r>
        <w:t xml:space="preserve"> Eligible universiites are the </w:t>
      </w:r>
      <w:r w:rsidRPr="00572166">
        <w:t>38 HESA Table A higher education providers</w:t>
      </w:r>
      <w:r>
        <w:t xml:space="preserve">. </w:t>
      </w:r>
      <w:r w:rsidRPr="00572166">
        <w:t>An agreement between the Batchelor Institute of Indigenous Tertiary Education and Charles Darwin University enables Charles Darwin University to receive Participation funding and undertake relevant activities on behalf of the Batchelor Institute from 2013 onwards. This means that in practice there are 37 universities involved in the Participation component of the HEPPP</w:t>
      </w:r>
      <w:r>
        <w:t>.</w:t>
      </w:r>
    </w:p>
  </w:footnote>
  <w:footnote w:id="2">
    <w:p w14:paraId="3883BF3F" w14:textId="77777777" w:rsidR="00671E51" w:rsidRDefault="00671E51" w:rsidP="00BD71AA">
      <w:pPr>
        <w:pStyle w:val="FootnoteText"/>
      </w:pPr>
      <w:r>
        <w:rPr>
          <w:rStyle w:val="FootnoteReference"/>
        </w:rPr>
        <w:footnoteRef/>
      </w:r>
      <w:r>
        <w:t xml:space="preserve"> </w:t>
      </w:r>
      <w:r w:rsidRPr="00572166">
        <w:t xml:space="preserve">Other Grants Guidelines (Education) 2012, </w:t>
      </w:r>
      <w:r>
        <w:t>S</w:t>
      </w:r>
      <w:r w:rsidRPr="00572166">
        <w:t>ection 1.40.1</w:t>
      </w:r>
    </w:p>
  </w:footnote>
  <w:footnote w:id="3">
    <w:p w14:paraId="314CA2CA" w14:textId="1716BE92" w:rsidR="00671E51" w:rsidRDefault="00671E51">
      <w:pPr>
        <w:pStyle w:val="FootnoteText"/>
      </w:pPr>
      <w:r>
        <w:rPr>
          <w:rStyle w:val="FootnoteReference"/>
        </w:rPr>
        <w:footnoteRef/>
      </w:r>
      <w:r>
        <w:t xml:space="preserve"> 2014 is the most recent year for </w:t>
      </w:r>
      <w:r w:rsidRPr="0090622A">
        <w:t xml:space="preserve">which </w:t>
      </w:r>
      <w:r>
        <w:t>funding data are available.</w:t>
      </w:r>
    </w:p>
  </w:footnote>
  <w:footnote w:id="4">
    <w:p w14:paraId="640DDD1F" w14:textId="77777777" w:rsidR="00671E51" w:rsidRDefault="00671E51" w:rsidP="00835D10">
      <w:pPr>
        <w:pStyle w:val="FootnoteText"/>
      </w:pPr>
      <w:r>
        <w:rPr>
          <w:rStyle w:val="FootnoteReference"/>
        </w:rPr>
        <w:footnoteRef/>
      </w:r>
      <w:r>
        <w:t xml:space="preserve"> Including HEPPP structure, the Participation component, the Partnership component and the National Priorities Pool component.</w:t>
      </w:r>
    </w:p>
  </w:footnote>
  <w:footnote w:id="5">
    <w:p w14:paraId="02E8E1E1" w14:textId="77777777" w:rsidR="00671E51" w:rsidRDefault="00671E51" w:rsidP="003907BB">
      <w:pPr>
        <w:pStyle w:val="FootnoteText"/>
      </w:pPr>
      <w:r>
        <w:rPr>
          <w:rStyle w:val="FootnoteReference"/>
        </w:rPr>
        <w:footnoteRef/>
      </w:r>
      <w:r>
        <w:t xml:space="preserve"> The Guidelines, Section 1.1.1.The additional programs outlined in HESA Section 41-15(1) are the Indigenous Support Program and the Higher Education Disability Support Program.</w:t>
      </w:r>
    </w:p>
  </w:footnote>
  <w:footnote w:id="6">
    <w:p w14:paraId="3B2E32A1" w14:textId="77777777" w:rsidR="00671E51" w:rsidRDefault="00671E51" w:rsidP="003907BB">
      <w:pPr>
        <w:pStyle w:val="FootnoteText"/>
      </w:pPr>
      <w:r>
        <w:rPr>
          <w:rStyle w:val="FootnoteReference"/>
        </w:rPr>
        <w:footnoteRef/>
      </w:r>
      <w:r>
        <w:t xml:space="preserve"> The Guidelines, Section 1.60.1.</w:t>
      </w:r>
    </w:p>
  </w:footnote>
  <w:footnote w:id="7">
    <w:p w14:paraId="765925AD" w14:textId="77777777" w:rsidR="00671E51" w:rsidRDefault="00671E51" w:rsidP="003907BB">
      <w:pPr>
        <w:pStyle w:val="FootnoteText"/>
      </w:pPr>
      <w:r>
        <w:rPr>
          <w:rStyle w:val="FootnoteReference"/>
        </w:rPr>
        <w:footnoteRef/>
      </w:r>
      <w:r>
        <w:t xml:space="preserve"> The Guidelines, Section 1.55.1</w:t>
      </w:r>
    </w:p>
  </w:footnote>
  <w:footnote w:id="8">
    <w:p w14:paraId="550750DD" w14:textId="77777777" w:rsidR="00671E51" w:rsidRDefault="00671E51" w:rsidP="003907BB">
      <w:pPr>
        <w:pStyle w:val="FootnoteText"/>
      </w:pPr>
      <w:r>
        <w:rPr>
          <w:rStyle w:val="FootnoteReference"/>
        </w:rPr>
        <w:footnoteRef/>
      </w:r>
      <w:r>
        <w:t xml:space="preserve"> The Guidelines, Section 1.65.1</w:t>
      </w:r>
    </w:p>
  </w:footnote>
  <w:footnote w:id="9">
    <w:p w14:paraId="14B6013C" w14:textId="77777777" w:rsidR="00671E51" w:rsidRDefault="00671E51" w:rsidP="003907BB">
      <w:pPr>
        <w:pStyle w:val="FootnoteText"/>
      </w:pPr>
      <w:r>
        <w:rPr>
          <w:rStyle w:val="FootnoteReference"/>
        </w:rPr>
        <w:footnoteRef/>
      </w:r>
      <w:r>
        <w:t xml:space="preserve"> The Guidelines, Section 1.50.1</w:t>
      </w:r>
    </w:p>
  </w:footnote>
  <w:footnote w:id="10">
    <w:p w14:paraId="255A1132" w14:textId="77777777" w:rsidR="00671E51" w:rsidRDefault="00671E51" w:rsidP="003907BB">
      <w:pPr>
        <w:pStyle w:val="FootnoteText"/>
      </w:pPr>
      <w:r>
        <w:rPr>
          <w:rStyle w:val="FootnoteReference"/>
        </w:rPr>
        <w:footnoteRef/>
      </w:r>
      <w:r>
        <w:t xml:space="preserve"> The Guidelines, Section 1.70.1</w:t>
      </w:r>
    </w:p>
  </w:footnote>
  <w:footnote w:id="11">
    <w:p w14:paraId="0B528010" w14:textId="77777777" w:rsidR="00671E51" w:rsidRDefault="00671E51" w:rsidP="003907BB">
      <w:pPr>
        <w:pStyle w:val="FootnoteText"/>
      </w:pPr>
      <w:r>
        <w:rPr>
          <w:rStyle w:val="FootnoteReference"/>
        </w:rPr>
        <w:footnoteRef/>
      </w:r>
      <w:r>
        <w:t xml:space="preserve"> The Guidelines, Section 1.70.5</w:t>
      </w:r>
    </w:p>
  </w:footnote>
  <w:footnote w:id="12">
    <w:p w14:paraId="77079191" w14:textId="77777777" w:rsidR="00671E51" w:rsidRDefault="00671E51" w:rsidP="003907BB">
      <w:pPr>
        <w:pStyle w:val="FootnoteText"/>
      </w:pPr>
      <w:r>
        <w:rPr>
          <w:rStyle w:val="FootnoteReference"/>
        </w:rPr>
        <w:footnoteRef/>
      </w:r>
      <w:r>
        <w:t xml:space="preserve"> The Guidelines, Section 1.70.1</w:t>
      </w:r>
    </w:p>
  </w:footnote>
  <w:footnote w:id="13">
    <w:p w14:paraId="78686ADF" w14:textId="77777777" w:rsidR="00671E51" w:rsidRDefault="00671E51" w:rsidP="003907BB">
      <w:pPr>
        <w:pStyle w:val="FootnoteText"/>
      </w:pPr>
      <w:r>
        <w:rPr>
          <w:rStyle w:val="FootnoteReference"/>
        </w:rPr>
        <w:footnoteRef/>
      </w:r>
      <w:r>
        <w:t xml:space="preserve"> The Guidelines, Sections 1.80.1 and 1.80.5</w:t>
      </w:r>
    </w:p>
  </w:footnote>
  <w:footnote w:id="14">
    <w:p w14:paraId="58D8EF50" w14:textId="77777777" w:rsidR="00671E51" w:rsidRDefault="00671E51" w:rsidP="003907BB">
      <w:pPr>
        <w:pStyle w:val="FootnoteText"/>
      </w:pPr>
      <w:r>
        <w:rPr>
          <w:rStyle w:val="FootnoteReference"/>
        </w:rPr>
        <w:footnoteRef/>
      </w:r>
      <w:r>
        <w:t xml:space="preserve"> The Guidelines, Section 1.60. The payment support criteria are: Dependent Youth Allowance (full-time students), ABSTUDY (Living Allowance), Austudy, Pensioner Education Supplement, ABSTUDY Pensioner Education Supplement, ABSTUDY Away from base assistance.</w:t>
      </w:r>
    </w:p>
  </w:footnote>
  <w:footnote w:id="15">
    <w:p w14:paraId="1561A51C" w14:textId="77777777" w:rsidR="00671E51" w:rsidRDefault="00671E51" w:rsidP="003907BB">
      <w:pPr>
        <w:pStyle w:val="FootnoteText"/>
      </w:pPr>
      <w:r>
        <w:rPr>
          <w:rStyle w:val="FootnoteReference"/>
        </w:rPr>
        <w:footnoteRef/>
      </w:r>
      <w:r>
        <w:t xml:space="preserve"> The Guidelines, Section 1.85.10</w:t>
      </w:r>
    </w:p>
  </w:footnote>
  <w:footnote w:id="16">
    <w:p w14:paraId="5E07DCDD" w14:textId="77777777" w:rsidR="00671E51" w:rsidRDefault="00671E51" w:rsidP="003907BB">
      <w:pPr>
        <w:pStyle w:val="FootnoteText"/>
      </w:pPr>
      <w:r>
        <w:rPr>
          <w:rStyle w:val="FootnoteReference"/>
        </w:rPr>
        <w:footnoteRef/>
      </w:r>
      <w:r>
        <w:t xml:space="preserve"> The Guidelines, Section 1.85.15</w:t>
      </w:r>
    </w:p>
  </w:footnote>
  <w:footnote w:id="17">
    <w:p w14:paraId="6EB1053D" w14:textId="77777777" w:rsidR="00671E51" w:rsidRDefault="00671E51" w:rsidP="003907BB">
      <w:pPr>
        <w:pStyle w:val="FootnoteText"/>
      </w:pPr>
      <w:r>
        <w:rPr>
          <w:rStyle w:val="FootnoteReference"/>
        </w:rPr>
        <w:footnoteRef/>
      </w:r>
      <w:r>
        <w:t xml:space="preserve"> The Guidelines, section 1.85.20</w:t>
      </w:r>
    </w:p>
  </w:footnote>
  <w:footnote w:id="18">
    <w:p w14:paraId="1822F823" w14:textId="77777777" w:rsidR="00671E51" w:rsidRDefault="00671E51" w:rsidP="003907BB">
      <w:pPr>
        <w:pStyle w:val="FootnoteText"/>
      </w:pPr>
      <w:r>
        <w:rPr>
          <w:rStyle w:val="FootnoteReference"/>
        </w:rPr>
        <w:footnoteRef/>
      </w:r>
      <w:r>
        <w:t xml:space="preserve"> </w:t>
      </w:r>
      <w:r w:rsidRPr="008B4C44">
        <w:t>The Australian Government announced in the 2016-17 Budget that the Indigenous Support Program, the Commonwealth Scholarships Program, and the Indigenous Tutorial Assistance Scheme — Tertiary Tuition program would be consolidated under the Indigenous Advancement Strategy on 1 January 2017.</w:t>
      </w:r>
    </w:p>
  </w:footnote>
  <w:footnote w:id="19">
    <w:p w14:paraId="10961DAD" w14:textId="77777777" w:rsidR="00671E51" w:rsidRDefault="00671E51" w:rsidP="003907BB">
      <w:pPr>
        <w:pStyle w:val="FootnoteText"/>
      </w:pPr>
      <w:r>
        <w:rPr>
          <w:rStyle w:val="FootnoteReference"/>
        </w:rPr>
        <w:footnoteRef/>
      </w:r>
      <w:r>
        <w:t xml:space="preserve"> From 2008, this was changed to students from ‘regional and remote’ backgrounds.</w:t>
      </w:r>
    </w:p>
  </w:footnote>
  <w:footnote w:id="20">
    <w:p w14:paraId="69FD29D8" w14:textId="77777777" w:rsidR="00671E51" w:rsidRDefault="00671E51" w:rsidP="003907BB">
      <w:pPr>
        <w:pStyle w:val="FootnoteText"/>
      </w:pPr>
      <w:r>
        <w:rPr>
          <w:rStyle w:val="FootnoteReference"/>
        </w:rPr>
        <w:footnoteRef/>
      </w:r>
      <w:r>
        <w:t xml:space="preserve"> Expenditure on higher education programs table, Higher Education Reports 2006 through 2009, DEST and DEEWR.</w:t>
      </w:r>
    </w:p>
  </w:footnote>
  <w:footnote w:id="21">
    <w:p w14:paraId="303B45EC" w14:textId="77777777" w:rsidR="00671E51" w:rsidRDefault="00671E51" w:rsidP="003907BB">
      <w:pPr>
        <w:pStyle w:val="FootnoteText"/>
      </w:pPr>
      <w:r>
        <w:rPr>
          <w:rStyle w:val="FootnoteReference"/>
        </w:rPr>
        <w:footnoteRef/>
      </w:r>
      <w:r>
        <w:t xml:space="preserve"> Over 2010-2015, metropolitan universities received an average of $5.01 million in funding through the p</w:t>
      </w:r>
      <w:r w:rsidRPr="00AE5E57">
        <w:t xml:space="preserve">artnership </w:t>
      </w:r>
      <w:r>
        <w:t xml:space="preserve">grants rounds; regional universities received an average of $3.96 million. </w:t>
      </w:r>
    </w:p>
  </w:footnote>
  <w:footnote w:id="22">
    <w:p w14:paraId="6CF62B46" w14:textId="77777777" w:rsidR="00671E51" w:rsidRDefault="00671E51">
      <w:pPr>
        <w:pStyle w:val="FootnoteText"/>
      </w:pPr>
      <w:r>
        <w:rPr>
          <w:rStyle w:val="FootnoteReference"/>
        </w:rPr>
        <w:footnoteRef/>
      </w:r>
      <w:r>
        <w:t xml:space="preserve"> The Guidelines specify that Partnership activities, such as ‘effective outreach and related activities’ are to be undertaken with ‘appropriate stakeholders including, but not limited to, schools…’ (Section 1.70.1) and note that Partnership activities should be intended to ‘support collaboration between providers to ensure a coordinated approach to identifying and engaging with appropriate stakeholders including, but not limited to, schools…’ and to ‘concentrate resources to most effectively target low SES communities where aspirations to enter higher education are low and where matriculation to universities is poor’ (Section 1.70.5).</w:t>
      </w:r>
    </w:p>
  </w:footnote>
  <w:footnote w:id="23">
    <w:p w14:paraId="3AE713A4" w14:textId="77777777" w:rsidR="00671E51" w:rsidRDefault="00671E51" w:rsidP="004D175A">
      <w:pPr>
        <w:pStyle w:val="FootnoteText"/>
      </w:pPr>
      <w:r>
        <w:rPr>
          <w:rStyle w:val="FootnoteReference"/>
        </w:rPr>
        <w:footnoteRef/>
      </w:r>
      <w:r>
        <w:t xml:space="preserve"> The Guidelines, Section 1.70.1.</w:t>
      </w:r>
    </w:p>
  </w:footnote>
  <w:footnote w:id="24">
    <w:p w14:paraId="4DE9541E" w14:textId="77777777" w:rsidR="00671E51" w:rsidRDefault="00671E51" w:rsidP="004D175A">
      <w:pPr>
        <w:pStyle w:val="FootnoteText"/>
      </w:pPr>
      <w:r>
        <w:rPr>
          <w:rStyle w:val="FootnoteReference"/>
        </w:rPr>
        <w:footnoteRef/>
      </w:r>
      <w:r>
        <w:t xml:space="preserve"> The Guidelines, Section 1.70.5</w:t>
      </w:r>
    </w:p>
  </w:footnote>
  <w:footnote w:id="25">
    <w:p w14:paraId="0B4CDF10" w14:textId="77777777" w:rsidR="00671E51" w:rsidRDefault="00671E51" w:rsidP="004D175A">
      <w:pPr>
        <w:pStyle w:val="FootnoteText"/>
      </w:pPr>
      <w:r>
        <w:rPr>
          <w:rStyle w:val="FootnoteReference"/>
        </w:rPr>
        <w:footnoteRef/>
      </w:r>
      <w:r>
        <w:t xml:space="preserve"> The assumptions and implications of the goal of aspiration raising are also discussed in the literature; see for example Gore et al. 2015; Gale et al. 2010; Harvey et al. 2016; Lynch et al. 2015.</w:t>
      </w:r>
    </w:p>
  </w:footnote>
  <w:footnote w:id="26">
    <w:p w14:paraId="1F162C53" w14:textId="77777777" w:rsidR="00671E51" w:rsidRDefault="00671E51" w:rsidP="004D175A">
      <w:pPr>
        <w:pStyle w:val="FootnoteText"/>
      </w:pPr>
      <w:r>
        <w:rPr>
          <w:rStyle w:val="FootnoteReference"/>
        </w:rPr>
        <w:footnoteRef/>
      </w:r>
      <w:r>
        <w:t xml:space="preserve"> The Guidelines, Section 1.70.1.</w:t>
      </w:r>
    </w:p>
  </w:footnote>
  <w:footnote w:id="27">
    <w:p w14:paraId="30AF38E1" w14:textId="77777777" w:rsidR="00671E51" w:rsidRDefault="00671E51" w:rsidP="004D175A">
      <w:pPr>
        <w:pStyle w:val="FootnoteText"/>
      </w:pPr>
      <w:r>
        <w:rPr>
          <w:rStyle w:val="FootnoteReference"/>
        </w:rPr>
        <w:footnoteRef/>
      </w:r>
      <w:r>
        <w:t xml:space="preserve"> When the comparison was confined to Bridges and non-Bridges schools in low socioeconomic areas, the difference was even more marked (6.09 per cent for low socioeconomic Bridges schools, compared with 0.97 per cent for low socioeconomic non-Bridges schools, a difference of 5.13 per cent). The corresponding difference between Bridges and non-Bridges schools in non-low socioeconomic areas was only 0.24 per cent.</w:t>
      </w:r>
    </w:p>
  </w:footnote>
  <w:footnote w:id="28">
    <w:p w14:paraId="4D25E994" w14:textId="77777777" w:rsidR="00671E51" w:rsidRDefault="00671E51" w:rsidP="004D175A">
      <w:pPr>
        <w:pStyle w:val="FootnoteText"/>
      </w:pPr>
      <w:r>
        <w:rPr>
          <w:rStyle w:val="FootnoteReference"/>
        </w:rPr>
        <w:footnoteRef/>
      </w:r>
      <w:r>
        <w:t xml:space="preserve"> Several evaluations discussed in this section compare participant schools’ university application rate with other schools or all schools within the relevant state. While this comparison is useful, it is more instructive to compare participant schools with similar schools.</w:t>
      </w:r>
    </w:p>
  </w:footnote>
  <w:footnote w:id="29">
    <w:p w14:paraId="6027BCBA" w14:textId="77777777" w:rsidR="00671E51" w:rsidRDefault="00671E51" w:rsidP="00090683">
      <w:pPr>
        <w:pStyle w:val="FootnoteText"/>
      </w:pPr>
      <w:r>
        <w:rPr>
          <w:rStyle w:val="FootnoteReference"/>
        </w:rPr>
        <w:footnoteRef/>
      </w:r>
      <w:r>
        <w:t xml:space="preserve"> One project is not included in the analysis for this chapter, as the project was also funded through the Partnership component and its documentation has thus been included in Partnership analysis.</w:t>
      </w:r>
    </w:p>
  </w:footnote>
  <w:footnote w:id="30">
    <w:p w14:paraId="6F80088E" w14:textId="77777777" w:rsidR="00671E51" w:rsidRDefault="00671E51" w:rsidP="00090683">
      <w:pPr>
        <w:pStyle w:val="FootnoteText"/>
      </w:pPr>
      <w:r>
        <w:rPr>
          <w:rStyle w:val="FootnoteReference"/>
        </w:rPr>
        <w:footnoteRef/>
      </w:r>
      <w:r>
        <w:t xml:space="preserve"> Of the 65 total projects (including commissioned and university proposed), six fell into both categories as they addressed the ‘building the evidence base’ priority area as well as another priority area.</w:t>
      </w:r>
    </w:p>
  </w:footnote>
  <w:footnote w:id="31">
    <w:p w14:paraId="1DD51963" w14:textId="77777777" w:rsidR="00671E51" w:rsidRDefault="00671E51" w:rsidP="00090683">
      <w:pPr>
        <w:pStyle w:val="FootnoteText"/>
      </w:pPr>
      <w:r>
        <w:rPr>
          <w:rStyle w:val="FootnoteReference"/>
        </w:rPr>
        <w:footnoteRef/>
      </w:r>
      <w:r>
        <w:t xml:space="preserve"> There are an additional six projects which intend to build the evidence base as well as addressing another priority area. This section will analyse the 29 projects that are intended to build the evidence base only.</w:t>
      </w:r>
    </w:p>
  </w:footnote>
  <w:footnote w:id="32">
    <w:p w14:paraId="133BB0BA" w14:textId="77777777" w:rsidR="00671E51" w:rsidRDefault="00671E51" w:rsidP="00090683">
      <w:pPr>
        <w:pStyle w:val="FootnoteText"/>
      </w:pPr>
      <w:r>
        <w:rPr>
          <w:rStyle w:val="FootnoteReference"/>
        </w:rPr>
        <w:footnoteRef/>
      </w:r>
      <w:r>
        <w:t xml:space="preserve"> </w:t>
      </w:r>
      <w:r w:rsidRPr="001A2F85">
        <w:t>Research projects have varied in size, from $34,000 to $500,000 (for the NCSEHE Fellows Programme).</w:t>
      </w:r>
    </w:p>
  </w:footnote>
  <w:footnote w:id="33">
    <w:p w14:paraId="73F7872A" w14:textId="77777777" w:rsidR="00671E51" w:rsidRDefault="00671E51" w:rsidP="00090683">
      <w:pPr>
        <w:pStyle w:val="FootnoteText"/>
      </w:pPr>
      <w:r>
        <w:rPr>
          <w:rStyle w:val="FootnoteReference"/>
        </w:rPr>
        <w:footnoteRef/>
      </w:r>
      <w:r>
        <w:t xml:space="preserve"> Namely, the Higher Education Participation and Partnerships Program: National Forum on Indigenous Pathways and Transitions into Higher Education (Darwin, NT); the National Association of Enabling Educators of Australia conference (Sydney, NSW); and the Australian Association for Research in Education (Perth, WA).</w:t>
      </w:r>
    </w:p>
  </w:footnote>
  <w:footnote w:id="34">
    <w:p w14:paraId="7A094DEA" w14:textId="77777777" w:rsidR="00671E51" w:rsidRDefault="00671E51" w:rsidP="00090683">
      <w:pPr>
        <w:pStyle w:val="FootnoteText"/>
      </w:pPr>
      <w:r>
        <w:rPr>
          <w:rStyle w:val="FootnoteReference"/>
        </w:rPr>
        <w:footnoteRef/>
      </w:r>
      <w:r>
        <w:t xml:space="preserve"> Conference presentations were made to the </w:t>
      </w:r>
      <w:r w:rsidRPr="00EA729D">
        <w:t xml:space="preserve">Equity Practitioners in Higher Education Australasia </w:t>
      </w:r>
      <w:r>
        <w:t>C</w:t>
      </w:r>
      <w:r w:rsidRPr="00EA729D">
        <w:t>onference</w:t>
      </w:r>
      <w:r>
        <w:t xml:space="preserve"> (Geelong, Victoria), and the </w:t>
      </w:r>
      <w:r w:rsidRPr="00EA729D">
        <w:t>Australasian Association for Institution Research Forum</w:t>
      </w:r>
      <w:r>
        <w:t xml:space="preserve"> (Wellington, New Zealand).</w:t>
      </w:r>
    </w:p>
  </w:footnote>
  <w:footnote w:id="35">
    <w:p w14:paraId="51FF0D5B" w14:textId="77777777" w:rsidR="00671E51" w:rsidRDefault="00671E51" w:rsidP="00090683">
      <w:pPr>
        <w:pStyle w:val="FootnoteText"/>
      </w:pPr>
      <w:r>
        <w:rPr>
          <w:rStyle w:val="FootnoteReference"/>
        </w:rPr>
        <w:footnoteRef/>
      </w:r>
      <w:r>
        <w:t xml:space="preserve"> </w:t>
      </w:r>
      <w:r w:rsidRPr="00FE6BEE">
        <w:t>The majority of trial projects targeted low SES people generally (80 per cent; 24 projects), although several were focused on low SES people from regional and remote areas (three projects). One project targeted each of the following categories: low SES people from Indigenous backgrounds, both low SES Indigenous students and those from regional and remote areas, and women studying in non-traditional areas (three projects in total).</w:t>
      </w:r>
    </w:p>
  </w:footnote>
  <w:footnote w:id="36">
    <w:p w14:paraId="40B045EF" w14:textId="77777777" w:rsidR="00671E51" w:rsidRDefault="00671E51" w:rsidP="00090683">
      <w:pPr>
        <w:pStyle w:val="FootnoteText"/>
      </w:pPr>
      <w:r>
        <w:rPr>
          <w:rStyle w:val="FootnoteReference"/>
        </w:rPr>
        <w:footnoteRef/>
      </w:r>
      <w:r w:rsidRPr="003158E7">
        <w:t xml:space="preserve"> </w:t>
      </w:r>
      <w:r>
        <w:t>Q</w:t>
      </w:r>
      <w:r w:rsidRPr="003158E7">
        <w:t xml:space="preserve">uasi-experimental </w:t>
      </w:r>
      <w:r>
        <w:t xml:space="preserve">studies </w:t>
      </w:r>
      <w:r w:rsidRPr="003158E7">
        <w:t xml:space="preserve">control assignment to the </w:t>
      </w:r>
      <w:r>
        <w:t xml:space="preserve">intervention </w:t>
      </w:r>
      <w:r w:rsidRPr="003158E7">
        <w:t xml:space="preserve">using </w:t>
      </w:r>
      <w:r>
        <w:t xml:space="preserve">a </w:t>
      </w:r>
      <w:r w:rsidRPr="003158E7">
        <w:t>criterion other than random assignment</w:t>
      </w:r>
      <w:r>
        <w:t>. The closer to random the criterion is, the more rigourous the results are likely to be, all things being equal. Q</w:t>
      </w:r>
      <w:r w:rsidRPr="00B17ACE">
        <w:t xml:space="preserve">uasi-experimental designs are </w:t>
      </w:r>
      <w:r>
        <w:t>suitable when randomis</w:t>
      </w:r>
      <w:r w:rsidRPr="00B17ACE">
        <w:t>ation is impractical and/or unethical</w:t>
      </w:r>
      <w:r>
        <w:t>.</w:t>
      </w:r>
    </w:p>
  </w:footnote>
  <w:footnote w:id="37">
    <w:p w14:paraId="4577AE8D" w14:textId="77777777" w:rsidR="00671E51" w:rsidRDefault="00671E51" w:rsidP="00090683">
      <w:pPr>
        <w:pStyle w:val="FootnoteText"/>
      </w:pPr>
      <w:r>
        <w:rPr>
          <w:rStyle w:val="FootnoteReference"/>
        </w:rPr>
        <w:footnoteRef/>
      </w:r>
      <w:r>
        <w:t xml:space="preserve"> For the majority of these projects, more than one journal submission was made (with an average of almost four), and 11 publication submissions were made for one project from Charles Darwin University,</w:t>
      </w:r>
      <w:r w:rsidRPr="007A4C4A">
        <w:t xml:space="preserve"> </w:t>
      </w:r>
      <w:r>
        <w:t>‘</w:t>
      </w:r>
      <w:r w:rsidRPr="001431AD">
        <w:t>Building Evidence about Indigenous pathways and transitions into Higher Education’</w:t>
      </w:r>
      <w:r>
        <w:t xml:space="preserve">. This project involved the preparation and publication of a co-edited book (due to be published in September 2016), entitled: </w:t>
      </w:r>
      <w:r>
        <w:rPr>
          <w:i/>
        </w:rPr>
        <w:t>Indigenous Pathways, Transitions and Participation in Higher Education: From Policy to Practice</w:t>
      </w:r>
      <w:r>
        <w:t>.</w:t>
      </w:r>
    </w:p>
  </w:footnote>
  <w:footnote w:id="38">
    <w:p w14:paraId="1B703110" w14:textId="77777777" w:rsidR="00671E51" w:rsidRDefault="00671E51" w:rsidP="00090683">
      <w:pPr>
        <w:pStyle w:val="FootnoteText"/>
      </w:pPr>
      <w:r>
        <w:rPr>
          <w:rStyle w:val="FootnoteReference"/>
        </w:rPr>
        <w:footnoteRef/>
      </w:r>
      <w:r>
        <w:t xml:space="preserve"> Students’ addresses to an ABS 2011 SA1 (54,805 regions, with populations in the range 200-800, for the 2011 Census), with the SES value derived from the </w:t>
      </w:r>
      <w:r>
        <w:rPr>
          <w:lang w:eastAsia="en-AU"/>
        </w:rPr>
        <w:t xml:space="preserve">ABSs' Socio-Economic Indexes for Areas (SEIFA) Index of </w:t>
      </w:r>
      <w:r>
        <w:rPr>
          <w:color w:val="000000"/>
          <w:lang w:eastAsia="en-AU"/>
        </w:rPr>
        <w:t>Education and Occupation (IEO)</w:t>
      </w:r>
      <w:r>
        <w:t xml:space="preserve"> for SA1 areas. SA1s in the bottom 25% of the population aged 15-64 are classified as low SES (</w:t>
      </w:r>
      <w:r>
        <w:rPr>
          <w:color w:val="000000"/>
          <w:lang w:eastAsia="en-AU"/>
        </w:rPr>
        <w:t xml:space="preserve">the middle 50% are classified as medium SES and the top 25% are classified as high SES). An estimate of the number of low SES students is made by counting the number of students whose SA1 is in a low SES area. Address information for a small proportion of higher education students is not available. In this case, the postcode of permanent home residence of the student is used to determine their SES status. </w:t>
      </w:r>
      <w:r>
        <w:t>A small number of students are unable to be classified to a ‘low’, ‘medium’ or ‘high’ SES status, these students are therefore assigned to ‘unknown’.</w:t>
      </w:r>
    </w:p>
  </w:footnote>
  <w:footnote w:id="39">
    <w:p w14:paraId="3A17047C" w14:textId="77777777" w:rsidR="00671E51" w:rsidRDefault="00671E51" w:rsidP="00090683">
      <w:pPr>
        <w:pStyle w:val="FootnoteText"/>
      </w:pPr>
      <w:r>
        <w:rPr>
          <w:rStyle w:val="FootnoteReference"/>
        </w:rPr>
        <w:footnoteRef/>
      </w:r>
      <w:r>
        <w:t xml:space="preserve"> </w:t>
      </w:r>
      <w:r w:rsidRPr="00846ACB">
        <w:t>The share of high SES applications, offers and commencements has declined over this period, while the medium SES share has grown. The share of low SES applications has grown quicker than the share of medium SES applications.</w:t>
      </w:r>
    </w:p>
  </w:footnote>
  <w:footnote w:id="40">
    <w:p w14:paraId="2013E270" w14:textId="77777777" w:rsidR="00671E51" w:rsidRDefault="00671E51" w:rsidP="00090683">
      <w:pPr>
        <w:pStyle w:val="FootnoteText"/>
      </w:pPr>
      <w:r>
        <w:rPr>
          <w:rStyle w:val="FootnoteReference"/>
        </w:rPr>
        <w:footnoteRef/>
      </w:r>
      <w:r>
        <w:t xml:space="preserve"> More formally, retention rate for year(x) = the number of domestic onshore students who commenced an undergraduate course in year(x) and continue in year(x+1) as a proportion of students who were enrolled in an undergraduate course in year(x) and did not complete the course in year(x).</w:t>
      </w:r>
    </w:p>
  </w:footnote>
  <w:footnote w:id="41">
    <w:p w14:paraId="35E2B0EA" w14:textId="77777777" w:rsidR="00671E51" w:rsidRDefault="00671E51" w:rsidP="00090683">
      <w:pPr>
        <w:pStyle w:val="FootnoteText"/>
      </w:pPr>
      <w:r>
        <w:rPr>
          <w:rStyle w:val="FootnoteReference"/>
        </w:rPr>
        <w:footnoteRef/>
      </w:r>
      <w:r>
        <w:t xml:space="preserve"> More formally, the success rate for year(x) is the proportion of actual student load (EFTSL) for units of study that are passed divided by the EFTSL for all units of study attempted (passed + failed + withdrawn) (</w:t>
      </w:r>
      <w:r w:rsidRPr="00A00EE2">
        <w:rPr>
          <w:rFonts w:eastAsia="Calibri" w:cs="Calibri"/>
          <w:szCs w:val="16"/>
        </w:rPr>
        <w:t>where</w:t>
      </w:r>
      <w:r>
        <w:rPr>
          <w:rFonts w:eastAsia="Calibri" w:cs="Calibri"/>
          <w:szCs w:val="16"/>
        </w:rPr>
        <w:t xml:space="preserve"> </w:t>
      </w:r>
      <w:r w:rsidRPr="00A00EE2">
        <w:rPr>
          <w:rFonts w:eastAsia="Calibri" w:cs="Calibri"/>
          <w:szCs w:val="16"/>
        </w:rPr>
        <w:t xml:space="preserve">withdrawn </w:t>
      </w:r>
      <w:r>
        <w:rPr>
          <w:rFonts w:eastAsia="Calibri" w:cs="Calibri"/>
          <w:szCs w:val="16"/>
        </w:rPr>
        <w:t xml:space="preserve">refers to withdrawn </w:t>
      </w:r>
      <w:r w:rsidRPr="00A00EE2">
        <w:rPr>
          <w:rFonts w:eastAsia="Calibri" w:cs="Calibri"/>
          <w:szCs w:val="16"/>
        </w:rPr>
        <w:t>from after the relevant census date(s).</w:t>
      </w:r>
    </w:p>
  </w:footnote>
  <w:footnote w:id="42">
    <w:p w14:paraId="54A9CCC2" w14:textId="77777777" w:rsidR="00671E51" w:rsidRDefault="00671E51" w:rsidP="00090683">
      <w:pPr>
        <w:pStyle w:val="FootnoteText"/>
      </w:pPr>
      <w:r>
        <w:rPr>
          <w:rStyle w:val="FootnoteReference"/>
        </w:rPr>
        <w:footnoteRef/>
      </w:r>
      <w:r>
        <w:t xml:space="preserve"> Completion rate for year(x) is the proportion of students who commenced in year(x) and completed their studies of all students who </w:t>
      </w:r>
      <w:r w:rsidRPr="00B13BB9">
        <w:t>commenced in year(x)</w:t>
      </w:r>
      <w:r w:rsidRPr="00DC05C2">
        <w:t xml:space="preserve"> across a defined time p</w:t>
      </w:r>
      <w:r w:rsidRPr="00B62D30">
        <w:t xml:space="preserve">eriod </w:t>
      </w:r>
      <w:r w:rsidRPr="006640EC">
        <w:t xml:space="preserve">normally four, six or </w:t>
      </w:r>
      <w:r>
        <w:t>nine</w:t>
      </w:r>
      <w:r w:rsidRPr="006640EC">
        <w:t xml:space="preserve"> years</w:t>
      </w:r>
      <w:r>
        <w:t>.</w:t>
      </w:r>
    </w:p>
  </w:footnote>
  <w:footnote w:id="43">
    <w:p w14:paraId="112120D2" w14:textId="77777777" w:rsidR="00671E51" w:rsidRDefault="00671E51" w:rsidP="00090683">
      <w:pPr>
        <w:pStyle w:val="FootnoteText"/>
      </w:pPr>
      <w:r>
        <w:rPr>
          <w:rStyle w:val="FootnoteReference"/>
        </w:rPr>
        <w:footnoteRef/>
      </w:r>
      <w:r>
        <w:t xml:space="preserve"> There are challenges in determining whether a student has dropped out of a course. A student may take a break from study of more than four years and still complete their course, but depending on the time period being studied, this student could be counted as having dropped out. As result, completion data should be interpreted cautiously.</w:t>
      </w:r>
    </w:p>
  </w:footnote>
  <w:footnote w:id="44">
    <w:p w14:paraId="3EF4D2CF" w14:textId="77777777" w:rsidR="00671E51" w:rsidRDefault="00671E51" w:rsidP="00090683">
      <w:pPr>
        <w:pStyle w:val="FootnoteText"/>
      </w:pPr>
      <w:r>
        <w:rPr>
          <w:rStyle w:val="FootnoteReference"/>
        </w:rPr>
        <w:footnoteRef/>
      </w:r>
      <w:r>
        <w:t xml:space="preserve"> This impact is based on data analysis undertaken for this evaluation and consultations with universities. </w:t>
      </w:r>
    </w:p>
  </w:footnote>
  <w:footnote w:id="45">
    <w:p w14:paraId="514823B8" w14:textId="77777777" w:rsidR="00671E51" w:rsidRDefault="00671E51" w:rsidP="00090683">
      <w:pPr>
        <w:pStyle w:val="FootnoteText"/>
      </w:pPr>
      <w:r>
        <w:rPr>
          <w:rStyle w:val="FootnoteReference"/>
        </w:rPr>
        <w:footnoteRef/>
      </w:r>
      <w:r>
        <w:t xml:space="preserve"> The period 2009-2014 is used as 2014 is the last year for which retention data are available. </w:t>
      </w:r>
    </w:p>
  </w:footnote>
  <w:footnote w:id="46">
    <w:p w14:paraId="578F1F7C" w14:textId="77777777" w:rsidR="00671E51" w:rsidRDefault="00671E51" w:rsidP="00090683">
      <w:pPr>
        <w:pStyle w:val="FootnoteText"/>
      </w:pPr>
      <w:r>
        <w:rPr>
          <w:rStyle w:val="FootnoteReference"/>
        </w:rPr>
        <w:footnoteRef/>
      </w:r>
      <w:r>
        <w:t xml:space="preserve"> As noted in Chapter 2, the HEPPP project inventory has been compiled from the universities’ HEPPP annual reports and includes 2679 projects. </w:t>
      </w:r>
    </w:p>
  </w:footnote>
  <w:footnote w:id="47">
    <w:p w14:paraId="28B7C97D" w14:textId="77777777" w:rsidR="00671E51" w:rsidRDefault="00671E51" w:rsidP="00090683">
      <w:pPr>
        <w:pStyle w:val="FootnoteText"/>
      </w:pPr>
      <w:r>
        <w:rPr>
          <w:rStyle w:val="FootnoteReference"/>
        </w:rPr>
        <w:footnoteRef/>
      </w:r>
      <w:r>
        <w:t xml:space="preserve"> The </w:t>
      </w:r>
      <w:r w:rsidRPr="00411FB5">
        <w:rPr>
          <w:rFonts w:cs="Calibri"/>
          <w:sz w:val="18"/>
          <w:szCs w:val="18"/>
        </w:rPr>
        <w:t xml:space="preserve">relevant income support payment criteria </w:t>
      </w:r>
      <w:r>
        <w:rPr>
          <w:rFonts w:cs="Calibri"/>
          <w:sz w:val="18"/>
          <w:szCs w:val="18"/>
        </w:rPr>
        <w:t>were</w:t>
      </w:r>
      <w:r w:rsidRPr="00411FB5">
        <w:rPr>
          <w:rFonts w:cs="Calibri"/>
          <w:sz w:val="18"/>
          <w:szCs w:val="18"/>
        </w:rPr>
        <w:t xml:space="preserve"> relation to the following payment types: Dependent Youth Allowance (full-time students), ABSTUDY (Living Allowance), Austudy; Pensioner Education Supplement; ABSTUDY Pensioner Education Supplement; and ABSTUDY Away from base assistance.</w:t>
      </w:r>
    </w:p>
  </w:footnote>
  <w:footnote w:id="48">
    <w:p w14:paraId="2DB99A67" w14:textId="77777777" w:rsidR="00671E51" w:rsidRDefault="00671E51" w:rsidP="00090683">
      <w:pPr>
        <w:pStyle w:val="FootnoteText"/>
      </w:pPr>
      <w:r>
        <w:rPr>
          <w:rStyle w:val="FootnoteReference"/>
        </w:rPr>
        <w:footnoteRef/>
      </w:r>
      <w:r>
        <w:t xml:space="preserve"> It is not possible to calculate the funding level required to meet the 4 per cent recommendation for </w:t>
      </w:r>
      <w:r w:rsidRPr="001A2F85">
        <w:t xml:space="preserve">2015 and 2016 </w:t>
      </w:r>
      <w:r>
        <w:t xml:space="preserve">as </w:t>
      </w:r>
      <w:r w:rsidRPr="001A2F85">
        <w:t xml:space="preserve">Higher Education Finance </w:t>
      </w:r>
      <w:r>
        <w:t xml:space="preserve">data, </w:t>
      </w:r>
      <w:r w:rsidRPr="001A2F85">
        <w:t xml:space="preserve">which reports </w:t>
      </w:r>
      <w:r>
        <w:t>the CGS funding levels, is not yet available for 2015 and 2016</w:t>
      </w:r>
      <w:r w:rsidRPr="001A2F85">
        <w:t>.</w:t>
      </w:r>
    </w:p>
  </w:footnote>
  <w:footnote w:id="49">
    <w:p w14:paraId="44651AAA" w14:textId="77777777" w:rsidR="00671E51" w:rsidRDefault="00671E51" w:rsidP="00090683">
      <w:pPr>
        <w:pStyle w:val="FootnoteText"/>
      </w:pPr>
      <w:r>
        <w:rPr>
          <w:rStyle w:val="FootnoteReference"/>
        </w:rPr>
        <w:footnoteRef/>
      </w:r>
      <w:r>
        <w:t xml:space="preserve"> </w:t>
      </w:r>
      <w:r w:rsidRPr="00212233">
        <w:t>According to information provided by universities to the Base Funding Review, ‘the estimated additional cost of increasing the participation of low SES students ranged from nothing to around $2,000 per EFTSL. The majority of institutions put the figure at between $500 and $1,000 per EFTSL.’</w:t>
      </w:r>
    </w:p>
  </w:footnote>
  <w:footnote w:id="50">
    <w:p w14:paraId="75BCBCE7" w14:textId="77777777" w:rsidR="00671E51" w:rsidRDefault="00671E51" w:rsidP="00090683">
      <w:pPr>
        <w:pStyle w:val="FootnoteText"/>
      </w:pPr>
      <w:r w:rsidRPr="00955EED">
        <w:rPr>
          <w:rStyle w:val="FootnoteReference"/>
          <w:szCs w:val="16"/>
        </w:rPr>
        <w:footnoteRef/>
      </w:r>
      <w:r w:rsidRPr="00955EED">
        <w:rPr>
          <w:szCs w:val="16"/>
        </w:rPr>
        <w:t xml:space="preserve"> The adjusted mean estimates of university staff effort and recurrent costs are 23 days of staffing effort and $13,574 of recurrent costs.</w:t>
      </w:r>
    </w:p>
  </w:footnote>
  <w:footnote w:id="51">
    <w:p w14:paraId="64A7DF41" w14:textId="77777777" w:rsidR="00671E51" w:rsidRDefault="00671E51" w:rsidP="00090683">
      <w:pPr>
        <w:pStyle w:val="FootnoteText"/>
      </w:pPr>
      <w:r>
        <w:rPr>
          <w:rStyle w:val="FootnoteReference"/>
        </w:rPr>
        <w:footnoteRef/>
      </w:r>
      <w:r>
        <w:t xml:space="preserve"> This analysis does not include partnership activities that may have been funded using Participation component funding.</w:t>
      </w:r>
    </w:p>
  </w:footnote>
  <w:footnote w:id="52">
    <w:p w14:paraId="172CABD7" w14:textId="77777777" w:rsidR="00671E51" w:rsidRDefault="00671E51" w:rsidP="00090683">
      <w:pPr>
        <w:pStyle w:val="FootnoteText"/>
      </w:pPr>
      <w:r>
        <w:rPr>
          <w:rStyle w:val="FootnoteReference"/>
        </w:rPr>
        <w:footnoteRef/>
      </w:r>
      <w:r>
        <w:t xml:space="preserve"> Guidelines section 1.80.5(e)</w:t>
      </w:r>
    </w:p>
  </w:footnote>
  <w:footnote w:id="53">
    <w:p w14:paraId="27C907D0" w14:textId="77777777" w:rsidR="00671E51" w:rsidRDefault="00671E51" w:rsidP="00090683">
      <w:pPr>
        <w:pStyle w:val="FootnoteText"/>
      </w:pPr>
      <w:r>
        <w:rPr>
          <w:rStyle w:val="FootnoteReference"/>
        </w:rPr>
        <w:footnoteRef/>
      </w:r>
      <w:r>
        <w:t xml:space="preserve"> These areas were: the Natural and Physical Sciences; Information Technology; Engineering and Related Technologies; Architecture and Building; Agriculture, Environmental and Related Studies; Management and Commerce; and the narrow field of education (Economics and Econometrics).</w:t>
      </w:r>
    </w:p>
  </w:footnote>
  <w:footnote w:id="54">
    <w:p w14:paraId="663D6C95" w14:textId="77777777" w:rsidR="00671E51" w:rsidRDefault="00671E51" w:rsidP="00090683">
      <w:pPr>
        <w:pStyle w:val="FootnoteText"/>
      </w:pPr>
      <w:r>
        <w:rPr>
          <w:rStyle w:val="FootnoteReference"/>
        </w:rPr>
        <w:footnoteRef/>
      </w:r>
      <w:r>
        <w:t xml:space="preserve"> Gonski et al. (2012) provided indicative ranges for this additional funding—for low SES: 10 per cent extra for each low SES student in schools with under 10 per cent of students in the lowest SES quarter; up to 50 per cent extra for each low SES student in schools with more than 75% of students in the lowest SES quarter.</w:t>
      </w:r>
    </w:p>
  </w:footnote>
  <w:footnote w:id="55">
    <w:p w14:paraId="5D7B8EE8" w14:textId="77777777" w:rsidR="00671E51" w:rsidRDefault="00671E51" w:rsidP="00090683">
      <w:pPr>
        <w:pStyle w:val="FootnoteText"/>
      </w:pPr>
      <w:r>
        <w:rPr>
          <w:rStyle w:val="FootnoteReference"/>
        </w:rPr>
        <w:footnoteRef/>
      </w:r>
      <w:r>
        <w:t xml:space="preserve"> The ABS derives three other socioeconomic indexes for areas: The Index of Relative Socio-Economic Disadvantage; The Index of Relative Socio-Economic Advantage and Disadvantage; and The Index of Economic Resources. Each of the four indexes include different components, and the indexes are correlated.</w:t>
      </w:r>
    </w:p>
  </w:footnote>
  <w:footnote w:id="56">
    <w:p w14:paraId="68264101" w14:textId="77777777" w:rsidR="00671E51" w:rsidRDefault="00671E51" w:rsidP="00090683">
      <w:pPr>
        <w:pStyle w:val="FootnoteText"/>
      </w:pPr>
      <w:r>
        <w:rPr>
          <w:rStyle w:val="FootnoteReference"/>
        </w:rPr>
        <w:footnoteRef/>
      </w:r>
      <w:r>
        <w:t xml:space="preserve"> The ABS moved to a n</w:t>
      </w:r>
      <w:r w:rsidRPr="007F28F7">
        <w:t xml:space="preserve">ew statistical geography </w:t>
      </w:r>
      <w:r>
        <w:t xml:space="preserve">for SEIFA in 2013, which saw data collected by SA1s, rather than by census Collection Districts. SA1s are more accurate as they are relatively consistent in population size and character, whereas census Collection Districts are </w:t>
      </w:r>
      <w:r w:rsidRPr="007F28F7">
        <w:t>inconsistent in population size and heterogeneous in character</w:t>
      </w:r>
      <w:r>
        <w:t xml:space="preserve"> (ABS 2014).</w:t>
      </w:r>
    </w:p>
  </w:footnote>
  <w:footnote w:id="57">
    <w:p w14:paraId="1E98C4B1" w14:textId="77777777" w:rsidR="00671E51" w:rsidRDefault="00671E51" w:rsidP="00090683">
      <w:pPr>
        <w:pStyle w:val="FootnoteText"/>
      </w:pPr>
      <w:r>
        <w:rPr>
          <w:rStyle w:val="FootnoteReference"/>
        </w:rPr>
        <w:footnoteRef/>
      </w:r>
      <w:r>
        <w:t xml:space="preserve"> Also: ‘The proliferation of equity support initiatives funded through HEPPP has been accompanied by an insufficient assessment of the value of those initiatives; an inconsistency in program evaluation across and between programs and institutions; and a lack of independence on measuring the efficiency of public expenditure. Given these factors, it is unclear how efficient some support programs are in achieving their stated aims.’ (NCSEHE, Submission 42)</w:t>
      </w:r>
    </w:p>
  </w:footnote>
  <w:footnote w:id="58">
    <w:p w14:paraId="65BE8168" w14:textId="77777777" w:rsidR="00671E51" w:rsidRDefault="00671E51" w:rsidP="00090683">
      <w:pPr>
        <w:pStyle w:val="FootnoteText"/>
      </w:pPr>
      <w:r>
        <w:rPr>
          <w:rStyle w:val="FootnoteReference"/>
        </w:rPr>
        <w:footnoteRef/>
      </w:r>
      <w:r>
        <w:t xml:space="preserve"> One submission argued against any further reporting or evaluation requirements: ‘the ongoing focus on reporting specific activities and acquittal of the funds… discourage an integrated approach to student services delivery that ensures all students gain needed support. Further, the reporting that universities meet for the smaller programs such as HEPPP are more intensive than for the major Commonwealth Grant Scheme and research block grant programs…’ (IRU, Submission 96). </w:t>
      </w:r>
    </w:p>
  </w:footnote>
  <w:footnote w:id="59">
    <w:p w14:paraId="58775B15" w14:textId="77777777" w:rsidR="00671E51" w:rsidRDefault="00671E51" w:rsidP="00090683">
      <w:pPr>
        <w:pStyle w:val="FootnoteText"/>
      </w:pPr>
      <w:r>
        <w:rPr>
          <w:rStyle w:val="FootnoteReference"/>
        </w:rPr>
        <w:footnoteRef/>
      </w:r>
      <w:r>
        <w:t xml:space="preserve"> Irish Travellers are an Indigenous minority group, with a population estimated at between 22,000 and 36,000 in the Republic of Ireland. As a group, Irish Travellers have poorer outcomes than the broader population across a range of indicators, including education, employment and health. The Government of Ireland developed a </w:t>
      </w:r>
      <w:r>
        <w:rPr>
          <w:i/>
        </w:rPr>
        <w:t xml:space="preserve">National Traveller / Roma Integration Strategy </w:t>
      </w:r>
      <w:r>
        <w:t>in 2011 and is currently undertaking consultation to develop a new strategy for 2016-2020 (Department of Justice and Equality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016" w:type="dxa"/>
      <w:tblInd w:w="-532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676"/>
    </w:tblGrid>
    <w:tr w:rsidR="00671E51" w14:paraId="21556339" w14:textId="77777777" w:rsidTr="00425AFC">
      <w:trPr>
        <w:trHeight w:hRule="exact" w:val="240"/>
      </w:trPr>
      <w:tc>
        <w:tcPr>
          <w:tcW w:w="5340" w:type="dxa"/>
          <w:shd w:val="clear" w:color="auto" w:fill="auto"/>
        </w:tcPr>
        <w:p w14:paraId="496D86EC" w14:textId="77777777" w:rsidR="00671E51" w:rsidRDefault="00671E51" w:rsidP="00425AFC">
          <w:pPr>
            <w:pStyle w:val="Header-CompanyName"/>
          </w:pPr>
        </w:p>
      </w:tc>
      <w:tc>
        <w:tcPr>
          <w:tcW w:w="5676" w:type="dxa"/>
          <w:shd w:val="clear" w:color="auto" w:fill="auto"/>
          <w:tcMar>
            <w:top w:w="56" w:type="dxa"/>
            <w:right w:w="0" w:type="dxa"/>
          </w:tcMar>
        </w:tcPr>
        <w:p w14:paraId="09DDE98C" w14:textId="77777777" w:rsidR="00671E51" w:rsidRDefault="00671E51" w:rsidP="00425AFC">
          <w:pPr>
            <w:pStyle w:val="Header-CompanyName"/>
          </w:pPr>
          <w:r w:rsidRPr="00DD7896">
            <w:rPr>
              <w:spacing w:val="28"/>
            </w:rPr>
            <w:t xml:space="preserve">ACIL ALLEN </w:t>
          </w:r>
          <w:r w:rsidRPr="00DD7896">
            <w:rPr>
              <w:color w:val="BEB6AF"/>
            </w:rPr>
            <w:t>CONSULTING</w:t>
          </w:r>
        </w:p>
      </w:tc>
    </w:tr>
  </w:tbl>
  <w:p w14:paraId="63CC407F" w14:textId="77777777" w:rsidR="00671E51" w:rsidRDefault="00671E51" w:rsidP="00425AFC">
    <w:pPr>
      <w:pStyle w:val="spacer"/>
    </w:pPr>
  </w:p>
  <w:tbl>
    <w:tblPr>
      <w:tblStyle w:val="TableGrid"/>
      <w:tblW w:w="6120" w:type="dxa"/>
      <w:tblInd w:w="1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5684"/>
    </w:tblGrid>
    <w:tr w:rsidR="00671E51" w14:paraId="4E774C23" w14:textId="77777777" w:rsidTr="00425AFC">
      <w:trPr>
        <w:trHeight w:hRule="exact" w:val="1744"/>
      </w:trPr>
      <w:tc>
        <w:tcPr>
          <w:tcW w:w="436" w:type="dxa"/>
          <w:shd w:val="clear" w:color="auto" w:fill="auto"/>
          <w:tcMar>
            <w:right w:w="0" w:type="dxa"/>
          </w:tcMar>
          <w:vAlign w:val="bottom"/>
        </w:tcPr>
        <w:p w14:paraId="2DD32A38" w14:textId="77777777" w:rsidR="00671E51" w:rsidRDefault="00671E51" w:rsidP="00425AFC">
          <w:pPr>
            <w:pStyle w:val="TOCHeading"/>
          </w:pPr>
        </w:p>
      </w:tc>
      <w:tc>
        <w:tcPr>
          <w:tcW w:w="5684" w:type="dxa"/>
          <w:shd w:val="clear" w:color="auto" w:fill="auto"/>
          <w:tcMar>
            <w:right w:w="88" w:type="dxa"/>
          </w:tcMar>
          <w:vAlign w:val="bottom"/>
        </w:tcPr>
        <w:p w14:paraId="19077745" w14:textId="77777777" w:rsidR="00671E51" w:rsidRDefault="00671E51" w:rsidP="00425AFC">
          <w:pPr>
            <w:pStyle w:val="TOCHeading"/>
          </w:pPr>
          <w:r>
            <w:t>Contents</w:t>
          </w:r>
        </w:p>
      </w:tc>
    </w:tr>
  </w:tbl>
  <w:p w14:paraId="51B0ABC9" w14:textId="77777777" w:rsidR="00671E51" w:rsidRPr="007B13DD" w:rsidRDefault="00671E51" w:rsidP="00425AF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57B00CF1" w14:textId="77777777" w:rsidTr="00B8447A">
      <w:trPr>
        <w:trHeight w:hRule="exact" w:val="240"/>
      </w:trPr>
      <w:tc>
        <w:tcPr>
          <w:tcW w:w="5258" w:type="dxa"/>
          <w:shd w:val="clear" w:color="auto" w:fill="auto"/>
        </w:tcPr>
        <w:p w14:paraId="4C246BC8" w14:textId="77777777" w:rsidR="00671E51" w:rsidRDefault="00671E51" w:rsidP="00B759F6">
          <w:pPr>
            <w:pStyle w:val="Header-CompanyName"/>
          </w:pPr>
        </w:p>
      </w:tc>
      <w:tc>
        <w:tcPr>
          <w:tcW w:w="5730" w:type="dxa"/>
          <w:shd w:val="clear" w:color="auto" w:fill="auto"/>
          <w:tcMar>
            <w:top w:w="56" w:type="dxa"/>
            <w:right w:w="8" w:type="dxa"/>
          </w:tcMar>
        </w:tcPr>
        <w:p w14:paraId="2C47C07C"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28896" behindDoc="1" locked="1" layoutInCell="1" allowOverlap="1" wp14:anchorId="17ED66B9" wp14:editId="098A93A3">
                    <wp:simplePos x="0" y="0"/>
                    <wp:positionH relativeFrom="rightMargin">
                      <wp:posOffset>-1345565</wp:posOffset>
                    </wp:positionH>
                    <wp:positionV relativeFrom="page">
                      <wp:posOffset>24765</wp:posOffset>
                    </wp:positionV>
                    <wp:extent cx="1329690" cy="65405"/>
                    <wp:effectExtent l="0" t="0" r="3810" b="0"/>
                    <wp:wrapNone/>
                    <wp:docPr id="41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17" name="Freeform 41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8" name="Freeform 41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E9EDBC" id="Group 7" o:spid="_x0000_s1026" style="position:absolute;margin-left:-105.95pt;margin-top:1.95pt;width:104.7pt;height:5.15pt;z-index:-2515875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FMNxYAAG+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CkKNFMNxYAAG+JAAAOAAAAAAAAAAAAAAAAAC4CAABk&#10;cnMvZTJvRG9jLnhtbFBLAQItABQABgAIAAAAIQCpF5zT3wAAAAgBAAAPAAAAAAAAAAAAAAAAAJEY&#10;AABkcnMvZG93bnJldi54bWxQSwUGAAAAAAQABADzAAAAnRkAAAAA&#10;">
                    <v:shape id="Freeform 41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KIMQA&#10;AADcAAAADwAAAGRycy9kb3ducmV2LnhtbESPwWrDMBBE74X+g9hCb43s1EmLEyWUQKCHhlDHH7BY&#10;W8vEWhlJjd2/rwKBHIeZecOst5PtxYV86BwryGcZCOLG6Y5bBfVp//IOIkRkjb1jUvBHAbabx4c1&#10;ltqN/E2XKrYiQTiUqMDEOJRShsaQxTBzA3Hyfpy3GJP0rdQexwS3vZxn2VJa7DgtGBxoZ6g5V79W&#10;AeavXp/qZT0eZFV8FSabL461Us9P08cKRKQp3sO39qdWUORvcD2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1ii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1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5OMQA&#10;AADcAAAADwAAAGRycy9kb3ducmV2LnhtbERPy2rCQBTdF/yH4QpuiplYrZQ0o9iAUnBTHwuXl8xt&#10;kpq5EzMTk/69syh0eTjvdD2YWtypdZVlBbMoBkGcW11xoeB82k7fQDiPrLG2TAp+ycF6NXpKMdG2&#10;5wPdj74QIYRdggpK75tESpeXZNBFtiEO3LdtDfoA20LqFvsQbmr5EsdLabDi0FBiQ1lJ+fXYGQXP&#10;Vbc/yay7ZB/msNi9bvqf+e1Lqcl42LyD8DT4f/Gf+1MrWMzC2nA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OTj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41407A1" w14:textId="01F6E0F9" w:rsidR="00671E51" w:rsidRPr="00B8447A" w:rsidRDefault="00671E51" w:rsidP="00B8447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CA86158" w14:textId="77777777" w:rsidTr="00B8447A">
      <w:trPr>
        <w:trHeight w:hRule="exact" w:val="240"/>
      </w:trPr>
      <w:tc>
        <w:tcPr>
          <w:tcW w:w="5258" w:type="dxa"/>
          <w:shd w:val="clear" w:color="auto" w:fill="auto"/>
        </w:tcPr>
        <w:p w14:paraId="63587E5B" w14:textId="77777777" w:rsidR="00671E51" w:rsidRDefault="00671E51" w:rsidP="00B759F6">
          <w:pPr>
            <w:pStyle w:val="Header-CompanyName"/>
          </w:pPr>
        </w:p>
      </w:tc>
      <w:tc>
        <w:tcPr>
          <w:tcW w:w="5730" w:type="dxa"/>
          <w:shd w:val="clear" w:color="auto" w:fill="auto"/>
          <w:tcMar>
            <w:top w:w="56" w:type="dxa"/>
            <w:right w:w="8" w:type="dxa"/>
          </w:tcMar>
        </w:tcPr>
        <w:p w14:paraId="54F45687"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30944" behindDoc="1" locked="1" layoutInCell="1" allowOverlap="1" wp14:anchorId="22AB40D1" wp14:editId="1EE24F38">
                    <wp:simplePos x="0" y="0"/>
                    <wp:positionH relativeFrom="rightMargin">
                      <wp:posOffset>-1345565</wp:posOffset>
                    </wp:positionH>
                    <wp:positionV relativeFrom="page">
                      <wp:posOffset>24765</wp:posOffset>
                    </wp:positionV>
                    <wp:extent cx="1329690" cy="65405"/>
                    <wp:effectExtent l="0" t="0" r="3810" b="0"/>
                    <wp:wrapNone/>
                    <wp:docPr id="41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20" name="Freeform 42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1" name="Freeform 42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16193E" id="Group 7" o:spid="_x0000_s1026" style="position:absolute;margin-left:-105.95pt;margin-top:1.95pt;width:104.7pt;height:5.15pt;z-index:-2515855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ZhP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j622YT4WAABviQAADgAAAAAAAAAAAAAA&#10;AAAuAgAAZHJzL2Uyb0RvYy54bWxQSwECLQAUAAYACAAAACEAqRec098AAAAIAQAADwAAAAAAAAAA&#10;AAAAAACYGAAAZHJzL2Rvd25yZXYueG1sUEsFBgAAAAAEAAQA8wAAAKQZAAAAAA==&#10;">
                    <v:shape id="Freeform 42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Y6cAA&#10;AADcAAAADwAAAGRycy9kb3ducmV2LnhtbERP3WrCMBS+H/gO4Qi7m6m1k1GNIoLgxYZY+wCH5qwp&#10;NiclibZ7++VisMuP73+7n2wvnuRD51jBcpGBIG6c7rhVUN9Obx8gQkTW2DsmBT8UYL+bvWyx1G7k&#10;Kz2r2IoUwqFEBSbGoZQyNIYshoUbiBP37bzFmKBvpfY4pnDbyzzL1tJix6nB4EBHQ829elgFuFx5&#10;favX9fglq+KzMFn+fqmVep1Phw2ISFP8F/+5z1pBkaf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DY6c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2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aGMYA&#10;AADcAAAADwAAAGRycy9kb3ducmV2LnhtbESPT2vCQBTE7wW/w/IEL6Vu/EuJrqIBpdBL1R56fGSf&#10;STT7NmY3Jv32rlDocZiZ3zDLdWdKcafaFZYVjIYRCOLU6oIzBd+n3ds7COeRNZaWScEvOVivei9L&#10;jLVt+UD3o89EgLCLUUHufRVL6dKcDLqhrYiDd7a1QR9knUldYxvgppTjKJpLgwWHhRwrSnJKr8fG&#10;KHgtms+TTJqfZGsO0/1s014mty+lBv1uswDhqfP/4b/2h1YwHY/geS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ZaG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E9E8332" w14:textId="77777777" w:rsidR="00671E51" w:rsidRPr="00B8447A" w:rsidRDefault="00671E51" w:rsidP="00B8447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646BDE42" w14:textId="77777777" w:rsidTr="00B8447A">
      <w:trPr>
        <w:trHeight w:hRule="exact" w:val="240"/>
      </w:trPr>
      <w:tc>
        <w:tcPr>
          <w:tcW w:w="5258" w:type="dxa"/>
          <w:shd w:val="clear" w:color="auto" w:fill="auto"/>
        </w:tcPr>
        <w:p w14:paraId="5F8CEC98" w14:textId="77777777" w:rsidR="00671E51" w:rsidRDefault="00671E51" w:rsidP="00B759F6">
          <w:pPr>
            <w:pStyle w:val="Header-CompanyName"/>
          </w:pPr>
        </w:p>
      </w:tc>
      <w:tc>
        <w:tcPr>
          <w:tcW w:w="5730" w:type="dxa"/>
          <w:shd w:val="clear" w:color="auto" w:fill="auto"/>
          <w:tcMar>
            <w:top w:w="56" w:type="dxa"/>
            <w:right w:w="8" w:type="dxa"/>
          </w:tcMar>
        </w:tcPr>
        <w:p w14:paraId="3C5D5AA9"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39136" behindDoc="1" locked="1" layoutInCell="1" allowOverlap="1" wp14:anchorId="193A7427" wp14:editId="7286BE67">
                    <wp:simplePos x="0" y="0"/>
                    <wp:positionH relativeFrom="rightMargin">
                      <wp:posOffset>-1345565</wp:posOffset>
                    </wp:positionH>
                    <wp:positionV relativeFrom="page">
                      <wp:posOffset>24765</wp:posOffset>
                    </wp:positionV>
                    <wp:extent cx="1329690" cy="65405"/>
                    <wp:effectExtent l="0" t="0" r="3810" b="0"/>
                    <wp:wrapNone/>
                    <wp:docPr id="43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32" name="Freeform 43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3" name="Freeform 43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7C2CCAB" id="Group 7" o:spid="_x0000_s1026" style="position:absolute;margin-left:-105.95pt;margin-top:1.95pt;width:104.7pt;height:5.15pt;z-index:-2515773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bwR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seZ28EQWAABviQAADgAAAAAA&#10;AAAAAAAAAAAuAgAAZHJzL2Uyb0RvYy54bWxQSwECLQAUAAYACAAAACEAqRec098AAAAIAQAADwAA&#10;AAAAAAAAAAAAAACeGAAAZHJzL2Rvd25yZXYueG1sUEsFBgAAAAAEAAQA8wAAAKoZAAAAAA==&#10;">
                    <v:shape id="Freeform 43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12MQA&#10;AADcAAAADwAAAGRycy9kb3ducmV2LnhtbESPUWvCMBSF3wf7D+EO9jZTaydSjTIGgz1MxNofcGmu&#10;TbG5KUlm6783A2GPh3POdzib3WR7cSUfOscK5rMMBHHjdMetgvr09bYCESKyxt4xKbhRgN32+WmD&#10;pXYjH+laxVYkCIcSFZgYh1LK0BiyGGZuIE7e2XmLMUnfSu1xTHDbyzzLltJix2nB4ECfhppL9WsV&#10;4Hzh9ale1uNeVsVPYbL8/VAr9foyfaxBRJrif/jR/tYKikUO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3ddj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3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3KccA&#10;AADcAAAADwAAAGRycy9kb3ducmV2LnhtbESPT2vCQBTE70K/w/IEL1I3NbaU1FVsQCn04r+Dx0f2&#10;mUSzb9PsxqTf3hUKPQ4z8xtmvuxNJW7UuNKygpdJBII4s7rkXMHxsH5+B+E8ssbKMin4JQfLxdNg&#10;jom2He/otve5CBB2CSoovK8TKV1WkEE3sTVx8M62MeiDbHKpG+wC3FRyGkVv0mDJYaHAmtKCsuu+&#10;NQrGZft9kGl7Sj/NbrZ5XXWX+Ger1GjYrz5AeOr9f/iv/aUVzOIY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R9yn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8EBF28E" w14:textId="77777777" w:rsidR="00671E51" w:rsidRPr="00B8447A" w:rsidRDefault="00671E51" w:rsidP="00B8447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C52A9D4" w14:textId="77777777" w:rsidTr="00B8447A">
      <w:trPr>
        <w:trHeight w:hRule="exact" w:val="240"/>
      </w:trPr>
      <w:tc>
        <w:tcPr>
          <w:tcW w:w="5258" w:type="dxa"/>
          <w:shd w:val="clear" w:color="auto" w:fill="auto"/>
        </w:tcPr>
        <w:p w14:paraId="4168F9BE" w14:textId="77777777" w:rsidR="00671E51" w:rsidRDefault="00671E51" w:rsidP="00B759F6">
          <w:pPr>
            <w:pStyle w:val="Header-CompanyName"/>
          </w:pPr>
        </w:p>
      </w:tc>
      <w:tc>
        <w:tcPr>
          <w:tcW w:w="5730" w:type="dxa"/>
          <w:shd w:val="clear" w:color="auto" w:fill="auto"/>
          <w:tcMar>
            <w:top w:w="56" w:type="dxa"/>
            <w:right w:w="8" w:type="dxa"/>
          </w:tcMar>
        </w:tcPr>
        <w:p w14:paraId="7341BF3E"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35040" behindDoc="1" locked="1" layoutInCell="1" allowOverlap="1" wp14:anchorId="4A4A110B" wp14:editId="167CA379">
                    <wp:simplePos x="0" y="0"/>
                    <wp:positionH relativeFrom="rightMargin">
                      <wp:posOffset>-1345565</wp:posOffset>
                    </wp:positionH>
                    <wp:positionV relativeFrom="page">
                      <wp:posOffset>24765</wp:posOffset>
                    </wp:positionV>
                    <wp:extent cx="1329690" cy="65405"/>
                    <wp:effectExtent l="0" t="0" r="3810" b="0"/>
                    <wp:wrapNone/>
                    <wp:docPr id="42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26" name="Freeform 42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7" name="Freeform 42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68F1785" id="Group 7" o:spid="_x0000_s1026" style="position:absolute;margin-left:-105.95pt;margin-top:1.95pt;width:104.7pt;height:5.15pt;z-index:-2515814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iuO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CLQ8iuOhYAAG+JAAAOAAAAAAAAAAAAAAAAAC4C&#10;AABkcnMvZTJvRG9jLnhtbFBLAQItABQABgAIAAAAIQCpF5zT3wAAAAgBAAAPAAAAAAAAAAAAAAAA&#10;AJQYAABkcnMvZG93bnJldi54bWxQSwUGAAAAAAQABADzAAAAoBkAAAAA&#10;">
                    <v:shape id="Freeform 42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lBsQA&#10;AADcAAAADwAAAGRycy9kb3ducmV2LnhtbESPwWrDMBBE74X+g9hCbokcxzHBjRJKodBDSqnjD1is&#10;rWVqrYykxs7fR4FCj8PMvGH2x9kO4kI+9I4VrFcZCOLW6Z47Bc35bbkDESKyxsExKbhSgOPh8WGP&#10;lXYTf9Gljp1IEA4VKjAxjpWUoTVkMazcSJy8b+ctxiR9J7XHKcHtIPMsK6XFntOCwZFeDbU/9a9V&#10;gOuN1+embKYPWRenwmT59rNRavE0vzyDiDTH//Bf+10rKPIS7mfSEZCH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V5Q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2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n98cA&#10;AADcAAAADwAAAGRycy9kb3ducmV2LnhtbESPQWvCQBSE74X+h+UVvIhutLaW1FVswFLwYtSDx0f2&#10;NUnNvk2zGxP/vVsQehxm5htmsepNJS7UuNKygsk4AkGcWV1yruB42IzeQDiPrLGyTAqu5GC1fHxY&#10;YKxtxyld9j4XAcIuRgWF93UspcsKMujGtiYO3rdtDPogm1zqBrsAN5WcRtGrNFhyWCiwpqSg7Lxv&#10;jYJh2W4PMmlPyYdJZ58v6+7n+Xen1OCpX7+D8NT7//C9/aUVzKZz+DsTj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zZ/f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B267179" w14:textId="4DDA50AB" w:rsidR="00671E51" w:rsidRPr="00B8447A" w:rsidRDefault="00671E51" w:rsidP="00B8447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644941F1" w14:textId="77777777" w:rsidTr="00B8447A">
      <w:trPr>
        <w:trHeight w:hRule="exact" w:val="240"/>
      </w:trPr>
      <w:tc>
        <w:tcPr>
          <w:tcW w:w="5258" w:type="dxa"/>
          <w:shd w:val="clear" w:color="auto" w:fill="auto"/>
        </w:tcPr>
        <w:p w14:paraId="35DBD572" w14:textId="77777777" w:rsidR="00671E51" w:rsidRDefault="00671E51" w:rsidP="00B759F6">
          <w:pPr>
            <w:pStyle w:val="Header-CompanyName"/>
          </w:pPr>
        </w:p>
      </w:tc>
      <w:tc>
        <w:tcPr>
          <w:tcW w:w="5730" w:type="dxa"/>
          <w:shd w:val="clear" w:color="auto" w:fill="auto"/>
          <w:tcMar>
            <w:top w:w="56" w:type="dxa"/>
            <w:right w:w="8" w:type="dxa"/>
          </w:tcMar>
        </w:tcPr>
        <w:p w14:paraId="4D983C2C"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37088" behindDoc="1" locked="1" layoutInCell="1" allowOverlap="1" wp14:anchorId="6973B236" wp14:editId="16889E88">
                    <wp:simplePos x="0" y="0"/>
                    <wp:positionH relativeFrom="rightMargin">
                      <wp:posOffset>-1345565</wp:posOffset>
                    </wp:positionH>
                    <wp:positionV relativeFrom="page">
                      <wp:posOffset>24765</wp:posOffset>
                    </wp:positionV>
                    <wp:extent cx="1329690" cy="65405"/>
                    <wp:effectExtent l="0" t="0" r="3810" b="0"/>
                    <wp:wrapNone/>
                    <wp:docPr id="42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29" name="Freeform 42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0" name="Freeform 43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5CF067" id="Group 7" o:spid="_x0000_s1026" style="position:absolute;margin-left:-105.95pt;margin-top:1.95pt;width:104.7pt;height:5.15pt;z-index:-2515793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XzPR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ArnlXzPRYAAG+JAAAOAAAAAAAAAAAAAAAA&#10;AC4CAABkcnMvZTJvRG9jLnhtbFBLAQItABQABgAIAAAAIQCpF5zT3wAAAAgBAAAPAAAAAAAAAAAA&#10;AAAAAJcYAABkcnMvZG93bnJldi54bWxQSwUGAAAAAAQABADzAAAAoxkAAAAA&#10;">
                    <v:shape id="Freeform 42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xdMQA&#10;AADcAAAADwAAAGRycy9kb3ducmV2LnhtbESPwWrDMBBE74H+g9hCbokcxw2tEyWUQKCHlFLHH7BY&#10;W8vEWhlJjd2/jwqFHoeZecPsDpPtxY186BwrWC0zEMSN0x23CurLafEMIkRkjb1jUvBDAQ77h9kO&#10;S+1G/qRbFVuRIBxKVGBiHEopQ2PIYli6gTh5X85bjEn6VmqPY4LbXuZZtpEWO04LBgc6Gmqu1bdV&#10;gKu115d6U4/vsirOhcnyp49aqfnj9LoFEWmK/+G/9ptWUOQv8HsmHQ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cXT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3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pXsMA&#10;AADcAAAADwAAAGRycy9kb3ducmV2LnhtbERPTWvCQBC9C/0PyxR6kbpp1VJSV9GAIngx6sHjkJ0m&#10;abOzMbsx8d+7B8Hj433PFr2pxJUaV1pW8DGKQBBnVpecKzgd1+/fIJxH1lhZJgU3crCYvwxmGGvb&#10;cUrXg89FCGEXo4LC+zqW0mUFGXQjWxMH7tc2Bn2ATS51g10IN5X8jKIvabDk0FBgTUlB2f+hNQqG&#10;Zbs7yqQ9JyuTTjbTZfc3vuyVenvtlz8gPPX+KX64t1rBZBzmhzPh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NpXs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457F4B8" w14:textId="77777777" w:rsidR="00671E51" w:rsidRPr="00B8447A" w:rsidRDefault="00671E51" w:rsidP="00B8447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213D2201" w14:textId="77777777" w:rsidTr="00B8447A">
      <w:trPr>
        <w:trHeight w:hRule="exact" w:val="240"/>
      </w:trPr>
      <w:tc>
        <w:tcPr>
          <w:tcW w:w="5258" w:type="dxa"/>
          <w:shd w:val="clear" w:color="auto" w:fill="auto"/>
        </w:tcPr>
        <w:p w14:paraId="2F0A3A45" w14:textId="77777777" w:rsidR="00671E51" w:rsidRDefault="00671E51" w:rsidP="00B759F6">
          <w:pPr>
            <w:pStyle w:val="Header-CompanyName"/>
          </w:pPr>
        </w:p>
      </w:tc>
      <w:tc>
        <w:tcPr>
          <w:tcW w:w="5730" w:type="dxa"/>
          <w:shd w:val="clear" w:color="auto" w:fill="auto"/>
          <w:tcMar>
            <w:top w:w="56" w:type="dxa"/>
            <w:right w:w="8" w:type="dxa"/>
          </w:tcMar>
        </w:tcPr>
        <w:p w14:paraId="366A25E9"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26848" behindDoc="1" locked="1" layoutInCell="1" allowOverlap="1" wp14:anchorId="414E4958" wp14:editId="73608BA8">
                    <wp:simplePos x="0" y="0"/>
                    <wp:positionH relativeFrom="rightMargin">
                      <wp:posOffset>-1345565</wp:posOffset>
                    </wp:positionH>
                    <wp:positionV relativeFrom="page">
                      <wp:posOffset>24765</wp:posOffset>
                    </wp:positionV>
                    <wp:extent cx="1329690" cy="65405"/>
                    <wp:effectExtent l="0" t="0" r="3810" b="0"/>
                    <wp:wrapNone/>
                    <wp:docPr id="41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13" name="Freeform 41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5" name="Freeform 41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2DE212" id="Group 7" o:spid="_x0000_s1026" style="position:absolute;margin-left:-105.95pt;margin-top:1.95pt;width:104.7pt;height:5.15pt;z-index:-2515896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">
                    <v:shape id="Freeform 41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MI8QA&#10;AADcAAAADwAAAGRycy9kb3ducmV2LnhtbESPUWvCMBSF3wf7D+EO9jbTaiejGmUMhD1MxNofcGnu&#10;mmJzU5Jo6783A2GPh3POdzjr7WR7cSUfOscK8lkGgrhxuuNWQX3avX2ACBFZY++YFNwowHbz/LTG&#10;UruRj3StYisShEOJCkyMQyllaAxZDDM3ECfv13mLMUnfSu1xTHDby3mWLaXFjtOCwYG+DDXn6mIV&#10;YL7w+lQv63Evq+KnMNn8/VAr9foyfa5ARJrif/jR/tYKinwBf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jCP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1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WpscA&#10;AADcAAAADwAAAGRycy9kb3ducmV2LnhtbESPT2vCQBTE74V+h+UVvJS60WqRmI1owCJ4qX8OHh/Z&#10;1yRt9m2a3Zj47bsFocdhZn7DJKvB1OJKrassK5iMIxDEudUVFwrOp+3LAoTzyBpry6TgRg5W6eND&#10;grG2PR/oevSFCBB2MSoovW9iKV1ekkE3tg1x8D5ta9AH2RZSt9gHuKnlNIrepMGKw0KJDWUl5d/H&#10;zih4rrr9SWbdJduYw+x9vu6/Xn8+lBo9DeslCE+D/w/f2zutYDaZw9+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Blq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5B88FC7" w14:textId="77777777" w:rsidR="00671E51" w:rsidRPr="00B8447A" w:rsidRDefault="00671E51" w:rsidP="00B8447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4FB64959" w14:textId="77777777" w:rsidTr="00B8447A">
      <w:trPr>
        <w:trHeight w:hRule="exact" w:val="240"/>
      </w:trPr>
      <w:tc>
        <w:tcPr>
          <w:tcW w:w="5258" w:type="dxa"/>
          <w:shd w:val="clear" w:color="auto" w:fill="auto"/>
        </w:tcPr>
        <w:p w14:paraId="39C92BF5" w14:textId="77777777" w:rsidR="00671E51" w:rsidRDefault="00671E51" w:rsidP="00B759F6">
          <w:pPr>
            <w:pStyle w:val="Header-CompanyName"/>
          </w:pPr>
        </w:p>
      </w:tc>
      <w:tc>
        <w:tcPr>
          <w:tcW w:w="5730" w:type="dxa"/>
          <w:shd w:val="clear" w:color="auto" w:fill="auto"/>
          <w:tcMar>
            <w:top w:w="56" w:type="dxa"/>
            <w:right w:w="8" w:type="dxa"/>
          </w:tcMar>
        </w:tcPr>
        <w:p w14:paraId="75A82C3E"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22752" behindDoc="1" locked="1" layoutInCell="1" allowOverlap="1" wp14:anchorId="1F28BADE" wp14:editId="7895A0D3">
                    <wp:simplePos x="0" y="0"/>
                    <wp:positionH relativeFrom="rightMargin">
                      <wp:posOffset>-1345565</wp:posOffset>
                    </wp:positionH>
                    <wp:positionV relativeFrom="page">
                      <wp:posOffset>24765</wp:posOffset>
                    </wp:positionV>
                    <wp:extent cx="1329690" cy="65405"/>
                    <wp:effectExtent l="0" t="0" r="3810" b="0"/>
                    <wp:wrapNone/>
                    <wp:docPr id="37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83" name="Freeform 38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4" name="Freeform 38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7AE6B81" id="Group 7" o:spid="_x0000_s1026" style="position:absolute;margin-left:-105.95pt;margin-top:1.95pt;width:104.7pt;height:5.15pt;z-index:-2515937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T1P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">
                    <v:shape id="Freeform 38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7UwcMA&#10;AADcAAAADwAAAGRycy9kb3ducmV2LnhtbESPUWvCMBSF3wf+h3CFvc1U60Q6o4yBsAdFrP0Bl+ba&#10;lDU3JYm2+/eLIOzxcM75DmezG20n7uRD61jBfJaBIK6dbrlRUF32b2sQISJr7ByTgl8KsNtOXjZY&#10;aDfwme5lbESCcChQgYmxL6QMtSGLYeZ64uRdnbcYk/SN1B6HBLedXGTZSlpsOS0Y7OnLUP1T3qwC&#10;nOdeX6pVNRxluTwsTbZ4P1VKvU7Hzw8Qkcb4H362v7WCfJ3D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7Uwc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r38cA&#10;AADcAAAADwAAAGRycy9kb3ducmV2LnhtbESPS2vDMBCE74X8B7GBXkoip3kQHMshNbQUemkehxwX&#10;a2M7sVauJcfuv68KhR6HmfmGSbaDqcWdWldZVjCbRiCIc6srLhScjq+TNQjnkTXWlknBNznYpqOH&#10;BGNte97T/eALESDsYlRQet/EUrq8JINuahvi4F1sa9AH2RZSt9gHuKnlcxStpMGKw0KJDWUl5bdD&#10;ZxQ8Vd3HUWbdOXsx+8Xbctdf51+fSj2Oh90GhKfB/4f/2u9awXy9gN8z4Qj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ta9/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E1F19F2" w14:textId="3BB11BEC" w:rsidR="00671E51" w:rsidRPr="00B8447A" w:rsidRDefault="00671E51" w:rsidP="00B8447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3C850A3" w14:textId="77777777" w:rsidTr="00B8447A">
      <w:trPr>
        <w:trHeight w:hRule="exact" w:val="240"/>
      </w:trPr>
      <w:tc>
        <w:tcPr>
          <w:tcW w:w="5258" w:type="dxa"/>
          <w:shd w:val="clear" w:color="auto" w:fill="auto"/>
        </w:tcPr>
        <w:p w14:paraId="0751D57D" w14:textId="77777777" w:rsidR="00671E51" w:rsidRDefault="00671E51" w:rsidP="00B759F6">
          <w:pPr>
            <w:pStyle w:val="Header-CompanyName"/>
          </w:pPr>
        </w:p>
      </w:tc>
      <w:tc>
        <w:tcPr>
          <w:tcW w:w="5730" w:type="dxa"/>
          <w:shd w:val="clear" w:color="auto" w:fill="auto"/>
          <w:tcMar>
            <w:top w:w="56" w:type="dxa"/>
            <w:right w:w="8" w:type="dxa"/>
          </w:tcMar>
        </w:tcPr>
        <w:p w14:paraId="6977CB8A"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24800" behindDoc="1" locked="1" layoutInCell="1" allowOverlap="1" wp14:anchorId="26CA5F73" wp14:editId="3CBC7746">
                    <wp:simplePos x="0" y="0"/>
                    <wp:positionH relativeFrom="rightMargin">
                      <wp:posOffset>-1345565</wp:posOffset>
                    </wp:positionH>
                    <wp:positionV relativeFrom="page">
                      <wp:posOffset>24765</wp:posOffset>
                    </wp:positionV>
                    <wp:extent cx="1329690" cy="65405"/>
                    <wp:effectExtent l="0" t="0" r="3810" b="0"/>
                    <wp:wrapNone/>
                    <wp:docPr id="39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08" name="Freeform 40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1" name="Freeform 41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C94AF80" id="Group 7" o:spid="_x0000_s1026" style="position:absolute;margin-left:-105.95pt;margin-top:1.95pt;width:104.7pt;height:5.15pt;z-index:-2515916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8YPB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GUeDxg8FgAAb4kAAA4AAAAAAAAAAAAAAAAA&#10;LgIAAGRycy9lMm9Eb2MueG1sUEsBAi0AFAAGAAgAAAAhAKkXnNPfAAAACAEAAA8AAAAAAAAAAAAA&#10;AAAAlhgAAGRycy9kb3ducmV2LnhtbFBLBQYAAAAABAAEAPMAAACiGQAAAAA=&#10;">
                    <v:shape id="Freeform 40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Ij8AA&#10;AADcAAAADwAAAGRycy9kb3ducmV2LnhtbERP3WrCMBS+H+wdwhnsThNdlVGNMgbCLpSx2gc4NGdN&#10;sTkpSbTd25sLYZcf3/92P7le3CjEzrOGxVyBIG686bjVUJ8Ps3cQMSEb7D2Thj+KsN89P22xNH7k&#10;H7pVqRU5hGOJGmxKQyllbCw5jHM/EGfu1weHKcPQShNwzOGul0ul1tJhx7nB4kCflppLdXUacPEW&#10;zLle1+NJVsWxsGq5+q61fn2ZPjYgEk3pX/xwfxkNhcpr85l8BO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OIj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1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QpccA&#10;AADcAAAADwAAAGRycy9kb3ducmV2LnhtbESPT2vCQBTE74LfYXmFXqRuUm0pqavYQKXgxX8Hj4/s&#10;M4nNvo3ZjUm/vSsIPQ4z8xtmtuhNJa7UuNKygngcgSDOrC45V3DYf798gHAeWWNlmRT8kYPFfDiY&#10;YaJtx1u67nwuAoRdggoK7+tESpcVZNCNbU0cvJNtDPogm1zqBrsAN5V8jaJ3abDksFBgTWlB2e+u&#10;NQpGZbvey7Q9pl9mO129Lbvz5LJR6vmpX36C8NT7//Cj/aMVTOMY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6kK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921331A" w14:textId="77777777" w:rsidR="00671E51" w:rsidRPr="00B8447A" w:rsidRDefault="00671E51" w:rsidP="00B8447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60854380" w14:textId="77777777" w:rsidTr="00E9086B">
      <w:trPr>
        <w:trHeight w:hRule="exact" w:val="240"/>
      </w:trPr>
      <w:tc>
        <w:tcPr>
          <w:tcW w:w="5258" w:type="dxa"/>
          <w:shd w:val="clear" w:color="auto" w:fill="auto"/>
        </w:tcPr>
        <w:p w14:paraId="03927C5D" w14:textId="77777777" w:rsidR="00671E51" w:rsidRDefault="00671E51" w:rsidP="00B759F6">
          <w:pPr>
            <w:pStyle w:val="Header-CompanyName"/>
          </w:pPr>
        </w:p>
      </w:tc>
      <w:tc>
        <w:tcPr>
          <w:tcW w:w="5730" w:type="dxa"/>
          <w:shd w:val="clear" w:color="auto" w:fill="auto"/>
          <w:tcMar>
            <w:top w:w="56" w:type="dxa"/>
            <w:right w:w="8" w:type="dxa"/>
          </w:tcMar>
        </w:tcPr>
        <w:p w14:paraId="25B9B5EE"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51424" behindDoc="1" locked="1" layoutInCell="1" allowOverlap="1" wp14:anchorId="737B6FBF" wp14:editId="617AE1F4">
                    <wp:simplePos x="0" y="0"/>
                    <wp:positionH relativeFrom="rightMargin">
                      <wp:posOffset>-1345565</wp:posOffset>
                    </wp:positionH>
                    <wp:positionV relativeFrom="page">
                      <wp:posOffset>24765</wp:posOffset>
                    </wp:positionV>
                    <wp:extent cx="1329690" cy="65405"/>
                    <wp:effectExtent l="0" t="0" r="3810" b="0"/>
                    <wp:wrapNone/>
                    <wp:docPr id="51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17" name="Freeform 51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51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1675FF4" id="Group 7" o:spid="_x0000_s1026" style="position:absolute;margin-left:-105.95pt;margin-top:1.95pt;width:104.7pt;height:5.15pt;z-index:-25156505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">
                    <v:shape id="Freeform 51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FvcQA&#10;AADcAAAADwAAAGRycy9kb3ducmV2LnhtbESPUWvCMBSF34X9h3AHvmlap25Uowxh4MPGsPYHXJpr&#10;U9bclCTa+u/NYLDHwznnO5ztfrSduJEPrWMF+TwDQVw73XKjoDp/zN5AhIissXNMCu4UYL97mmyx&#10;0G7gE93K2IgE4VCgAhNjX0gZakMWw9z1xMm7OG8xJukbqT0OCW47uciytbTYclow2NPBUP1TXq0C&#10;zF+8PlfraviS5fJzabLF6rtSavo8vm9ARBrjf/ivfdQKVvkr/J5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hb3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1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pcQA&#10;AADcAAAADwAAAGRycy9kb3ducmV2LnhtbERPy2rCQBTdF/yH4QpuiplYq5Q0o9iAUnBTHwuXl8xt&#10;kpq5EzMTk/69syh0eTjvdD2YWtypdZVlBbMoBkGcW11xoeB82k7fQDiPrLG2TAp+ycF6NXpKMdG2&#10;5wPdj74QIYRdggpK75tESpeXZNBFtiEO3LdtDfoA20LqFvsQbmr5EsdLabDi0FBiQ1lJ+fXYGQXP&#10;Vbc/yay7ZB/m8LpbbPqf+e1Lqcl42LyD8DT4f/Gf+1MrWMzC2nA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NqX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41BE540" w14:textId="77777777" w:rsidR="00671E51" w:rsidRPr="00E9086B" w:rsidRDefault="00671E51" w:rsidP="00E9086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17992EC7" w14:textId="77777777" w:rsidTr="00E9086B">
      <w:trPr>
        <w:trHeight w:hRule="exact" w:val="240"/>
      </w:trPr>
      <w:tc>
        <w:tcPr>
          <w:tcW w:w="5258" w:type="dxa"/>
          <w:shd w:val="clear" w:color="auto" w:fill="auto"/>
        </w:tcPr>
        <w:p w14:paraId="2D0AF9F6" w14:textId="77777777" w:rsidR="00671E51" w:rsidRDefault="00671E51" w:rsidP="00B759F6">
          <w:pPr>
            <w:pStyle w:val="Header-CompanyName"/>
          </w:pPr>
        </w:p>
      </w:tc>
      <w:tc>
        <w:tcPr>
          <w:tcW w:w="5730" w:type="dxa"/>
          <w:shd w:val="clear" w:color="auto" w:fill="auto"/>
          <w:tcMar>
            <w:top w:w="56" w:type="dxa"/>
            <w:right w:w="8" w:type="dxa"/>
          </w:tcMar>
        </w:tcPr>
        <w:p w14:paraId="1924107C"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47328" behindDoc="1" locked="1" layoutInCell="1" allowOverlap="1" wp14:anchorId="6AA457F1" wp14:editId="3DCE959D">
                    <wp:simplePos x="0" y="0"/>
                    <wp:positionH relativeFrom="rightMargin">
                      <wp:posOffset>-1345565</wp:posOffset>
                    </wp:positionH>
                    <wp:positionV relativeFrom="page">
                      <wp:posOffset>24765</wp:posOffset>
                    </wp:positionV>
                    <wp:extent cx="1329690" cy="65405"/>
                    <wp:effectExtent l="0" t="0" r="3810" b="0"/>
                    <wp:wrapNone/>
                    <wp:docPr id="44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44" name="Freeform 44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5" name="Freeform 44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B3F6C6" id="Group 7" o:spid="_x0000_s1026" style="position:absolute;margin-left:-105.95pt;margin-top:1.95pt;width:104.7pt;height:5.15pt;z-index:-2515691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uvjAGkQWAABviQAADgAAAAAA&#10;AAAAAAAAAAAuAgAAZHJzL2Uyb0RvYy54bWxQSwECLQAUAAYACAAAACEAqRec098AAAAIAQAADwAA&#10;AAAAAAAAAAAAAACeGAAAZHJzL2Rvd25yZXYueG1sUEsFBgAAAAAEAAQA8wAAAKoZAAAAAA==&#10;">
                    <v:shape id="Freeform 44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Q7SsMA&#10;AADcAAAADwAAAGRycy9kb3ducmV2LnhtbESPwWrDMBBE74H+g9hCb4mcVAnBjRJKodBDSojjD1is&#10;rWVqrYykxu7fV4FCjsPMvGF2h8n14kohdp41LBcFCOLGm45bDfXlfb4FEROywd4zafilCIf9w2yH&#10;pfEjn+lapVZkCMcSNdiUhlLK2FhyGBd+IM7elw8OU5ahlSbgmOGul6ui2EiHHecFiwO9WWq+qx+n&#10;AZfPwVzqTT1+ykodlS1W61Ot9dPj9PoCItGU7uH/9ofRoJSC25l8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Q7S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4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5u8cA&#10;AADcAAAADwAAAGRycy9kb3ducmV2LnhtbESPT2vCQBTE7wW/w/KEXopuqlEkuooGKoVe/Hfw+Mg+&#10;k7TZt2l2Y9Jv3y0UPA4z8xtmtelNJe7UuNKygtdxBII4s7rkXMHl/DZagHAeWWNlmRT8kIPNevC0&#10;wkTbjo90P/lcBAi7BBUU3teJlC4ryKAb25o4eDfbGPRBNrnUDXYBbio5iaK5NFhyWCiwprSg7OvU&#10;GgUvZftxlml7TXfmGO9n2+5z+n1Q6nnYb5cgPPX+Ef5vv2sFcTy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yub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75B7453" w14:textId="1E09EABF" w:rsidR="00671E51" w:rsidRPr="00E9086B" w:rsidRDefault="00671E51" w:rsidP="00E908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AF8DE" w14:textId="77777777" w:rsidR="00671E51" w:rsidRDefault="00671E51">
    <w:pPr>
      <w:pStyle w:val="Header"/>
    </w:pPr>
    <w:r>
      <w:rPr>
        <w:noProof/>
        <w:lang w:eastAsia="en-AU"/>
      </w:rPr>
      <mc:AlternateContent>
        <mc:Choice Requires="wpg">
          <w:drawing>
            <wp:anchor distT="0" distB="0" distL="114300" distR="114300" simplePos="0" relativeHeight="251692032" behindDoc="1" locked="1" layoutInCell="1" allowOverlap="1" wp14:anchorId="08302672" wp14:editId="3A3F856F">
              <wp:simplePos x="0" y="0"/>
              <wp:positionH relativeFrom="page">
                <wp:posOffset>0</wp:posOffset>
              </wp:positionH>
              <wp:positionV relativeFrom="page">
                <wp:posOffset>5238750</wp:posOffset>
              </wp:positionV>
              <wp:extent cx="7553520" cy="5453280"/>
              <wp:effectExtent l="0" t="0" r="9525" b="0"/>
              <wp:wrapNone/>
              <wp:docPr id="187" name="cpSails"/>
              <wp:cNvGraphicFramePr/>
              <a:graphic xmlns:a="http://schemas.openxmlformats.org/drawingml/2006/main">
                <a:graphicData uri="http://schemas.microsoft.com/office/word/2010/wordprocessingGroup">
                  <wpg:wgp>
                    <wpg:cNvGrpSpPr/>
                    <wpg:grpSpPr>
                      <a:xfrm>
                        <a:off x="0" y="0"/>
                        <a:ext cx="7553520" cy="5453280"/>
                        <a:chOff x="0" y="0"/>
                        <a:chExt cx="7553325" cy="5453380"/>
                      </a:xfrm>
                    </wpg:grpSpPr>
                    <wps:wsp>
                      <wps:cNvPr id="188" name="triangle-left"/>
                      <wps:cNvSpPr>
                        <a:spLocks/>
                      </wps:cNvSpPr>
                      <wps:spPr bwMode="auto">
                        <a:xfrm>
                          <a:off x="304800" y="9525"/>
                          <a:ext cx="5166995" cy="516699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89" name="triangle-right"/>
                      <wps:cNvSpPr>
                        <a:spLocks/>
                      </wps:cNvSpPr>
                      <wps:spPr bwMode="auto">
                        <a:xfrm>
                          <a:off x="2105025" y="0"/>
                          <a:ext cx="5168900" cy="5168900"/>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90" name="triangle-centre"/>
                      <wps:cNvSpPr>
                        <a:spLocks/>
                      </wps:cNvSpPr>
                      <wps:spPr bwMode="auto">
                        <a:xfrm>
                          <a:off x="2105025" y="1809750"/>
                          <a:ext cx="3359785" cy="335978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784497"/>
                        </a:solidFill>
                        <a:ln>
                          <a:noFill/>
                        </a:ln>
                        <a:extLst/>
                      </wps:spPr>
                      <wps:bodyPr vert="horz" wrap="square" lIns="91440" tIns="45720" rIns="91440" bIns="45720" numCol="1" anchor="t" anchorCtr="0" compatLnSpc="1">
                        <a:prstTxWarp prst="textNoShape">
                          <a:avLst/>
                        </a:prstTxWarp>
                      </wps:bodyPr>
                    </wps:wsp>
                    <wps:wsp>
                      <wps:cNvPr id="191" name="coverBar"/>
                      <wps:cNvSpPr/>
                      <wps:spPr>
                        <a:xfrm>
                          <a:off x="0" y="5172075"/>
                          <a:ext cx="7553325" cy="281305"/>
                        </a:xfrm>
                        <a:prstGeom prst="rect">
                          <a:avLst/>
                        </a:prstGeom>
                        <a:solidFill>
                          <a:srgbClr val="FFF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7A4E63" id="cpSails" o:spid="_x0000_s1026" style="position:absolute;margin-left:0;margin-top:412.5pt;width:594.75pt;height:429.4pt;z-index:-251624448;mso-position-horizontal-relative:page;mso-position-vertical-relative:page;mso-width-relative:margin;mso-height-relative:margin" coordsize="75533,5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">
              <v:shape id="triangle-left" o:spid="_x0000_s1027" style="position:absolute;left:3048;top:95;width:51669;height:51670;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CY8IA&#10;AADcAAAADwAAAGRycy9kb3ducmV2LnhtbESPQYvCQAyF74L/YYjgTaersmjXUUQQBBHZqvfQybZl&#10;O5nSGbX+e3MQvCW8l/e+LNedq9Wd2lB5NvA1TkAR595WXBi4nHejOagQkS3WnsnAkwKsV/3eElPr&#10;H/xL9ywWSkI4pGigjLFJtQ55SQ7D2DfEov351mGUtS20bfEh4a7WkyT51g4rloYSG9qWlP9nN2fg&#10;WF2PYTE9nCan2UHvtM2u3T4zZjjoNj+gInXxY35f763gz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UJjwgAAANwAAAAPAAAAAAAAAAAAAAAAAJgCAABkcnMvZG93&#10;bnJldi54bWxQSwUGAAAAAAQABAD1AAAAhwMAAAAA&#10;" path="m3862,r,3862l,3862,3862,xe" fillcolor="#9757a6" stroked="f">
                <v:path arrowok="t" o:connecttype="custom" o:connectlocs="5166995,0;5166995,5166995;0,5166995;5166995,0" o:connectangles="0,0,0,0"/>
              </v:shape>
              <v:shape id="triangle-right" o:spid="_x0000_s1028" style="position:absolute;left:21050;width:51689;height:51689;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n+L4A&#10;AADcAAAADwAAAGRycy9kb3ducmV2LnhtbERPSwrCMBDdC94hjOBOUz+IVqOIIAgiYtX90IxtsZmU&#10;Jmq9vREEd/N431msGlOKJ9WusKxg0I9AEKdWF5wpuJy3vSkI55E1lpZJwZscrJbt1gJjbV98omfi&#10;MxFC2MWoIPe+iqV0aU4GXd9WxIG72dqgD7DOpK7xFcJNKYdRNJEGCw4NOVa0ySm9Jw+j4FBcD242&#10;2h+Hx/FebqVOrs0uUarbadZzEJ4a/xf/3Dsd5k9n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95/i+AAAA3AAAAA8AAAAAAAAAAAAAAAAAmAIAAGRycy9kb3ducmV2&#10;LnhtbFBLBQYAAAAABAAEAPUAAACDAwAAAAA=&#10;" path="m3862,r,3862l,3862,3862,xe" fillcolor="#9757a6" stroked="f">
                <v:path arrowok="t" o:connecttype="custom" o:connectlocs="5168900,0;5168900,5168900;0,5168900;5168900,0" o:connectangles="0,0,0,0"/>
              </v:shape>
              <v:shape id="triangle-centre" o:spid="_x0000_s1029" style="position:absolute;left:21050;top:18097;width:33598;height:33598;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2TcQA&#10;AADcAAAADwAAAGRycy9kb3ducmV2LnhtbESPQU/DMAyF70j7D5GRdmMpaFRQlk0Tgglx24C71Zim&#10;pXGiJmsLvx4fkLjZes/vfd7sZt+rkYbUBjZwvSpAEdfBttwYeH97vroDlTKyxT4wGfimBLvt4mKD&#10;lQ0TH2k85UZJCKcKDbicY6V1qh15TKsQiUX7DIPHLOvQaDvgJOG+1zdFUWqPLUuDw0iPjuqv09kb&#10;GJvu9fBUn91HPHS361h207H8MWZ5Oe8fQGWa87/57/rFCv69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dk3EAAAA3AAAAA8AAAAAAAAAAAAAAAAAmAIAAGRycy9k&#10;b3ducmV2LnhtbFBLBQYAAAAABAAEAPUAAACJAwAAAAA=&#10;" path="m3862,r,3862l,3862,3862,xe" fillcolor="#784497" stroked="f">
                <v:path arrowok="t" o:connecttype="custom" o:connectlocs="3359785,0;3359785,3359785;0,3359785;3359785,0" o:connectangles="0,0,0,0"/>
              </v:shape>
              <v:rect id="coverBar" o:spid="_x0000_s1030" style="position:absolute;top:51720;width:755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oHsEA&#10;AADcAAAADwAAAGRycy9kb3ducmV2LnhtbERPTYvCMBC9L/gfwgh7WWyqsqLVKCKr7HGtgtexGdti&#10;MylNqvXfbwTB2zze5yxWnanEjRpXWlYwjGIQxJnVJecKjoftYArCeWSNlWVS8CAHq2XvY4GJtnfe&#10;0y31uQgh7BJUUHhfJ1K6rCCDLrI1ceAutjHoA2xyqRu8h3BTyVEcT6TBkkNDgTVtCsquaWsUYDZq&#10;v9xffm7TXVmPv+P2tP8hpT773XoOwlPn3+KX+1eH+bMhPJ8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B7BAAAA3AAAAA8AAAAAAAAAAAAAAAAAmAIAAGRycy9kb3du&#10;cmV2LnhtbFBLBQYAAAAABAAEAPUAAACGAwAAAAA=&#10;" fillcolor="#fffeff" stroked="f" strokeweight="1pt"/>
              <w10:wrap anchorx="page" anchory="page"/>
              <w10:anchorlock/>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7CB1174D" w14:textId="77777777" w:rsidTr="00E9086B">
      <w:trPr>
        <w:trHeight w:hRule="exact" w:val="240"/>
      </w:trPr>
      <w:tc>
        <w:tcPr>
          <w:tcW w:w="5258" w:type="dxa"/>
          <w:shd w:val="clear" w:color="auto" w:fill="auto"/>
        </w:tcPr>
        <w:p w14:paraId="5640288F" w14:textId="77777777" w:rsidR="00671E51" w:rsidRDefault="00671E51" w:rsidP="00B759F6">
          <w:pPr>
            <w:pStyle w:val="Header-CompanyName"/>
          </w:pPr>
        </w:p>
      </w:tc>
      <w:tc>
        <w:tcPr>
          <w:tcW w:w="5730" w:type="dxa"/>
          <w:shd w:val="clear" w:color="auto" w:fill="auto"/>
          <w:tcMar>
            <w:top w:w="56" w:type="dxa"/>
            <w:right w:w="8" w:type="dxa"/>
          </w:tcMar>
        </w:tcPr>
        <w:p w14:paraId="7660DAA6"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49376" behindDoc="1" locked="1" layoutInCell="1" allowOverlap="1" wp14:anchorId="30D7CEB3" wp14:editId="622167E4">
                    <wp:simplePos x="0" y="0"/>
                    <wp:positionH relativeFrom="rightMargin">
                      <wp:posOffset>-1345565</wp:posOffset>
                    </wp:positionH>
                    <wp:positionV relativeFrom="page">
                      <wp:posOffset>24765</wp:posOffset>
                    </wp:positionV>
                    <wp:extent cx="1329690" cy="65405"/>
                    <wp:effectExtent l="0" t="0" r="3810" b="0"/>
                    <wp:wrapNone/>
                    <wp:docPr id="44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47" name="Freeform 44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51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581561F" id="Group 7" o:spid="_x0000_s1026" style="position:absolute;margin-left:-105.95pt;margin-top:1.95pt;width:104.7pt;height:5.15pt;z-index:-2515671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xoPB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BStbGg8FgAAb4kAAA4AAAAAAAAAAAAAAAAA&#10;LgIAAGRycy9lMm9Eb2MueG1sUEsBAi0AFAAGAAgAAAAhAKkXnNPfAAAACAEAAA8AAAAAAAAAAAAA&#10;AAAAlhgAAGRycy9kb3ducmV2LnhtbFBLBQYAAAAABAAEAPMAAACiGQAAAAA=&#10;">
                    <v:shape id="Freeform 44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lPcQA&#10;AADcAAAADwAAAGRycy9kb3ducmV2LnhtbESPUWvCMBSF3wf+h3CFvc1U1zmpRpHBYA+TsdofcGmu&#10;TbG5KUm03b9fBMHHwznnO5zNbrSduJIPrWMF81kGgrh2uuVGQXX8fFmBCBFZY+eYFPxRgN128rTB&#10;QruBf+laxkYkCIcCFZgY+0LKUBuyGGauJ07eyXmLMUnfSO1xSHDbyUWWLaXFltOCwZ4+DNXn8mIV&#10;4PzV62O1rIaDLPPv3GSLt59KqefpuF+DiDTGR/je/tIK8vwdbmfS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GpT3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1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k1McA&#10;AADcAAAADwAAAGRycy9kb3ducmV2LnhtbESPT2vCQBTE74V+h+UJvRTdWP9Q0mzEBloEL1V76PGR&#10;fSbR7Ns0uzHpt3cFocdhZn7DJKvB1OJCrassK5hOIhDEudUVFwq+Dx/jVxDOI2usLZOCP3KwSh8f&#10;Eoy17XlHl70vRICwi1FB6X0TS+nykgy6iW2Ig3e0rUEfZFtI3WIf4KaWL1G0lAYrDgslNpSVlJ/3&#10;nVHwXHXbg8y6n+zd7Oafi3V/mv1+KfU0GtZvIDwN/j98b2+0gsV0Brcz4Qj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FpN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F27DAA1" w14:textId="77777777" w:rsidR="00671E51" w:rsidRPr="00E9086B" w:rsidRDefault="00671E51" w:rsidP="00E9086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122B698D" w14:textId="77777777" w:rsidTr="00E9086B">
      <w:trPr>
        <w:trHeight w:hRule="exact" w:val="240"/>
      </w:trPr>
      <w:tc>
        <w:tcPr>
          <w:tcW w:w="5258" w:type="dxa"/>
          <w:shd w:val="clear" w:color="auto" w:fill="auto"/>
        </w:tcPr>
        <w:p w14:paraId="141E81A4" w14:textId="77777777" w:rsidR="00671E51" w:rsidRDefault="00671E51" w:rsidP="00B759F6">
          <w:pPr>
            <w:pStyle w:val="Header-CompanyName"/>
          </w:pPr>
        </w:p>
      </w:tc>
      <w:tc>
        <w:tcPr>
          <w:tcW w:w="5730" w:type="dxa"/>
          <w:shd w:val="clear" w:color="auto" w:fill="auto"/>
          <w:tcMar>
            <w:top w:w="56" w:type="dxa"/>
            <w:right w:w="8" w:type="dxa"/>
          </w:tcMar>
        </w:tcPr>
        <w:p w14:paraId="71603057"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57568" behindDoc="1" locked="1" layoutInCell="1" allowOverlap="1" wp14:anchorId="267D0816" wp14:editId="25AC00DF">
                    <wp:simplePos x="0" y="0"/>
                    <wp:positionH relativeFrom="rightMargin">
                      <wp:posOffset>-1345565</wp:posOffset>
                    </wp:positionH>
                    <wp:positionV relativeFrom="page">
                      <wp:posOffset>24765</wp:posOffset>
                    </wp:positionV>
                    <wp:extent cx="1329690" cy="65405"/>
                    <wp:effectExtent l="0" t="0" r="3810" b="0"/>
                    <wp:wrapNone/>
                    <wp:docPr id="54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54" name="Freeform 55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8" name="Freeform 55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5A2BE6" id="Group 7" o:spid="_x0000_s1026" style="position:absolute;margin-left:-105.95pt;margin-top:1.95pt;width:104.7pt;height:5.15pt;z-index:-2515589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Fk+cbT4WAABviQAADgAAAAAAAAAAAAAA&#10;AAAuAgAAZHJzL2Uyb0RvYy54bWxQSwECLQAUAAYACAAAACEAqRec098AAAAIAQAADwAAAAAAAAAA&#10;AAAAAACYGAAAZHJzL2Rvd25yZXYueG1sUEsFBgAAAAAEAAQA8wAAAKQZAAAAAA==&#10;">
                    <v:shape id="Freeform 55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iCsQA&#10;AADcAAAADwAAAGRycy9kb3ducmV2LnhtbESPUWvCMBSF3wf7D+EO9jZTXSujGmUMhD0oYu0PuDR3&#10;TbG5KUm03b83wmCPh3POdzjr7WR7cSMfOscK5rMMBHHjdMetgvq8e/sAESKyxt4xKfilANvN89Ma&#10;S+1GPtGtiq1IEA4lKjAxDqWUoTFkMczcQJy8H+ctxiR9K7XHMcFtLxdZtpQWO04LBgf6MtRcqqtV&#10;gPN3r8/1sh4Pssr3uckWxbFW6vVl+lyBiDTF//Bf+1srKIocHm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ogr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5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ZcQA&#10;AADcAAAADwAAAGRycy9kb3ducmV2LnhtbERPy2rCQBTdC/2H4Ra6kTrRGilpJqKBlkI3Prro8pK5&#10;TaKZOzEzMenfdxaCy8N5p+vRNOJKnastK5jPIhDEhdU1lwq+j+/PryCcR9bYWCYFf+RgnT1MUky0&#10;HXhP14MvRQhhl6CCyvs2kdIVFRl0M9sSB+7XdgZ9gF0pdYdDCDeNXETRShqsOTRU2FJeUXE+9EbB&#10;tO6/jjLvf/Kt2S8/4s1wernslHp6HDdvIDyN/i6+uT+1gjgOa8O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Lj2X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485F244" w14:textId="77777777" w:rsidR="00671E51" w:rsidRPr="00E9086B" w:rsidRDefault="00671E51" w:rsidP="00E9086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4834A9AC" w14:textId="77777777" w:rsidTr="00E9086B">
      <w:trPr>
        <w:trHeight w:hRule="exact" w:val="240"/>
      </w:trPr>
      <w:tc>
        <w:tcPr>
          <w:tcW w:w="5258" w:type="dxa"/>
          <w:shd w:val="clear" w:color="auto" w:fill="auto"/>
        </w:tcPr>
        <w:p w14:paraId="0C154793" w14:textId="77777777" w:rsidR="00671E51" w:rsidRDefault="00671E51" w:rsidP="00B759F6">
          <w:pPr>
            <w:pStyle w:val="Header-CompanyName"/>
          </w:pPr>
        </w:p>
      </w:tc>
      <w:tc>
        <w:tcPr>
          <w:tcW w:w="5730" w:type="dxa"/>
          <w:shd w:val="clear" w:color="auto" w:fill="auto"/>
          <w:tcMar>
            <w:top w:w="56" w:type="dxa"/>
            <w:right w:w="8" w:type="dxa"/>
          </w:tcMar>
        </w:tcPr>
        <w:p w14:paraId="27677D0A"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53472" behindDoc="1" locked="1" layoutInCell="1" allowOverlap="1" wp14:anchorId="275DF870" wp14:editId="5B10A911">
                    <wp:simplePos x="0" y="0"/>
                    <wp:positionH relativeFrom="rightMargin">
                      <wp:posOffset>-1345565</wp:posOffset>
                    </wp:positionH>
                    <wp:positionV relativeFrom="page">
                      <wp:posOffset>24765</wp:posOffset>
                    </wp:positionV>
                    <wp:extent cx="1329690" cy="65405"/>
                    <wp:effectExtent l="0" t="0" r="3810" b="0"/>
                    <wp:wrapNone/>
                    <wp:docPr id="52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22" name="Freeform 52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4" name="Freeform 52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1F857C" id="Group 7" o:spid="_x0000_s1026" style="position:absolute;margin-left:-105.95pt;margin-top:1.95pt;width:104.7pt;height:5.15pt;z-index:-2515630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OQ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AtiJ+OQxYAAG+JAAAOAAAAAAAA&#10;AAAAAAAAAC4CAABkcnMvZTJvRG9jLnhtbFBLAQItABQABgAIAAAAIQCpF5zT3wAAAAgBAAAPAAAA&#10;AAAAAAAAAAAAAJ0YAABkcnMvZG93bnJldi54bWxQSwUGAAAAAAQABADzAAAAqRkAAAAA&#10;">
                    <v:shape id="Freeform 52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mMQA&#10;AADcAAAADwAAAGRycy9kb3ducmV2LnhtbESPzWrDMBCE74W+g9hCbo0c54fiRgkhEMghpdTxAyzW&#10;1jK1VkZSYufto0Igx2FmvmHW29F24ko+tI4VzKYZCOLa6ZYbBdX58P4BIkRkjZ1jUnCjANvN68sa&#10;C+0G/qFrGRuRIBwKVGBi7AspQ23IYpi6njh5v85bjEn6RmqPQ4LbTuZZtpIWW04LBnvaG6r/yotV&#10;gLO51+dqVQ1fslycFibLl9+VUpO3cfcJItIYn+FH+6gVLPMc/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7Jj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2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2HccA&#10;AADcAAAADwAAAGRycy9kb3ducmV2LnhtbESPT2vCQBTE74LfYXkFL1I3Wi0SsxEbsBR68d/B4yP7&#10;mqTNvk2zG5N++26h4HGYmd8wyXYwtbhR6yrLCuazCARxbnXFhYLLef+4BuE8ssbaMin4IQfbdDxK&#10;MNa25yPdTr4QAcIuRgWl900spctLMuhmtiEO3odtDfog20LqFvsAN7VcRNGzNFhxWCixoayk/OvU&#10;GQXTqns/y6y7Zi/muHxd7frPp++DUpOHYbcB4Wnw9/B/+00rWC2W8Hc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A9h3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8FF0E0C" w14:textId="23CB3875" w:rsidR="00671E51" w:rsidRPr="00E9086B" w:rsidRDefault="00671E51" w:rsidP="00E9086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690975D2" w14:textId="77777777" w:rsidTr="00E9086B">
      <w:trPr>
        <w:trHeight w:hRule="exact" w:val="240"/>
      </w:trPr>
      <w:tc>
        <w:tcPr>
          <w:tcW w:w="5258" w:type="dxa"/>
          <w:shd w:val="clear" w:color="auto" w:fill="auto"/>
        </w:tcPr>
        <w:p w14:paraId="0D1AC067" w14:textId="77777777" w:rsidR="00671E51" w:rsidRDefault="00671E51" w:rsidP="00B759F6">
          <w:pPr>
            <w:pStyle w:val="Header-CompanyName"/>
          </w:pPr>
        </w:p>
      </w:tc>
      <w:tc>
        <w:tcPr>
          <w:tcW w:w="5730" w:type="dxa"/>
          <w:shd w:val="clear" w:color="auto" w:fill="auto"/>
          <w:tcMar>
            <w:top w:w="56" w:type="dxa"/>
            <w:right w:w="8" w:type="dxa"/>
          </w:tcMar>
        </w:tcPr>
        <w:p w14:paraId="5653D46E"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55520" behindDoc="1" locked="1" layoutInCell="1" allowOverlap="1" wp14:anchorId="2AF9EEC7" wp14:editId="514A1AF0">
                    <wp:simplePos x="0" y="0"/>
                    <wp:positionH relativeFrom="rightMargin">
                      <wp:posOffset>-1345565</wp:posOffset>
                    </wp:positionH>
                    <wp:positionV relativeFrom="page">
                      <wp:posOffset>24765</wp:posOffset>
                    </wp:positionV>
                    <wp:extent cx="1329690" cy="65405"/>
                    <wp:effectExtent l="0" t="0" r="3810" b="0"/>
                    <wp:wrapNone/>
                    <wp:docPr id="52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46" name="Freeform 54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7" name="Freeform 54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B7B56E" id="Group 7" o:spid="_x0000_s1026" style="position:absolute;margin-left:-105.95pt;margin-top:1.95pt;width:104.7pt;height:5.15pt;z-index:-25156096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DFN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CAChDFNxYAAG+JAAAOAAAAAAAAAAAAAAAAAC4CAABk&#10;cnMvZTJvRG9jLnhtbFBLAQItABQABgAIAAAAIQCpF5zT3wAAAAgBAAAPAAAAAAAAAAAAAAAAAJEY&#10;AABkcnMvZG93bnJldi54bWxQSwUGAAAAAAQABADzAAAAnRkAAAAA&#10;">
                    <v:shape id="Freeform 54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PO8QA&#10;AADcAAAADwAAAGRycy9kb3ducmV2LnhtbESPUWvCMBSF3wf7D+EOfJuprpZRjTIGwh4cY7U/4NLc&#10;NcXmpiTR1n9vBoKPh3POdzib3WR7cSEfOscKFvMMBHHjdMetgvq4f30HESKyxt4xKbhSgN32+WmD&#10;pXYj/9Kliq1IEA4lKjAxDqWUoTFkMczdQJy8P+ctxiR9K7XHMcFtL5dZVkiLHacFgwN9GmpO1dkq&#10;wMWb18e6qMdvWeWH3GTL1U+t1Oxl+liDiDTFR/je/tIKVnkB/2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Dz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4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NyscA&#10;AADcAAAADwAAAGRycy9kb3ducmV2LnhtbESPT2vCQBTE74LfYXmCF6kb/7UldRUNWApeqvbQ4yP7&#10;mqRm38bsxqTf3hUKHoeZ+Q2zXHemFFeqXWFZwWQcgSBOrS44U/B12j29gnAeWWNpmRT8kYP1qt9b&#10;Yqxtywe6Hn0mAoRdjApy76tYSpfmZNCNbUUcvB9bG/RB1pnUNbYBbko5jaJnabDgsJBjRUlO6fnY&#10;GAWjotmfZNJ8J1tzmL8vNu3v7PKp1HDQbd5AeOr8I/zf/tAKFvMXuJ8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Njcr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DC75086" w14:textId="77777777" w:rsidR="00671E51" w:rsidRPr="00E9086B" w:rsidRDefault="00671E51" w:rsidP="00E9086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671E51" w14:paraId="1FF0FD92" w14:textId="77777777" w:rsidTr="00E9086B">
      <w:trPr>
        <w:trHeight w:hRule="exact" w:val="240"/>
      </w:trPr>
      <w:tc>
        <w:tcPr>
          <w:tcW w:w="10190" w:type="dxa"/>
          <w:shd w:val="clear" w:color="auto" w:fill="auto"/>
        </w:tcPr>
        <w:p w14:paraId="372359C8" w14:textId="77777777" w:rsidR="00671E51" w:rsidRDefault="00671E51" w:rsidP="00B759F6">
          <w:pPr>
            <w:pStyle w:val="Header-CompanyName"/>
          </w:pPr>
        </w:p>
      </w:tc>
      <w:tc>
        <w:tcPr>
          <w:tcW w:w="5730" w:type="dxa"/>
          <w:shd w:val="clear" w:color="auto" w:fill="auto"/>
          <w:tcMar>
            <w:top w:w="56" w:type="dxa"/>
            <w:right w:w="8" w:type="dxa"/>
          </w:tcMar>
        </w:tcPr>
        <w:p w14:paraId="62382BB1"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63712" behindDoc="1" locked="1" layoutInCell="1" allowOverlap="1" wp14:anchorId="7B3C7C76" wp14:editId="5A7FC46F">
                    <wp:simplePos x="0" y="0"/>
                    <wp:positionH relativeFrom="rightMargin">
                      <wp:posOffset>-1345565</wp:posOffset>
                    </wp:positionH>
                    <wp:positionV relativeFrom="page">
                      <wp:posOffset>24765</wp:posOffset>
                    </wp:positionV>
                    <wp:extent cx="1329690" cy="65405"/>
                    <wp:effectExtent l="0" t="0" r="3810" b="0"/>
                    <wp:wrapNone/>
                    <wp:docPr id="57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76" name="Freeform 57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7" name="Freeform 57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C181F10" id="Group 7" o:spid="_x0000_s1026" style="position:absolute;margin-left:-105.95pt;margin-top:1.95pt;width:104.7pt;height:5.15pt;z-index:-2515527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ocN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BpNbocNxYAAG+JAAAOAAAAAAAAAAAAAAAAAC4CAABk&#10;cnMvZTJvRG9jLnhtbFBLAQItABQABgAIAAAAIQCpF5zT3wAAAAgBAAAPAAAAAAAAAAAAAAAAAJEY&#10;AABkcnMvZG93bnJldi54bWxQSwUGAAAAAAQABADzAAAAnRkAAAAA&#10;">
                    <v:shape id="Freeform 57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hsQA&#10;AADcAAAADwAAAGRycy9kb3ducmV2LnhtbESPUWvCMBSF3wf7D+EOfJupTrtRjTIGAx+UYe0PuDTX&#10;pqy5KUlm6783grDHwznnO5z1drSduJAPrWMFs2kGgrh2uuVGQXX6fv0AESKyxs4xKbhSgO3m+WmN&#10;hXYDH+lSxkYkCIcCFZgY+0LKUBuyGKauJ07e2XmLMUnfSO1xSHDbyXmW5dJiy2nBYE9fhurf8s8q&#10;wNmb16cqr4aDLBf7hcnmy59KqcnL+LkCEWmM/+FHe6cVLN9zuJ9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xY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7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Hd8cA&#10;AADcAAAADwAAAGRycy9kb3ducmV2LnhtbESPzWvCQBTE74X+D8sreCm68atK6ioaUAq91I+Dx0f2&#10;NUmbfRuzGxP/e7cg9DjMzG+YxaozpbhS7QrLCoaDCARxanXBmYLTcdufg3AeWWNpmRTcyMFq+fy0&#10;wFjblvd0PfhMBAi7GBXk3lexlC7NyaAb2Io4eN+2NuiDrDOpa2wD3JRyFEVv0mDBYSHHipKc0t9D&#10;YxS8Fs3nUSbNOdmY/WQ3Xbc/48uXUr2Xbv0OwlPn/8OP9odWMJ3N4O9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hR3f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B8E8E53" w14:textId="77777777" w:rsidR="00671E51" w:rsidRPr="00E9086B" w:rsidRDefault="00671E51" w:rsidP="00E9086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671E51" w14:paraId="2FE3FE1F" w14:textId="77777777" w:rsidTr="00E9086B">
      <w:trPr>
        <w:trHeight w:hRule="exact" w:val="240"/>
      </w:trPr>
      <w:tc>
        <w:tcPr>
          <w:tcW w:w="10190" w:type="dxa"/>
          <w:shd w:val="clear" w:color="auto" w:fill="auto"/>
        </w:tcPr>
        <w:p w14:paraId="64B55F6F" w14:textId="77777777" w:rsidR="00671E51" w:rsidRDefault="00671E51" w:rsidP="00B759F6">
          <w:pPr>
            <w:pStyle w:val="Header-CompanyName"/>
          </w:pPr>
        </w:p>
      </w:tc>
      <w:tc>
        <w:tcPr>
          <w:tcW w:w="5730" w:type="dxa"/>
          <w:shd w:val="clear" w:color="auto" w:fill="auto"/>
          <w:tcMar>
            <w:top w:w="56" w:type="dxa"/>
            <w:right w:w="8" w:type="dxa"/>
          </w:tcMar>
        </w:tcPr>
        <w:p w14:paraId="1D1B0037"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59616" behindDoc="1" locked="1" layoutInCell="1" allowOverlap="1" wp14:anchorId="5898B152" wp14:editId="74D76A42">
                    <wp:simplePos x="0" y="0"/>
                    <wp:positionH relativeFrom="rightMargin">
                      <wp:posOffset>-1345565</wp:posOffset>
                    </wp:positionH>
                    <wp:positionV relativeFrom="page">
                      <wp:posOffset>24765</wp:posOffset>
                    </wp:positionV>
                    <wp:extent cx="1329690" cy="65405"/>
                    <wp:effectExtent l="0" t="0" r="3810" b="0"/>
                    <wp:wrapNone/>
                    <wp:docPr id="56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63" name="Freeform 5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5" name="Freeform 56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01DC00" id="Group 7" o:spid="_x0000_s1026" style="position:absolute;margin-left:-105.95pt;margin-top:1.95pt;width:104.7pt;height:5.15pt;z-index:-2515568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JJP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Klnokk8FgAAb4kAAA4AAAAAAAAAAAAAAAAA&#10;LgIAAGRycy9lMm9Eb2MueG1sUEsBAi0AFAAGAAgAAAAhAKkXnNPfAAAACAEAAA8AAAAAAAAAAAAA&#10;AAAAlhgAAGRycy9kb3ducmV2LnhtbFBLBQYAAAAABAAEAPMAAACiGQAAAAA=&#10;">
                    <v:shape id="Freeform 56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ww8MA&#10;AADcAAAADwAAAGRycy9kb3ducmV2LnhtbESPzWrDMBCE74G+g9hAb4mcPxPcKKEECj00hDh+gMXa&#10;WibWykhK7L59FSj0OMzMN8zuMNpOPMiH1rGCxTwDQVw73XKjoLp+zLYgQkTW2DkmBT8U4LB/meyw&#10;0G7gCz3K2IgE4VCgAhNjX0gZakMWw9z1xMn7dt5iTNI3UnscEtx2cpllubTYclow2NPRUH0r71YB&#10;LlZeX6u8Gk6yXH+tTbbcnCulXqfj+xuISGP8D/+1P7WCTb6C55l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nww8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6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qRscA&#10;AADcAAAADwAAAGRycy9kb3ducmV2LnhtbESPT2vCQBTE7wW/w/IEL0U32kYkuooNtBR68d/B4yP7&#10;TKLZt2l2Y9Jv3y0UPA4z8xtmtelNJe7UuNKygukkAkGcWV1yruB0fB8vQDiPrLGyTAp+yMFmPXha&#10;YaJtx3u6H3wuAoRdggoK7+tESpcVZNBNbE0cvIttDPogm1zqBrsAN5WcRdFcGiw5LBRYU1pQdju0&#10;RsFz2X4dZdqe0zezf/2It9315Xun1GjYb5cgPPX+Ef5vf2oF8TyG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m6k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57EB054" w14:textId="46419939" w:rsidR="00671E51" w:rsidRPr="00E9086B" w:rsidRDefault="00671E51" w:rsidP="00E9086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671E51" w14:paraId="2D2C8A21" w14:textId="77777777" w:rsidTr="00E9086B">
      <w:trPr>
        <w:trHeight w:hRule="exact" w:val="240"/>
      </w:trPr>
      <w:tc>
        <w:tcPr>
          <w:tcW w:w="10190" w:type="dxa"/>
          <w:shd w:val="clear" w:color="auto" w:fill="auto"/>
        </w:tcPr>
        <w:p w14:paraId="31EFB3CE" w14:textId="77777777" w:rsidR="00671E51" w:rsidRDefault="00671E51" w:rsidP="00B759F6">
          <w:pPr>
            <w:pStyle w:val="Header-CompanyName"/>
          </w:pPr>
        </w:p>
      </w:tc>
      <w:tc>
        <w:tcPr>
          <w:tcW w:w="5730" w:type="dxa"/>
          <w:shd w:val="clear" w:color="auto" w:fill="auto"/>
          <w:tcMar>
            <w:top w:w="56" w:type="dxa"/>
            <w:right w:w="8" w:type="dxa"/>
          </w:tcMar>
        </w:tcPr>
        <w:p w14:paraId="53D1A826"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61664" behindDoc="1" locked="1" layoutInCell="1" allowOverlap="1" wp14:anchorId="20BBE30A" wp14:editId="6301C24F">
                    <wp:simplePos x="0" y="0"/>
                    <wp:positionH relativeFrom="rightMargin">
                      <wp:posOffset>-1345565</wp:posOffset>
                    </wp:positionH>
                    <wp:positionV relativeFrom="page">
                      <wp:posOffset>24765</wp:posOffset>
                    </wp:positionV>
                    <wp:extent cx="1329690" cy="65405"/>
                    <wp:effectExtent l="0" t="0" r="3810" b="0"/>
                    <wp:wrapNone/>
                    <wp:docPr id="56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71" name="Freeform 57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2" name="Freeform 57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CDC2EB9" id="Group 7" o:spid="_x0000_s1026" style="position:absolute;margin-left:-105.95pt;margin-top:1.95pt;width:104.7pt;height:5.15pt;z-index:-2515548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U9O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3kNlPTgWAABviQAADgAAAAAAAAAAAAAAAAAuAgAA&#10;ZHJzL2Uyb0RvYy54bWxQSwECLQAUAAYACAAAACEAqRec098AAAAIAQAADwAAAAAAAAAAAAAAAACS&#10;GAAAZHJzL2Rvd25yZXYueG1sUEsFBgAAAAAEAAQA8wAAAJ4ZAAAAAA==&#10;">
                    <v:shape id="Freeform 57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d8sQA&#10;AADcAAAADwAAAGRycy9kb3ducmV2LnhtbESPUWvCMBSF34X9h3AHvmlap25Uowxh4MPGsPYHXJpr&#10;U9bclCTa+u/NYLDHwznnO5ztfrSduJEPrWMF+TwDQVw73XKjoDp/zN5AhIissXNMCu4UYL97mmyx&#10;0G7gE93K2IgE4VCgAhNjX0gZakMWw9z1xMm7OG8xJukbqT0OCW47uciytbTYclow2NPBUP1TXq0C&#10;zF+8PlfraviS5fJzabLF6rtSavo8vm9ARBrjf/ivfdQKVq85/J5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XfL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7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k78cA&#10;AADcAAAADwAAAGRycy9kb3ducmV2LnhtbESPQWvCQBSE74X+h+UVvBTdaLWW1FVswFLw0qgHj4/s&#10;a5KafZtmNyb+e7cgeBxm5htmsepNJc7UuNKygvEoAkGcWV1yruCw3wzfQDiPrLGyTAou5GC1fHxY&#10;YKxtxymddz4XAcIuRgWF93UspcsKMuhGtiYO3o9tDPogm1zqBrsAN5WcRNGrNFhyWCiwpqSg7LRr&#10;jYLnst3uZdIekw+TTj9n6+735e9bqcFTv34H4an39/Ct/aUVzOYT+D8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W5O/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F4826A1" w14:textId="77777777" w:rsidR="00671E51" w:rsidRPr="00E9086B" w:rsidRDefault="00671E51" w:rsidP="00E9086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0BF1A0C8" w14:textId="77777777" w:rsidTr="00E9086B">
      <w:trPr>
        <w:trHeight w:hRule="exact" w:val="240"/>
      </w:trPr>
      <w:tc>
        <w:tcPr>
          <w:tcW w:w="5258" w:type="dxa"/>
          <w:shd w:val="clear" w:color="auto" w:fill="auto"/>
        </w:tcPr>
        <w:p w14:paraId="7BB817C7" w14:textId="77777777" w:rsidR="00671E51" w:rsidRDefault="00671E51" w:rsidP="00B759F6">
          <w:pPr>
            <w:pStyle w:val="Header-CompanyName"/>
          </w:pPr>
        </w:p>
      </w:tc>
      <w:tc>
        <w:tcPr>
          <w:tcW w:w="5730" w:type="dxa"/>
          <w:shd w:val="clear" w:color="auto" w:fill="auto"/>
          <w:tcMar>
            <w:top w:w="56" w:type="dxa"/>
            <w:right w:w="8" w:type="dxa"/>
          </w:tcMar>
        </w:tcPr>
        <w:p w14:paraId="607537FC"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800576" behindDoc="1" locked="1" layoutInCell="1" allowOverlap="1" wp14:anchorId="73B19D5B" wp14:editId="7FEEA43D">
                    <wp:simplePos x="0" y="0"/>
                    <wp:positionH relativeFrom="rightMargin">
                      <wp:posOffset>-1345565</wp:posOffset>
                    </wp:positionH>
                    <wp:positionV relativeFrom="page">
                      <wp:posOffset>24765</wp:posOffset>
                    </wp:positionV>
                    <wp:extent cx="1329690" cy="65405"/>
                    <wp:effectExtent l="0" t="0" r="3810" b="0"/>
                    <wp:wrapNone/>
                    <wp:docPr id="64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44" name="Freeform 64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5" name="Freeform 64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E560500" id="Group 7" o:spid="_x0000_s1026" style="position:absolute;margin-left:-105.95pt;margin-top:1.95pt;width:104.7pt;height:5.15pt;z-index:-2515159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Ph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7P3Wj4WAABviQAADgAAAAAAAAAAAAAA&#10;AAAuAgAAZHJzL2Uyb0RvYy54bWxQSwECLQAUAAYACAAAACEAqRec098AAAAIAQAADwAAAAAAAAAA&#10;AAAAAACYGAAAZHJzL2Rvd25yZXYueG1sUEsFBgAAAAAEAAQA8wAAAKQZAAAAAA==&#10;">
                    <v:shape id="Freeform 64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Vq8MA&#10;AADcAAAADwAAAGRycy9kb3ducmV2LnhtbESPUWvCMBSF3wf+h3CFvc1U1xWpRhFB8GFjrPYHXJpr&#10;U2xuShJt9++XwWCPh3POdzjb/WR78SAfOscKlosMBHHjdMetgvpyelmDCBFZY++YFHxTgP1u9rTF&#10;UruRv+hRxVYkCIcSFZgYh1LK0BiyGBZuIE7e1XmLMUnfSu1xTHDby1WWFdJix2nB4EBHQ82tulsF&#10;uHz1+lIX9fghq/w9N9nq7bNW6nk+HTYgIk3xP/zXPmsFRZ7D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Vq8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4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XWscA&#10;AADcAAAADwAAAGRycy9kb3ducmV2LnhtbESPT2vCQBTE7wW/w/KEXorZaFVKmlU00FLopf459PjI&#10;vibR7NuY3Zj027tCocdhZn7DpOvB1OJKrassK5hGMQji3OqKCwXHw9vkBYTzyBpry6TglxysV6OH&#10;FBNte97Rde8LESDsElRQet8kUrq8JIMusg1x8H5sa9AH2RZSt9gHuKnlLI6X0mDFYaHEhrKS8vO+&#10;Mwqequ7zILPuO9ua3fx9selPz5cvpR7Hw+YVhKfB/4f/2h9awXK+gPuZc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211r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FB1D127" w14:textId="77777777" w:rsidR="00671E51" w:rsidRPr="00E9086B" w:rsidRDefault="00671E51" w:rsidP="00E9086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19460715" w14:textId="77777777" w:rsidTr="005747A8">
      <w:trPr>
        <w:trHeight w:hRule="exact" w:val="240"/>
      </w:trPr>
      <w:tc>
        <w:tcPr>
          <w:tcW w:w="5258" w:type="dxa"/>
          <w:shd w:val="clear" w:color="auto" w:fill="auto"/>
        </w:tcPr>
        <w:p w14:paraId="3E030B32" w14:textId="77777777" w:rsidR="00671E51" w:rsidRDefault="00671E51" w:rsidP="00B759F6">
          <w:pPr>
            <w:pStyle w:val="Header-CompanyName"/>
          </w:pPr>
        </w:p>
      </w:tc>
      <w:tc>
        <w:tcPr>
          <w:tcW w:w="5730" w:type="dxa"/>
          <w:shd w:val="clear" w:color="auto" w:fill="auto"/>
          <w:tcMar>
            <w:top w:w="56" w:type="dxa"/>
            <w:right w:w="8" w:type="dxa"/>
          </w:tcMar>
        </w:tcPr>
        <w:p w14:paraId="15D14B64"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96480" behindDoc="1" locked="1" layoutInCell="1" allowOverlap="1" wp14:anchorId="11DB2732" wp14:editId="1F7B5752">
                    <wp:simplePos x="0" y="0"/>
                    <wp:positionH relativeFrom="rightMargin">
                      <wp:posOffset>-1345565</wp:posOffset>
                    </wp:positionH>
                    <wp:positionV relativeFrom="page">
                      <wp:posOffset>24765</wp:posOffset>
                    </wp:positionV>
                    <wp:extent cx="1329690" cy="65405"/>
                    <wp:effectExtent l="0" t="0" r="3810" b="0"/>
                    <wp:wrapNone/>
                    <wp:docPr id="63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38" name="Freeform 63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 name="Freeform 63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305D96" id="Group 7" o:spid="_x0000_s1026" style="position:absolute;margin-left:-105.95pt;margin-top:1.95pt;width:104.7pt;height:5.15pt;z-index:-2515200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g3P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HcbKDc8FgAAb4kAAA4AAAAAAAAAAAAAAAAA&#10;LgIAAGRycy9lMm9Eb2MueG1sUEsBAi0AFAAGAAgAAAAhAKkXnNPfAAAACAEAAA8AAAAAAAAAAAAA&#10;AAAAlhgAAGRycy9kb3ducmV2LnhtbFBLBQYAAAAABAAEAPMAAACiGQAAAAA=&#10;">
                    <v:shape id="Freeform 63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s08AA&#10;AADcAAAADwAAAGRycy9kb3ducmV2LnhtbERP3WrCMBS+H/gO4Qy809S/Ip1RZCB44RBrH+DQnDVl&#10;zUlJMlvf3lwMdvnx/e8Oo+3Eg3xoHStYzDMQxLXTLTcKqvtptgURIrLGzjEpeFKAw37ytsNCu4Fv&#10;9ChjI1IIhwIVmBj7QspQG7IY5q4nTty38xZjgr6R2uOQwm0nl1mWS4stpwaDPX0aqn/KX6sAFyuv&#10;71VeDV+yXF/WJlturpVS0/fx+AEi0hj/xX/us1aQr9LadC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ss0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3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2uIscA&#10;AADcAAAADwAAAGRycy9kb3ducmV2LnhtbESPQWvCQBSE74L/YXlCL6Kb1iptdBUbaCl4MdpDj4/s&#10;M4lm36bZjUn/fbcgeBxm5htmtelNJa7UuNKygsdpBII4s7rkXMHX8X3yAsJ5ZI2VZVLwSw426+Fg&#10;hbG2Had0PfhcBAi7GBUU3texlC4ryKCb2po4eCfbGPRBNrnUDXYBbir5FEULabDksFBgTUlB2eXQ&#10;GgXjst0dZdJ+J28mff6Yb7vz7Gev1MOo3y5BeOr9PXxrf2oFi9kr/J8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9ri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E8A7C9C" w14:textId="77777777" w:rsidR="00671E51" w:rsidRPr="00E9086B" w:rsidRDefault="00671E51" w:rsidP="00E9086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D4E46AB" w14:textId="77777777" w:rsidTr="00E9086B">
      <w:trPr>
        <w:trHeight w:hRule="exact" w:val="240"/>
      </w:trPr>
      <w:tc>
        <w:tcPr>
          <w:tcW w:w="5258" w:type="dxa"/>
          <w:shd w:val="clear" w:color="auto" w:fill="auto"/>
        </w:tcPr>
        <w:p w14:paraId="200AABEC" w14:textId="77777777" w:rsidR="00671E51" w:rsidRDefault="00671E51" w:rsidP="00B759F6">
          <w:pPr>
            <w:pStyle w:val="Header-CompanyName"/>
          </w:pPr>
        </w:p>
      </w:tc>
      <w:tc>
        <w:tcPr>
          <w:tcW w:w="5730" w:type="dxa"/>
          <w:shd w:val="clear" w:color="auto" w:fill="auto"/>
          <w:tcMar>
            <w:top w:w="56" w:type="dxa"/>
            <w:right w:w="8" w:type="dxa"/>
          </w:tcMar>
        </w:tcPr>
        <w:p w14:paraId="54723B00"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98528" behindDoc="1" locked="1" layoutInCell="1" allowOverlap="1" wp14:anchorId="518179DA" wp14:editId="6F2C89EB">
                    <wp:simplePos x="0" y="0"/>
                    <wp:positionH relativeFrom="rightMargin">
                      <wp:posOffset>-1345565</wp:posOffset>
                    </wp:positionH>
                    <wp:positionV relativeFrom="page">
                      <wp:posOffset>24765</wp:posOffset>
                    </wp:positionV>
                    <wp:extent cx="1329690" cy="65405"/>
                    <wp:effectExtent l="0" t="0" r="3810" b="0"/>
                    <wp:wrapNone/>
                    <wp:docPr id="64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41" name="Freeform 64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 name="Freeform 64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938AA" id="Group 7" o:spid="_x0000_s1026" style="position:absolute;margin-left:-105.95pt;margin-top:1.95pt;width:104.7pt;height:5.15pt;z-index:-2515179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pwnM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">
                    <v:shape id="Freeform 64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2M8QA&#10;AADcAAAADwAAAGRycy9kb3ducmV2LnhtbESPwWrDMBBE74X+g9hCb4ns1DHBjRJKoNBDSqnjD1is&#10;rWVqrYykxM7fR4FCj8PMvGG2+9kO4kI+9I4V5MsMBHHrdM+dgub0vtiACBFZ4+CYFFwpwH73+LDF&#10;SruJv+lSx04kCIcKFZgYx0rK0BqyGJZuJE7ej/MWY5K+k9rjlOB2kKssK6XFntOCwZEOhtrf+mwV&#10;YP7i9akpm+lT1sWxMNlq/dUo9fw0v72CiDTH//Bf+0MrKIsc7mfSE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9jP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4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PLscA&#10;AADcAAAADwAAAGRycy9kb3ducmV2LnhtbESPT2vCQBTE74LfYXmCF9GNVqWkrmIDlkIv/umhx0f2&#10;mUSzb9PsxqTf3hUKHoeZ+Q2z2nSmFDeqXWFZwXQSgSBOrS44U/B92o1fQTiPrLG0TAr+yMFm3e+t&#10;MNa25QPdjj4TAcIuRgW591UspUtzMugmtiIO3tnWBn2QdSZ1jW2Am1LOomgpDRYcFnKsKMkpvR4b&#10;o2BUNF8nmTQ/ybs5zD8W2/by8rtXajjotm8gPHX+Gf5vf2oFy/kM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fTy7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EF9D586" w14:textId="77777777" w:rsidR="00671E51" w:rsidRPr="00E9086B" w:rsidRDefault="00671E51" w:rsidP="00E908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671E51" w14:paraId="3D94FF29" w14:textId="77777777" w:rsidTr="00425AFC">
      <w:trPr>
        <w:trHeight w:hRule="exact" w:val="240"/>
      </w:trPr>
      <w:tc>
        <w:tcPr>
          <w:tcW w:w="5259" w:type="dxa"/>
          <w:shd w:val="clear" w:color="auto" w:fill="auto"/>
        </w:tcPr>
        <w:p w14:paraId="4E1085E7" w14:textId="77777777" w:rsidR="00671E51" w:rsidRDefault="00671E51" w:rsidP="00425AFC">
          <w:pPr>
            <w:pStyle w:val="Header-CompanyName"/>
          </w:pPr>
        </w:p>
      </w:tc>
      <w:tc>
        <w:tcPr>
          <w:tcW w:w="5730" w:type="dxa"/>
          <w:shd w:val="clear" w:color="auto" w:fill="auto"/>
          <w:tcMar>
            <w:top w:w="56" w:type="dxa"/>
            <w:right w:w="8" w:type="dxa"/>
          </w:tcMar>
        </w:tcPr>
        <w:p w14:paraId="6AEDBDBE" w14:textId="77777777" w:rsidR="00671E51" w:rsidRDefault="00671E51" w:rsidP="00425AFC">
          <w:pPr>
            <w:pStyle w:val="Header-CompanyName"/>
          </w:pPr>
          <w:r w:rsidRPr="00DD7896">
            <w:rPr>
              <w:spacing w:val="28"/>
            </w:rPr>
            <w:t xml:space="preserve">ACIL ALLEN </w:t>
          </w:r>
          <w:r w:rsidRPr="00DD7896">
            <w:rPr>
              <w:color w:val="BEB6AF"/>
            </w:rPr>
            <w:t>CONSULTING</w:t>
          </w:r>
        </w:p>
      </w:tc>
    </w:tr>
  </w:tbl>
  <w:p w14:paraId="180D9958" w14:textId="77777777" w:rsidR="00671E51" w:rsidRPr="00A32B60" w:rsidRDefault="00671E51" w:rsidP="00425AF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436161BF" w14:textId="77777777" w:rsidTr="00E55319">
      <w:trPr>
        <w:trHeight w:hRule="exact" w:val="240"/>
      </w:trPr>
      <w:tc>
        <w:tcPr>
          <w:tcW w:w="5258" w:type="dxa"/>
          <w:shd w:val="clear" w:color="auto" w:fill="auto"/>
        </w:tcPr>
        <w:p w14:paraId="4CC89980" w14:textId="77777777" w:rsidR="00671E51" w:rsidRDefault="00671E51" w:rsidP="00B759F6">
          <w:pPr>
            <w:pStyle w:val="Header-CompanyName"/>
          </w:pPr>
        </w:p>
      </w:tc>
      <w:tc>
        <w:tcPr>
          <w:tcW w:w="5730" w:type="dxa"/>
          <w:shd w:val="clear" w:color="auto" w:fill="auto"/>
          <w:tcMar>
            <w:top w:w="56" w:type="dxa"/>
            <w:right w:w="8" w:type="dxa"/>
          </w:tcMar>
        </w:tcPr>
        <w:p w14:paraId="46B5B158"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76000" behindDoc="1" locked="1" layoutInCell="1" allowOverlap="1" wp14:anchorId="09EFC1FE" wp14:editId="4DF1EC70">
                    <wp:simplePos x="0" y="0"/>
                    <wp:positionH relativeFrom="rightMargin">
                      <wp:posOffset>-1345565</wp:posOffset>
                    </wp:positionH>
                    <wp:positionV relativeFrom="page">
                      <wp:posOffset>24765</wp:posOffset>
                    </wp:positionV>
                    <wp:extent cx="1329690" cy="65405"/>
                    <wp:effectExtent l="0" t="0" r="3810" b="0"/>
                    <wp:wrapNone/>
                    <wp:docPr id="59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94" name="Freeform 59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5" name="Freeform 59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CAD7391" id="Group 7" o:spid="_x0000_s1026" style="position:absolute;margin-left:-105.95pt;margin-top:1.95pt;width:104.7pt;height:5.15pt;z-index:-2515404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C/Nx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">
                    <v:shape id="Freeform 59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YkMQA&#10;AADcAAAADwAAAGRycy9kb3ducmV2LnhtbESPwWrDMBBE74X+g9hCb42c1DGtEyWUQKGHhBLHH7BY&#10;G8vUWhlJid2/rwKBHoeZecOst5PtxZV86BwrmM8yEMSN0x23CurT58sbiBCRNfaOScEvBdhuHh/W&#10;WGo38pGuVWxFgnAoUYGJcSilDI0hi2HmBuLknZ23GJP0rdQexwS3vVxkWSEtdpwWDA60M9T8VBer&#10;AOevXp/qoh4Pssr3uckWy+9aqeen6WMFItIU/8P39pdWsHzP4X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GJ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aYccA&#10;AADcAAAADwAAAGRycy9kb3ducmV2LnhtbESPT2vCQBTE74LfYXmFXqRuWk2x0VVsoFLwUv8cenxk&#10;n0lq9m2a3Zj47d2C0OMwM79hFqveVOJCjSstK3geRyCIM6tLzhUcDx9PMxDOI2usLJOCKzlYLYeD&#10;BSbadryjy97nIkDYJaig8L5OpHRZQQbd2NbEwTvZxqAPssmlbrALcFPJlyh6lQZLDgsF1pQWlJ33&#10;rVEwKtvtQabtd/pudtNNvO5+Jr9fSj0+9Os5CE+9/w/f259aQfwWw9+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mm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200967A" w14:textId="77777777" w:rsidR="00671E51" w:rsidRPr="00E55319" w:rsidRDefault="00671E51" w:rsidP="00E5531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74AD5D7E" w14:textId="77777777" w:rsidTr="00E55319">
      <w:trPr>
        <w:trHeight w:hRule="exact" w:val="240"/>
      </w:trPr>
      <w:tc>
        <w:tcPr>
          <w:tcW w:w="5258" w:type="dxa"/>
          <w:shd w:val="clear" w:color="auto" w:fill="auto"/>
        </w:tcPr>
        <w:p w14:paraId="130FB639" w14:textId="77777777" w:rsidR="00671E51" w:rsidRDefault="00671E51" w:rsidP="00B759F6">
          <w:pPr>
            <w:pStyle w:val="Header-CompanyName"/>
          </w:pPr>
        </w:p>
      </w:tc>
      <w:tc>
        <w:tcPr>
          <w:tcW w:w="5730" w:type="dxa"/>
          <w:shd w:val="clear" w:color="auto" w:fill="auto"/>
          <w:tcMar>
            <w:top w:w="56" w:type="dxa"/>
            <w:right w:w="8" w:type="dxa"/>
          </w:tcMar>
        </w:tcPr>
        <w:p w14:paraId="5CCE62B3"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71904" behindDoc="1" locked="1" layoutInCell="1" allowOverlap="1" wp14:anchorId="39E89D44" wp14:editId="2BE60229">
                    <wp:simplePos x="0" y="0"/>
                    <wp:positionH relativeFrom="rightMargin">
                      <wp:posOffset>-1345565</wp:posOffset>
                    </wp:positionH>
                    <wp:positionV relativeFrom="page">
                      <wp:posOffset>24765</wp:posOffset>
                    </wp:positionV>
                    <wp:extent cx="1329690" cy="65405"/>
                    <wp:effectExtent l="0" t="0" r="3810" b="0"/>
                    <wp:wrapNone/>
                    <wp:docPr id="58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88" name="Freeform 58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9" name="Freeform 58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BA992D2" id="Group 7" o:spid="_x0000_s1026" style="position:absolute;margin-left:-105.95pt;margin-top:1.95pt;width:104.7pt;height:5.15pt;z-index:-2515445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4xRR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">
                    <v:shape id="Freeform 58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GESMAA&#10;AADcAAAADwAAAGRycy9kb3ducmV2LnhtbERPzYrCMBC+L/gOYYS9ramuilSjyILgQRFrH2BoxqbY&#10;TEqStd233xwEjx/f/2Y32FY8yYfGsYLpJANBXDndcK2gvB2+ViBCRNbYOiYFfxRgtx19bDDXrucr&#10;PYtYixTCIUcFJsYulzJUhiyGieuIE3d33mJM0NdSe+xTuG3lLMuW0mLDqcFgRz+GqkfxaxXg9Nvr&#10;W7ks+7Ms5qe5yWaLS6nU53jYr0FEGuJb/HIftYLFKq1NZ9IR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4GESM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8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GuccA&#10;AADcAAAADwAAAGRycy9kb3ducmV2LnhtbESPzWvCQBTE74X+D8sreCm68ato6ioaUAq91I+Dx0f2&#10;NUmbfRuzGxP/e7cg9DjMzG+YxaozpbhS7QrLCoaDCARxanXBmYLTcdufgXAeWWNpmRTcyMFq+fy0&#10;wFjblvd0PfhMBAi7GBXk3lexlC7NyaAb2Io4eN+2NuiDrDOpa2wD3JRyFEVv0mDBYSHHipKc0t9D&#10;YxS8Fs3nUSbNOdmY/WQ3Xbc/48uXUr2Xbv0OwlPn/8OP9odWMJ3N4e9MO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Brn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FB3C4E8" w14:textId="4E876638" w:rsidR="00671E51" w:rsidRPr="00E55319" w:rsidRDefault="00671E51" w:rsidP="00E5531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7622F6B8" w14:textId="77777777" w:rsidTr="00E55319">
      <w:trPr>
        <w:trHeight w:hRule="exact" w:val="240"/>
      </w:trPr>
      <w:tc>
        <w:tcPr>
          <w:tcW w:w="5258" w:type="dxa"/>
          <w:shd w:val="clear" w:color="auto" w:fill="auto"/>
        </w:tcPr>
        <w:p w14:paraId="6E837E64" w14:textId="77777777" w:rsidR="00671E51" w:rsidRDefault="00671E51" w:rsidP="00B759F6">
          <w:pPr>
            <w:pStyle w:val="Header-CompanyName"/>
          </w:pPr>
        </w:p>
      </w:tc>
      <w:tc>
        <w:tcPr>
          <w:tcW w:w="5730" w:type="dxa"/>
          <w:shd w:val="clear" w:color="auto" w:fill="auto"/>
          <w:tcMar>
            <w:top w:w="56" w:type="dxa"/>
            <w:right w:w="8" w:type="dxa"/>
          </w:tcMar>
        </w:tcPr>
        <w:p w14:paraId="4594BCFC"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73952" behindDoc="1" locked="1" layoutInCell="1" allowOverlap="1" wp14:anchorId="365FF59E" wp14:editId="1A5E8325">
                    <wp:simplePos x="0" y="0"/>
                    <wp:positionH relativeFrom="rightMargin">
                      <wp:posOffset>-1345565</wp:posOffset>
                    </wp:positionH>
                    <wp:positionV relativeFrom="page">
                      <wp:posOffset>24765</wp:posOffset>
                    </wp:positionV>
                    <wp:extent cx="1329690" cy="65405"/>
                    <wp:effectExtent l="0" t="0" r="3810" b="0"/>
                    <wp:wrapNone/>
                    <wp:docPr id="59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91" name="Freeform 59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2" name="Freeform 59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F10C30" id="Group 7" o:spid="_x0000_s1026" style="position:absolute;margin-left:-105.95pt;margin-top:1.95pt;width:104.7pt;height:5.15pt;z-index:-2515425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vCNB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">
                    <v:shape id="Freeform 59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7CMQA&#10;AADcAAAADwAAAGRycy9kb3ducmV2LnhtbESPUWvCMBSF34X9h3AHvmlap7JVowxh4MPGsPYHXJpr&#10;U9bclCTa+u/NYLDHwznnO5ztfrSduJEPrWMF+TwDQVw73XKjoDp/zF5BhIissXNMCu4UYL97mmyx&#10;0G7gE93K2IgE4VCgAhNjX0gZakMWw9z1xMm7OG8xJukbqT0OCW47uciytbTYclow2NPBUP1TXq0C&#10;zF+8PlfraviS5fJzabLF6rtSavo8vm9ARBrjf/ivfdQKVm85/J5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iuwj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CFccA&#10;AADcAAAADwAAAGRycy9kb3ducmV2LnhtbESPQWvCQBSE74X+h+UVvBTdaLXY1FVswFLw0qgHj4/s&#10;a5KafZtmNyb+e7cgeBxm5htmsepNJc7UuNKygvEoAkGcWV1yruCw3wznIJxH1lhZJgUXcrBaPj4s&#10;MNa245TOO5+LAGEXo4LC+zqW0mUFGXQjWxMH78c2Bn2QTS51g12Am0pOouhVGiw5LBRYU1JQdtq1&#10;RsFz2W73MmmPyYdJp5+zdff78vet1OCpX7+D8NT7e/jW/tIKZm8T+D8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Ah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C4275AA" w14:textId="77777777" w:rsidR="00671E51" w:rsidRPr="00E55319" w:rsidRDefault="00671E51" w:rsidP="00E5531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0A4A3DB4" w14:textId="77777777" w:rsidTr="00E55319">
      <w:trPr>
        <w:trHeight w:hRule="exact" w:val="240"/>
      </w:trPr>
      <w:tc>
        <w:tcPr>
          <w:tcW w:w="5258" w:type="dxa"/>
          <w:shd w:val="clear" w:color="auto" w:fill="auto"/>
        </w:tcPr>
        <w:p w14:paraId="65822245" w14:textId="77777777" w:rsidR="00671E51" w:rsidRDefault="00671E51" w:rsidP="00B759F6">
          <w:pPr>
            <w:pStyle w:val="Header-CompanyName"/>
          </w:pPr>
        </w:p>
      </w:tc>
      <w:tc>
        <w:tcPr>
          <w:tcW w:w="5730" w:type="dxa"/>
          <w:shd w:val="clear" w:color="auto" w:fill="auto"/>
          <w:tcMar>
            <w:top w:w="56" w:type="dxa"/>
            <w:right w:w="8" w:type="dxa"/>
          </w:tcMar>
        </w:tcPr>
        <w:p w14:paraId="4C699A1E"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82144" behindDoc="1" locked="1" layoutInCell="1" allowOverlap="1" wp14:anchorId="5D2DDCD5" wp14:editId="437DCB4B">
                    <wp:simplePos x="0" y="0"/>
                    <wp:positionH relativeFrom="rightMargin">
                      <wp:posOffset>-1345565</wp:posOffset>
                    </wp:positionH>
                    <wp:positionV relativeFrom="page">
                      <wp:posOffset>24765</wp:posOffset>
                    </wp:positionV>
                    <wp:extent cx="1329690" cy="65405"/>
                    <wp:effectExtent l="0" t="0" r="3810" b="0"/>
                    <wp:wrapNone/>
                    <wp:docPr id="60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06" name="Freeform 60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 name="Freeform 60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03E54F" id="Group 7" o:spid="_x0000_s1026" style="position:absolute;margin-left:-105.95pt;margin-top:1.95pt;width:104.7pt;height:5.15pt;z-index:-2515343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pTOBYAAG+JAAAOAAAAZHJzL2Uyb0RvYy54bWzsPdtuG8mO7wvsPwh+XCBjVd/UMiZzgLlk&#10;sMDs2QEmB+dZkeUL1pa0khJnzsH++5JVZHWxutnNHs/uk/OQ2Gw2WbwUm1VFV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s54aUzgWAABviQAADgAAAAAAAAAAAAAAAAAuAgAA&#10;ZHJzL2Uyb0RvYy54bWxQSwECLQAUAAYACAAAACEAqRec098AAAAIAQAADwAAAAAAAAAAAAAAAACS&#10;GAAAZHJzL2Rvd25yZXYueG1sUEsFBgAAAAAEAAQA8wAAAJ4ZAAAAAA==&#10;">
                    <v:shape id="Freeform 60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Xh8MA&#10;AADcAAAADwAAAGRycy9kb3ducmV2LnhtbESPwWrDMBBE74X8g9hCb42UNDXBjRJCIZBDQ4jjD1is&#10;rWVqrYykxu7fV4VAj8PMvGE2u8n14kYhdp41LOYKBHHjTcethvp6eF6DiAnZYO+ZNPxQhN129rDB&#10;0viRL3SrUisyhGOJGmxKQyllbCw5jHM/EGfv0weHKcvQShNwzHDXy6VShXTYcV6wONC7pear+nYa&#10;cPESzLUu6vEkq9XHyqrl67nW+ulx2r+BSDSl//C9fTQaClXA35l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TXh8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0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kn8cA&#10;AADcAAAADwAAAGRycy9kb3ducmV2LnhtbESPT2vCQBTE70K/w/IKXopualVs6io2UBG8+O/g8ZF9&#10;TdJm36bZjYnf3hUKHoeZ+Q0zX3amFBeqXWFZweswAkGcWl1wpuB0/BrMQDiPrLG0TAqu5GC5eOrN&#10;Mda25T1dDj4TAcIuRgW591UspUtzMuiGtiIO3retDfog60zqGtsAN6UcRdFUGiw4LORYUZJT+nto&#10;jIKXotkeZdKck0+zH68nq/bn7W+nVP+5W32A8NT5R/i/vdEKptE7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RZ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D2E62C4" w14:textId="77777777" w:rsidR="00671E51" w:rsidRPr="00E55319" w:rsidRDefault="00671E51" w:rsidP="00E5531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75971C97" w14:textId="77777777" w:rsidTr="00E55319">
      <w:trPr>
        <w:trHeight w:hRule="exact" w:val="240"/>
      </w:trPr>
      <w:tc>
        <w:tcPr>
          <w:tcW w:w="5258" w:type="dxa"/>
          <w:shd w:val="clear" w:color="auto" w:fill="auto"/>
        </w:tcPr>
        <w:p w14:paraId="2CDBAC97" w14:textId="77777777" w:rsidR="00671E51" w:rsidRDefault="00671E51" w:rsidP="00B759F6">
          <w:pPr>
            <w:pStyle w:val="Header-CompanyName"/>
          </w:pPr>
        </w:p>
      </w:tc>
      <w:tc>
        <w:tcPr>
          <w:tcW w:w="5730" w:type="dxa"/>
          <w:shd w:val="clear" w:color="auto" w:fill="auto"/>
          <w:tcMar>
            <w:top w:w="56" w:type="dxa"/>
            <w:right w:w="8" w:type="dxa"/>
          </w:tcMar>
        </w:tcPr>
        <w:p w14:paraId="0278F68C"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78048" behindDoc="1" locked="1" layoutInCell="1" allowOverlap="1" wp14:anchorId="4130D4DA" wp14:editId="096293AE">
                    <wp:simplePos x="0" y="0"/>
                    <wp:positionH relativeFrom="rightMargin">
                      <wp:posOffset>-1345565</wp:posOffset>
                    </wp:positionH>
                    <wp:positionV relativeFrom="page">
                      <wp:posOffset>24765</wp:posOffset>
                    </wp:positionV>
                    <wp:extent cx="1329690" cy="65405"/>
                    <wp:effectExtent l="0" t="0" r="3810" b="0"/>
                    <wp:wrapNone/>
                    <wp:docPr id="59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597" name="Freeform 59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 name="Freeform 59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C0D35E7" id="Group 7" o:spid="_x0000_s1026" style="position:absolute;margin-left:-105.95pt;margin-top:1.95pt;width:104.7pt;height:5.15pt;z-index:-2515384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DI2QljsWAABviQAADgAAAAAAAAAAAAAAAAAu&#10;AgAAZHJzL2Uyb0RvYy54bWxQSwECLQAUAAYACAAAACEAqRec098AAAAIAQAADwAAAAAAAAAAAAAA&#10;AACVGAAAZHJzL2Rvd25yZXYueG1sUEsFBgAAAAAEAAQA8wAAAKEZAAAAAA==&#10;">
                    <v:shape id="Freeform 59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G58QA&#10;AADcAAAADwAAAGRycy9kb3ducmV2LnhtbESPUWvCMBSF3wX/Q7iCb5rq1G3VKDIQfNgYq/0Bl+au&#10;KTY3JYm2+/eLMNjj4ZzzHc7uMNhW3MmHxrGCxTwDQVw53XCtoLycZi8gQkTW2DomBT8U4LAfj3aY&#10;a9fzF92LWIsE4ZCjAhNjl0sZKkMWw9x1xMn7dt5iTNLXUnvsE9y2cpllG2mx4bRgsKM3Q9W1uFkF&#10;uHjy+lJuyv5DFqv3lcmW689SqelkOG5BRBrif/ivfdYK1q/P8DiTj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huf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59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1/8QA&#10;AADcAAAADwAAAGRycy9kb3ducmV2LnhtbERPTWvCQBC9C/0PyxR6kbppq8Wm2YgGKoKXqj14HLLT&#10;JG12NmY3Jv579yB4fLzvZDGYWpypdZVlBS+TCARxbnXFhYKfw9fzHITzyBpry6TgQg4W6cMowVjb&#10;nnd03vtChBB2MSoovW9iKV1ekkE3sQ1x4H5ta9AH2BZSt9iHcFPL1yh6lwYrDg0lNpSVlP/vO6Ng&#10;XHXbg8y6Y7Yyu+l6tuz/3k7fSj09DstPEJ4Gfxff3ButYPYR1oYz4Qj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Nf/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2513398" w14:textId="5408BE08" w:rsidR="00671E51" w:rsidRPr="00E55319" w:rsidRDefault="00671E51" w:rsidP="00E5531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55B22A0A" w14:textId="77777777" w:rsidTr="00E55319">
      <w:trPr>
        <w:trHeight w:hRule="exact" w:val="240"/>
      </w:trPr>
      <w:tc>
        <w:tcPr>
          <w:tcW w:w="5258" w:type="dxa"/>
          <w:shd w:val="clear" w:color="auto" w:fill="auto"/>
        </w:tcPr>
        <w:p w14:paraId="1F811D3A" w14:textId="77777777" w:rsidR="00671E51" w:rsidRDefault="00671E51" w:rsidP="00B759F6">
          <w:pPr>
            <w:pStyle w:val="Header-CompanyName"/>
          </w:pPr>
        </w:p>
      </w:tc>
      <w:tc>
        <w:tcPr>
          <w:tcW w:w="5730" w:type="dxa"/>
          <w:shd w:val="clear" w:color="auto" w:fill="auto"/>
          <w:tcMar>
            <w:top w:w="56" w:type="dxa"/>
            <w:right w:w="8" w:type="dxa"/>
          </w:tcMar>
        </w:tcPr>
        <w:p w14:paraId="374B1004"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80096" behindDoc="1" locked="1" layoutInCell="1" allowOverlap="1" wp14:anchorId="2F03B181" wp14:editId="3BBD5C9C">
                    <wp:simplePos x="0" y="0"/>
                    <wp:positionH relativeFrom="rightMargin">
                      <wp:posOffset>-1345565</wp:posOffset>
                    </wp:positionH>
                    <wp:positionV relativeFrom="page">
                      <wp:posOffset>24765</wp:posOffset>
                    </wp:positionV>
                    <wp:extent cx="1329690" cy="65405"/>
                    <wp:effectExtent l="0" t="0" r="3810" b="0"/>
                    <wp:wrapNone/>
                    <wp:docPr id="60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03" name="Freeform 60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 name="Freeform 60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77D868" id="Group 7" o:spid="_x0000_s1026" style="position:absolute;margin-left:-105.95pt;margin-top:1.95pt;width:104.7pt;height:5.15pt;z-index:-2515363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SpP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Ap7iSpPRYAAG+JAAAOAAAAAAAAAAAAAAAA&#10;AC4CAABkcnMvZTJvRG9jLnhtbFBLAQItABQABgAIAAAAIQCpF5zT3wAAAAgBAAAPAAAAAAAAAAAA&#10;AAAAAJcYAABkcnMvZG93bnJldi54bWxQSwUGAAAAAAQABADzAAAAoxkAAAAA&#10;">
                    <v:shape id="Freeform 60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0H8MA&#10;AADcAAAADwAAAGRycy9kb3ducmV2LnhtbESPzWrDMBCE74G+g9hCb4mUP1PcKKEUCj2klDp+gMXa&#10;WqbWykhq7Lx9FCjkOMzMN8zuMLlenCnEzrOG5UKBIG686bjVUJ/e588gYkI22HsmDReKcNg/zHZY&#10;Gj/yN52r1IoM4ViiBpvSUEoZG0sO48IPxNn78cFhyjK00gQcM9z1cqVUIR12nBcsDvRmqfmt/pwG&#10;XK6DOdVFPX7KanPcWLXaftVaPz1Ory8gEk3pHv5vfxgNhVrD7Uw+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0H8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0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LAccA&#10;AADcAAAADwAAAGRycy9kb3ducmV2LnhtbESPT2vCQBTE7wW/w/IEL6VuqlZKzEY0oAi9+KeHHh/Z&#10;Z5I2+zbNbkz89t1CocdhZn7DJOvB1OJGrassK3ieRiCIc6srLhS8X3ZPryCcR9ZYWyYFd3KwTkcP&#10;Ccba9nyi29kXIkDYxaig9L6JpXR5SQbd1DbEwbva1qAPsi2kbrEPcFPLWRQtpcGKw0KJDWUl5V/n&#10;zih4rLq3i8y6j2xrTov9y6b/nH8flZqMh80KhKfB/4f/2getYBkt4PdMO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yw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C9595D6" w14:textId="77777777" w:rsidR="00671E51" w:rsidRPr="00E55319" w:rsidRDefault="00671E51" w:rsidP="00E5531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0568E98" w14:textId="77777777" w:rsidTr="00E55319">
      <w:trPr>
        <w:trHeight w:hRule="exact" w:val="240"/>
      </w:trPr>
      <w:tc>
        <w:tcPr>
          <w:tcW w:w="5258" w:type="dxa"/>
          <w:shd w:val="clear" w:color="auto" w:fill="auto"/>
        </w:tcPr>
        <w:p w14:paraId="4871BBB1" w14:textId="77777777" w:rsidR="00671E51" w:rsidRDefault="00671E51" w:rsidP="00B759F6">
          <w:pPr>
            <w:pStyle w:val="Header-CompanyName"/>
          </w:pPr>
        </w:p>
      </w:tc>
      <w:tc>
        <w:tcPr>
          <w:tcW w:w="5730" w:type="dxa"/>
          <w:shd w:val="clear" w:color="auto" w:fill="auto"/>
          <w:tcMar>
            <w:top w:w="56" w:type="dxa"/>
            <w:right w:w="8" w:type="dxa"/>
          </w:tcMar>
        </w:tcPr>
        <w:p w14:paraId="4E3A5EE0"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88288" behindDoc="1" locked="1" layoutInCell="1" allowOverlap="1" wp14:anchorId="03A9212F" wp14:editId="0A6AB1E3">
                    <wp:simplePos x="0" y="0"/>
                    <wp:positionH relativeFrom="rightMargin">
                      <wp:posOffset>-1345565</wp:posOffset>
                    </wp:positionH>
                    <wp:positionV relativeFrom="page">
                      <wp:posOffset>24765</wp:posOffset>
                    </wp:positionV>
                    <wp:extent cx="1329690" cy="65405"/>
                    <wp:effectExtent l="0" t="0" r="3810" b="0"/>
                    <wp:wrapNone/>
                    <wp:docPr id="62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22" name="Freeform 62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 name="Freeform 62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7B12BF" id="Group 7" o:spid="_x0000_s1026" style="position:absolute;margin-left:-105.95pt;margin-top:1.95pt;width:104.7pt;height:5.15pt;z-index:-2515281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sDQ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Dq5QsDQxYAAG+JAAAOAAAAAAAA&#10;AAAAAAAAAC4CAABkcnMvZTJvRG9jLnhtbFBLAQItABQABgAIAAAAIQCpF5zT3wAAAAgBAAAPAAAA&#10;AAAAAAAAAAAAAJ0YAABkcnMvZG93bnJldi54bWxQSwUGAAAAAAQABADzAAAAqRkAAAAA&#10;">
                    <v:shape id="Freeform 62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N5MMA&#10;AADcAAAADwAAAGRycy9kb3ducmV2LnhtbESPUWvCMBSF3wf7D+EKvs3U6op0RhmDwR4UsfYHXJq7&#10;ptjclCSz3b9fBGGPh3POdzjb/WR7cSMfOscKlosMBHHjdMetgvry+bIBESKyxt4xKfilAPvd89MW&#10;S+1GPtOtiq1IEA4lKjAxDqWUoTFkMSzcQJy8b+ctxiR9K7XHMcFtL/MsK6TFjtOCwYE+DDXX6scq&#10;wOXK60td1ONRVuvD2mT566lWaj6b3t9ARJrif/jR/tIKijyH+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N5M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XYccA&#10;AADcAAAADwAAAGRycy9kb3ducmV2LnhtbESPT2vCQBTE74LfYXmCF9GNVqWkrmIDlkIv/umhx0f2&#10;mUSzb9PsxqTf3hUKHoeZ+Q2z2nSmFDeqXWFZwXQSgSBOrS44U/B92o1fQTiPrLG0TAr+yMFm3e+t&#10;MNa25QPdjj4TAcIuRgW591UspUtzMugmtiIO3tnWBn2QdSZ1jW2Am1LOomgpDRYcFnKsKMkpvR4b&#10;o2BUNF8nmTQ/ybs5zD8W2/by8rtXajjotm8gPHX+Gf5vf2oFy9k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ll2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B4A9088" w14:textId="77777777" w:rsidR="00671E51" w:rsidRPr="00E55319" w:rsidRDefault="00671E51" w:rsidP="00E5531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7FE06298" w14:textId="77777777" w:rsidTr="00E55319">
      <w:trPr>
        <w:trHeight w:hRule="exact" w:val="240"/>
      </w:trPr>
      <w:tc>
        <w:tcPr>
          <w:tcW w:w="5258" w:type="dxa"/>
          <w:shd w:val="clear" w:color="auto" w:fill="auto"/>
        </w:tcPr>
        <w:p w14:paraId="01E91277" w14:textId="77777777" w:rsidR="00671E51" w:rsidRDefault="00671E51" w:rsidP="00B759F6">
          <w:pPr>
            <w:pStyle w:val="Header-CompanyName"/>
          </w:pPr>
        </w:p>
      </w:tc>
      <w:tc>
        <w:tcPr>
          <w:tcW w:w="5730" w:type="dxa"/>
          <w:shd w:val="clear" w:color="auto" w:fill="auto"/>
          <w:tcMar>
            <w:top w:w="56" w:type="dxa"/>
            <w:right w:w="8" w:type="dxa"/>
          </w:tcMar>
        </w:tcPr>
        <w:p w14:paraId="65762117"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84192" behindDoc="1" locked="1" layoutInCell="1" allowOverlap="1" wp14:anchorId="5E335FFF" wp14:editId="73F6A05C">
                    <wp:simplePos x="0" y="0"/>
                    <wp:positionH relativeFrom="rightMargin">
                      <wp:posOffset>-1345565</wp:posOffset>
                    </wp:positionH>
                    <wp:positionV relativeFrom="page">
                      <wp:posOffset>24765</wp:posOffset>
                    </wp:positionV>
                    <wp:extent cx="1329690" cy="65405"/>
                    <wp:effectExtent l="0" t="0" r="3810" b="0"/>
                    <wp:wrapNone/>
                    <wp:docPr id="61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13" name="Freeform 61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4" name="Freeform 61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88749DA" id="Group 7" o:spid="_x0000_s1026" style="position:absolute;margin-left:-105.95pt;margin-top:1.95pt;width:104.7pt;height:5.15pt;z-index:-2515322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HwbZ0EWAABviQAADgAAAAAAAAAA&#10;AAAAAAAuAgAAZHJzL2Uyb0RvYy54bWxQSwECLQAUAAYACAAAACEAqRec098AAAAIAQAADwAAAAAA&#10;AAAAAAAAAACbGAAAZHJzL2Rvd25yZXYueG1sUEsFBgAAAAAEAAQA8wAAAKcZAAAAAA==&#10;">
                    <v:shape id="Freeform 61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iwsQA&#10;AADcAAAADwAAAGRycy9kb3ducmV2LnhtbESPUWvCMBSF3wf7D+EO9jbTqitSjTIGgz0oYu0PuDTX&#10;ptjclCSz3b9fBGGPh3POdzib3WR7cSMfOscK8lkGgrhxuuNWQX3+eluBCBFZY++YFPxSgN32+WmD&#10;pXYjn+hWxVYkCIcSFZgYh1LK0BiyGGZuIE7exXmLMUnfSu1xTHDby3mWFdJix2nB4ECfhppr9WMV&#10;YL7w+lwX9XiQ1XK/NNn8/Vgr9foyfaxBRJrif/jR/tYKinw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K4sL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1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d3McA&#10;AADcAAAADwAAAGRycy9kb3ducmV2LnhtbESPzWvCQBTE74L/w/KEXkQ31g9K6io2UCn04kcPPT6y&#10;zySafRuzG5P+965Q8DjMzG+Y5bozpbhR7QrLCibjCARxanXBmYKf4+foDYTzyBpLy6TgjxysV/3e&#10;EmNtW97T7eAzESDsYlSQe1/FUro0J4NubCvi4J1sbdAHWWdS19gGuCnlaxQtpMGCw0KOFSU5pZdD&#10;YxQMi+b7KJPmN/kw+9l2vmnP0+tOqZdBt3kH4anzz/B/+0srWExm8DgTj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Xdz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BC95F07" w14:textId="327E5ADC" w:rsidR="00671E51" w:rsidRPr="00E55319" w:rsidRDefault="00671E51" w:rsidP="00E5531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1604A916" w14:textId="77777777" w:rsidTr="00E55319">
      <w:trPr>
        <w:trHeight w:hRule="exact" w:val="240"/>
      </w:trPr>
      <w:tc>
        <w:tcPr>
          <w:tcW w:w="5258" w:type="dxa"/>
          <w:shd w:val="clear" w:color="auto" w:fill="auto"/>
        </w:tcPr>
        <w:p w14:paraId="41A00126" w14:textId="77777777" w:rsidR="00671E51" w:rsidRDefault="00671E51" w:rsidP="00B759F6">
          <w:pPr>
            <w:pStyle w:val="Header-CompanyName"/>
          </w:pPr>
        </w:p>
      </w:tc>
      <w:tc>
        <w:tcPr>
          <w:tcW w:w="5730" w:type="dxa"/>
          <w:shd w:val="clear" w:color="auto" w:fill="auto"/>
          <w:tcMar>
            <w:top w:w="56" w:type="dxa"/>
            <w:right w:w="8" w:type="dxa"/>
          </w:tcMar>
        </w:tcPr>
        <w:p w14:paraId="3258DC35"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86240" behindDoc="1" locked="1" layoutInCell="1" allowOverlap="1" wp14:anchorId="4BD75D93" wp14:editId="202DAD2A">
                    <wp:simplePos x="0" y="0"/>
                    <wp:positionH relativeFrom="rightMargin">
                      <wp:posOffset>-1345565</wp:posOffset>
                    </wp:positionH>
                    <wp:positionV relativeFrom="page">
                      <wp:posOffset>24765</wp:posOffset>
                    </wp:positionV>
                    <wp:extent cx="1329690" cy="65405"/>
                    <wp:effectExtent l="0" t="0" r="3810" b="0"/>
                    <wp:wrapNone/>
                    <wp:docPr id="616"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17" name="Freeform 61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 name="Freeform 62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583FE3" id="Group 7" o:spid="_x0000_s1026" style="position:absolute;margin-left:-105.95pt;margin-top:1.95pt;width:104.7pt;height:5.15pt;z-index:-2515302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">
                    <v:shape id="Freeform 61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kwcQA&#10;AADcAAAADwAAAGRycy9kb3ducmV2LnhtbESPwWrDMBBE74X+g9hCbo3sJHWLEyWUQCCHllLHH7BY&#10;W8vEWhlJjZ2/rwKBHoeZecNsdpPtxYV86BwryOcZCOLG6Y5bBfXp8PwGIkRkjb1jUnClALvt48MG&#10;S+1G/qZLFVuRIBxKVGBiHEopQ2PIYpi7gTh5P85bjEn6VmqPY4LbXi6yrJAWO04LBgfaG2rO1a9V&#10;gPnS61Nd1OOnrFYfK5MtXr5qpWZP0/saRKQp/ofv7aNWUOSvcDu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5MH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RYsMA&#10;AADcAAAADwAAAGRycy9kb3ducmV2LnhtbERPy2rCQBTdC/2H4Ra6kTqpLyR1FBtoEdwY7cLlJXOb&#10;RDN30szExL93FoLLw3kv172pxJUaV1pW8DGKQBBnVpecK/g9fr8vQDiPrLGyTApu5GC9ehksMda2&#10;45SuB5+LEMIuRgWF93UspcsKMuhGtiYO3J9tDPoAm1zqBrsQbio5jqK5NFhyaCiwpqSg7HJojYJh&#10;2e6OMmlPyZdJpz+zTXee/O+VenvtN58gPPX+KX64t1rBfBzmh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6RYs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05C9945" w14:textId="77777777" w:rsidR="00671E51" w:rsidRPr="00E55319" w:rsidRDefault="00671E51" w:rsidP="00E5531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26A21890" w14:textId="77777777" w:rsidTr="00E55319">
      <w:trPr>
        <w:trHeight w:hRule="exact" w:val="240"/>
      </w:trPr>
      <w:tc>
        <w:tcPr>
          <w:tcW w:w="5258" w:type="dxa"/>
          <w:shd w:val="clear" w:color="auto" w:fill="auto"/>
        </w:tcPr>
        <w:p w14:paraId="6A066FB1" w14:textId="77777777" w:rsidR="00671E51" w:rsidRDefault="00671E51" w:rsidP="00B759F6">
          <w:pPr>
            <w:pStyle w:val="Header-CompanyName"/>
          </w:pPr>
        </w:p>
      </w:tc>
      <w:tc>
        <w:tcPr>
          <w:tcW w:w="5730" w:type="dxa"/>
          <w:shd w:val="clear" w:color="auto" w:fill="auto"/>
          <w:tcMar>
            <w:top w:w="56" w:type="dxa"/>
            <w:right w:w="8" w:type="dxa"/>
          </w:tcMar>
        </w:tcPr>
        <w:p w14:paraId="13F7DB3B"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94432" behindDoc="1" locked="1" layoutInCell="1" allowOverlap="1" wp14:anchorId="339513A5" wp14:editId="791F77C8">
                    <wp:simplePos x="0" y="0"/>
                    <wp:positionH relativeFrom="rightMargin">
                      <wp:posOffset>-1345565</wp:posOffset>
                    </wp:positionH>
                    <wp:positionV relativeFrom="page">
                      <wp:posOffset>24765</wp:posOffset>
                    </wp:positionV>
                    <wp:extent cx="1329690" cy="65405"/>
                    <wp:effectExtent l="0" t="0" r="3810" b="0"/>
                    <wp:wrapNone/>
                    <wp:docPr id="63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35" name="Freeform 63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 name="Freeform 63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468710" id="Group 7" o:spid="_x0000_s1026" style="position:absolute;margin-left:-105.95pt;margin-top:1.95pt;width:104.7pt;height:5.15pt;z-index:-2515220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KPQ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6ibCj0EWAABviQAADgAAAAAAAAAA&#10;AAAAAAAuAgAAZHJzL2Uyb0RvYy54bWxQSwECLQAUAAYACAAAACEAqRec098AAAAIAQAADwAAAAAA&#10;AAAAAAAAAACbGAAAZHJzL2Rvd25yZXYueG1sUEsFBgAAAAAEAAQA8wAAAKcZAAAAAA==&#10;">
                    <v:shape id="Freeform 63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DTcMA&#10;AADcAAAADwAAAGRycy9kb3ducmV2LnhtbESPzWrDMBCE74G+g9hAb4mcPxPcKKEECj00hDh+gMXa&#10;WibWykhK7L59FSj0OMzMN8zuMNpOPMiH1rGCxTwDQVw73XKjoLp+zLYgQkTW2DkmBT8U4LB/meyw&#10;0G7gCz3K2IgE4VCgAhNjX0gZakMWw9z1xMn7dt5iTNI3UnscEtx2cpllubTYclow2NPRUH0r71YB&#10;LlZeX6u8Gk6yXH+tTbbcnCulXqfj+xuISGP8D/+1P7WCfLWB55l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qDTc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3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6UMcA&#10;AADcAAAADwAAAGRycy9kb3ducmV2LnhtbESPT2vCQBTE7wW/w/KEXopuWm2Q6Co2UBF68d/B4yP7&#10;TNJm36bZjYnf3i0IPQ4z8xtmsepNJa7UuNKygtdxBII4s7rkXMHp+DmagXAeWWNlmRTcyMFqOXha&#10;YKJtx3u6HnwuAoRdggoK7+tESpcVZNCNbU0cvIttDPogm1zqBrsAN5V8i6JYGiw5LBRYU1pQ9nNo&#10;jYKXsv06yrQ9px9mP928r7vvye9Oqedhv56D8NT7//CjvdUK4kkMf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iOlD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0103DDB" w14:textId="77777777" w:rsidR="00671E51" w:rsidRPr="00E55319" w:rsidRDefault="00671E51" w:rsidP="00E553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92"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3"/>
    </w:tblGrid>
    <w:tr w:rsidR="00671E51" w14:paraId="0EA9C3DC" w14:textId="77777777" w:rsidTr="00425AFC">
      <w:trPr>
        <w:trHeight w:hRule="exact" w:val="240"/>
      </w:trPr>
      <w:tc>
        <w:tcPr>
          <w:tcW w:w="5639" w:type="dxa"/>
          <w:tcBorders>
            <w:top w:val="single" w:sz="4" w:space="0" w:color="auto"/>
          </w:tcBorders>
          <w:shd w:val="clear" w:color="auto" w:fill="auto"/>
        </w:tcPr>
        <w:p w14:paraId="616601BA" w14:textId="77777777" w:rsidR="00671E51" w:rsidRDefault="00671E51" w:rsidP="00425AFC">
          <w:pPr>
            <w:pStyle w:val="Header-CompanyName"/>
          </w:pPr>
        </w:p>
      </w:tc>
      <w:tc>
        <w:tcPr>
          <w:tcW w:w="5350" w:type="dxa"/>
          <w:tcBorders>
            <w:top w:val="single" w:sz="4" w:space="0" w:color="auto"/>
          </w:tcBorders>
          <w:shd w:val="clear" w:color="auto" w:fill="auto"/>
          <w:tcMar>
            <w:top w:w="56" w:type="dxa"/>
            <w:right w:w="8" w:type="dxa"/>
          </w:tcMar>
        </w:tcPr>
        <w:p w14:paraId="215D2D90" w14:textId="77777777" w:rsidR="00671E51" w:rsidRDefault="00671E51" w:rsidP="00425AFC">
          <w:pPr>
            <w:pStyle w:val="Header-CompanyName"/>
          </w:pPr>
        </w:p>
      </w:tc>
    </w:tr>
    <w:tr w:rsidR="00671E51" w14:paraId="2B1BCE71" w14:textId="77777777" w:rsidTr="00425AFC">
      <w:trPr>
        <w:trHeight w:hRule="exact" w:val="1076"/>
      </w:trPr>
      <w:tc>
        <w:tcPr>
          <w:tcW w:w="5639" w:type="dxa"/>
          <w:shd w:val="clear" w:color="auto" w:fill="auto"/>
        </w:tcPr>
        <w:p w14:paraId="21CB7A88" w14:textId="77777777" w:rsidR="00671E51" w:rsidRDefault="00671E51" w:rsidP="00425AFC">
          <w:pPr>
            <w:pStyle w:val="Header-CompanyName"/>
          </w:pPr>
        </w:p>
      </w:tc>
      <w:tc>
        <w:tcPr>
          <w:tcW w:w="5353" w:type="dxa"/>
          <w:tcBorders>
            <w:top w:val="nil"/>
            <w:bottom w:val="single" w:sz="4" w:space="0" w:color="auto"/>
          </w:tcBorders>
          <w:shd w:val="clear" w:color="auto" w:fill="auto"/>
          <w:tcMar>
            <w:top w:w="56" w:type="dxa"/>
            <w:right w:w="8" w:type="dxa"/>
          </w:tcMar>
        </w:tcPr>
        <w:p w14:paraId="1628824F" w14:textId="77777777" w:rsidR="00671E51" w:rsidRPr="00DD7896" w:rsidRDefault="00671E51" w:rsidP="00425AFC">
          <w:pPr>
            <w:pStyle w:val="Header-CompanyName"/>
            <w:rPr>
              <w:spacing w:val="28"/>
            </w:rPr>
          </w:pPr>
          <w:r>
            <w:rPr>
              <w:noProof/>
              <w:lang w:eastAsia="en-AU"/>
            </w:rPr>
            <mc:AlternateContent>
              <mc:Choice Requires="wps">
                <w:drawing>
                  <wp:anchor distT="0" distB="0" distL="114300" distR="114300" simplePos="0" relativeHeight="251694080" behindDoc="0" locked="1" layoutInCell="1" allowOverlap="1" wp14:anchorId="28AD3407" wp14:editId="17B1BB2D">
                    <wp:simplePos x="0" y="0"/>
                    <wp:positionH relativeFrom="page">
                      <wp:posOffset>1809750</wp:posOffset>
                    </wp:positionH>
                    <wp:positionV relativeFrom="page">
                      <wp:posOffset>196215</wp:posOffset>
                    </wp:positionV>
                    <wp:extent cx="781685" cy="382905"/>
                    <wp:effectExtent l="0" t="0" r="0" b="0"/>
                    <wp:wrapNone/>
                    <wp:docPr id="523"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685"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D8A839" id="cp_sails_contacts" o:spid="_x0000_s1026" style="position:absolute;margin-left:142.5pt;margin-top:15.45pt;width:61.55pt;height:30.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" path="m822,r,828l,828,822,xm863,828r823,l1686,,863,828xe" fillcolor="#ffaf3a" stroked="f">
                    <v:path arrowok="t" o:connecttype="custom" o:connectlocs="381106,0;381106,382905;0,382905;381106,0;400115,382905;781685,382905;781685,0;400115,382905" o:connectangles="0,0,0,0,0,0,0,0"/>
                    <o:lock v:ext="edit" aspectratio="t" verticies="t"/>
                    <w10:wrap anchorx="page" anchory="page"/>
                    <w10:anchorlock/>
                  </v:shape>
                </w:pict>
              </mc:Fallback>
            </mc:AlternateContent>
          </w:r>
        </w:p>
      </w:tc>
    </w:tr>
  </w:tbl>
  <w:p w14:paraId="64CB924D" w14:textId="77777777" w:rsidR="00671E51" w:rsidRDefault="00671E5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51A2C907" w14:textId="77777777" w:rsidTr="00E55319">
      <w:trPr>
        <w:trHeight w:hRule="exact" w:val="240"/>
      </w:trPr>
      <w:tc>
        <w:tcPr>
          <w:tcW w:w="5258" w:type="dxa"/>
          <w:shd w:val="clear" w:color="auto" w:fill="auto"/>
        </w:tcPr>
        <w:p w14:paraId="7EABB178" w14:textId="77777777" w:rsidR="00671E51" w:rsidRDefault="00671E51" w:rsidP="00B759F6">
          <w:pPr>
            <w:pStyle w:val="Header-CompanyName"/>
          </w:pPr>
        </w:p>
      </w:tc>
      <w:tc>
        <w:tcPr>
          <w:tcW w:w="5730" w:type="dxa"/>
          <w:shd w:val="clear" w:color="auto" w:fill="auto"/>
          <w:tcMar>
            <w:top w:w="56" w:type="dxa"/>
            <w:right w:w="8" w:type="dxa"/>
          </w:tcMar>
        </w:tcPr>
        <w:p w14:paraId="1BC437F1"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90336" behindDoc="1" locked="1" layoutInCell="1" allowOverlap="1" wp14:anchorId="6D06FF63" wp14:editId="40805DBE">
                    <wp:simplePos x="0" y="0"/>
                    <wp:positionH relativeFrom="rightMargin">
                      <wp:posOffset>-1345565</wp:posOffset>
                    </wp:positionH>
                    <wp:positionV relativeFrom="page">
                      <wp:posOffset>24765</wp:posOffset>
                    </wp:positionV>
                    <wp:extent cx="1329690" cy="65405"/>
                    <wp:effectExtent l="0" t="0" r="3810" b="0"/>
                    <wp:wrapNone/>
                    <wp:docPr id="62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26" name="Freeform 62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 name="Freeform 62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9081C8" id="Group 7" o:spid="_x0000_s1026" style="position:absolute;margin-left:-105.95pt;margin-top:1.95pt;width:104.7pt;height:5.15pt;z-index:-2515261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uOh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">
                    <v:shape id="Freeform 62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L58MA&#10;AADcAAAADwAAAGRycy9kb3ducmV2LnhtbESPUWvCMBSF3wf+h3CFvc3UzhWpRpGB4MPGWO0PuDTX&#10;ptjclCSz9d+bwWCPh3POdzjb/WR7cSMfOscKlosMBHHjdMetgvp8fFmDCBFZY++YFNwpwH43e9pi&#10;qd3I33SrYisShEOJCkyMQyllaAxZDAs3ECfv4rzFmKRvpfY4JrjtZZ5lhbTYcVowONC7oeZa/VgF&#10;uHz1+lwX9fgpq9XHymT521et1PN8OmxARJrif/ivfdIKiryA3zPp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L58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2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JFscA&#10;AADcAAAADwAAAGRycy9kb3ducmV2LnhtbESPT2vCQBTE74V+h+UVvJS6qVqV1FU0oAhe/Hfw+Mi+&#10;Jmmzb9PsxsRv7wqFHoeZ+Q0zW3SmFFeqXWFZwXs/AkGcWl1wpuB8Wr9NQTiPrLG0TApu5GAxf36a&#10;Yaxtywe6Hn0mAoRdjApy76tYSpfmZND1bUUcvC9bG/RB1pnUNbYBbko5iKKxNFhwWMixoiSn9OfY&#10;GAWvRbM7yaS5JCtzGG0+lu338HevVO+lW36C8NT5//Bfe6sVjAcT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3CR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3C1DC64" w14:textId="775C0CD9" w:rsidR="00671E51" w:rsidRPr="00E55319" w:rsidRDefault="00671E51" w:rsidP="00E5531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7102969E" w14:textId="77777777" w:rsidTr="00E55319">
      <w:trPr>
        <w:trHeight w:hRule="exact" w:val="240"/>
      </w:trPr>
      <w:tc>
        <w:tcPr>
          <w:tcW w:w="5258" w:type="dxa"/>
          <w:shd w:val="clear" w:color="auto" w:fill="auto"/>
        </w:tcPr>
        <w:p w14:paraId="6D09E93B" w14:textId="77777777" w:rsidR="00671E51" w:rsidRDefault="00671E51" w:rsidP="00B759F6">
          <w:pPr>
            <w:pStyle w:val="Header-CompanyName"/>
          </w:pPr>
        </w:p>
      </w:tc>
      <w:tc>
        <w:tcPr>
          <w:tcW w:w="5730" w:type="dxa"/>
          <w:shd w:val="clear" w:color="auto" w:fill="auto"/>
          <w:tcMar>
            <w:top w:w="56" w:type="dxa"/>
            <w:right w:w="8" w:type="dxa"/>
          </w:tcMar>
        </w:tcPr>
        <w:p w14:paraId="30456363"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92384" behindDoc="1" locked="1" layoutInCell="1" allowOverlap="1" wp14:anchorId="0B591A72" wp14:editId="74584261">
                    <wp:simplePos x="0" y="0"/>
                    <wp:positionH relativeFrom="rightMargin">
                      <wp:posOffset>-1345565</wp:posOffset>
                    </wp:positionH>
                    <wp:positionV relativeFrom="page">
                      <wp:posOffset>24765</wp:posOffset>
                    </wp:positionV>
                    <wp:extent cx="1329690" cy="65405"/>
                    <wp:effectExtent l="0" t="0" r="3810" b="0"/>
                    <wp:wrapNone/>
                    <wp:docPr id="62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629" name="Freeform 62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 name="Freeform 63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D021E0" id="Group 7" o:spid="_x0000_s1026" style="position:absolute;margin-left:-105.95pt;margin-top:1.95pt;width:104.7pt;height:5.15pt;z-index:-2515240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HaPhYAAG+JAAAOAAAAZHJzL2Uyb0RvYy54bWzsPV1vG0mO7wfcfxD8eEDGqv5Sy5jMAvOR&#10;wQFzewNMFvusyPIHzpZ0khJndnH//cgqsrpY3exmj2ffnIfEZrPJ4kexWFVk59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4BHR2j4WAABviQAADgAAAAAAAAAAAAAA&#10;AAAuAgAAZHJzL2Uyb0RvYy54bWxQSwECLQAUAAYACAAAACEAqRec098AAAAIAQAADwAAAAAAAAAA&#10;AAAAAACYGAAAZHJzL2Rvd25yZXYueG1sUEsFBgAAAAAEAAQA8wAAAKQZAAAAAA==&#10;">
                    <v:shape id="Freeform 62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flcQA&#10;AADcAAAADwAAAGRycy9kb3ducmV2LnhtbESPwWrDMBBE74H+g9hCb4kcNzGtEyWUQqGHhFDHH7BY&#10;W8vEWhlJjd2/jwqFHIeZecNs95PtxZV86BwrWC4yEMSN0x23Curzx/wFRIjIGnvHpOCXAux3D7Mt&#10;ltqN/EXXKrYiQTiUqMDEOJRShsaQxbBwA3Hyvp23GJP0rdQexwS3vcyzrJAWO04LBgd6N9Rcqh+r&#10;AJfPXp/roh6PslodVibL16daqafH6W0DItIU7+H/9qdWUOSv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H5X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63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JMcA&#10;AADcAAAADwAAAGRycy9kb3ducmV2LnhtbESPQWvCQBSE74X+h+UJvRTd2KiU1FVsoEXw0mgPPT6y&#10;zySafZtmNyb9964g9DjMzDfMcj2YWlyodZVlBdNJBII4t7riQsH34WP8CsJ5ZI21ZVLwRw7Wq8eH&#10;JSba9pzRZe8LESDsElRQet8kUrq8JINuYhvi4B1ta9AH2RZSt9gHuKnlSxQtpMGKw0KJDaUl5ed9&#10;ZxQ8V93uINPuJ3032exzvulP8e+XUk+jYfMGwtPg/8P39lYrWMRT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oi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6FFA617" w14:textId="77777777" w:rsidR="00671E51" w:rsidRPr="00E55319" w:rsidRDefault="00671E51" w:rsidP="00E5531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05FA6492" w14:textId="77777777" w:rsidTr="000B6604">
      <w:trPr>
        <w:trHeight w:hRule="exact" w:val="240"/>
      </w:trPr>
      <w:tc>
        <w:tcPr>
          <w:tcW w:w="5258" w:type="dxa"/>
          <w:tcBorders>
            <w:top w:val="single" w:sz="4" w:space="0" w:color="000001"/>
          </w:tcBorders>
        </w:tcPr>
        <w:p w14:paraId="4ADDD0B0" w14:textId="77777777" w:rsidR="00671E51" w:rsidRDefault="00671E51" w:rsidP="000B6604">
          <w:pPr>
            <w:pStyle w:val="Header-CompanyName"/>
          </w:pPr>
        </w:p>
      </w:tc>
      <w:tc>
        <w:tcPr>
          <w:tcW w:w="5730" w:type="dxa"/>
          <w:tcBorders>
            <w:top w:val="single" w:sz="4" w:space="0" w:color="000001"/>
          </w:tcBorders>
          <w:tcMar>
            <w:top w:w="56" w:type="dxa"/>
            <w:right w:w="8" w:type="dxa"/>
          </w:tcMar>
        </w:tcPr>
        <w:p w14:paraId="3A9BCC53" w14:textId="77777777" w:rsidR="00671E51" w:rsidRDefault="00671E51" w:rsidP="000B6604">
          <w:pPr>
            <w:pStyle w:val="Header-CompanyName"/>
          </w:pPr>
          <w:r>
            <w:rPr>
              <w:noProof/>
              <w:lang w:eastAsia="en-AU"/>
            </w:rPr>
            <mc:AlternateContent>
              <mc:Choice Requires="wpg">
                <w:drawing>
                  <wp:anchor distT="0" distB="0" distL="114300" distR="114300" simplePos="0" relativeHeight="251652096" behindDoc="1" locked="1" layoutInCell="1" allowOverlap="1" wp14:anchorId="5A393E70" wp14:editId="611D45F9">
                    <wp:simplePos x="0" y="0"/>
                    <wp:positionH relativeFrom="rightMargin">
                      <wp:posOffset>-1345565</wp:posOffset>
                    </wp:positionH>
                    <wp:positionV relativeFrom="page">
                      <wp:posOffset>24765</wp:posOffset>
                    </wp:positionV>
                    <wp:extent cx="1329690" cy="65405"/>
                    <wp:effectExtent l="0" t="0" r="3810" b="0"/>
                    <wp:wrapNone/>
                    <wp:docPr id="24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50" name="Freeform 25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25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BE320D" id="Group 7" o:spid="_x0000_s1026" style="position:absolute;margin-left:-105.95pt;margin-top:1.95pt;width:104.7pt;height:5.15pt;z-index:-2516643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">
                    <v:shape id="Freeform 25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pbMAA&#10;AADcAAAADwAAAGRycy9kb3ducmV2LnhtbERP3WrCMBS+H/gO4Qi7m6mdilSjyEDwYiLWPsChOTbF&#10;5qQkme3efrkYePnx/W/3o+3Ek3xoHSuYzzIQxLXTLTcKqtvxYw0iRGSNnWNS8EsB9rvJ2xYL7Qa+&#10;0rOMjUghHApUYGLsCylDbchimLmeOHF35y3GBH0jtcchhdtO5lm2khZbTg0Ge/oyVD/KH6sA559e&#10;36pVNZxlufhemCxfXiql3qfjYQMi0hhf4n/3SSvIl2l+OpOO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1pbM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6w8YA&#10;AADbAAAADwAAAGRycy9kb3ducmV2LnhtbESPQWvCQBSE74X+h+UVvEjdqLW0qatoQBG8GO2hx0f2&#10;NUmbfRuzGxP/vVsQehxm5htmvuxNJS7UuNKygvEoAkGcWV1yruDztHl+A+E8ssbKMim4koPl4vFh&#10;jrG2Had0OfpcBAi7GBUU3texlC4ryKAb2Zo4eN+2MeiDbHKpG+wC3FRyEkWv0mDJYaHAmpKCst9j&#10;axQMy3Z/kkn7laxN+rKdrbqf6fmg1OCpX32A8NT7//C9vdMK3qfw9yX8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U6w8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1F0F566" w14:textId="77777777" w:rsidR="00671E51" w:rsidRPr="00584A21" w:rsidRDefault="00671E51" w:rsidP="000B660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2B42BF14" w14:textId="77777777" w:rsidTr="00B703D7">
      <w:trPr>
        <w:trHeight w:hRule="exact" w:val="240"/>
      </w:trPr>
      <w:tc>
        <w:tcPr>
          <w:tcW w:w="5258" w:type="dxa"/>
          <w:shd w:val="clear" w:color="auto" w:fill="auto"/>
        </w:tcPr>
        <w:p w14:paraId="7EA76B99" w14:textId="77777777" w:rsidR="00671E51" w:rsidRDefault="00671E51" w:rsidP="00425AFC">
          <w:pPr>
            <w:pStyle w:val="Header-CompanyName"/>
          </w:pPr>
        </w:p>
      </w:tc>
      <w:tc>
        <w:tcPr>
          <w:tcW w:w="5730" w:type="dxa"/>
          <w:shd w:val="clear" w:color="auto" w:fill="auto"/>
          <w:tcMar>
            <w:top w:w="56" w:type="dxa"/>
            <w:right w:w="8" w:type="dxa"/>
          </w:tcMar>
        </w:tcPr>
        <w:p w14:paraId="77D7C237" w14:textId="77777777" w:rsidR="00671E51" w:rsidRDefault="00671E51" w:rsidP="00425AFC">
          <w:pPr>
            <w:pStyle w:val="Header-CompanyName"/>
          </w:pPr>
          <w:r w:rsidRPr="002C3B4B">
            <w:rPr>
              <w:noProof/>
              <w:color w:val="BEB6AF"/>
              <w:lang w:eastAsia="en-AU"/>
            </w:rPr>
            <mc:AlternateContent>
              <mc:Choice Requires="wpg">
                <w:drawing>
                  <wp:anchor distT="0" distB="0" distL="114300" distR="114300" simplePos="0" relativeHeight="251706368" behindDoc="1" locked="1" layoutInCell="1" allowOverlap="1" wp14:anchorId="3AA928EC" wp14:editId="0693CA97">
                    <wp:simplePos x="0" y="0"/>
                    <wp:positionH relativeFrom="rightMargin">
                      <wp:posOffset>-1345565</wp:posOffset>
                    </wp:positionH>
                    <wp:positionV relativeFrom="page">
                      <wp:posOffset>24765</wp:posOffset>
                    </wp:positionV>
                    <wp:extent cx="1329690" cy="65405"/>
                    <wp:effectExtent l="0" t="0" r="3810" b="0"/>
                    <wp:wrapNone/>
                    <wp:docPr id="313"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14" name="Freeform 31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1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27D8549" id="Group 7" o:spid="_x0000_s1026" style="position:absolute;margin-left:-105.95pt;margin-top:1.95pt;width:104.7pt;height:5.15pt;z-index:-2516101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AFHj/SQBYAAG+JAAAOAAAAAAAAAAAA&#10;AAAAAC4CAABkcnMvZTJvRG9jLnhtbFBLAQItABQABgAIAAAAIQCpF5zT3wAAAAgBAAAPAAAAAAAA&#10;AAAAAAAAAJoYAABkcnMvZG93bnJldi54bWxQSwUGAAAAAAQABADzAAAAphkAAAAA&#10;">
                    <v:shape id="Freeform 31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ZMsQA&#10;AADcAAAADwAAAGRycy9kb3ducmV2LnhtbESPUWvCMBSF3wf7D+EO9jbTaiejGmUMhD1MxNofcGnu&#10;mmJzU5Jo6783A2GPh3POdzjr7WR7cSUfOscK8lkGgrhxuuNWQX3avX2ACBFZY++YFNwowHbz/LTG&#10;UruRj3StYisShEOJCkyMQyllaAxZDDM3ECfv13mLMUnfSu1xTHDby3mWLaXFjtOCwYG+DDXn6mIV&#10;YL7w+lQv63Evq+KnMNn8/VAr9foyfa5ARJrif/jR/tYKFnkBf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2TL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1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FtMcA&#10;AADcAAAADwAAAGRycy9kb3ducmV2LnhtbESPQWvCQBSE74X+h+UJvRTd2KiU1FVsoEXw0mgPPT6y&#10;zySafZtmNyb9964g9DjMzDfMcj2YWlyodZVlBdNJBII4t7riQsH34WP8CsJ5ZI21ZVLwRw7Wq8eH&#10;JSba9pzRZe8LESDsElRQet8kUrq8JINuYhvi4B1ta9AH2RZSt9gHuKnlSxQtpMGKw0KJDaUl5ed9&#10;ZxQ8V93uINPuJ3032exzvulP8e+XUk+jYfMGwtPg/8P39lYriKcL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5xbT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D29BB85" w14:textId="200F91F9" w:rsidR="00671E51" w:rsidRPr="008F6904" w:rsidRDefault="00671E51" w:rsidP="008F690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3D3933F" w14:textId="77777777" w:rsidTr="008F6904">
      <w:trPr>
        <w:trHeight w:hRule="exact" w:val="240"/>
      </w:trPr>
      <w:tc>
        <w:tcPr>
          <w:tcW w:w="5258" w:type="dxa"/>
          <w:shd w:val="clear" w:color="auto" w:fill="auto"/>
        </w:tcPr>
        <w:p w14:paraId="02664B87" w14:textId="77777777" w:rsidR="00671E51" w:rsidRDefault="00671E51" w:rsidP="00425AFC">
          <w:pPr>
            <w:pStyle w:val="Header-CompanyName"/>
          </w:pPr>
        </w:p>
      </w:tc>
      <w:tc>
        <w:tcPr>
          <w:tcW w:w="5730" w:type="dxa"/>
          <w:shd w:val="clear" w:color="auto" w:fill="auto"/>
          <w:tcMar>
            <w:top w:w="56" w:type="dxa"/>
            <w:right w:w="8" w:type="dxa"/>
          </w:tcMar>
        </w:tcPr>
        <w:p w14:paraId="296C1E4F" w14:textId="77777777" w:rsidR="00671E51" w:rsidRDefault="00671E51" w:rsidP="00425AFC">
          <w:pPr>
            <w:pStyle w:val="Header-CompanyName"/>
          </w:pPr>
          <w:r w:rsidRPr="002C3B4B">
            <w:rPr>
              <w:noProof/>
              <w:color w:val="BEB6AF"/>
              <w:lang w:eastAsia="en-AU"/>
            </w:rPr>
            <mc:AlternateContent>
              <mc:Choice Requires="wpg">
                <w:drawing>
                  <wp:anchor distT="0" distB="0" distL="114300" distR="114300" simplePos="0" relativeHeight="251708416" behindDoc="1" locked="1" layoutInCell="1" allowOverlap="1" wp14:anchorId="56C49A7F" wp14:editId="4F67E655">
                    <wp:simplePos x="0" y="0"/>
                    <wp:positionH relativeFrom="rightMargin">
                      <wp:posOffset>-1345565</wp:posOffset>
                    </wp:positionH>
                    <wp:positionV relativeFrom="page">
                      <wp:posOffset>24765</wp:posOffset>
                    </wp:positionV>
                    <wp:extent cx="1329690" cy="65405"/>
                    <wp:effectExtent l="0" t="0" r="3810" b="0"/>
                    <wp:wrapNone/>
                    <wp:docPr id="31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18" name="Freeform 31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9" name="Freeform 31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6989FB1" id="Group 7" o:spid="_x0000_s1026" style="position:absolute;margin-left:-105.95pt;margin-top:1.95pt;width:104.7pt;height:5.15pt;z-index:-25160806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WSOxYAAG+JAAAOAAAAZHJzL2Uyb0RvYy54bWzsXVtvG8mOfl9g/4PgxwUyVvVNkjGZA8wl&#10;gwVmzw4wOTjPiqzYxtqSV1LizDnY/74fq4rVxe5mN3syu0/OQ2Kz2WTxUmxWFV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lYilkjsWAABviQAADgAAAAAAAAAAAAAAAAAu&#10;AgAAZHJzL2Uyb0RvYy54bWxQSwECLQAUAAYACAAAACEAqRec098AAAAIAQAADwAAAAAAAAAAAAAA&#10;AACVGAAAZHJzL2Rvd25yZXYueG1sUEsFBgAAAAAEAAQA8wAAAKEZAAAAAA==&#10;">
                    <v:shape id="Freeform 31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TN8AA&#10;AADcAAAADwAAAGRycy9kb3ducmV2LnhtbERP3WrCMBS+H+wdwhl4p2n9Q6pRxkDwwiHWPsChOTZl&#10;zUlJMlvf3lwMdvnx/e8Oo+3Eg3xoHSvIZxkI4trplhsF1e043YAIEVlj55gUPCnAYf/+tsNCu4Gv&#10;9ChjI1IIhwIVmBj7QspQG7IYZq4nTtzdeYsxQd9I7XFI4baT8yxbS4stpwaDPX0Zqn/KX6sA84XX&#10;t2pdDd+yXJ6XJpuvLpVSk4/xcwsi0hj/xX/uk1awyNPadC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DTN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1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RxscA&#10;AADcAAAADwAAAGRycy9kb3ducmV2LnhtbESPT2vCQBTE7wW/w/IEL6VurH+o0VVswCL0UrWHHh/Z&#10;ZxLNvo3ZjUm/vSsUehxm5jfMct2ZUtyodoVlBaNhBII4tbrgTMH3cfvyBsJ5ZI2lZVLwSw7Wq97T&#10;EmNtW97T7eAzESDsYlSQe1/FUro0J4NuaCvi4J1sbdAHWWdS19gGuCnlaxTNpMGCw0KOFSU5pZdD&#10;YxQ8F83nUSbNT/Ju9pOP6aY9j69fSg363WYBwlPn/8N/7Z1WMB7N4XE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mUcb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65CD44E" w14:textId="77777777" w:rsidR="00671E51" w:rsidRPr="008F6904" w:rsidRDefault="00671E51" w:rsidP="008F690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9ECEE" w14:textId="77777777" w:rsidR="00671E51" w:rsidRPr="00501F87" w:rsidRDefault="00671E51" w:rsidP="002F1286">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671E51" w14:paraId="46546010" w14:textId="77777777" w:rsidTr="00425AFC">
      <w:trPr>
        <w:trHeight w:hRule="exact" w:val="240"/>
      </w:trPr>
      <w:tc>
        <w:tcPr>
          <w:tcW w:w="10190" w:type="dxa"/>
          <w:shd w:val="clear" w:color="auto" w:fill="auto"/>
        </w:tcPr>
        <w:p w14:paraId="40973FCB" w14:textId="77777777" w:rsidR="00671E51" w:rsidRDefault="00671E51" w:rsidP="00425AFC">
          <w:pPr>
            <w:pStyle w:val="Header-CompanyName"/>
          </w:pPr>
        </w:p>
      </w:tc>
      <w:tc>
        <w:tcPr>
          <w:tcW w:w="5730" w:type="dxa"/>
          <w:shd w:val="clear" w:color="auto" w:fill="auto"/>
          <w:tcMar>
            <w:top w:w="56" w:type="dxa"/>
            <w:right w:w="8" w:type="dxa"/>
          </w:tcMar>
        </w:tcPr>
        <w:p w14:paraId="057721B2" w14:textId="77777777" w:rsidR="00671E51" w:rsidRDefault="00671E51" w:rsidP="00425AFC">
          <w:pPr>
            <w:pStyle w:val="Header-CompanyName"/>
          </w:pPr>
          <w:r w:rsidRPr="002C3B4B">
            <w:rPr>
              <w:noProof/>
              <w:color w:val="BEB6AF"/>
              <w:lang w:eastAsia="en-AU"/>
            </w:rPr>
            <mc:AlternateContent>
              <mc:Choice Requires="wpg">
                <w:drawing>
                  <wp:anchor distT="0" distB="0" distL="114300" distR="114300" simplePos="0" relativeHeight="251720704" behindDoc="1" locked="1" layoutInCell="1" allowOverlap="1" wp14:anchorId="2DF61AB5" wp14:editId="556B63E0">
                    <wp:simplePos x="0" y="0"/>
                    <wp:positionH relativeFrom="rightMargin">
                      <wp:posOffset>-1345565</wp:posOffset>
                    </wp:positionH>
                    <wp:positionV relativeFrom="page">
                      <wp:posOffset>24765</wp:posOffset>
                    </wp:positionV>
                    <wp:extent cx="1329690" cy="65405"/>
                    <wp:effectExtent l="0" t="0" r="3810" b="0"/>
                    <wp:wrapNone/>
                    <wp:docPr id="35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62" name="Freeform 36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7" name="Freeform 3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E829AAA" id="Group 7" o:spid="_x0000_s1026" style="position:absolute;margin-left:-105.95pt;margin-top:1.95pt;width:104.7pt;height:5.15pt;z-index:-2515957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hy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AXX0hyQBYAAG+JAAAOAAAAAAAAAAAA&#10;AAAAAC4CAABkcnMvZTJvRG9jLnhtbFBLAQItABQABgAIAAAAIQCpF5zT3wAAAAgBAAAPAAAAAAAA&#10;AAAAAAAAAJoYAABkcnMvZG93bnJldi54bWxQSwUGAAAAAAQABADzAAAAphkAAAAA&#10;">
                    <v:shape id="Freeform 36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XoMQA&#10;AADcAAAADwAAAGRycy9kb3ducmV2LnhtbESPUWvCMBSF3wf7D+EO9jZTqytSjTIGgz0oYu0PuDTX&#10;ptjclCSz3b9fBGGPh3POdzib3WR7cSMfOscK5rMMBHHjdMetgvr89bYCESKyxt4xKfilALvt89MG&#10;S+1GPtGtiq1IEA4lKjAxDqWUoTFkMczcQJy8i/MWY5K+ldrjmOC2l3mWFdJix2nB4ECfhppr9WMV&#10;4Hzh9bku6vEgq+V+abL8/Vgr9foyfaxBRJrif/jR/tYKFkUO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l6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6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TUscA&#10;AADcAAAADwAAAGRycy9kb3ducmV2LnhtbESPQWvCQBSE74L/YXlCL6Kb1mpLdBUbaCl4MdpDj4/s&#10;M4lm36bZjUn/fbcgeBxm5htmtelNJa7UuNKygsdpBII4s7rkXMHX8X3yCsJ5ZI2VZVLwSw426+Fg&#10;hbG2Had0PfhcBAi7GBUU3texlC4ryKCb2po4eCfbGPRBNrnUDXYBbir5FEULabDksFBgTUlB2eXQ&#10;GgXjst0dZdJ+J28mff6Yb7vz7Gev1MOo3y5BeOr9PXxrf2oFs8UL/J8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zE1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5D5BE0C" w14:textId="77777777" w:rsidR="00671E51" w:rsidRPr="00425AFC" w:rsidRDefault="00671E51" w:rsidP="00425AF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671E51" w14:paraId="2BEBFA57" w14:textId="77777777" w:rsidTr="00425AFC">
      <w:trPr>
        <w:trHeight w:hRule="exact" w:val="240"/>
      </w:trPr>
      <w:tc>
        <w:tcPr>
          <w:tcW w:w="10190" w:type="dxa"/>
          <w:shd w:val="clear" w:color="auto" w:fill="auto"/>
        </w:tcPr>
        <w:p w14:paraId="7D92DD6B" w14:textId="77777777" w:rsidR="00671E51" w:rsidRDefault="00671E51" w:rsidP="00425AFC">
          <w:pPr>
            <w:pStyle w:val="Header-CompanyName"/>
          </w:pPr>
        </w:p>
      </w:tc>
      <w:tc>
        <w:tcPr>
          <w:tcW w:w="5730" w:type="dxa"/>
          <w:shd w:val="clear" w:color="auto" w:fill="auto"/>
          <w:tcMar>
            <w:top w:w="56" w:type="dxa"/>
            <w:right w:w="8" w:type="dxa"/>
          </w:tcMar>
        </w:tcPr>
        <w:p w14:paraId="06454EC8" w14:textId="77777777" w:rsidR="00671E51" w:rsidRDefault="00671E51" w:rsidP="00425AFC">
          <w:pPr>
            <w:pStyle w:val="Header-CompanyName"/>
          </w:pPr>
          <w:r w:rsidRPr="002C3B4B">
            <w:rPr>
              <w:noProof/>
              <w:color w:val="BEB6AF"/>
              <w:lang w:eastAsia="en-AU"/>
            </w:rPr>
            <mc:AlternateContent>
              <mc:Choice Requires="wpg">
                <w:drawing>
                  <wp:anchor distT="0" distB="0" distL="114300" distR="114300" simplePos="0" relativeHeight="251716608" behindDoc="1" locked="1" layoutInCell="1" allowOverlap="1" wp14:anchorId="16EFB17A" wp14:editId="04784EF2">
                    <wp:simplePos x="0" y="0"/>
                    <wp:positionH relativeFrom="rightMargin">
                      <wp:posOffset>-1345565</wp:posOffset>
                    </wp:positionH>
                    <wp:positionV relativeFrom="page">
                      <wp:posOffset>24765</wp:posOffset>
                    </wp:positionV>
                    <wp:extent cx="1329690" cy="65405"/>
                    <wp:effectExtent l="0" t="0" r="3810" b="0"/>
                    <wp:wrapNone/>
                    <wp:docPr id="34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49" name="Freeform 34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0" name="Freeform 3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161AC4" id="Group 7" o:spid="_x0000_s1026" style="position:absolute;margin-left:-105.95pt;margin-top:1.95pt;width:104.7pt;height:5.15pt;z-index:-25159987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GQceHUQWAABviQAADgAAAAAA&#10;AAAAAAAAAAAuAgAAZHJzL2Uyb0RvYy54bWxQSwECLQAUAAYACAAAACEAqRec098AAAAIAQAADwAA&#10;AAAAAAAAAAAAAACeGAAAZHJzL2Rvd25yZXYueG1sUEsFBgAAAAAEAAQA8wAAAKoZAAAAAA==&#10;">
                    <v:shape id="Freeform 34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9ZscQA&#10;AADcAAAADwAAAGRycy9kb3ducmV2LnhtbESPwWrDMBBE74X+g9hCb42cxDWtEyWUQqGHhBLHH7BY&#10;G8vUWhlJjd2/jwKBHIeZecOst5PtxZl86BwrmM8yEMSN0x23Curj18sbiBCRNfaOScE/BdhuHh/W&#10;WGo38oHOVWxFgnAoUYGJcSilDI0hi2HmBuLknZy3GJP0rdQexwS3vVxkWSEtdpwWDA70aaj5rf6s&#10;ApwvvT7WRT3uZZXvcpMtXn9qpZ6fpo8ViEhTvIdv7W+tYJm/w/VMOgJy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bH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5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Bm8MA&#10;AADcAAAADwAAAGRycy9kb3ducmV2LnhtbERPTWvCQBC9C/0PyxR6kbpp1VJSV9GAIngx6sHjkJ0m&#10;abOzMbsx8d+7B8Hj433PFr2pxJUaV1pW8DGKQBBnVpecKzgd1+/fIJxH1lhZJgU3crCYvwxmGGvb&#10;cUrXg89FCGEXo4LC+zqW0mUFGXQjWxMH7tc2Bn2ATS51g10IN5X8jKIvabDk0FBgTUlB2f+hNQqG&#10;Zbs7yqQ9JyuTTjbTZfc3vuyVenvtlz8gPPX+KX64t1rBeBrmhzPh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ZBm8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21676A9" w14:textId="77777777" w:rsidR="00671E51" w:rsidRPr="00425AFC" w:rsidRDefault="00671E51" w:rsidP="00425AF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920"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90"/>
      <w:gridCol w:w="5730"/>
    </w:tblGrid>
    <w:tr w:rsidR="00671E51" w14:paraId="3C3704DB" w14:textId="77777777" w:rsidTr="00425AFC">
      <w:trPr>
        <w:trHeight w:hRule="exact" w:val="240"/>
      </w:trPr>
      <w:tc>
        <w:tcPr>
          <w:tcW w:w="10190" w:type="dxa"/>
          <w:shd w:val="clear" w:color="auto" w:fill="auto"/>
        </w:tcPr>
        <w:p w14:paraId="4DC040E6" w14:textId="77777777" w:rsidR="00671E51" w:rsidRDefault="00671E51" w:rsidP="00425AFC">
          <w:pPr>
            <w:pStyle w:val="Header-CompanyName"/>
          </w:pPr>
        </w:p>
      </w:tc>
      <w:tc>
        <w:tcPr>
          <w:tcW w:w="5730" w:type="dxa"/>
          <w:shd w:val="clear" w:color="auto" w:fill="auto"/>
          <w:tcMar>
            <w:top w:w="56" w:type="dxa"/>
            <w:right w:w="8" w:type="dxa"/>
          </w:tcMar>
        </w:tcPr>
        <w:p w14:paraId="63868F5E" w14:textId="77777777" w:rsidR="00671E51" w:rsidRDefault="00671E51" w:rsidP="00425AFC">
          <w:pPr>
            <w:pStyle w:val="Header-CompanyName"/>
          </w:pPr>
          <w:r w:rsidRPr="002C3B4B">
            <w:rPr>
              <w:noProof/>
              <w:color w:val="BEB6AF"/>
              <w:lang w:eastAsia="en-AU"/>
            </w:rPr>
            <mc:AlternateContent>
              <mc:Choice Requires="wpg">
                <w:drawing>
                  <wp:anchor distT="0" distB="0" distL="114300" distR="114300" simplePos="0" relativeHeight="251718656" behindDoc="1" locked="1" layoutInCell="1" allowOverlap="1" wp14:anchorId="25C21B21" wp14:editId="2297851A">
                    <wp:simplePos x="0" y="0"/>
                    <wp:positionH relativeFrom="rightMargin">
                      <wp:posOffset>-1345565</wp:posOffset>
                    </wp:positionH>
                    <wp:positionV relativeFrom="page">
                      <wp:posOffset>24765</wp:posOffset>
                    </wp:positionV>
                    <wp:extent cx="1329690" cy="65405"/>
                    <wp:effectExtent l="0" t="0" r="3810" b="0"/>
                    <wp:wrapNone/>
                    <wp:docPr id="351"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52" name="Freeform 35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4" name="Freeform 35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249E56" id="Group 7" o:spid="_x0000_s1026" style="position:absolute;margin-left:-105.95pt;margin-top:1.95pt;width:104.7pt;height:5.15pt;z-index:-2515978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fZ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BoJlfZQBYAAG+JAAAOAAAAAAAAAAAA&#10;AAAAAC4CAABkcnMvZTJvRG9jLnhtbFBLAQItABQABgAIAAAAIQCpF5zT3wAAAAgBAAAPAAAAAAAA&#10;AAAAAAAAAJoYAABkcnMvZG93bnJldi54bWxQSwUGAAAAAAQABADzAAAAphkAAAAA&#10;">
                    <v:shape id="Freeform 35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dHcQA&#10;AADcAAAADwAAAGRycy9kb3ducmV2LnhtbESPzWrDMBCE74W+g9hAbo0c54fgRgmlUOihIcTxAyzW&#10;1jKxVkZSY+ftq0Agx2FmvmG2+9F24ko+tI4VzGcZCOLa6ZYbBdX5620DIkRkjZ1jUnCjAPvd68sW&#10;C+0GPtG1jI1IEA4FKjAx9oWUoTZkMcxcT5y8X+ctxiR9I7XHIcFtJ/MsW0uLLacFgz19Gqov5Z9V&#10;gPOF1+dqXQ0HWS5/libLV8dKqelk/HgHEWmMz/Cj/a0VLFY53M+k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XR3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5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HmMYA&#10;AADcAAAADwAAAGRycy9kb3ducmV2LnhtbESPT2vCQBTE74LfYXmCF9GNfympq9iAUuilag89PrLP&#10;JJp9m2Y3Jv32rlDocZiZ3zDrbWdKcafaFZYVTCcRCOLU6oIzBV/n/fgFhPPIGkvLpOCXHGw3/d4a&#10;Y21bPtL95DMRIOxiVJB7X8VSujQng25iK+LgXWxt0AdZZ1LX2Aa4KeUsilbSYMFhIceKkpzS26kx&#10;CkZF83GWSfOdvJnj4rDctdf5z6dSw0G3ewXhqfP/4b/2u1YwXy7geS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1HmM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AF34490" w14:textId="77777777" w:rsidR="00671E51" w:rsidRPr="00425AFC" w:rsidRDefault="00671E51" w:rsidP="00425AF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ECF73" w14:textId="77777777" w:rsidR="00671E51" w:rsidRPr="00501F87" w:rsidRDefault="00671E51" w:rsidP="002F12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671E51" w14:paraId="2F2AFA15" w14:textId="77777777" w:rsidTr="00425AFC">
      <w:trPr>
        <w:trHeight w:hRule="exact" w:val="240"/>
      </w:trPr>
      <w:tc>
        <w:tcPr>
          <w:tcW w:w="5259" w:type="dxa"/>
          <w:shd w:val="clear" w:color="auto" w:fill="auto"/>
        </w:tcPr>
        <w:p w14:paraId="5692BBC9" w14:textId="77777777" w:rsidR="00671E51" w:rsidRDefault="00671E51" w:rsidP="00425AFC">
          <w:pPr>
            <w:pStyle w:val="Header-CompanyName"/>
          </w:pPr>
        </w:p>
      </w:tc>
      <w:tc>
        <w:tcPr>
          <w:tcW w:w="5730" w:type="dxa"/>
          <w:shd w:val="clear" w:color="auto" w:fill="auto"/>
          <w:tcMar>
            <w:top w:w="56" w:type="dxa"/>
            <w:right w:w="8" w:type="dxa"/>
          </w:tcMar>
        </w:tcPr>
        <w:p w14:paraId="563AF738" w14:textId="77777777" w:rsidR="00671E51" w:rsidRDefault="00671E51" w:rsidP="00425AFC">
          <w:pPr>
            <w:pStyle w:val="Header-CompanyName"/>
          </w:pPr>
          <w:r w:rsidRPr="00DD7896">
            <w:rPr>
              <w:spacing w:val="28"/>
            </w:rPr>
            <w:t xml:space="preserve">ACIL ALLEN </w:t>
          </w:r>
          <w:r w:rsidRPr="00DD7896">
            <w:rPr>
              <w:color w:val="BEB6AF"/>
            </w:rPr>
            <w:t>CONSULTING</w:t>
          </w:r>
        </w:p>
      </w:tc>
    </w:tr>
  </w:tbl>
  <w:p w14:paraId="1EC8D032" w14:textId="77777777" w:rsidR="00671E51" w:rsidRPr="00A32B60" w:rsidRDefault="00671E51" w:rsidP="00425AFC">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40CFDEC8" w14:textId="77777777" w:rsidTr="00425AFC">
      <w:trPr>
        <w:trHeight w:hRule="exact" w:val="240"/>
      </w:trPr>
      <w:tc>
        <w:tcPr>
          <w:tcW w:w="5258" w:type="dxa"/>
          <w:shd w:val="clear" w:color="auto" w:fill="auto"/>
        </w:tcPr>
        <w:p w14:paraId="39944BD4" w14:textId="77777777" w:rsidR="00671E51" w:rsidRDefault="00671E51" w:rsidP="00425AFC">
          <w:pPr>
            <w:pStyle w:val="Header-CompanyName"/>
          </w:pPr>
        </w:p>
      </w:tc>
      <w:tc>
        <w:tcPr>
          <w:tcW w:w="5730" w:type="dxa"/>
          <w:shd w:val="clear" w:color="auto" w:fill="auto"/>
          <w:tcMar>
            <w:top w:w="56" w:type="dxa"/>
            <w:right w:w="8" w:type="dxa"/>
          </w:tcMar>
        </w:tcPr>
        <w:p w14:paraId="092DE5A7" w14:textId="77777777" w:rsidR="00671E51" w:rsidRDefault="00671E51" w:rsidP="00425AFC">
          <w:pPr>
            <w:pStyle w:val="Header-CompanyName"/>
          </w:pPr>
          <w:r w:rsidRPr="002C3B4B">
            <w:rPr>
              <w:noProof/>
              <w:color w:val="BEB6AF"/>
              <w:lang w:eastAsia="en-AU"/>
            </w:rPr>
            <mc:AlternateContent>
              <mc:Choice Requires="wpg">
                <w:drawing>
                  <wp:anchor distT="0" distB="0" distL="114300" distR="114300" simplePos="0" relativeHeight="251712512" behindDoc="1" locked="1" layoutInCell="1" allowOverlap="1" wp14:anchorId="4FE73DF7" wp14:editId="754109DD">
                    <wp:simplePos x="0" y="0"/>
                    <wp:positionH relativeFrom="rightMargin">
                      <wp:posOffset>-1345565</wp:posOffset>
                    </wp:positionH>
                    <wp:positionV relativeFrom="page">
                      <wp:posOffset>24765</wp:posOffset>
                    </wp:positionV>
                    <wp:extent cx="1329690" cy="65405"/>
                    <wp:effectExtent l="0" t="0" r="3810" b="0"/>
                    <wp:wrapNone/>
                    <wp:docPr id="32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26" name="Freeform 32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8" name="Freeform 33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7526404" id="Group 7" o:spid="_x0000_s1026" style="position:absolute;margin-left:-105.95pt;margin-top:1.95pt;width:104.7pt;height:5.15pt;z-index:-2516039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">
                    <v:shape id="Freeform 32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oY8QA&#10;AADcAAAADwAAAGRycy9kb3ducmV2LnhtbESPUWvCMBSF3wf7D+EO9jZTqytSjTIGgz0oYu0PuDTX&#10;ptjclCSz3b9fBGGPh3POdzib3WR7cSMfOscK5rMMBHHjdMetgvr89bYCESKyxt4xKfilALvt89MG&#10;S+1GPtGtiq1IEA4lKjAxDqWUoTFkMczcQJy8i/MWY5K+ldrjmOC2l3mWFdJix2nB4ECfhppr9WMV&#10;4Hzh9bku6vEgq+V+abL8/Vgr9foyfaxBRJrif/jR/tYKFnk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KGP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3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PcQA&#10;AADcAAAADwAAAGRycy9kb3ducmV2LnhtbERPy2rCQBTdF/yH4QrdlDrRVCkxE9FAS6EbH110eclc&#10;k2jmTsxMTPr3nUWhy8N5p5vRNOJOnastK5jPIhDEhdU1lwq+Tm/PryCcR9bYWCYFP+Rgk00eUky0&#10;HfhA96MvRQhhl6CCyvs2kdIVFRl0M9sSB+5sO4M+wK6UusMhhJtGLqJoJQ3WHBoqbCmvqLgee6Pg&#10;qe4/TzLvv/OdOby8L7fDJb7tlXqcjts1CE+j/xf/uT+0gjgOa8O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qD3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1A27175" w14:textId="77777777" w:rsidR="00671E51" w:rsidRPr="008F6904" w:rsidRDefault="00671E51" w:rsidP="008F6904">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5CBD966" w14:textId="77777777" w:rsidTr="008F6904">
      <w:trPr>
        <w:trHeight w:hRule="exact" w:val="240"/>
      </w:trPr>
      <w:tc>
        <w:tcPr>
          <w:tcW w:w="5258" w:type="dxa"/>
          <w:shd w:val="clear" w:color="auto" w:fill="auto"/>
        </w:tcPr>
        <w:p w14:paraId="07A7AEBE" w14:textId="77777777" w:rsidR="00671E51" w:rsidRDefault="00671E51" w:rsidP="00425AFC">
          <w:pPr>
            <w:pStyle w:val="Header-CompanyName"/>
          </w:pPr>
        </w:p>
      </w:tc>
      <w:tc>
        <w:tcPr>
          <w:tcW w:w="5730" w:type="dxa"/>
          <w:shd w:val="clear" w:color="auto" w:fill="auto"/>
          <w:tcMar>
            <w:top w:w="56" w:type="dxa"/>
            <w:right w:w="8" w:type="dxa"/>
          </w:tcMar>
        </w:tcPr>
        <w:p w14:paraId="46E762F3" w14:textId="77777777" w:rsidR="00671E51" w:rsidRDefault="00671E51" w:rsidP="00425AFC">
          <w:pPr>
            <w:pStyle w:val="Header-CompanyName"/>
          </w:pPr>
          <w:r w:rsidRPr="002C3B4B">
            <w:rPr>
              <w:noProof/>
              <w:color w:val="BEB6AF"/>
              <w:lang w:eastAsia="en-AU"/>
            </w:rPr>
            <mc:AlternateContent>
              <mc:Choice Requires="wpg">
                <w:drawing>
                  <wp:anchor distT="0" distB="0" distL="114300" distR="114300" simplePos="0" relativeHeight="251714560" behindDoc="1" locked="1" layoutInCell="1" allowOverlap="1" wp14:anchorId="40F00951" wp14:editId="53A24569">
                    <wp:simplePos x="0" y="0"/>
                    <wp:positionH relativeFrom="rightMargin">
                      <wp:posOffset>-1345565</wp:posOffset>
                    </wp:positionH>
                    <wp:positionV relativeFrom="page">
                      <wp:posOffset>24765</wp:posOffset>
                    </wp:positionV>
                    <wp:extent cx="1329690" cy="65405"/>
                    <wp:effectExtent l="0" t="0" r="3810" b="0"/>
                    <wp:wrapNone/>
                    <wp:docPr id="33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40" name="Freeform 34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1" name="Freeform 34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BDBE7C3" id="Group 7" o:spid="_x0000_s1026" style="position:absolute;margin-left:-105.95pt;margin-top:1.95pt;width:104.7pt;height:5.15pt;z-index:-2516019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72Ox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">
                    <v:shape id="Freeform 34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LMAA&#10;AADcAAAADwAAAGRycy9kb3ducmV2LnhtbERP3WrCMBS+F3yHcAbezVTtRDqjyEDwwjHW9gEOzVlT&#10;1pyUJLP17c3FwMuP739/nGwvbuRD51jBapmBIG6c7rhVUFfn1x2IEJE19o5JwZ0CHA/z2R4L7Ub+&#10;plsZW5FCOBSowMQ4FFKGxpDFsHQDceJ+nLcYE/St1B7HFG57uc6yrbTYcWowONCHoea3/LMKcLXx&#10;uqq39fgpy/yam2z99lUrtXiZTu8gIk3xKf53X7SCTZ7mpzPpCM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XwLM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4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y3ccA&#10;AADcAAAADwAAAGRycy9kb3ducmV2LnhtbESPT2vCQBTE70K/w/IKvYhurLZI6ibYgCJ4qX8OHh/Z&#10;1yRt9m2a3Zj47bsFocdhZn7DrNLB1OJKrassK5hNIxDEudUVFwrOp81kCcJ5ZI21ZVJwIwdp8jBa&#10;Yaxtzwe6Hn0hAoRdjApK75tYSpeXZNBNbUMcvE/bGvRBtoXULfYBbmr5HEWv0mDFYaHEhrKS8u9j&#10;ZxSMq25/kll3yd7NYbF9Wfdf858PpZ4eh/UbCE+D/w/f2zutYL6Ywd+Zc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ct3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85FDEB7" w14:textId="77777777" w:rsidR="00671E51" w:rsidRPr="008F6904" w:rsidRDefault="00671E51" w:rsidP="008F6904">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5DD0CE60" w14:textId="77777777" w:rsidTr="00B9270E">
      <w:trPr>
        <w:trHeight w:hRule="exact" w:val="240"/>
      </w:trPr>
      <w:tc>
        <w:tcPr>
          <w:tcW w:w="5258" w:type="dxa"/>
          <w:shd w:val="clear" w:color="auto" w:fill="auto"/>
        </w:tcPr>
        <w:p w14:paraId="56F19458" w14:textId="77777777" w:rsidR="00671E51" w:rsidRDefault="00671E51" w:rsidP="00B9270E">
          <w:pPr>
            <w:pStyle w:val="Header-CompanyName"/>
          </w:pPr>
        </w:p>
      </w:tc>
      <w:tc>
        <w:tcPr>
          <w:tcW w:w="5730" w:type="dxa"/>
          <w:shd w:val="clear" w:color="auto" w:fill="auto"/>
          <w:tcMar>
            <w:top w:w="56" w:type="dxa"/>
            <w:right w:w="8" w:type="dxa"/>
          </w:tcMar>
        </w:tcPr>
        <w:p w14:paraId="0CD4E138" w14:textId="77777777" w:rsidR="00671E51" w:rsidRDefault="00671E51" w:rsidP="00B9270E">
          <w:pPr>
            <w:pStyle w:val="Header-CompanyName"/>
          </w:pPr>
          <w:r w:rsidRPr="002C3B4B">
            <w:rPr>
              <w:noProof/>
              <w:color w:val="BEB6AF"/>
              <w:lang w:eastAsia="en-AU"/>
            </w:rPr>
            <mc:AlternateContent>
              <mc:Choice Requires="wpg">
                <w:drawing>
                  <wp:anchor distT="0" distB="0" distL="114300" distR="114300" simplePos="0" relativeHeight="251686912" behindDoc="1" locked="1" layoutInCell="1" allowOverlap="1" wp14:anchorId="21184E47" wp14:editId="3C7FACE5">
                    <wp:simplePos x="0" y="0"/>
                    <wp:positionH relativeFrom="rightMargin">
                      <wp:posOffset>-1345565</wp:posOffset>
                    </wp:positionH>
                    <wp:positionV relativeFrom="page">
                      <wp:posOffset>24765</wp:posOffset>
                    </wp:positionV>
                    <wp:extent cx="1329690" cy="65405"/>
                    <wp:effectExtent l="0" t="0" r="3810" b="0"/>
                    <wp:wrapNone/>
                    <wp:docPr id="39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93" name="Freeform 27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4" name="Freeform 27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517ADC" id="Group 7" o:spid="_x0000_s1026" style="position:absolute;margin-left:-105.95pt;margin-top:1.95pt;width:104.7pt;height:5.15pt;z-index:-25162956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kFQB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DeiOkFQBYAAG+JAAAOAAAAAAAAAAAA&#10;AAAAAC4CAABkcnMvZTJvRG9jLnhtbFBLAQItABQABgAIAAAAIQCpF5zT3wAAAAgBAAAPAAAAAAAA&#10;AAAAAAAAAJoYAABkcnMvZG93bnJldi54bWxQSwUGAAAAAAQABADzAAAAphkAAAAA&#10;">
                    <v:shape id="Freeform 27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CHMQA&#10;AADcAAAADwAAAGRycy9kb3ducmV2LnhtbESPUWvCMBSF3wf7D+EO9jZTrZOtGmUMBj4ow9ofcGmu&#10;TVlzU5LM1n9vBMHHwznnO5zVZrSdOJMPrWMF00kGgrh2uuVGQXX8efsAESKyxs4xKbhQgM36+WmF&#10;hXYDH+hcxkYkCIcCFZgY+0LKUBuyGCauJ07eyXmLMUnfSO1xSHDbyVmWLaTFltOCwZ6+DdV/5b9V&#10;gNPc62O1qIa9LOe7uclm77+VUq8v49cSRKQxPsL39lYryD9z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3Qh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9AscA&#10;AADcAAAADwAAAGRycy9kb3ducmV2LnhtbESPT2vCQBTE70K/w/IKvRTdtP5Bo6vYQEuhl0Y9eHxk&#10;n0ls9m2a3Zj47d1CweMwM79hVpveVOJCjSstK3gZRSCIM6tLzhUc9u/DOQjnkTVWlknBlRxs1g+D&#10;FcbadpzSZedzESDsYlRQeF/HUrqsIINuZGvi4J1sY9AH2eRSN9gFuKnkaxTNpMGSw0KBNSUFZT+7&#10;1ih4LtuvvUzaY/Jm0snHdNudx7/fSj099tslCE+9v4f/259awXgxgb8z4Qj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0/Q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E8A1916" w14:textId="77777777" w:rsidR="00671E51" w:rsidRPr="00584A21" w:rsidRDefault="00671E51" w:rsidP="00B9270E">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A5CD078" w14:textId="77777777" w:rsidTr="006640EC">
      <w:trPr>
        <w:trHeight w:hRule="exact" w:val="240"/>
      </w:trPr>
      <w:tc>
        <w:tcPr>
          <w:tcW w:w="5258" w:type="dxa"/>
          <w:shd w:val="clear" w:color="auto" w:fill="auto"/>
        </w:tcPr>
        <w:p w14:paraId="76F88243" w14:textId="77777777" w:rsidR="00671E51" w:rsidRDefault="00671E51" w:rsidP="00B9270E">
          <w:pPr>
            <w:pStyle w:val="Header-CompanyName"/>
          </w:pPr>
        </w:p>
      </w:tc>
      <w:tc>
        <w:tcPr>
          <w:tcW w:w="5730" w:type="dxa"/>
          <w:shd w:val="clear" w:color="auto" w:fill="auto"/>
          <w:tcMar>
            <w:top w:w="56" w:type="dxa"/>
            <w:right w:w="8" w:type="dxa"/>
          </w:tcMar>
        </w:tcPr>
        <w:p w14:paraId="36AA326A" w14:textId="77777777" w:rsidR="00671E51" w:rsidRDefault="00671E51" w:rsidP="00B9270E">
          <w:pPr>
            <w:pStyle w:val="Header-CompanyName"/>
          </w:pPr>
          <w:r w:rsidRPr="002C3B4B">
            <w:rPr>
              <w:noProof/>
              <w:color w:val="BEB6AF"/>
              <w:lang w:eastAsia="en-AU"/>
            </w:rPr>
            <mc:AlternateContent>
              <mc:Choice Requires="wpg">
                <w:drawing>
                  <wp:anchor distT="0" distB="0" distL="114300" distR="114300" simplePos="0" relativeHeight="251684864" behindDoc="1" locked="1" layoutInCell="1" allowOverlap="1" wp14:anchorId="0918A263" wp14:editId="111A7799">
                    <wp:simplePos x="0" y="0"/>
                    <wp:positionH relativeFrom="rightMargin">
                      <wp:posOffset>-1345565</wp:posOffset>
                    </wp:positionH>
                    <wp:positionV relativeFrom="page">
                      <wp:posOffset>24765</wp:posOffset>
                    </wp:positionV>
                    <wp:extent cx="1329690" cy="65405"/>
                    <wp:effectExtent l="0" t="0" r="3810" b="0"/>
                    <wp:wrapNone/>
                    <wp:docPr id="395"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396" name="Freeform 39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7" name="Freeform 39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1549AB2" id="Group 7" o:spid="_x0000_s1026" style="position:absolute;margin-left:-105.95pt;margin-top:1.95pt;width:104.7pt;height:5.15pt;z-index:-2516316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AoO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">
                    <v:shape id="Freeform 39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hMQA&#10;AADcAAAADwAAAGRycy9kb3ducmV2LnhtbESPzWrDMBCE74W+g9hCb42cn5rWiRJKoZBDQonjB1is&#10;jWVqrYykxs7bR4FAjsPMfMOsNqPtxJl8aB0rmE4yEMS10y03Cqrjz9sHiBCRNXaOScGFAmzWz08r&#10;LLQb+EDnMjYiQTgUqMDE2BdShtqQxTBxPXHyTs5bjEn6RmqPQ4LbTs6yLJcWW04LBnv6NlT/lf9W&#10;AU7nXh+rvBr2slzsFiabvf9WSr2+jF9LEJHG+Ajf21utYP6Zw+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A4YT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9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jdccA&#10;AADcAAAADwAAAGRycy9kb3ducmV2LnhtbESPzWvCQBTE74L/w/IEL6Vu/OhXdBUNWAq9VO2hx0f2&#10;NYlm38bsxqT/vSsUPA4z8xtmsepMKS5Uu8KygvEoAkGcWl1wpuD7sH18BeE8ssbSMin4IwerZb+3&#10;wFjblnd02ftMBAi7GBXk3lexlC7NyaAb2Yo4eL+2NuiDrDOpa2wD3JRyEkXP0mDBYSHHipKc0tO+&#10;MQoeiubzIJPmJ9mY3ez9ad0ep+cvpYaDbj0H4anz9/B/+0MrmL69wO1MO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mY3X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5B65BC5" w14:textId="77777777" w:rsidR="00671E51" w:rsidRPr="00584A21" w:rsidRDefault="00671E51" w:rsidP="00B9270E">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7E5F4395" w14:textId="77777777" w:rsidTr="00B9270E">
      <w:trPr>
        <w:trHeight w:hRule="exact" w:val="240"/>
      </w:trPr>
      <w:tc>
        <w:tcPr>
          <w:tcW w:w="5258" w:type="dxa"/>
          <w:shd w:val="clear" w:color="auto" w:fill="auto"/>
        </w:tcPr>
        <w:p w14:paraId="33C2340F" w14:textId="77777777" w:rsidR="00671E51" w:rsidRDefault="00671E51" w:rsidP="00B9270E">
          <w:pPr>
            <w:pStyle w:val="Header-CompanyName"/>
          </w:pPr>
        </w:p>
      </w:tc>
      <w:tc>
        <w:tcPr>
          <w:tcW w:w="5730" w:type="dxa"/>
          <w:shd w:val="clear" w:color="auto" w:fill="auto"/>
          <w:tcMar>
            <w:top w:w="56" w:type="dxa"/>
            <w:right w:w="8" w:type="dxa"/>
          </w:tcMar>
        </w:tcPr>
        <w:p w14:paraId="3C540562" w14:textId="77777777" w:rsidR="00671E51" w:rsidRDefault="00671E51" w:rsidP="00B9270E">
          <w:pPr>
            <w:pStyle w:val="Header-CompanyName"/>
          </w:pPr>
          <w:r w:rsidRPr="002C3B4B">
            <w:rPr>
              <w:noProof/>
              <w:color w:val="BEB6AF"/>
              <w:lang w:eastAsia="en-AU"/>
            </w:rPr>
            <mc:AlternateContent>
              <mc:Choice Requires="wpg">
                <w:drawing>
                  <wp:anchor distT="0" distB="0" distL="114300" distR="114300" simplePos="0" relativeHeight="251685888" behindDoc="1" locked="1" layoutInCell="1" allowOverlap="1" wp14:anchorId="3F6AF4EF" wp14:editId="05435230">
                    <wp:simplePos x="0" y="0"/>
                    <wp:positionH relativeFrom="rightMargin">
                      <wp:posOffset>-1345565</wp:posOffset>
                    </wp:positionH>
                    <wp:positionV relativeFrom="page">
                      <wp:posOffset>24765</wp:posOffset>
                    </wp:positionV>
                    <wp:extent cx="1329690" cy="65405"/>
                    <wp:effectExtent l="0" t="0" r="3810" b="0"/>
                    <wp:wrapNone/>
                    <wp:docPr id="399"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01" name="Freeform 40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2" name="Freeform 40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E8C242C" id="Group 7" o:spid="_x0000_s1026" style="position:absolute;margin-left:-105.95pt;margin-top:1.95pt;width:104.7pt;height:5.15pt;z-index:-2516305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yj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DnZYyjPRYAAG+JAAAOAAAAAAAAAAAAAAAA&#10;AC4CAABkcnMvZTJvRG9jLnhtbFBLAQItABQABgAIAAAAIQCpF5zT3wAAAAgBAAAPAAAAAAAAAAAA&#10;AAAAAJcYAABkcnMvZG93bnJldi54bWxQSwUGAAAAAAQABADzAAAAoxkAAAAA&#10;">
                    <v:shape id="Freeform 40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hEsMA&#10;AADcAAAADwAAAGRycy9kb3ducmV2LnhtbESPwWrDMBBE74X+g9hAb43k1A3BjRJKIJBDS6njD1is&#10;rWVirYykxO7fV4VCj8PMvGG2+9kN4kYh9p41FEsFgrj1pudOQ3M+Pm5AxIRscPBMGr4pwn53f7fF&#10;yviJP+lWp05kCMcKNdiUxkrK2FpyGJd+JM7elw8OU5ahkybglOFukCul1tJhz3nB4kgHS+2lvjoN&#10;WDwFc27WzfQu6/KttGr1/NFo/bCYX19AJJrTf/ivfTIaSlXA75l8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khE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0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YD8cA&#10;AADcAAAADwAAAGRycy9kb3ducmV2LnhtbESPT2vCQBTE74V+h+UVeim6qbUi0U3QQEvBi/8OHh/Z&#10;ZxKbfRuzG5N++25B6HGYmd8wy3QwtbhR6yrLCl7HEQji3OqKCwXHw8doDsJ5ZI21ZVLwQw7S5PFh&#10;ibG2Pe/otveFCBB2MSoovW9iKV1ekkE3tg1x8M62NeiDbAupW+wD3NRyEkUzabDisFBiQ1lJ+fe+&#10;Mwpeqm5zkFl3ytZmN/18X/WXt+tWqeenYbUA4Wnw/+F7+0srmEYT+DsTjoB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xmA/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7B0BA2B" w14:textId="77777777" w:rsidR="00671E51" w:rsidRPr="00584A21" w:rsidRDefault="00671E51" w:rsidP="00B9270E">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44E87" w14:textId="77777777" w:rsidR="00671E51" w:rsidRPr="00DB32CD" w:rsidRDefault="00671E51" w:rsidP="00DB32CD">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6E5E8BF4" w14:textId="77777777" w:rsidTr="00DB32CD">
      <w:trPr>
        <w:trHeight w:hRule="exact" w:val="240"/>
      </w:trPr>
      <w:tc>
        <w:tcPr>
          <w:tcW w:w="5258" w:type="dxa"/>
          <w:shd w:val="clear" w:color="auto" w:fill="auto"/>
        </w:tcPr>
        <w:p w14:paraId="40590427" w14:textId="77777777" w:rsidR="00671E51" w:rsidRDefault="00671E51" w:rsidP="00DB32CD">
          <w:pPr>
            <w:pStyle w:val="Header-CompanyName"/>
          </w:pPr>
        </w:p>
      </w:tc>
      <w:tc>
        <w:tcPr>
          <w:tcW w:w="5730" w:type="dxa"/>
          <w:shd w:val="clear" w:color="auto" w:fill="auto"/>
          <w:tcMar>
            <w:top w:w="56" w:type="dxa"/>
            <w:right w:w="8" w:type="dxa"/>
          </w:tcMar>
        </w:tcPr>
        <w:p w14:paraId="320113BA" w14:textId="77777777" w:rsidR="00671E51" w:rsidRDefault="00671E51" w:rsidP="00DB32CD">
          <w:pPr>
            <w:pStyle w:val="Header-CompanyName"/>
          </w:pPr>
          <w:r w:rsidRPr="002C3B4B">
            <w:rPr>
              <w:noProof/>
              <w:color w:val="BEB6AF"/>
              <w:lang w:eastAsia="en-AU"/>
            </w:rPr>
            <mc:AlternateContent>
              <mc:Choice Requires="wpg">
                <w:drawing>
                  <wp:anchor distT="0" distB="0" distL="114300" distR="114300" simplePos="0" relativeHeight="251696128" behindDoc="1" locked="1" layoutInCell="1" allowOverlap="1" wp14:anchorId="7CCE183C" wp14:editId="0984BE2C">
                    <wp:simplePos x="0" y="0"/>
                    <wp:positionH relativeFrom="rightMargin">
                      <wp:posOffset>-1345565</wp:posOffset>
                    </wp:positionH>
                    <wp:positionV relativeFrom="page">
                      <wp:posOffset>24765</wp:posOffset>
                    </wp:positionV>
                    <wp:extent cx="1329690" cy="65405"/>
                    <wp:effectExtent l="0" t="0" r="3810" b="0"/>
                    <wp:wrapNone/>
                    <wp:docPr id="278"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280" name="Freeform 38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5" name="Freeform 38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7A1295A" id="Group 7" o:spid="_x0000_s1026" style="position:absolute;margin-left:-105.95pt;margin-top:1.95pt;width:104.7pt;height:5.15pt;z-index:-2516203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89/DGUEWAABviQAADgAAAAAAAAAA&#10;AAAAAAAuAgAAZHJzL2Uyb0RvYy54bWxQSwECLQAUAAYACAAAACEAqRec098AAAAIAQAADwAAAAAA&#10;AAAAAAAAAACbGAAAZHJzL2Rvd25yZXYueG1sUEsFBgAAAAAEAAQA8wAAAKcZAAAAAA==&#10;">
                    <v:shape id="Freeform 38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FK8AA&#10;AADcAAAADwAAAGRycy9kb3ducmV2LnhtbERP3WrCMBS+H/gO4Qi7m6nViVSjiCB4sSHWPsChOTbF&#10;5qQk0XZvv1wMdvnx/W/3o+3Ei3xoHSuYzzIQxLXTLTcKqtvpYw0iRGSNnWNS8EMB9rvJ2xYL7Qa+&#10;0quMjUghHApUYGLsCylDbchimLmeOHF35y3GBH0jtcchhdtO5lm2khZbTg0Gezoaqh/l0yrA+cLr&#10;W7Wqhm9ZLr+WJss/L5VS79PxsAERaYz/4j/3WSvI12l+OpOO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1FK8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8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B2ccA&#10;AADcAAAADwAAAGRycy9kb3ducmV2LnhtbESPT2vCQBTE74V+h+UVvJS6qdYSYlbRQIvQi/8OHh/Z&#10;Z5I2+zbNbkz89m6h4HGYmd8w6XIwtbhQ6yrLCl7HEQji3OqKCwXHw8dLDMJ5ZI21ZVJwJQfLxeND&#10;iom2Pe/osveFCBB2CSoovW8SKV1ekkE3tg1x8M62NeiDbAupW+wD3NRyEkXv0mDFYaHEhrKS8p99&#10;ZxQ8V93XQWbdKVub3dvnbNV/T3+3So2ehtUchKfB38P/7Y1WMIln8Hc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Awdn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C2BF11F" w14:textId="77777777" w:rsidR="00671E51" w:rsidRPr="00584A21" w:rsidRDefault="00671E51" w:rsidP="00DB32CD">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4B8CD" w14:textId="7367D113" w:rsidR="00671E51" w:rsidRPr="00DB32CD" w:rsidRDefault="00671E51" w:rsidP="00DB32C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56A6D" w14:textId="77777777" w:rsidR="00671E51" w:rsidRPr="00DB32CD" w:rsidRDefault="00671E51" w:rsidP="00DB32CD">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A00AF" w14:textId="77777777" w:rsidR="00671E51" w:rsidRPr="00DB32CD" w:rsidRDefault="00671E51" w:rsidP="00DB32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401EB883" w14:textId="77777777" w:rsidTr="00B8447A">
      <w:trPr>
        <w:trHeight w:hRule="exact" w:val="240"/>
      </w:trPr>
      <w:tc>
        <w:tcPr>
          <w:tcW w:w="5258" w:type="dxa"/>
          <w:shd w:val="clear" w:color="auto" w:fill="auto"/>
        </w:tcPr>
        <w:p w14:paraId="589006B5" w14:textId="77777777" w:rsidR="00671E51" w:rsidRDefault="00671E51" w:rsidP="00B759F6">
          <w:pPr>
            <w:pStyle w:val="Header-CompanyName"/>
          </w:pPr>
        </w:p>
      </w:tc>
      <w:tc>
        <w:tcPr>
          <w:tcW w:w="5730" w:type="dxa"/>
          <w:shd w:val="clear" w:color="auto" w:fill="auto"/>
          <w:tcMar>
            <w:top w:w="56" w:type="dxa"/>
            <w:right w:w="8" w:type="dxa"/>
          </w:tcMar>
        </w:tcPr>
        <w:p w14:paraId="285E2E30"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45280" behindDoc="1" locked="1" layoutInCell="1" allowOverlap="1" wp14:anchorId="75994198" wp14:editId="1376536A">
                    <wp:simplePos x="0" y="0"/>
                    <wp:positionH relativeFrom="rightMargin">
                      <wp:posOffset>-1345565</wp:posOffset>
                    </wp:positionH>
                    <wp:positionV relativeFrom="page">
                      <wp:posOffset>24765</wp:posOffset>
                    </wp:positionV>
                    <wp:extent cx="1329690" cy="65405"/>
                    <wp:effectExtent l="0" t="0" r="3810" b="0"/>
                    <wp:wrapNone/>
                    <wp:docPr id="440"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41" name="Freeform 44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2" name="Freeform 44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1067AAD" id="Group 7" o:spid="_x0000_s1026" style="position:absolute;margin-left:-105.95pt;margin-top:1.95pt;width:104.7pt;height:5.15pt;z-index:-2515712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">
                    <v:shape id="Freeform 44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0sMA&#10;AADcAAAADwAAAGRycy9kb3ducmV2LnhtbESPUWvCMBSF3wf+h3CFvc20rhOpRhFB8GFjrPYHXJpr&#10;U2xuShJt9++XwWCPh3POdzjb/WR78SAfOscK8kUGgrhxuuNWQX05vaxBhIissXdMCr4pwH43e9pi&#10;qd3IX/SoYisShEOJCkyMQyllaAxZDAs3ECfv6rzFmKRvpfY4Jrjt5TLLVtJix2nB4EBHQ82tulsF&#10;mL96falX9fghq+K9MNny7bNW6nk+HTYgIk3xP/zXPmsFRZHD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Y0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4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z8cA&#10;AADcAAAADwAAAGRycy9kb3ducmV2LnhtbESPT2vCQBTE74LfYXkFL1I32rSU1FU0YCn04r+Dx0f2&#10;mcRm38bsxqTf3hUKPQ4z8xtmvuxNJW7UuNKygukkAkGcWV1yruB42Dy/g3AeWWNlmRT8koPlYjiY&#10;Y6Jtxzu67X0uAoRdggoK7+tESpcVZNBNbE0cvLNtDPogm1zqBrsAN5WcRdGbNFhyWCiwprSg7Gff&#10;GgXjsv0+yLQ9pWuziz9fV93l5bpVavTUrz5AeOr9f/iv/aUVxPEM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bIc/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43DBC84" w14:textId="77777777" w:rsidR="00671E51" w:rsidRPr="00B8447A" w:rsidRDefault="00671E51" w:rsidP="00B8447A">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33"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0"/>
      <w:gridCol w:w="444"/>
    </w:tblGrid>
    <w:tr w:rsidR="00671E51" w14:paraId="6F183760" w14:textId="77777777" w:rsidTr="00425AFC">
      <w:trPr>
        <w:gridAfter w:val="1"/>
        <w:wAfter w:w="444" w:type="dxa"/>
        <w:trHeight w:hRule="exact" w:val="240"/>
      </w:trPr>
      <w:tc>
        <w:tcPr>
          <w:tcW w:w="5639" w:type="dxa"/>
          <w:tcBorders>
            <w:top w:val="single" w:sz="4" w:space="0" w:color="auto"/>
          </w:tcBorders>
          <w:shd w:val="clear" w:color="auto" w:fill="auto"/>
        </w:tcPr>
        <w:p w14:paraId="52362AE8" w14:textId="77777777" w:rsidR="00671E51" w:rsidRDefault="00671E51" w:rsidP="00425AFC">
          <w:pPr>
            <w:pStyle w:val="Header-CompanyName"/>
          </w:pPr>
        </w:p>
      </w:tc>
      <w:tc>
        <w:tcPr>
          <w:tcW w:w="5350" w:type="dxa"/>
          <w:tcBorders>
            <w:top w:val="single" w:sz="4" w:space="0" w:color="auto"/>
          </w:tcBorders>
          <w:shd w:val="clear" w:color="auto" w:fill="auto"/>
          <w:tcMar>
            <w:top w:w="56" w:type="dxa"/>
            <w:right w:w="8" w:type="dxa"/>
          </w:tcMar>
        </w:tcPr>
        <w:p w14:paraId="0318F268" w14:textId="77777777" w:rsidR="00671E51" w:rsidRDefault="00671E51" w:rsidP="00425AFC">
          <w:pPr>
            <w:pStyle w:val="Header-CompanyName"/>
          </w:pPr>
        </w:p>
      </w:tc>
    </w:tr>
    <w:tr w:rsidR="00671E51" w14:paraId="79EF7F56" w14:textId="77777777" w:rsidTr="00425AFC">
      <w:trPr>
        <w:trHeight w:hRule="exact" w:val="1076"/>
      </w:trPr>
      <w:tc>
        <w:tcPr>
          <w:tcW w:w="5639" w:type="dxa"/>
          <w:shd w:val="clear" w:color="auto" w:fill="auto"/>
        </w:tcPr>
        <w:p w14:paraId="0F11558B" w14:textId="77777777" w:rsidR="00671E51" w:rsidRDefault="00671E51" w:rsidP="00425AFC">
          <w:pPr>
            <w:pStyle w:val="Header-CompanyName"/>
          </w:pPr>
        </w:p>
      </w:tc>
      <w:tc>
        <w:tcPr>
          <w:tcW w:w="5794" w:type="dxa"/>
          <w:gridSpan w:val="2"/>
          <w:tcBorders>
            <w:top w:val="nil"/>
            <w:bottom w:val="nil"/>
          </w:tcBorders>
          <w:shd w:val="clear" w:color="auto" w:fill="auto"/>
          <w:tcMar>
            <w:top w:w="56" w:type="dxa"/>
            <w:right w:w="8" w:type="dxa"/>
          </w:tcMar>
        </w:tcPr>
        <w:p w14:paraId="270B5CAF" w14:textId="77777777" w:rsidR="00671E51" w:rsidRPr="00DD7896" w:rsidRDefault="00671E51" w:rsidP="00425AFC">
          <w:pPr>
            <w:pStyle w:val="Header-CompanyName"/>
            <w:rPr>
              <w:spacing w:val="28"/>
            </w:rPr>
          </w:pPr>
        </w:p>
      </w:tc>
    </w:tr>
  </w:tbl>
  <w:p w14:paraId="4546425F" w14:textId="77777777" w:rsidR="00671E51" w:rsidRPr="00DB32CD" w:rsidRDefault="00671E51" w:rsidP="00DB32C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1A17C541" w14:textId="77777777" w:rsidTr="00B8447A">
      <w:trPr>
        <w:trHeight w:hRule="exact" w:val="240"/>
      </w:trPr>
      <w:tc>
        <w:tcPr>
          <w:tcW w:w="5258" w:type="dxa"/>
          <w:shd w:val="clear" w:color="auto" w:fill="auto"/>
        </w:tcPr>
        <w:p w14:paraId="7A3716D1" w14:textId="77777777" w:rsidR="00671E51" w:rsidRDefault="00671E51" w:rsidP="00B759F6">
          <w:pPr>
            <w:pStyle w:val="Header-CompanyName"/>
          </w:pPr>
        </w:p>
      </w:tc>
      <w:tc>
        <w:tcPr>
          <w:tcW w:w="5730" w:type="dxa"/>
          <w:shd w:val="clear" w:color="auto" w:fill="auto"/>
          <w:tcMar>
            <w:top w:w="56" w:type="dxa"/>
            <w:right w:w="8" w:type="dxa"/>
          </w:tcMar>
        </w:tcPr>
        <w:p w14:paraId="2E735885"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41184" behindDoc="1" locked="1" layoutInCell="1" allowOverlap="1" wp14:anchorId="1CF70769" wp14:editId="4BE414D8">
                    <wp:simplePos x="0" y="0"/>
                    <wp:positionH relativeFrom="rightMargin">
                      <wp:posOffset>-1345565</wp:posOffset>
                    </wp:positionH>
                    <wp:positionV relativeFrom="page">
                      <wp:posOffset>24765</wp:posOffset>
                    </wp:positionV>
                    <wp:extent cx="1329690" cy="65405"/>
                    <wp:effectExtent l="0" t="0" r="3810" b="0"/>
                    <wp:wrapNone/>
                    <wp:docPr id="434"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35" name="Freeform 43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6" name="Freeform 436"/>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88DED89" id="Group 7" o:spid="_x0000_s1026" style="position:absolute;margin-left:-105.95pt;margin-top:1.95pt;width:104.7pt;height:5.15pt;z-index:-2515752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">
                    <v:shape id="Freeform 43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trMMA&#10;AADcAAAADwAAAGRycy9kb3ducmV2LnhtbESPUWvCMBSF3wf7D+EKvs1UrSKdUcZgsIeJWPsDLs1d&#10;U2xuSpLZ+u8XQfDxcM75Dme7H20nruRD61jBfJaBIK6dbrlRUJ2/3jYgQkTW2DkmBTcKsN+9vmyx&#10;0G7gE13L2IgE4VCgAhNjX0gZakMWw8z1xMn7dd5iTNI3UnscEtx2cpFla2mx5bRgsKdPQ/Wl/LMK&#10;cL70+lytq+Egy/wnN9lidayUmk7Gj3cQkcb4DD/a31pBvlzB/Uw6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7trM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36"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UscYA&#10;AADcAAAADwAAAGRycy9kb3ducmV2LnhtbESPT2vCQBTE74LfYXmCF9GNfympq9iAUuilag89PrLP&#10;JJp9m2Y3Jv32rlDocZiZ3zDrbWdKcafaFZYVTCcRCOLU6oIzBV/n/fgFhPPIGkvLpOCXHGw3/d4a&#10;Y21bPtL95DMRIOxiVJB7X8VSujQng25iK+LgXWxt0AdZZ1LX2Aa4KeUsilbSYMFhIceKkpzS26kx&#10;CkZF83GWSfOdvJnj4rDctdf5z6dSw0G3ewXhqfP/4b/2u1awmK/geSYc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ZUsc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7CDC53B" w14:textId="77777777" w:rsidR="00671E51" w:rsidRPr="00B8447A" w:rsidRDefault="00671E51" w:rsidP="00B844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3539A6BC" w14:textId="77777777" w:rsidTr="00B8447A">
      <w:trPr>
        <w:trHeight w:hRule="exact" w:val="240"/>
      </w:trPr>
      <w:tc>
        <w:tcPr>
          <w:tcW w:w="5258" w:type="dxa"/>
          <w:shd w:val="clear" w:color="auto" w:fill="auto"/>
        </w:tcPr>
        <w:p w14:paraId="497861F2" w14:textId="77777777" w:rsidR="00671E51" w:rsidRDefault="00671E51" w:rsidP="00B759F6">
          <w:pPr>
            <w:pStyle w:val="Header-CompanyName"/>
          </w:pPr>
        </w:p>
      </w:tc>
      <w:tc>
        <w:tcPr>
          <w:tcW w:w="5730" w:type="dxa"/>
          <w:shd w:val="clear" w:color="auto" w:fill="auto"/>
          <w:tcMar>
            <w:top w:w="56" w:type="dxa"/>
            <w:right w:w="8" w:type="dxa"/>
          </w:tcMar>
        </w:tcPr>
        <w:p w14:paraId="2A526000"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43232" behindDoc="1" locked="1" layoutInCell="1" allowOverlap="1" wp14:anchorId="7FBE3FC0" wp14:editId="40A0B790">
                    <wp:simplePos x="0" y="0"/>
                    <wp:positionH relativeFrom="rightMargin">
                      <wp:posOffset>-1345565</wp:posOffset>
                    </wp:positionH>
                    <wp:positionV relativeFrom="page">
                      <wp:posOffset>24765</wp:posOffset>
                    </wp:positionV>
                    <wp:extent cx="1329690" cy="65405"/>
                    <wp:effectExtent l="0" t="0" r="3810" b="0"/>
                    <wp:wrapNone/>
                    <wp:docPr id="437"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38" name="Freeform 43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9" name="Freeform 43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B41345" id="Group 7" o:spid="_x0000_s1026" style="position:absolute;margin-left:-105.95pt;margin-top:1.95pt;width:104.7pt;height:5.15pt;z-index:-2515732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AyUB93PRYAAG+JAAAOAAAAAAAAAAAAAAAA&#10;AC4CAABkcnMvZTJvRG9jLnhtbFBLAQItABQABgAIAAAAIQCpF5zT3wAAAAgBAAAPAAAAAAAAAAAA&#10;AAAAAJcYAABkcnMvZG93bnJldi54bWxQSwUGAAAAAAQABADzAAAAoxkAAAAA&#10;">
                    <v:shape id="Freeform 43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CMsAA&#10;AADcAAAADwAAAGRycy9kb3ducmV2LnhtbERP3WrCMBS+F3yHcAbezVTtRDqjyEDwwjHW9gEOzVlT&#10;1pyUJLP17c3FwMuP739/nGwvbuRD51jBapmBIG6c7rhVUFfn1x2IEJE19o5JwZ0CHA/z2R4L7Ub+&#10;plsZW5FCOBSowMQ4FFKGxpDFsHQDceJ+nLcYE/St1B7HFG57uc6yrbTYcWowONCHoea3/LMKcLXx&#10;uqq39fgpy/yam2z99lUrtXiZTu8gIk3xKf53X7SCfJPWpjPpCMjD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9CMsAAAADc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3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Aw8cA&#10;AADcAAAADwAAAGRycy9kb3ducmV2LnhtbESPT2vCQBTE70K/w/IKvRTdtP5Bo6vYQEuhl0Y9eHxk&#10;n0ls9m2a3Zj47d1CweMwM79hVpveVOJCjSstK3gZRSCIM6tLzhUc9u/DOQjnkTVWlknBlRxs1g+D&#10;FcbadpzSZedzESDsYlRQeF/HUrqsIINuZGvi4J1sY9AH2eRSN9gFuKnkaxTNpMGSw0KBNSUFZT+7&#10;1ih4LtuvvUzaY/Jm0snHdNudx7/fSj099tslCE+9v4f/259awWS8gL8z4Qj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5wMP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tbl>
    <w:tblPr>
      <w:tblStyle w:val="TableGrid50"/>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CE17FE" w14:paraId="152ABD61" w14:textId="77777777" w:rsidTr="00BF5F46">
      <w:trPr>
        <w:trHeight w:hRule="exact" w:val="1744"/>
      </w:trPr>
      <w:tc>
        <w:tcPr>
          <w:tcW w:w="8488" w:type="dxa"/>
          <w:shd w:val="clear" w:color="auto" w:fill="auto"/>
          <w:tcMar>
            <w:right w:w="0" w:type="dxa"/>
          </w:tcMar>
          <w:vAlign w:val="bottom"/>
        </w:tcPr>
        <w:p w14:paraId="51B7D9C8" w14:textId="77777777" w:rsidR="00CE17FE" w:rsidRDefault="00CE17FE" w:rsidP="00CE17FE">
          <w:pPr>
            <w:pStyle w:val="TOCHeadingwide"/>
          </w:pPr>
          <w:r>
            <w:t>Contents</w:t>
          </w:r>
        </w:p>
      </w:tc>
    </w:tr>
  </w:tbl>
  <w:p w14:paraId="16809B9A" w14:textId="202EDD9C" w:rsidR="00671E51" w:rsidRPr="00B8447A" w:rsidRDefault="00671E51" w:rsidP="00B8447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671E51" w14:paraId="71699BD8" w14:textId="77777777" w:rsidTr="00B8447A">
      <w:trPr>
        <w:trHeight w:hRule="exact" w:val="240"/>
      </w:trPr>
      <w:tc>
        <w:tcPr>
          <w:tcW w:w="5258" w:type="dxa"/>
          <w:shd w:val="clear" w:color="auto" w:fill="auto"/>
        </w:tcPr>
        <w:p w14:paraId="56C484C4" w14:textId="77777777" w:rsidR="00671E51" w:rsidRDefault="00671E51" w:rsidP="00B759F6">
          <w:pPr>
            <w:pStyle w:val="Header-CompanyName"/>
          </w:pPr>
        </w:p>
      </w:tc>
      <w:tc>
        <w:tcPr>
          <w:tcW w:w="5730" w:type="dxa"/>
          <w:shd w:val="clear" w:color="auto" w:fill="auto"/>
          <w:tcMar>
            <w:top w:w="56" w:type="dxa"/>
            <w:right w:w="8" w:type="dxa"/>
          </w:tcMar>
        </w:tcPr>
        <w:p w14:paraId="4C26391B" w14:textId="77777777" w:rsidR="00671E51" w:rsidRDefault="00671E51" w:rsidP="00B759F6">
          <w:pPr>
            <w:pStyle w:val="Header-CompanyName"/>
          </w:pPr>
          <w:r w:rsidRPr="002C3B4B">
            <w:rPr>
              <w:noProof/>
              <w:color w:val="BEB6AF"/>
              <w:lang w:eastAsia="en-AU"/>
            </w:rPr>
            <mc:AlternateContent>
              <mc:Choice Requires="wpg">
                <w:drawing>
                  <wp:anchor distT="0" distB="0" distL="114300" distR="114300" simplePos="0" relativeHeight="251732992" behindDoc="1" locked="1" layoutInCell="1" allowOverlap="1" wp14:anchorId="7B8CA1E7" wp14:editId="5D2C259C">
                    <wp:simplePos x="0" y="0"/>
                    <wp:positionH relativeFrom="rightMargin">
                      <wp:posOffset>-1345565</wp:posOffset>
                    </wp:positionH>
                    <wp:positionV relativeFrom="page">
                      <wp:posOffset>24765</wp:posOffset>
                    </wp:positionV>
                    <wp:extent cx="1329690" cy="65405"/>
                    <wp:effectExtent l="0" t="0" r="3810" b="0"/>
                    <wp:wrapNone/>
                    <wp:docPr id="422" name="Group 7"/>
                    <wp:cNvGraphicFramePr/>
                    <a:graphic xmlns:a="http://schemas.openxmlformats.org/drawingml/2006/main">
                      <a:graphicData uri="http://schemas.microsoft.com/office/word/2010/wordprocessingGroup">
                        <wpg:wgp>
                          <wpg:cNvGrpSpPr/>
                          <wpg:grpSpPr>
                            <a:xfrm>
                              <a:off x="0" y="0"/>
                              <a:ext cx="1329690" cy="65405"/>
                              <a:chOff x="0" y="0"/>
                              <a:chExt cx="12576176" cy="622300"/>
                            </a:xfrm>
                          </wpg:grpSpPr>
                          <wps:wsp>
                            <wps:cNvPr id="423" name="Freeform 42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4" name="Freeform 42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3EE0ACA" id="Group 7" o:spid="_x0000_s1026" style="position:absolute;margin-left:-105.95pt;margin-top:1.95pt;width:104.7pt;height:5.15pt;z-index:-2515834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">
                    <v:shape id="Freeform 42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GnsQA&#10;AADcAAAADwAAAGRycy9kb3ducmV2LnhtbESPUWvCMBSF3wf7D+EO9jZTaydSjTIGgz1MxNofcGmu&#10;TbG5KUlm6783A2GPh3POdzib3WR7cSUfOscK5rMMBHHjdMetgvr09bYCESKyxt4xKbhRgN32+WmD&#10;pXYjH+laxVYkCIcSFZgYh1LK0BiyGGZuIE7e2XmLMUnfSu1xTHDbyzzLltJix2nB4ECfhppL9WsV&#10;4Hzh9ale1uNeVsVPYbL8/VAr9foyfaxBRJrif/jR/tYKinwB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Rp7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42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5gMcA&#10;AADcAAAADwAAAGRycy9kb3ducmV2LnhtbESPT2vCQBTE74LfYXkFL1I32rSU1FU0YCn04r+Dx0f2&#10;mcRm38bsxqTf3hUKPQ4z8xtmvuxNJW7UuNKygukkAkGcWV1yruB42Dy/g3AeWWNlmRT8koPlYjiY&#10;Y6Jtxzu67X0uAoRdggoK7+tESpcVZNBNbE0cvLNtDPogm1zqBrsAN5WcRdGbNFhyWCiwprSg7Gff&#10;GgXjsv0+yLQ9pWuziz9fV93l5bpVavTUrz5AeOr9f/iv/aUVxLMY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h+YD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4457D6E" w14:textId="77777777" w:rsidR="00671E51" w:rsidRPr="00B8447A" w:rsidRDefault="00671E51" w:rsidP="00B844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448D80"/>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BBE0FAA8"/>
    <w:lvl w:ilvl="0">
      <w:start w:val="1"/>
      <w:numFmt w:val="decimal"/>
      <w:pStyle w:val="ListNumber4"/>
      <w:lvlText w:val="%1."/>
      <w:lvlJc w:val="left"/>
      <w:pPr>
        <w:tabs>
          <w:tab w:val="num" w:pos="1209"/>
        </w:tabs>
        <w:ind w:left="1209" w:hanging="360"/>
      </w:pPr>
      <w:rPr>
        <w:rFonts w:cs="Times New Roman"/>
      </w:rPr>
    </w:lvl>
  </w:abstractNum>
  <w:abstractNum w:abstractNumId="2">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3"/>
    <w:multiLevelType w:val="singleLevel"/>
    <w:tmpl w:val="8B2E0988"/>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78668076"/>
    <w:lvl w:ilvl="0">
      <w:start w:val="1"/>
      <w:numFmt w:val="decimal"/>
      <w:lvlText w:val="%1."/>
      <w:lvlJc w:val="left"/>
      <w:pPr>
        <w:tabs>
          <w:tab w:val="num" w:pos="360"/>
        </w:tabs>
        <w:ind w:left="360" w:hanging="360"/>
      </w:pPr>
    </w:lvl>
  </w:abstractNum>
  <w:abstractNum w:abstractNumId="6">
    <w:nsid w:val="FFFFFF89"/>
    <w:multiLevelType w:val="singleLevel"/>
    <w:tmpl w:val="7226AE50"/>
    <w:lvl w:ilvl="0">
      <w:start w:val="1"/>
      <w:numFmt w:val="bullet"/>
      <w:lvlText w:val=""/>
      <w:lvlJc w:val="left"/>
      <w:pPr>
        <w:tabs>
          <w:tab w:val="num" w:pos="360"/>
        </w:tabs>
        <w:ind w:left="360" w:hanging="360"/>
      </w:pPr>
      <w:rPr>
        <w:rFonts w:ascii="Symbol" w:hAnsi="Symbol" w:hint="default"/>
      </w:rPr>
    </w:lvl>
  </w:abstractNum>
  <w:abstractNum w:abstractNumId="7">
    <w:nsid w:val="01F01497"/>
    <w:multiLevelType w:val="multilevel"/>
    <w:tmpl w:val="55DAED7E"/>
    <w:numStyleLink w:val="aaTableListBullets"/>
  </w:abstractNum>
  <w:abstractNum w:abstractNumId="8">
    <w:nsid w:val="06D55B15"/>
    <w:multiLevelType w:val="multilevel"/>
    <w:tmpl w:val="C1127ADE"/>
    <w:styleLink w:val="aaHeadingnonumberList"/>
    <w:lvl w:ilvl="0">
      <w:start w:val="1"/>
      <w:numFmt w:val="none"/>
      <w:suff w:val="nothing"/>
      <w:lvlText w:val="%1"/>
      <w:lvlJc w:val="left"/>
      <w:rPr>
        <w:rFonts w:cs="Times New Roman" w:hint="default"/>
      </w:rPr>
    </w:lvl>
    <w:lvl w:ilvl="1">
      <w:start w:val="1"/>
      <w:numFmt w:val="none"/>
      <w:suff w:val="nothing"/>
      <w:lvlText w:val="%2"/>
      <w:lvlJc w:val="left"/>
      <w:rPr>
        <w:rFonts w:cs="Times New Roman" w:hint="default"/>
      </w:rPr>
    </w:lvl>
    <w:lvl w:ilvl="2">
      <w:start w:val="1"/>
      <w:numFmt w:val="none"/>
      <w:suff w:val="nothing"/>
      <w:lvlText w:val="%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7"/>
      <w:lvlJc w:val="left"/>
      <w:rPr>
        <w:rFonts w:cs="Times New Roman" w:hint="default"/>
      </w:rPr>
    </w:lvl>
    <w:lvl w:ilvl="7">
      <w:start w:val="1"/>
      <w:numFmt w:val="none"/>
      <w:suff w:val="nothing"/>
      <w:lvlText w:val="%8"/>
      <w:lvlJc w:val="left"/>
      <w:rPr>
        <w:rFonts w:cs="Times New Roman" w:hint="default"/>
      </w:rPr>
    </w:lvl>
    <w:lvl w:ilvl="8">
      <w:start w:val="1"/>
      <w:numFmt w:val="none"/>
      <w:suff w:val="nothing"/>
      <w:lvlText w:val="%9"/>
      <w:lvlJc w:val="left"/>
      <w:rPr>
        <w:rFonts w:cs="Times New Roman" w:hint="default"/>
      </w:rPr>
    </w:lvl>
  </w:abstractNum>
  <w:abstractNum w:abstractNumId="9">
    <w:nsid w:val="07877F50"/>
    <w:multiLevelType w:val="multilevel"/>
    <w:tmpl w:val="C958DAD4"/>
    <w:styleLink w:val="aaAppendixNumbering"/>
    <w:lvl w:ilvl="0">
      <w:start w:val="1"/>
      <w:numFmt w:val="upperLetter"/>
      <w:lvlText w:val="%1."/>
      <w:lvlJc w:val="right"/>
      <w:pPr>
        <w:tabs>
          <w:tab w:val="num" w:pos="248"/>
        </w:tabs>
        <w:ind w:left="248" w:hanging="384"/>
      </w:pPr>
      <w:rPr>
        <w:rFonts w:cs="Times New Roman" w:hint="default"/>
      </w:rPr>
    </w:lvl>
    <w:lvl w:ilvl="1">
      <w:start w:val="1"/>
      <w:numFmt w:val="decimal"/>
      <w:lvlText w:val="%1.%2"/>
      <w:lvlJc w:val="right"/>
      <w:pPr>
        <w:tabs>
          <w:tab w:val="num" w:pos="0"/>
        </w:tabs>
        <w:ind w:hanging="136"/>
      </w:pPr>
      <w:rPr>
        <w:rFonts w:cs="Times New Roman" w:hint="default"/>
      </w:rPr>
    </w:lvl>
    <w:lvl w:ilvl="2">
      <w:start w:val="1"/>
      <w:numFmt w:val="decimal"/>
      <w:lvlText w:val="%1.%2.%3"/>
      <w:lvlJc w:val="left"/>
      <w:pPr>
        <w:tabs>
          <w:tab w:val="num" w:pos="320"/>
        </w:tabs>
        <w:ind w:left="320" w:hanging="320"/>
      </w:pPr>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7"/>
      <w:lvlJc w:val="left"/>
      <w:rPr>
        <w:rFonts w:cs="Times New Roman" w:hint="default"/>
      </w:rPr>
    </w:lvl>
    <w:lvl w:ilvl="7">
      <w:start w:val="1"/>
      <w:numFmt w:val="none"/>
      <w:suff w:val="nothing"/>
      <w:lvlText w:val="%8"/>
      <w:lvlJc w:val="left"/>
      <w:rPr>
        <w:rFonts w:cs="Times New Roman" w:hint="default"/>
      </w:rPr>
    </w:lvl>
    <w:lvl w:ilvl="8">
      <w:start w:val="1"/>
      <w:numFmt w:val="none"/>
      <w:suff w:val="nothing"/>
      <w:lvlText w:val="%9"/>
      <w:lvlJc w:val="left"/>
      <w:rPr>
        <w:rFonts w:cs="Times New Roman" w:hint="default"/>
      </w:rPr>
    </w:lvl>
  </w:abstractNum>
  <w:abstractNum w:abstractNumId="10">
    <w:nsid w:val="07FA2EFB"/>
    <w:multiLevelType w:val="multilevel"/>
    <w:tmpl w:val="D4E4AEA8"/>
    <w:numStyleLink w:val="aaReportHeadings"/>
  </w:abstractNum>
  <w:abstractNum w:abstractNumId="11">
    <w:nsid w:val="08CE7DC7"/>
    <w:multiLevelType w:val="multilevel"/>
    <w:tmpl w:val="04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cs="Times New Roman" w:hint="default"/>
      </w:rPr>
    </w:lvl>
    <w:lvl w:ilvl="4">
      <w:start w:val="1"/>
      <w:numFmt w:val="none"/>
      <w:suff w:val="nothing"/>
      <w:lvlText w:val=""/>
      <w:lvlJc w:val="left"/>
      <w:pPr>
        <w:ind w:left="5040" w:hanging="360"/>
      </w:pPr>
      <w:rPr>
        <w:rFonts w:cs="Times New Roman" w:hint="default"/>
      </w:rPr>
    </w:lvl>
    <w:lvl w:ilvl="5">
      <w:start w:val="1"/>
      <w:numFmt w:val="none"/>
      <w:suff w:val="nothing"/>
      <w:lvlText w:val=""/>
      <w:lvlJc w:val="left"/>
      <w:pPr>
        <w:ind w:left="5760" w:hanging="360"/>
      </w:pPr>
      <w:rPr>
        <w:rFonts w:cs="Times New Roman" w:hint="default"/>
      </w:rPr>
    </w:lvl>
    <w:lvl w:ilvl="6">
      <w:start w:val="1"/>
      <w:numFmt w:val="none"/>
      <w:suff w:val="nothing"/>
      <w:lvlText w:val=""/>
      <w:lvlJc w:val="left"/>
      <w:pPr>
        <w:ind w:left="6480" w:hanging="360"/>
      </w:pPr>
      <w:rPr>
        <w:rFonts w:cs="Times New Roman" w:hint="default"/>
      </w:rPr>
    </w:lvl>
    <w:lvl w:ilvl="7">
      <w:start w:val="1"/>
      <w:numFmt w:val="none"/>
      <w:suff w:val="nothing"/>
      <w:lvlText w:val=""/>
      <w:lvlJc w:val="left"/>
      <w:pPr>
        <w:ind w:left="7200" w:hanging="360"/>
      </w:pPr>
      <w:rPr>
        <w:rFonts w:cs="Times New Roman" w:hint="default"/>
      </w:rPr>
    </w:lvl>
    <w:lvl w:ilvl="8">
      <w:start w:val="1"/>
      <w:numFmt w:val="none"/>
      <w:suff w:val="nothing"/>
      <w:lvlText w:val=""/>
      <w:lvlJc w:val="left"/>
      <w:pPr>
        <w:ind w:left="7920" w:hanging="360"/>
      </w:pPr>
      <w:rPr>
        <w:rFonts w:cs="Times New Roman" w:hint="default"/>
      </w:rPr>
    </w:lvl>
  </w:abstractNum>
  <w:abstractNum w:abstractNumId="13">
    <w:nsid w:val="1046107E"/>
    <w:multiLevelType w:val="multilevel"/>
    <w:tmpl w:val="65D86914"/>
    <w:numStyleLink w:val="BoxList"/>
  </w:abstractNum>
  <w:abstractNum w:abstractNumId="14">
    <w:nsid w:val="16CC3DFF"/>
    <w:multiLevelType w:val="multilevel"/>
    <w:tmpl w:val="AB0EE45E"/>
    <w:styleLink w:val="BoxListBullets"/>
    <w:lvl w:ilvl="0">
      <w:start w:val="1"/>
      <w:numFmt w:val="bullet"/>
      <w:lvlText w:val="—"/>
      <w:lvlJc w:val="left"/>
      <w:pPr>
        <w:ind w:left="446" w:hanging="446"/>
      </w:pPr>
      <w:rPr>
        <w:rFonts w:ascii="Arial Narrow" w:hAnsi="Arial Narrow" w:hint="default"/>
      </w:rPr>
    </w:lvl>
    <w:lvl w:ilvl="1">
      <w:start w:val="1"/>
      <w:numFmt w:val="bullet"/>
      <w:lvlText w:val="–"/>
      <w:lvlJc w:val="left"/>
      <w:pPr>
        <w:ind w:left="726" w:hanging="280"/>
      </w:pPr>
      <w:rPr>
        <w:rFonts w:ascii="Arial Narrow" w:hAnsi="Arial Narrow" w:hint="default"/>
        <w:sz w:val="16"/>
      </w:rPr>
    </w:lvl>
    <w:lvl w:ilvl="2">
      <w:start w:val="1"/>
      <w:numFmt w:val="bullet"/>
      <w:lvlText w:val="–"/>
      <w:lvlJc w:val="left"/>
      <w:pPr>
        <w:ind w:left="966" w:hanging="240"/>
      </w:pPr>
      <w:rPr>
        <w:rFonts w:ascii="Arial Narrow" w:hAnsi="Arial Narrow" w:hint="default"/>
      </w:rPr>
    </w:lvl>
    <w:lvl w:ilvl="3">
      <w:start w:val="1"/>
      <w:numFmt w:val="decimal"/>
      <w:lvlText w:val="(%4)"/>
      <w:lvlJc w:val="left"/>
      <w:pPr>
        <w:ind w:left="1166" w:hanging="446"/>
      </w:pPr>
      <w:rPr>
        <w:rFonts w:cs="Times New Roman" w:hint="default"/>
      </w:rPr>
    </w:lvl>
    <w:lvl w:ilvl="4">
      <w:start w:val="1"/>
      <w:numFmt w:val="lowerLetter"/>
      <w:lvlText w:val="(%5)"/>
      <w:lvlJc w:val="left"/>
      <w:pPr>
        <w:ind w:left="1406" w:hanging="446"/>
      </w:pPr>
      <w:rPr>
        <w:rFonts w:cs="Times New Roman" w:hint="default"/>
      </w:rPr>
    </w:lvl>
    <w:lvl w:ilvl="5">
      <w:start w:val="1"/>
      <w:numFmt w:val="lowerRoman"/>
      <w:lvlText w:val="(%6)"/>
      <w:lvlJc w:val="left"/>
      <w:pPr>
        <w:ind w:left="1646" w:hanging="446"/>
      </w:pPr>
      <w:rPr>
        <w:rFonts w:cs="Times New Roman" w:hint="default"/>
      </w:rPr>
    </w:lvl>
    <w:lvl w:ilvl="6">
      <w:start w:val="1"/>
      <w:numFmt w:val="decimal"/>
      <w:lvlText w:val="%7."/>
      <w:lvlJc w:val="left"/>
      <w:pPr>
        <w:ind w:left="1886" w:hanging="446"/>
      </w:pPr>
      <w:rPr>
        <w:rFonts w:cs="Times New Roman" w:hint="default"/>
      </w:rPr>
    </w:lvl>
    <w:lvl w:ilvl="7">
      <w:start w:val="1"/>
      <w:numFmt w:val="lowerLetter"/>
      <w:lvlText w:val="%8."/>
      <w:lvlJc w:val="left"/>
      <w:pPr>
        <w:ind w:left="2126" w:hanging="446"/>
      </w:pPr>
      <w:rPr>
        <w:rFonts w:cs="Times New Roman" w:hint="default"/>
      </w:rPr>
    </w:lvl>
    <w:lvl w:ilvl="8">
      <w:start w:val="1"/>
      <w:numFmt w:val="lowerRoman"/>
      <w:lvlText w:val="%9."/>
      <w:lvlJc w:val="left"/>
      <w:pPr>
        <w:ind w:left="2366" w:hanging="446"/>
      </w:pPr>
      <w:rPr>
        <w:rFonts w:cs="Times New Roman" w:hint="default"/>
      </w:rPr>
    </w:lvl>
  </w:abstractNum>
  <w:abstractNum w:abstractNumId="15">
    <w:nsid w:val="1877449B"/>
    <w:multiLevelType w:val="multilevel"/>
    <w:tmpl w:val="145205FC"/>
    <w:styleLink w:val="aaReportListDash"/>
    <w:lvl w:ilvl="0">
      <w:start w:val="1"/>
      <w:numFmt w:val="bullet"/>
      <w:lvlText w:val="—"/>
      <w:lvlJc w:val="left"/>
      <w:pPr>
        <w:ind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hanging="448"/>
      </w:pPr>
      <w:rPr>
        <w:rFonts w:ascii="Calibri" w:hAnsi="Calibri" w:hint="default"/>
      </w:rPr>
    </w:lvl>
    <w:lvl w:ilvl="4">
      <w:start w:val="1"/>
      <w:numFmt w:val="bullet"/>
      <w:lvlText w:val="−"/>
      <w:lvlJc w:val="left"/>
      <w:pPr>
        <w:ind w:hanging="448"/>
      </w:pPr>
      <w:rPr>
        <w:rFonts w:ascii="Calibri" w:hAnsi="Calibri" w:hint="default"/>
      </w:rPr>
    </w:lvl>
    <w:lvl w:ilvl="5">
      <w:start w:val="1"/>
      <w:numFmt w:val="bullet"/>
      <w:lvlText w:val="−"/>
      <w:lvlJc w:val="left"/>
      <w:pPr>
        <w:ind w:hanging="448"/>
      </w:pPr>
      <w:rPr>
        <w:rFonts w:ascii="Calibri" w:hAnsi="Calibri" w:hint="default"/>
      </w:rPr>
    </w:lvl>
    <w:lvl w:ilvl="6">
      <w:start w:val="1"/>
      <w:numFmt w:val="bullet"/>
      <w:lvlText w:val="−"/>
      <w:lvlJc w:val="left"/>
      <w:pPr>
        <w:ind w:hanging="448"/>
      </w:pPr>
      <w:rPr>
        <w:rFonts w:ascii="Calibri" w:hAnsi="Calibri" w:hint="default"/>
      </w:rPr>
    </w:lvl>
    <w:lvl w:ilvl="7">
      <w:start w:val="1"/>
      <w:numFmt w:val="bullet"/>
      <w:lvlText w:val="−"/>
      <w:lvlJc w:val="left"/>
      <w:pPr>
        <w:ind w:hanging="448"/>
      </w:pPr>
      <w:rPr>
        <w:rFonts w:ascii="Calibri" w:hAnsi="Calibri" w:hint="default"/>
      </w:rPr>
    </w:lvl>
    <w:lvl w:ilvl="8">
      <w:start w:val="1"/>
      <w:numFmt w:val="bullet"/>
      <w:lvlText w:val="−"/>
      <w:lvlJc w:val="left"/>
      <w:pPr>
        <w:ind w:hanging="448"/>
      </w:pPr>
      <w:rPr>
        <w:rFonts w:ascii="Calibri" w:hAnsi="Calibri" w:hint="default"/>
      </w:rPr>
    </w:lvl>
  </w:abstractNum>
  <w:abstractNum w:abstractNumId="16">
    <w:nsid w:val="1B7502B7"/>
    <w:multiLevelType w:val="multilevel"/>
    <w:tmpl w:val="475CFF34"/>
    <w:numStyleLink w:val="aaReportListBullets"/>
  </w:abstractNum>
  <w:abstractNum w:abstractNumId="17">
    <w:nsid w:val="1BB100B0"/>
    <w:multiLevelType w:val="multilevel"/>
    <w:tmpl w:val="75081F48"/>
    <w:styleLink w:val="aaSideNotesBullets"/>
    <w:lvl w:ilvl="0">
      <w:start w:val="1"/>
      <w:numFmt w:val="bullet"/>
      <w:lvlText w:val="–"/>
      <w:lvlJc w:val="left"/>
      <w:pPr>
        <w:tabs>
          <w:tab w:val="num" w:pos="60"/>
        </w:tabs>
        <w:ind w:left="220" w:hanging="220"/>
      </w:pPr>
      <w:rPr>
        <w:rFonts w:ascii="Arial Narrow" w:hAnsi="Arial Narrow" w:hint="default"/>
      </w:rPr>
    </w:lvl>
    <w:lvl w:ilvl="1">
      <w:start w:val="1"/>
      <w:numFmt w:val="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nsid w:val="1CE8273B"/>
    <w:multiLevelType w:val="multilevel"/>
    <w:tmpl w:val="2A9ADEF8"/>
    <w:lvl w:ilvl="0">
      <w:start w:val="1"/>
      <w:numFmt w:val="decimal"/>
      <w:lvlText w:val="%1."/>
      <w:lvlJc w:val="center"/>
      <w:pPr>
        <w:tabs>
          <w:tab w:val="num" w:pos="926"/>
        </w:tabs>
        <w:ind w:hanging="420"/>
      </w:pPr>
      <w:rPr>
        <w:rFonts w:cs="Times New Roman" w:hint="default"/>
      </w:rPr>
    </w:lvl>
    <w:lvl w:ilvl="1">
      <w:start w:val="1"/>
      <w:numFmt w:val="lowerLetter"/>
      <w:lvlText w:val="%2)"/>
      <w:lvlJc w:val="left"/>
      <w:pPr>
        <w:ind w:left="340" w:hanging="340"/>
      </w:pPr>
      <w:rPr>
        <w:rFonts w:cs="Times New Roman" w:hint="default"/>
      </w:rPr>
    </w:lvl>
    <w:lvl w:ilvl="2">
      <w:start w:val="1"/>
      <w:numFmt w:val="lowerRoman"/>
      <w:lvlText w:val="%3)"/>
      <w:lvlJc w:val="left"/>
      <w:pPr>
        <w:ind w:left="680" w:hanging="34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nsid w:val="1F2E6523"/>
    <w:multiLevelType w:val="hybridMultilevel"/>
    <w:tmpl w:val="87485B70"/>
    <w:lvl w:ilvl="0" w:tplc="FF643E4E">
      <w:start w:val="1"/>
      <w:numFmt w:val="bullet"/>
      <w:lvlText w:val=""/>
      <w:lvlJc w:val="left"/>
      <w:pPr>
        <w:ind w:left="720" w:hanging="360"/>
      </w:pPr>
      <w:rPr>
        <w:rFonts w:ascii="Symbol" w:hAnsi="Symbol" w:hint="default"/>
      </w:rPr>
    </w:lvl>
    <w:lvl w:ilvl="1" w:tplc="9DCE606E" w:tentative="1">
      <w:start w:val="1"/>
      <w:numFmt w:val="bullet"/>
      <w:lvlText w:val="o"/>
      <w:lvlJc w:val="left"/>
      <w:pPr>
        <w:ind w:left="1440" w:hanging="360"/>
      </w:pPr>
      <w:rPr>
        <w:rFonts w:ascii="Courier New" w:hAnsi="Courier New" w:cs="Courier New" w:hint="default"/>
      </w:rPr>
    </w:lvl>
    <w:lvl w:ilvl="2" w:tplc="BC744AE4" w:tentative="1">
      <w:start w:val="1"/>
      <w:numFmt w:val="bullet"/>
      <w:lvlText w:val=""/>
      <w:lvlJc w:val="left"/>
      <w:pPr>
        <w:ind w:left="2160" w:hanging="360"/>
      </w:pPr>
      <w:rPr>
        <w:rFonts w:ascii="Wingdings" w:hAnsi="Wingdings" w:hint="default"/>
      </w:rPr>
    </w:lvl>
    <w:lvl w:ilvl="3" w:tplc="808A9DBA" w:tentative="1">
      <w:start w:val="1"/>
      <w:numFmt w:val="bullet"/>
      <w:lvlText w:val=""/>
      <w:lvlJc w:val="left"/>
      <w:pPr>
        <w:ind w:left="2880" w:hanging="360"/>
      </w:pPr>
      <w:rPr>
        <w:rFonts w:ascii="Symbol" w:hAnsi="Symbol" w:hint="default"/>
      </w:rPr>
    </w:lvl>
    <w:lvl w:ilvl="4" w:tplc="4E440EB6" w:tentative="1">
      <w:start w:val="1"/>
      <w:numFmt w:val="bullet"/>
      <w:lvlText w:val="o"/>
      <w:lvlJc w:val="left"/>
      <w:pPr>
        <w:ind w:left="3600" w:hanging="360"/>
      </w:pPr>
      <w:rPr>
        <w:rFonts w:ascii="Courier New" w:hAnsi="Courier New" w:cs="Courier New" w:hint="default"/>
      </w:rPr>
    </w:lvl>
    <w:lvl w:ilvl="5" w:tplc="A5ECBB46" w:tentative="1">
      <w:start w:val="1"/>
      <w:numFmt w:val="bullet"/>
      <w:lvlText w:val=""/>
      <w:lvlJc w:val="left"/>
      <w:pPr>
        <w:ind w:left="4320" w:hanging="360"/>
      </w:pPr>
      <w:rPr>
        <w:rFonts w:ascii="Wingdings" w:hAnsi="Wingdings" w:hint="default"/>
      </w:rPr>
    </w:lvl>
    <w:lvl w:ilvl="6" w:tplc="10145502" w:tentative="1">
      <w:start w:val="1"/>
      <w:numFmt w:val="bullet"/>
      <w:lvlText w:val=""/>
      <w:lvlJc w:val="left"/>
      <w:pPr>
        <w:ind w:left="5040" w:hanging="360"/>
      </w:pPr>
      <w:rPr>
        <w:rFonts w:ascii="Symbol" w:hAnsi="Symbol" w:hint="default"/>
      </w:rPr>
    </w:lvl>
    <w:lvl w:ilvl="7" w:tplc="96D615F2" w:tentative="1">
      <w:start w:val="1"/>
      <w:numFmt w:val="bullet"/>
      <w:lvlText w:val="o"/>
      <w:lvlJc w:val="left"/>
      <w:pPr>
        <w:ind w:left="5760" w:hanging="360"/>
      </w:pPr>
      <w:rPr>
        <w:rFonts w:ascii="Courier New" w:hAnsi="Courier New" w:cs="Courier New" w:hint="default"/>
      </w:rPr>
    </w:lvl>
    <w:lvl w:ilvl="8" w:tplc="3112E490" w:tentative="1">
      <w:start w:val="1"/>
      <w:numFmt w:val="bullet"/>
      <w:lvlText w:val=""/>
      <w:lvlJc w:val="left"/>
      <w:pPr>
        <w:ind w:left="6480" w:hanging="360"/>
      </w:pPr>
      <w:rPr>
        <w:rFonts w:ascii="Wingdings" w:hAnsi="Wingdings" w:hint="default"/>
      </w:rPr>
    </w:lvl>
  </w:abstractNum>
  <w:abstractNum w:abstractNumId="2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010423"/>
    <w:multiLevelType w:val="multilevel"/>
    <w:tmpl w:val="29E0E8DA"/>
    <w:styleLink w:val="aaTableListNumbers"/>
    <w:lvl w:ilvl="0">
      <w:start w:val="1"/>
      <w:numFmt w:val="decimal"/>
      <w:pStyle w:val="Tablelistnumber"/>
      <w:lvlText w:val="%1."/>
      <w:lvlJc w:val="left"/>
      <w:pPr>
        <w:ind w:left="340" w:hanging="340"/>
      </w:pPr>
      <w:rPr>
        <w:rFonts w:cs="Times New Roman" w:hint="default"/>
      </w:rPr>
    </w:lvl>
    <w:lvl w:ilvl="1">
      <w:start w:val="1"/>
      <w:numFmt w:val="lowerLetter"/>
      <w:pStyle w:val="Tablelistnumber2"/>
      <w:lvlText w:val="%2)"/>
      <w:lvlJc w:val="left"/>
      <w:pPr>
        <w:ind w:left="680" w:hanging="340"/>
      </w:pPr>
      <w:rPr>
        <w:rFonts w:cs="Times New Roman" w:hint="default"/>
      </w:rPr>
    </w:lvl>
    <w:lvl w:ilvl="2">
      <w:start w:val="1"/>
      <w:numFmt w:val="lowerRoman"/>
      <w:pStyle w:val="Tablelistnumber3"/>
      <w:lvlText w:val="%3)"/>
      <w:lvlJc w:val="left"/>
      <w:pPr>
        <w:ind w:left="907" w:hanging="227"/>
      </w:pPr>
      <w:rPr>
        <w:rFonts w:cs="Times New Roman" w:hint="default"/>
      </w:rPr>
    </w:lvl>
    <w:lvl w:ilvl="3">
      <w:start w:val="1"/>
      <w:numFmt w:val="decimal"/>
      <w:lvlText w:val="(%4)"/>
      <w:lvlJc w:val="left"/>
      <w:pPr>
        <w:ind w:left="960" w:hanging="240"/>
      </w:pPr>
      <w:rPr>
        <w:rFonts w:cs="Times New Roman" w:hint="default"/>
      </w:rPr>
    </w:lvl>
    <w:lvl w:ilvl="4">
      <w:start w:val="1"/>
      <w:numFmt w:val="lowerLetter"/>
      <w:lvlText w:val="(%5)"/>
      <w:lvlJc w:val="left"/>
      <w:pPr>
        <w:ind w:left="1200" w:hanging="240"/>
      </w:pPr>
      <w:rPr>
        <w:rFonts w:cs="Times New Roman" w:hint="default"/>
      </w:rPr>
    </w:lvl>
    <w:lvl w:ilvl="5">
      <w:start w:val="1"/>
      <w:numFmt w:val="lowerRoman"/>
      <w:lvlText w:val="(%6)"/>
      <w:lvlJc w:val="left"/>
      <w:pPr>
        <w:ind w:left="1440" w:hanging="240"/>
      </w:pPr>
      <w:rPr>
        <w:rFonts w:cs="Times New Roman" w:hint="default"/>
      </w:rPr>
    </w:lvl>
    <w:lvl w:ilvl="6">
      <w:start w:val="1"/>
      <w:numFmt w:val="decimal"/>
      <w:lvlText w:val="%7."/>
      <w:lvlJc w:val="left"/>
      <w:pPr>
        <w:ind w:left="1680" w:hanging="240"/>
      </w:pPr>
      <w:rPr>
        <w:rFonts w:cs="Times New Roman" w:hint="default"/>
      </w:rPr>
    </w:lvl>
    <w:lvl w:ilvl="7">
      <w:start w:val="1"/>
      <w:numFmt w:val="lowerLetter"/>
      <w:lvlText w:val="%8."/>
      <w:lvlJc w:val="left"/>
      <w:pPr>
        <w:ind w:left="1920" w:hanging="240"/>
      </w:pPr>
      <w:rPr>
        <w:rFonts w:cs="Times New Roman" w:hint="default"/>
      </w:rPr>
    </w:lvl>
    <w:lvl w:ilvl="8">
      <w:start w:val="1"/>
      <w:numFmt w:val="lowerRoman"/>
      <w:lvlText w:val="%9."/>
      <w:lvlJc w:val="left"/>
      <w:pPr>
        <w:ind w:left="2160" w:hanging="240"/>
      </w:pPr>
      <w:rPr>
        <w:rFonts w:cs="Times New Roman" w:hint="default"/>
      </w:rPr>
    </w:lvl>
  </w:abstractNum>
  <w:abstractNum w:abstractNumId="22">
    <w:nsid w:val="24103F2B"/>
    <w:multiLevelType w:val="multilevel"/>
    <w:tmpl w:val="475CFF34"/>
    <w:styleLink w:val="aaReportListBullets"/>
    <w:lvl w:ilvl="0">
      <w:start w:val="1"/>
      <w:numFmt w:val="bullet"/>
      <w:pStyle w:val="ListBullet"/>
      <w:lvlText w:val="—"/>
      <w:lvlJc w:val="left"/>
      <w:pPr>
        <w:ind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cs="Times New Roman" w:hint="default"/>
      </w:rPr>
    </w:lvl>
    <w:lvl w:ilvl="5">
      <w:start w:val="1"/>
      <w:numFmt w:val="lowerRoman"/>
      <w:lvlText w:val="(%6)"/>
      <w:lvlJc w:val="left"/>
      <w:pPr>
        <w:ind w:left="1200" w:hanging="446"/>
      </w:pPr>
      <w:rPr>
        <w:rFonts w:cs="Times New Roman" w:hint="default"/>
      </w:rPr>
    </w:lvl>
    <w:lvl w:ilvl="6">
      <w:start w:val="1"/>
      <w:numFmt w:val="decimal"/>
      <w:lvlText w:val="%7."/>
      <w:lvlJc w:val="left"/>
      <w:pPr>
        <w:ind w:left="1440" w:hanging="446"/>
      </w:pPr>
      <w:rPr>
        <w:rFonts w:cs="Times New Roman" w:hint="default"/>
      </w:rPr>
    </w:lvl>
    <w:lvl w:ilvl="7">
      <w:start w:val="1"/>
      <w:numFmt w:val="lowerLetter"/>
      <w:lvlText w:val="%8."/>
      <w:lvlJc w:val="left"/>
      <w:pPr>
        <w:ind w:left="1680" w:hanging="446"/>
      </w:pPr>
      <w:rPr>
        <w:rFonts w:cs="Times New Roman" w:hint="default"/>
      </w:rPr>
    </w:lvl>
    <w:lvl w:ilvl="8">
      <w:start w:val="1"/>
      <w:numFmt w:val="lowerRoman"/>
      <w:lvlText w:val="%9."/>
      <w:lvlJc w:val="left"/>
      <w:pPr>
        <w:ind w:left="1920" w:hanging="446"/>
      </w:pPr>
      <w:rPr>
        <w:rFonts w:cs="Times New Roman" w:hint="default"/>
      </w:rPr>
    </w:lvl>
  </w:abstractNum>
  <w:abstractNum w:abstractNumId="23">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cs="Times New Roman" w:hint="default"/>
      </w:rPr>
    </w:lvl>
    <w:lvl w:ilvl="4">
      <w:start w:val="1"/>
      <w:numFmt w:val="lowerLetter"/>
      <w:lvlText w:val="(%5)"/>
      <w:lvlJc w:val="left"/>
      <w:pPr>
        <w:ind w:left="1200" w:hanging="240"/>
      </w:pPr>
      <w:rPr>
        <w:rFonts w:cs="Times New Roman" w:hint="default"/>
      </w:rPr>
    </w:lvl>
    <w:lvl w:ilvl="5">
      <w:start w:val="1"/>
      <w:numFmt w:val="lowerRoman"/>
      <w:lvlText w:val="(%6)"/>
      <w:lvlJc w:val="left"/>
      <w:pPr>
        <w:ind w:left="1440" w:hanging="240"/>
      </w:pPr>
      <w:rPr>
        <w:rFonts w:cs="Times New Roman" w:hint="default"/>
      </w:rPr>
    </w:lvl>
    <w:lvl w:ilvl="6">
      <w:start w:val="1"/>
      <w:numFmt w:val="decimal"/>
      <w:lvlText w:val="%7."/>
      <w:lvlJc w:val="left"/>
      <w:pPr>
        <w:ind w:left="1680" w:hanging="240"/>
      </w:pPr>
      <w:rPr>
        <w:rFonts w:cs="Times New Roman" w:hint="default"/>
      </w:rPr>
    </w:lvl>
    <w:lvl w:ilvl="7">
      <w:start w:val="1"/>
      <w:numFmt w:val="lowerLetter"/>
      <w:lvlText w:val="%8."/>
      <w:lvlJc w:val="left"/>
      <w:pPr>
        <w:ind w:left="1920" w:hanging="240"/>
      </w:pPr>
      <w:rPr>
        <w:rFonts w:cs="Times New Roman" w:hint="default"/>
      </w:rPr>
    </w:lvl>
    <w:lvl w:ilvl="8">
      <w:start w:val="1"/>
      <w:numFmt w:val="lowerRoman"/>
      <w:lvlText w:val="%9."/>
      <w:lvlJc w:val="left"/>
      <w:pPr>
        <w:ind w:left="2160" w:hanging="240"/>
      </w:pPr>
      <w:rPr>
        <w:rFonts w:cs="Times New Roman" w:hint="default"/>
      </w:rPr>
    </w:lvl>
  </w:abstractNum>
  <w:abstractNum w:abstractNumId="24">
    <w:nsid w:val="297D6AEC"/>
    <w:multiLevelType w:val="multilevel"/>
    <w:tmpl w:val="5E28A05C"/>
    <w:lvl w:ilvl="0">
      <w:start w:val="1"/>
      <w:numFmt w:val="upperLetter"/>
      <w:pStyle w:val="App-Heading1"/>
      <w:suff w:val="nothing"/>
      <w:lvlText w:val="%1"/>
      <w:lvlJc w:val="left"/>
      <w:pPr>
        <w:ind w:left="1080" w:hanging="1080"/>
      </w:pPr>
      <w:rPr>
        <w:rFonts w:cs="Times New Roman" w:hint="default"/>
      </w:rPr>
    </w:lvl>
    <w:lvl w:ilvl="1">
      <w:start w:val="1"/>
      <w:numFmt w:val="decimal"/>
      <w:pStyle w:val="App-Heading2"/>
      <w:lvlText w:val="%1.%2"/>
      <w:lvlJc w:val="right"/>
      <w:pPr>
        <w:ind w:left="1361" w:hanging="119"/>
      </w:pPr>
      <w:rPr>
        <w:rFonts w:cs="Times New Roman" w:hint="default"/>
      </w:rPr>
    </w:lvl>
    <w:lvl w:ilvl="2">
      <w:start w:val="1"/>
      <w:numFmt w:val="decimal"/>
      <w:lvlText w:val="%1.%2.%3"/>
      <w:lvlJc w:val="left"/>
      <w:pPr>
        <w:ind w:left="1800" w:hanging="360"/>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25">
    <w:nsid w:val="2AD9720E"/>
    <w:multiLevelType w:val="multilevel"/>
    <w:tmpl w:val="30BE6EB8"/>
    <w:styleLink w:val="aaTOCList"/>
    <w:lvl w:ilvl="0">
      <w:start w:val="1"/>
      <w:numFmt w:val="none"/>
      <w:lvlText w:val="%1"/>
      <w:lvlJc w:val="left"/>
      <w:pPr>
        <w:ind w:left="336" w:hanging="336"/>
      </w:pPr>
      <w:rPr>
        <w:rFonts w:ascii="Bodoni MT" w:hAnsi="Bodoni MT" w:cs="Times New Roman" w:hint="default"/>
        <w:sz w:val="20"/>
      </w:rPr>
    </w:lvl>
    <w:lvl w:ilvl="1">
      <w:start w:val="1"/>
      <w:numFmt w:val="none"/>
      <w:lvlText w:val="%2"/>
      <w:lvlJc w:val="left"/>
      <w:pPr>
        <w:ind w:left="336" w:hanging="336"/>
      </w:pPr>
      <w:rPr>
        <w:rFonts w:cs="Times New Roman" w:hint="default"/>
      </w:rPr>
    </w:lvl>
    <w:lvl w:ilvl="2">
      <w:start w:val="1"/>
      <w:numFmt w:val="none"/>
      <w:lvlText w:val="%3"/>
      <w:lvlJc w:val="left"/>
      <w:pPr>
        <w:tabs>
          <w:tab w:val="num" w:pos="336"/>
        </w:tabs>
        <w:ind w:left="336" w:hanging="336"/>
      </w:pPr>
      <w:rPr>
        <w:rFonts w:cs="Times New Roman" w:hint="default"/>
      </w:rPr>
    </w:lvl>
    <w:lvl w:ilvl="3">
      <w:start w:val="1"/>
      <w:numFmt w:val="none"/>
      <w:lvlText w:val=""/>
      <w:lvlJc w:val="left"/>
      <w:pPr>
        <w:tabs>
          <w:tab w:val="num" w:pos="454"/>
        </w:tabs>
        <w:ind w:left="454" w:hanging="454"/>
      </w:pPr>
      <w:rPr>
        <w:rFonts w:cs="Times New Roman" w:hint="default"/>
      </w:rPr>
    </w:lvl>
    <w:lvl w:ilvl="4">
      <w:start w:val="1"/>
      <w:numFmt w:val="lowerLetter"/>
      <w:lvlText w:val="(%5)"/>
      <w:lvlJc w:val="left"/>
      <w:pPr>
        <w:ind w:left="336" w:hanging="336"/>
      </w:pPr>
      <w:rPr>
        <w:rFonts w:cs="Times New Roman" w:hint="default"/>
      </w:rPr>
    </w:lvl>
    <w:lvl w:ilvl="5">
      <w:start w:val="1"/>
      <w:numFmt w:val="none"/>
      <w:lvlText w:val=""/>
      <w:lvlJc w:val="left"/>
      <w:pPr>
        <w:tabs>
          <w:tab w:val="num" w:pos="336"/>
        </w:tabs>
        <w:ind w:left="336" w:hanging="336"/>
      </w:pPr>
      <w:rPr>
        <w:rFonts w:cs="Times New Roman" w:hint="default"/>
      </w:rPr>
    </w:lvl>
    <w:lvl w:ilvl="6">
      <w:start w:val="1"/>
      <w:numFmt w:val="none"/>
      <w:lvlText w:val="%7"/>
      <w:lvlJc w:val="left"/>
      <w:pPr>
        <w:tabs>
          <w:tab w:val="num" w:pos="335"/>
        </w:tabs>
        <w:ind w:left="335" w:hanging="335"/>
      </w:pPr>
      <w:rPr>
        <w:rFonts w:cs="Times New Roman" w:hint="default"/>
        <w:color w:val="FFFEFF"/>
      </w:rPr>
    </w:lvl>
    <w:lvl w:ilvl="7">
      <w:start w:val="1"/>
      <w:numFmt w:val="lowerLetter"/>
      <w:lvlText w:val="%8."/>
      <w:lvlJc w:val="left"/>
      <w:pPr>
        <w:ind w:left="336" w:hanging="336"/>
      </w:pPr>
      <w:rPr>
        <w:rFonts w:cs="Times New Roman" w:hint="default"/>
      </w:rPr>
    </w:lvl>
    <w:lvl w:ilvl="8">
      <w:start w:val="1"/>
      <w:numFmt w:val="lowerRoman"/>
      <w:lvlText w:val="%9."/>
      <w:lvlJc w:val="left"/>
      <w:pPr>
        <w:ind w:left="336" w:hanging="336"/>
      </w:pPr>
      <w:rPr>
        <w:rFonts w:cs="Times New Roman" w:hint="default"/>
      </w:rPr>
    </w:lvl>
  </w:abstractNum>
  <w:abstractNum w:abstractNumId="26">
    <w:nsid w:val="2F076739"/>
    <w:multiLevelType w:val="multilevel"/>
    <w:tmpl w:val="65D86914"/>
    <w:lvl w:ilvl="0">
      <w:start w:val="1"/>
      <w:numFmt w:val="decimal"/>
      <w:lvlText w:val="%1."/>
      <w:lvlJc w:val="left"/>
      <w:pPr>
        <w:ind w:left="446" w:hanging="446"/>
      </w:pPr>
      <w:rPr>
        <w:rFonts w:ascii="Arial Narrow" w:hAnsi="Arial Narrow" w:cs="Times New Roman" w:hint="default"/>
        <w:sz w:val="20"/>
      </w:rPr>
    </w:lvl>
    <w:lvl w:ilvl="1">
      <w:start w:val="1"/>
      <w:numFmt w:val="lowerLetter"/>
      <w:lvlText w:val="%2)"/>
      <w:lvlJc w:val="left"/>
      <w:pPr>
        <w:ind w:left="800" w:hanging="354"/>
      </w:pPr>
      <w:rPr>
        <w:rFonts w:ascii="Arial Narrow" w:hAnsi="Arial Narrow" w:cs="Times New Roman" w:hint="default"/>
      </w:rPr>
    </w:lvl>
    <w:lvl w:ilvl="2">
      <w:start w:val="1"/>
      <w:numFmt w:val="lowerRoman"/>
      <w:lvlText w:val="%3)"/>
      <w:lvlJc w:val="left"/>
      <w:pPr>
        <w:ind w:left="1160" w:hanging="360"/>
      </w:pPr>
      <w:rPr>
        <w:rFonts w:ascii="Arial Narrow" w:hAnsi="Arial Narrow"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cs="Times New Roman" w:hint="default"/>
        <w:sz w:val="20"/>
      </w:rPr>
    </w:lvl>
    <w:lvl w:ilvl="1">
      <w:start w:val="1"/>
      <w:numFmt w:val="none"/>
      <w:lvlText w:val="%2"/>
      <w:lvlJc w:val="left"/>
      <w:pPr>
        <w:ind w:left="336" w:hanging="336"/>
      </w:pPr>
      <w:rPr>
        <w:rFonts w:cs="Times New Roman" w:hint="default"/>
      </w:rPr>
    </w:lvl>
    <w:lvl w:ilvl="2">
      <w:start w:val="1"/>
      <w:numFmt w:val="none"/>
      <w:lvlText w:val="%3"/>
      <w:lvlJc w:val="left"/>
      <w:pPr>
        <w:tabs>
          <w:tab w:val="num" w:pos="336"/>
        </w:tabs>
        <w:ind w:left="336" w:hanging="336"/>
      </w:pPr>
      <w:rPr>
        <w:rFonts w:cs="Times New Roman" w:hint="default"/>
      </w:rPr>
    </w:lvl>
    <w:lvl w:ilvl="3">
      <w:start w:val="1"/>
      <w:numFmt w:val="decimal"/>
      <w:lvlText w:val="(%4)"/>
      <w:lvlJc w:val="left"/>
      <w:pPr>
        <w:ind w:left="336" w:hanging="336"/>
      </w:pPr>
      <w:rPr>
        <w:rFonts w:cs="Times New Roman" w:hint="default"/>
      </w:rPr>
    </w:lvl>
    <w:lvl w:ilvl="4">
      <w:start w:val="1"/>
      <w:numFmt w:val="lowerLetter"/>
      <w:lvlText w:val="(%5)"/>
      <w:lvlJc w:val="left"/>
      <w:pPr>
        <w:ind w:left="336" w:hanging="336"/>
      </w:pPr>
      <w:rPr>
        <w:rFonts w:cs="Times New Roman" w:hint="default"/>
      </w:rPr>
    </w:lvl>
    <w:lvl w:ilvl="5">
      <w:start w:val="1"/>
      <w:numFmt w:val="lowerRoman"/>
      <w:lvlText w:val="(%6)"/>
      <w:lvlJc w:val="left"/>
      <w:pPr>
        <w:ind w:left="336" w:hanging="336"/>
      </w:pPr>
      <w:rPr>
        <w:rFonts w:cs="Times New Roman" w:hint="default"/>
      </w:rPr>
    </w:lvl>
    <w:lvl w:ilvl="6">
      <w:start w:val="1"/>
      <w:numFmt w:val="decimal"/>
      <w:lvlText w:val="%7."/>
      <w:lvlJc w:val="left"/>
      <w:pPr>
        <w:ind w:left="336" w:hanging="336"/>
      </w:pPr>
      <w:rPr>
        <w:rFonts w:cs="Times New Roman" w:hint="default"/>
      </w:rPr>
    </w:lvl>
    <w:lvl w:ilvl="7">
      <w:start w:val="1"/>
      <w:numFmt w:val="lowerLetter"/>
      <w:lvlText w:val="%8."/>
      <w:lvlJc w:val="left"/>
      <w:pPr>
        <w:ind w:left="336" w:hanging="336"/>
      </w:pPr>
      <w:rPr>
        <w:rFonts w:cs="Times New Roman" w:hint="default"/>
      </w:rPr>
    </w:lvl>
    <w:lvl w:ilvl="8">
      <w:start w:val="1"/>
      <w:numFmt w:val="lowerRoman"/>
      <w:lvlText w:val="%9."/>
      <w:lvlJc w:val="left"/>
      <w:pPr>
        <w:ind w:left="336" w:hanging="336"/>
      </w:pPr>
      <w:rPr>
        <w:rFonts w:cs="Times New Roman" w:hint="default"/>
      </w:rPr>
    </w:lvl>
  </w:abstractNum>
  <w:abstractNum w:abstractNumId="28">
    <w:nsid w:val="3333768D"/>
    <w:multiLevelType w:val="multilevel"/>
    <w:tmpl w:val="65D86914"/>
    <w:styleLink w:val="BoxList"/>
    <w:lvl w:ilvl="0">
      <w:start w:val="1"/>
      <w:numFmt w:val="decimal"/>
      <w:lvlText w:val="%1."/>
      <w:lvlJc w:val="left"/>
      <w:pPr>
        <w:ind w:left="446" w:hanging="446"/>
      </w:pPr>
      <w:rPr>
        <w:rFonts w:ascii="Arial Narrow" w:hAnsi="Arial Narrow" w:cs="Times New Roman" w:hint="default"/>
        <w:sz w:val="20"/>
      </w:rPr>
    </w:lvl>
    <w:lvl w:ilvl="1">
      <w:start w:val="1"/>
      <w:numFmt w:val="lowerLetter"/>
      <w:lvlText w:val="%2)"/>
      <w:lvlJc w:val="left"/>
      <w:pPr>
        <w:ind w:left="800" w:hanging="354"/>
      </w:pPr>
      <w:rPr>
        <w:rFonts w:ascii="Arial Narrow" w:hAnsi="Arial Narrow" w:cs="Times New Roman" w:hint="default"/>
      </w:rPr>
    </w:lvl>
    <w:lvl w:ilvl="2">
      <w:start w:val="1"/>
      <w:numFmt w:val="lowerRoman"/>
      <w:lvlText w:val="%3)"/>
      <w:lvlJc w:val="left"/>
      <w:pPr>
        <w:ind w:left="1160" w:hanging="360"/>
      </w:pPr>
      <w:rPr>
        <w:rFonts w:ascii="Arial Narrow" w:hAnsi="Arial Narrow"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9">
    <w:nsid w:val="36232C7D"/>
    <w:multiLevelType w:val="multilevel"/>
    <w:tmpl w:val="AB0EE45E"/>
    <w:numStyleLink w:val="BoxListBullets"/>
  </w:abstractNum>
  <w:abstractNum w:abstractNumId="30">
    <w:nsid w:val="389B44FE"/>
    <w:multiLevelType w:val="multilevel"/>
    <w:tmpl w:val="2A9ADEF8"/>
    <w:numStyleLink w:val="aaReportListNumber"/>
  </w:abstractNum>
  <w:abstractNum w:abstractNumId="31">
    <w:nsid w:val="3B3E682E"/>
    <w:multiLevelType w:val="multilevel"/>
    <w:tmpl w:val="D4E4AEA8"/>
    <w:styleLink w:val="aaReportHeadings"/>
    <w:lvl w:ilvl="0">
      <w:start w:val="1"/>
      <w:numFmt w:val="decimal"/>
      <w:lvlText w:val="%1"/>
      <w:lvlJc w:val="right"/>
      <w:pPr>
        <w:tabs>
          <w:tab w:val="num" w:pos="248"/>
        </w:tabs>
        <w:ind w:left="248" w:hanging="384"/>
      </w:pPr>
      <w:rPr>
        <w:rFonts w:cs="Times New Roman" w:hint="default"/>
      </w:rPr>
    </w:lvl>
    <w:lvl w:ilvl="1">
      <w:start w:val="1"/>
      <w:numFmt w:val="decimal"/>
      <w:lvlText w:val="%1.%2"/>
      <w:lvlJc w:val="right"/>
      <w:pPr>
        <w:ind w:hanging="136"/>
      </w:pPr>
      <w:rPr>
        <w:rFonts w:cs="Times New Roman" w:hint="default"/>
      </w:rPr>
    </w:lvl>
    <w:lvl w:ilvl="2">
      <w:start w:val="1"/>
      <w:numFmt w:val="decimal"/>
      <w:lvlText w:val="%1.%2.%3"/>
      <w:lvlJc w:val="left"/>
      <w:pPr>
        <w:ind w:left="320" w:hanging="320"/>
      </w:pPr>
      <w:rPr>
        <w:rFonts w:cs="Times New Roman" w:hint="default"/>
      </w:rPr>
    </w:lvl>
    <w:lvl w:ilvl="3">
      <w:start w:val="1"/>
      <w:numFmt w:val="none"/>
      <w:pStyle w:val="Heading4"/>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lvlText w:val="%7"/>
      <w:lvlJc w:val="left"/>
      <w:rPr>
        <w:rFonts w:cs="Times New Roman" w:hint="default"/>
      </w:rPr>
    </w:lvl>
    <w:lvl w:ilvl="7">
      <w:start w:val="1"/>
      <w:numFmt w:val="none"/>
      <w:lvlText w:val="%8"/>
      <w:lvlJc w:val="left"/>
      <w:rPr>
        <w:rFonts w:cs="Times New Roman" w:hint="default"/>
      </w:rPr>
    </w:lvl>
    <w:lvl w:ilvl="8">
      <w:start w:val="1"/>
      <w:numFmt w:val="none"/>
      <w:lvlText w:val="%9"/>
      <w:lvlJc w:val="left"/>
      <w:rPr>
        <w:rFonts w:cs="Times New Roman" w:hint="default"/>
      </w:rPr>
    </w:lvl>
  </w:abstractNum>
  <w:abstractNum w:abstractNumId="32">
    <w:nsid w:val="3F1A0CC7"/>
    <w:multiLevelType w:val="hybridMultilevel"/>
    <w:tmpl w:val="9586C2AE"/>
    <w:lvl w:ilvl="0" w:tplc="96A6C456">
      <w:start w:val="4"/>
      <w:numFmt w:val="bullet"/>
      <w:lvlText w:val="-"/>
      <w:lvlJc w:val="left"/>
      <w:pPr>
        <w:ind w:left="720"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31D7525"/>
    <w:multiLevelType w:val="multilevel"/>
    <w:tmpl w:val="2A9ADEF8"/>
    <w:lvl w:ilvl="0">
      <w:start w:val="1"/>
      <w:numFmt w:val="decimal"/>
      <w:lvlText w:val="%1."/>
      <w:lvlJc w:val="center"/>
      <w:pPr>
        <w:tabs>
          <w:tab w:val="num" w:pos="926"/>
        </w:tabs>
        <w:ind w:hanging="420"/>
      </w:pPr>
      <w:rPr>
        <w:rFonts w:cs="Times New Roman" w:hint="default"/>
      </w:rPr>
    </w:lvl>
    <w:lvl w:ilvl="1">
      <w:start w:val="1"/>
      <w:numFmt w:val="lowerLetter"/>
      <w:lvlText w:val="%2)"/>
      <w:lvlJc w:val="left"/>
      <w:pPr>
        <w:ind w:left="340" w:hanging="340"/>
      </w:pPr>
      <w:rPr>
        <w:rFonts w:cs="Times New Roman" w:hint="default"/>
      </w:rPr>
    </w:lvl>
    <w:lvl w:ilvl="2">
      <w:start w:val="1"/>
      <w:numFmt w:val="lowerRoman"/>
      <w:lvlText w:val="%3)"/>
      <w:lvlJc w:val="left"/>
      <w:pPr>
        <w:ind w:left="680" w:hanging="34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4">
    <w:nsid w:val="45767BA0"/>
    <w:multiLevelType w:val="multilevel"/>
    <w:tmpl w:val="75081F48"/>
    <w:numStyleLink w:val="aaSideNotesBullets"/>
  </w:abstractNum>
  <w:abstractNum w:abstractNumId="35">
    <w:nsid w:val="47375183"/>
    <w:multiLevelType w:val="multilevel"/>
    <w:tmpl w:val="C958DAD4"/>
    <w:numStyleLink w:val="aaAppendixNumbering"/>
  </w:abstractNum>
  <w:abstractNum w:abstractNumId="36">
    <w:nsid w:val="4AA31585"/>
    <w:multiLevelType w:val="hybridMultilevel"/>
    <w:tmpl w:val="904E8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CF7721F"/>
    <w:multiLevelType w:val="multilevel"/>
    <w:tmpl w:val="0E7610C4"/>
    <w:styleLink w:val="1ai"/>
    <w:lvl w:ilvl="0">
      <w:start w:val="1"/>
      <w:numFmt w:val="decimal"/>
      <w:lvlText w:val="%1."/>
      <w:lvlJc w:val="left"/>
      <w:pPr>
        <w:tabs>
          <w:tab w:val="num" w:pos="446"/>
        </w:tabs>
        <w:ind w:left="800" w:hanging="354"/>
      </w:pPr>
      <w:rPr>
        <w:rFonts w:cs="Times New Roman" w:hint="default"/>
      </w:rPr>
    </w:lvl>
    <w:lvl w:ilvl="1">
      <w:start w:val="1"/>
      <w:numFmt w:val="lowerLetter"/>
      <w:lvlText w:val="%2)"/>
      <w:lvlJc w:val="left"/>
      <w:pPr>
        <w:tabs>
          <w:tab w:val="num" w:pos="806"/>
        </w:tabs>
        <w:ind w:left="1160" w:hanging="360"/>
      </w:pPr>
      <w:rPr>
        <w:rFonts w:cs="Times New Roman" w:hint="default"/>
      </w:rPr>
    </w:lvl>
    <w:lvl w:ilvl="2">
      <w:start w:val="1"/>
      <w:numFmt w:val="lowerRoman"/>
      <w:lvlText w:val="%3)"/>
      <w:lvlJc w:val="left"/>
      <w:pPr>
        <w:tabs>
          <w:tab w:val="num" w:pos="1160"/>
        </w:tabs>
        <w:ind w:left="1520" w:hanging="360"/>
      </w:pPr>
      <w:rPr>
        <w:rFonts w:cs="Times New Roman" w:hint="default"/>
      </w:rPr>
    </w:lvl>
    <w:lvl w:ilvl="3">
      <w:start w:val="1"/>
      <w:numFmt w:val="decimal"/>
      <w:lvlText w:val="(%4)"/>
      <w:lvlJc w:val="left"/>
      <w:pPr>
        <w:tabs>
          <w:tab w:val="num" w:pos="446"/>
        </w:tabs>
        <w:ind w:left="360" w:firstLine="86"/>
      </w:pPr>
      <w:rPr>
        <w:rFonts w:cs="Times New Roman" w:hint="default"/>
      </w:rPr>
    </w:lvl>
    <w:lvl w:ilvl="4">
      <w:start w:val="1"/>
      <w:numFmt w:val="lowerLetter"/>
      <w:lvlText w:val="(%5)"/>
      <w:lvlJc w:val="left"/>
      <w:pPr>
        <w:tabs>
          <w:tab w:val="num" w:pos="446"/>
        </w:tabs>
        <w:ind w:left="360" w:firstLine="86"/>
      </w:pPr>
      <w:rPr>
        <w:rFonts w:cs="Times New Roman" w:hint="default"/>
      </w:rPr>
    </w:lvl>
    <w:lvl w:ilvl="5">
      <w:start w:val="1"/>
      <w:numFmt w:val="lowerRoman"/>
      <w:lvlText w:val="(%6)"/>
      <w:lvlJc w:val="left"/>
      <w:pPr>
        <w:tabs>
          <w:tab w:val="num" w:pos="446"/>
        </w:tabs>
        <w:ind w:left="360" w:firstLine="86"/>
      </w:pPr>
      <w:rPr>
        <w:rFonts w:cs="Times New Roman" w:hint="default"/>
      </w:rPr>
    </w:lvl>
    <w:lvl w:ilvl="6">
      <w:start w:val="1"/>
      <w:numFmt w:val="decimal"/>
      <w:lvlText w:val="%7."/>
      <w:lvlJc w:val="left"/>
      <w:pPr>
        <w:tabs>
          <w:tab w:val="num" w:pos="446"/>
        </w:tabs>
        <w:ind w:left="360" w:firstLine="86"/>
      </w:pPr>
      <w:rPr>
        <w:rFonts w:cs="Times New Roman" w:hint="default"/>
      </w:rPr>
    </w:lvl>
    <w:lvl w:ilvl="7">
      <w:start w:val="1"/>
      <w:numFmt w:val="lowerLetter"/>
      <w:lvlText w:val="%8."/>
      <w:lvlJc w:val="left"/>
      <w:pPr>
        <w:tabs>
          <w:tab w:val="num" w:pos="446"/>
        </w:tabs>
        <w:ind w:left="360" w:firstLine="86"/>
      </w:pPr>
      <w:rPr>
        <w:rFonts w:cs="Times New Roman" w:hint="default"/>
      </w:rPr>
    </w:lvl>
    <w:lvl w:ilvl="8">
      <w:start w:val="1"/>
      <w:numFmt w:val="lowerRoman"/>
      <w:lvlText w:val="%9."/>
      <w:lvlJc w:val="left"/>
      <w:pPr>
        <w:tabs>
          <w:tab w:val="num" w:pos="446"/>
        </w:tabs>
        <w:ind w:left="360" w:firstLine="86"/>
      </w:pPr>
      <w:rPr>
        <w:rFonts w:cs="Times New Roman" w:hint="default"/>
      </w:rPr>
    </w:lvl>
  </w:abstractNum>
  <w:abstractNum w:abstractNumId="38">
    <w:nsid w:val="5A832F69"/>
    <w:multiLevelType w:val="hybridMultilevel"/>
    <w:tmpl w:val="0C5C6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41">
    <w:nsid w:val="729D46C6"/>
    <w:multiLevelType w:val="multilevel"/>
    <w:tmpl w:val="475CFF34"/>
    <w:numStyleLink w:val="aaReportListBullets"/>
  </w:abstractNum>
  <w:abstractNum w:abstractNumId="42">
    <w:nsid w:val="730424CB"/>
    <w:multiLevelType w:val="multilevel"/>
    <w:tmpl w:val="145205FC"/>
    <w:numStyleLink w:val="aaReportListDash"/>
  </w:abstractNum>
  <w:abstractNum w:abstractNumId="43">
    <w:nsid w:val="75047AA4"/>
    <w:multiLevelType w:val="multilevel"/>
    <w:tmpl w:val="04090023"/>
    <w:styleLink w:val="ArticleSection"/>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44">
    <w:nsid w:val="7C343541"/>
    <w:multiLevelType w:val="multilevel"/>
    <w:tmpl w:val="30BE6EB8"/>
    <w:numStyleLink w:val="aaTOCList"/>
  </w:abstractNum>
  <w:abstractNum w:abstractNumId="45">
    <w:nsid w:val="7D0906AF"/>
    <w:multiLevelType w:val="multilevel"/>
    <w:tmpl w:val="C1127ADE"/>
    <w:numStyleLink w:val="aaHeadingnonumberList"/>
  </w:abstractNum>
  <w:abstractNum w:abstractNumId="46">
    <w:nsid w:val="7F291278"/>
    <w:multiLevelType w:val="multilevel"/>
    <w:tmpl w:val="2A9ADEF8"/>
    <w:styleLink w:val="aaReportListNumber"/>
    <w:lvl w:ilvl="0">
      <w:start w:val="1"/>
      <w:numFmt w:val="decimal"/>
      <w:lvlText w:val="%1."/>
      <w:lvlJc w:val="center"/>
      <w:pPr>
        <w:tabs>
          <w:tab w:val="num" w:pos="926"/>
        </w:tabs>
        <w:ind w:hanging="420"/>
      </w:pPr>
      <w:rPr>
        <w:rFonts w:cs="Times New Roman" w:hint="default"/>
      </w:rPr>
    </w:lvl>
    <w:lvl w:ilvl="1">
      <w:start w:val="1"/>
      <w:numFmt w:val="lowerLetter"/>
      <w:lvlText w:val="%2)"/>
      <w:lvlJc w:val="left"/>
      <w:pPr>
        <w:ind w:left="340" w:hanging="340"/>
      </w:pPr>
      <w:rPr>
        <w:rFonts w:cs="Times New Roman" w:hint="default"/>
      </w:rPr>
    </w:lvl>
    <w:lvl w:ilvl="2">
      <w:start w:val="1"/>
      <w:numFmt w:val="lowerRoman"/>
      <w:lvlText w:val="%3)"/>
      <w:lvlJc w:val="left"/>
      <w:pPr>
        <w:ind w:left="680" w:hanging="34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25"/>
  </w:num>
  <w:num w:numId="2">
    <w:abstractNumId w:val="11"/>
  </w:num>
  <w:num w:numId="3">
    <w:abstractNumId w:val="37"/>
  </w:num>
  <w:num w:numId="4">
    <w:abstractNumId w:val="3"/>
  </w:num>
  <w:num w:numId="5">
    <w:abstractNumId w:val="2"/>
  </w:num>
  <w:num w:numId="6">
    <w:abstractNumId w:val="1"/>
  </w:num>
  <w:num w:numId="7">
    <w:abstractNumId w:val="0"/>
  </w:num>
  <w:num w:numId="8">
    <w:abstractNumId w:val="24"/>
    <w:lvlOverride w:ilvl="0">
      <w:lvl w:ilvl="0">
        <w:start w:val="1"/>
        <w:numFmt w:val="upperLetter"/>
        <w:pStyle w:val="App-Heading1"/>
        <w:suff w:val="nothing"/>
        <w:lvlText w:val="%1"/>
        <w:lvlJc w:val="left"/>
        <w:pPr>
          <w:ind w:left="1080" w:hanging="1080"/>
        </w:pPr>
        <w:rPr>
          <w:rFonts w:cs="Times New Roman" w:hint="default"/>
        </w:rPr>
      </w:lvl>
    </w:lvlOverride>
  </w:num>
  <w:num w:numId="9">
    <w:abstractNumId w:val="28"/>
  </w:num>
  <w:num w:numId="10">
    <w:abstractNumId w:val="23"/>
  </w:num>
  <w:num w:numId="11">
    <w:abstractNumId w:val="21"/>
  </w:num>
  <w:num w:numId="12">
    <w:abstractNumId w:val="14"/>
  </w:num>
  <w:num w:numId="13">
    <w:abstractNumId w:val="22"/>
  </w:num>
  <w:num w:numId="14">
    <w:abstractNumId w:val="46"/>
  </w:num>
  <w:num w:numId="15">
    <w:abstractNumId w:val="17"/>
  </w:num>
  <w:num w:numId="16">
    <w:abstractNumId w:val="31"/>
  </w:num>
  <w:num w:numId="17">
    <w:abstractNumId w:val="27"/>
  </w:num>
  <w:num w:numId="18">
    <w:abstractNumId w:val="9"/>
  </w:num>
  <w:num w:numId="19">
    <w:abstractNumId w:val="8"/>
  </w:num>
  <w:num w:numId="20">
    <w:abstractNumId w:val="45"/>
  </w:num>
  <w:num w:numId="21">
    <w:abstractNumId w:val="10"/>
  </w:num>
  <w:num w:numId="22">
    <w:abstractNumId w:val="35"/>
  </w:num>
  <w:num w:numId="23">
    <w:abstractNumId w:val="29"/>
  </w:num>
  <w:num w:numId="24">
    <w:abstractNumId w:val="40"/>
  </w:num>
  <w:num w:numId="25">
    <w:abstractNumId w:val="20"/>
  </w:num>
  <w:num w:numId="26">
    <w:abstractNumId w:val="39"/>
  </w:num>
  <w:num w:numId="27">
    <w:abstractNumId w:val="12"/>
  </w:num>
  <w:num w:numId="28">
    <w:abstractNumId w:val="15"/>
  </w:num>
  <w:num w:numId="29">
    <w:abstractNumId w:val="44"/>
  </w:num>
  <w:num w:numId="30">
    <w:abstractNumId w:val="30"/>
  </w:num>
  <w:num w:numId="31">
    <w:abstractNumId w:val="43"/>
  </w:num>
  <w:num w:numId="32">
    <w:abstractNumId w:val="7"/>
  </w:num>
  <w:num w:numId="33">
    <w:abstractNumId w:val="13"/>
  </w:num>
  <w:num w:numId="34">
    <w:abstractNumId w:val="41"/>
  </w:num>
  <w:num w:numId="35">
    <w:abstractNumId w:val="42"/>
  </w:num>
  <w:num w:numId="36">
    <w:abstractNumId w:val="34"/>
  </w:num>
  <w:num w:numId="37">
    <w:abstractNumId w:val="16"/>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lvl w:ilvl="0">
        <w:start w:val="1"/>
        <w:numFmt w:val="decimal"/>
        <w:pStyle w:val="BoxListNumber"/>
        <w:lvlText w:val="%1."/>
        <w:lvlJc w:val="left"/>
        <w:pPr>
          <w:ind w:left="446" w:hanging="446"/>
        </w:pPr>
        <w:rPr>
          <w:rFonts w:ascii="Arial Narrow" w:hAnsi="Arial Narrow" w:cs="Times New Roman" w:hint="default"/>
          <w:b w:val="0"/>
          <w:sz w:val="20"/>
        </w:rPr>
      </w:lvl>
    </w:lvlOverride>
  </w:num>
  <w:num w:numId="42">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32"/>
  </w:num>
  <w:num w:numId="55">
    <w:abstractNumId w:val="6"/>
  </w:num>
  <w:num w:numId="56">
    <w:abstractNumId w:val="5"/>
  </w:num>
  <w:num w:numId="57">
    <w:abstractNumId w:val="26"/>
  </w:num>
  <w:num w:numId="58">
    <w:abstractNumId w:val="4"/>
  </w:num>
  <w:num w:numId="59">
    <w:abstractNumId w:val="36"/>
  </w:num>
  <w:num w:numId="60">
    <w:abstractNumId w:val="16"/>
  </w:num>
  <w:num w:numId="61">
    <w:abstractNumId w:val="38"/>
  </w:num>
  <w:num w:numId="62">
    <w:abstractNumId w:val="7"/>
  </w:num>
  <w:num w:numId="63">
    <w:abstractNumId w:val="7"/>
  </w:num>
  <w:num w:numId="64">
    <w:abstractNumId w:val="7"/>
  </w:num>
  <w:num w:numId="65">
    <w:abstractNumId w:val="7"/>
  </w:num>
  <w:num w:numId="66">
    <w:abstractNumId w:val="10"/>
  </w:num>
  <w:num w:numId="67">
    <w:abstractNumId w:val="3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attachedTemplate r:id="rId1"/>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48c06d01-7ec0-411f-af81-60e05d868a61"/>
  </w:docVars>
  <w:rsids>
    <w:rsidRoot w:val="0015774A"/>
    <w:rsid w:val="0000016D"/>
    <w:rsid w:val="000003FA"/>
    <w:rsid w:val="0000072F"/>
    <w:rsid w:val="00000915"/>
    <w:rsid w:val="0000163B"/>
    <w:rsid w:val="000020DC"/>
    <w:rsid w:val="000026D1"/>
    <w:rsid w:val="0000343C"/>
    <w:rsid w:val="00003692"/>
    <w:rsid w:val="0000370F"/>
    <w:rsid w:val="00003A77"/>
    <w:rsid w:val="000041D1"/>
    <w:rsid w:val="00004240"/>
    <w:rsid w:val="0000451C"/>
    <w:rsid w:val="00004A0B"/>
    <w:rsid w:val="00004DB3"/>
    <w:rsid w:val="00004F71"/>
    <w:rsid w:val="00005BEC"/>
    <w:rsid w:val="00007785"/>
    <w:rsid w:val="000077F3"/>
    <w:rsid w:val="0001032B"/>
    <w:rsid w:val="00010A6D"/>
    <w:rsid w:val="00010E69"/>
    <w:rsid w:val="00010EEC"/>
    <w:rsid w:val="0001124F"/>
    <w:rsid w:val="0001160C"/>
    <w:rsid w:val="000117A7"/>
    <w:rsid w:val="00011D89"/>
    <w:rsid w:val="00011DEE"/>
    <w:rsid w:val="000122BC"/>
    <w:rsid w:val="0001312C"/>
    <w:rsid w:val="00013472"/>
    <w:rsid w:val="000137BF"/>
    <w:rsid w:val="0001405C"/>
    <w:rsid w:val="0001425B"/>
    <w:rsid w:val="00014A77"/>
    <w:rsid w:val="00014F53"/>
    <w:rsid w:val="000153A4"/>
    <w:rsid w:val="00015522"/>
    <w:rsid w:val="0001570A"/>
    <w:rsid w:val="0001597E"/>
    <w:rsid w:val="00015A03"/>
    <w:rsid w:val="00015BA6"/>
    <w:rsid w:val="000160DC"/>
    <w:rsid w:val="0001633D"/>
    <w:rsid w:val="00016554"/>
    <w:rsid w:val="000167A3"/>
    <w:rsid w:val="00016DC1"/>
    <w:rsid w:val="0001774F"/>
    <w:rsid w:val="00017CCF"/>
    <w:rsid w:val="000203F1"/>
    <w:rsid w:val="000204BC"/>
    <w:rsid w:val="000205D7"/>
    <w:rsid w:val="00020825"/>
    <w:rsid w:val="000209F7"/>
    <w:rsid w:val="00020A97"/>
    <w:rsid w:val="00020B67"/>
    <w:rsid w:val="00021289"/>
    <w:rsid w:val="00021A04"/>
    <w:rsid w:val="00021B15"/>
    <w:rsid w:val="00021BBE"/>
    <w:rsid w:val="00021DD1"/>
    <w:rsid w:val="000234F1"/>
    <w:rsid w:val="00023554"/>
    <w:rsid w:val="0002372F"/>
    <w:rsid w:val="000238FF"/>
    <w:rsid w:val="00023C28"/>
    <w:rsid w:val="000242E9"/>
    <w:rsid w:val="00024481"/>
    <w:rsid w:val="0002476B"/>
    <w:rsid w:val="000249D2"/>
    <w:rsid w:val="00024C98"/>
    <w:rsid w:val="00024CC3"/>
    <w:rsid w:val="0002583C"/>
    <w:rsid w:val="00027663"/>
    <w:rsid w:val="00027A39"/>
    <w:rsid w:val="00030015"/>
    <w:rsid w:val="000300EE"/>
    <w:rsid w:val="00030160"/>
    <w:rsid w:val="00030424"/>
    <w:rsid w:val="00030613"/>
    <w:rsid w:val="00030FB5"/>
    <w:rsid w:val="00031E82"/>
    <w:rsid w:val="00032641"/>
    <w:rsid w:val="00034232"/>
    <w:rsid w:val="00034348"/>
    <w:rsid w:val="00034BD3"/>
    <w:rsid w:val="00035481"/>
    <w:rsid w:val="00035565"/>
    <w:rsid w:val="0003561E"/>
    <w:rsid w:val="00035F91"/>
    <w:rsid w:val="00036289"/>
    <w:rsid w:val="000363C7"/>
    <w:rsid w:val="00036497"/>
    <w:rsid w:val="00036941"/>
    <w:rsid w:val="00036FD8"/>
    <w:rsid w:val="00037862"/>
    <w:rsid w:val="000378A3"/>
    <w:rsid w:val="00037F29"/>
    <w:rsid w:val="00037F2B"/>
    <w:rsid w:val="00037F2C"/>
    <w:rsid w:val="000401D9"/>
    <w:rsid w:val="00040A42"/>
    <w:rsid w:val="000412F5"/>
    <w:rsid w:val="00041B52"/>
    <w:rsid w:val="00041C29"/>
    <w:rsid w:val="00041F2D"/>
    <w:rsid w:val="0004200D"/>
    <w:rsid w:val="00042392"/>
    <w:rsid w:val="00042403"/>
    <w:rsid w:val="00042763"/>
    <w:rsid w:val="00042C7F"/>
    <w:rsid w:val="0004300C"/>
    <w:rsid w:val="0004301C"/>
    <w:rsid w:val="000437FA"/>
    <w:rsid w:val="000443A7"/>
    <w:rsid w:val="0004538B"/>
    <w:rsid w:val="0004562B"/>
    <w:rsid w:val="00046770"/>
    <w:rsid w:val="00046AEF"/>
    <w:rsid w:val="00046DDD"/>
    <w:rsid w:val="000476DC"/>
    <w:rsid w:val="00047906"/>
    <w:rsid w:val="00047BF3"/>
    <w:rsid w:val="000506A0"/>
    <w:rsid w:val="00050A08"/>
    <w:rsid w:val="00050C51"/>
    <w:rsid w:val="00051180"/>
    <w:rsid w:val="00051299"/>
    <w:rsid w:val="0005155A"/>
    <w:rsid w:val="00051F28"/>
    <w:rsid w:val="000525F5"/>
    <w:rsid w:val="000528C5"/>
    <w:rsid w:val="00052E6F"/>
    <w:rsid w:val="00052F43"/>
    <w:rsid w:val="00053CB7"/>
    <w:rsid w:val="000547D7"/>
    <w:rsid w:val="00054B7B"/>
    <w:rsid w:val="00054EB3"/>
    <w:rsid w:val="00054FA7"/>
    <w:rsid w:val="000550B6"/>
    <w:rsid w:val="00055D37"/>
    <w:rsid w:val="00055F5C"/>
    <w:rsid w:val="00057286"/>
    <w:rsid w:val="000572D6"/>
    <w:rsid w:val="00057A2B"/>
    <w:rsid w:val="000607AE"/>
    <w:rsid w:val="00060C32"/>
    <w:rsid w:val="00060D51"/>
    <w:rsid w:val="00060E80"/>
    <w:rsid w:val="00061358"/>
    <w:rsid w:val="000615DC"/>
    <w:rsid w:val="000617A5"/>
    <w:rsid w:val="0006199B"/>
    <w:rsid w:val="00061B66"/>
    <w:rsid w:val="00061ED8"/>
    <w:rsid w:val="00062668"/>
    <w:rsid w:val="00062E27"/>
    <w:rsid w:val="000634C6"/>
    <w:rsid w:val="000639FD"/>
    <w:rsid w:val="00063FAF"/>
    <w:rsid w:val="00064313"/>
    <w:rsid w:val="00064CD8"/>
    <w:rsid w:val="00064FC7"/>
    <w:rsid w:val="000650D7"/>
    <w:rsid w:val="00065537"/>
    <w:rsid w:val="00065801"/>
    <w:rsid w:val="000659A4"/>
    <w:rsid w:val="00065BBB"/>
    <w:rsid w:val="00065E94"/>
    <w:rsid w:val="00065F7B"/>
    <w:rsid w:val="0006645F"/>
    <w:rsid w:val="00066A39"/>
    <w:rsid w:val="000671EF"/>
    <w:rsid w:val="00067716"/>
    <w:rsid w:val="00067752"/>
    <w:rsid w:val="000706B5"/>
    <w:rsid w:val="00070918"/>
    <w:rsid w:val="000715D7"/>
    <w:rsid w:val="000716C6"/>
    <w:rsid w:val="00071813"/>
    <w:rsid w:val="0007195C"/>
    <w:rsid w:val="00071BA6"/>
    <w:rsid w:val="00071C40"/>
    <w:rsid w:val="000722F4"/>
    <w:rsid w:val="0007234B"/>
    <w:rsid w:val="000729C9"/>
    <w:rsid w:val="00072C38"/>
    <w:rsid w:val="00072E82"/>
    <w:rsid w:val="00073F70"/>
    <w:rsid w:val="0007431E"/>
    <w:rsid w:val="0007443F"/>
    <w:rsid w:val="0007450A"/>
    <w:rsid w:val="00074A62"/>
    <w:rsid w:val="000757EC"/>
    <w:rsid w:val="00075B86"/>
    <w:rsid w:val="00076481"/>
    <w:rsid w:val="000764A2"/>
    <w:rsid w:val="00076673"/>
    <w:rsid w:val="000768D9"/>
    <w:rsid w:val="00076FF6"/>
    <w:rsid w:val="00077394"/>
    <w:rsid w:val="00077B0C"/>
    <w:rsid w:val="000801BF"/>
    <w:rsid w:val="000804AC"/>
    <w:rsid w:val="00081206"/>
    <w:rsid w:val="0008156C"/>
    <w:rsid w:val="000819F2"/>
    <w:rsid w:val="00081C64"/>
    <w:rsid w:val="00081E27"/>
    <w:rsid w:val="000822FE"/>
    <w:rsid w:val="0008282C"/>
    <w:rsid w:val="00082DE2"/>
    <w:rsid w:val="00083229"/>
    <w:rsid w:val="00083C7A"/>
    <w:rsid w:val="00083E01"/>
    <w:rsid w:val="00084707"/>
    <w:rsid w:val="000848F9"/>
    <w:rsid w:val="00084FE9"/>
    <w:rsid w:val="00085F77"/>
    <w:rsid w:val="00086CED"/>
    <w:rsid w:val="00086EDA"/>
    <w:rsid w:val="000905CE"/>
    <w:rsid w:val="00090683"/>
    <w:rsid w:val="000906E8"/>
    <w:rsid w:val="000907BA"/>
    <w:rsid w:val="00090C52"/>
    <w:rsid w:val="00090E9B"/>
    <w:rsid w:val="000914B1"/>
    <w:rsid w:val="0009162D"/>
    <w:rsid w:val="0009169D"/>
    <w:rsid w:val="00091B65"/>
    <w:rsid w:val="0009249F"/>
    <w:rsid w:val="00092BAA"/>
    <w:rsid w:val="0009315F"/>
    <w:rsid w:val="00093A9D"/>
    <w:rsid w:val="00093BE8"/>
    <w:rsid w:val="00093DAA"/>
    <w:rsid w:val="0009412F"/>
    <w:rsid w:val="00094162"/>
    <w:rsid w:val="000941CD"/>
    <w:rsid w:val="000942D6"/>
    <w:rsid w:val="00095431"/>
    <w:rsid w:val="00095A82"/>
    <w:rsid w:val="00095DF0"/>
    <w:rsid w:val="0009667A"/>
    <w:rsid w:val="0009682B"/>
    <w:rsid w:val="00096BD6"/>
    <w:rsid w:val="00096C1F"/>
    <w:rsid w:val="00096C56"/>
    <w:rsid w:val="00096E48"/>
    <w:rsid w:val="00096E60"/>
    <w:rsid w:val="000974BB"/>
    <w:rsid w:val="00097ADC"/>
    <w:rsid w:val="000A01CB"/>
    <w:rsid w:val="000A03EA"/>
    <w:rsid w:val="000A05D0"/>
    <w:rsid w:val="000A1101"/>
    <w:rsid w:val="000A14AD"/>
    <w:rsid w:val="000A20FE"/>
    <w:rsid w:val="000A21D8"/>
    <w:rsid w:val="000A28EB"/>
    <w:rsid w:val="000A295D"/>
    <w:rsid w:val="000A3266"/>
    <w:rsid w:val="000A3A67"/>
    <w:rsid w:val="000A3B34"/>
    <w:rsid w:val="000A4097"/>
    <w:rsid w:val="000A49A4"/>
    <w:rsid w:val="000A54A7"/>
    <w:rsid w:val="000A56BD"/>
    <w:rsid w:val="000A56D0"/>
    <w:rsid w:val="000A5A11"/>
    <w:rsid w:val="000A5A88"/>
    <w:rsid w:val="000A5EAA"/>
    <w:rsid w:val="000A66C8"/>
    <w:rsid w:val="000A6A75"/>
    <w:rsid w:val="000A6C1F"/>
    <w:rsid w:val="000A6C37"/>
    <w:rsid w:val="000A6DE4"/>
    <w:rsid w:val="000A6F8C"/>
    <w:rsid w:val="000A70E3"/>
    <w:rsid w:val="000A72F3"/>
    <w:rsid w:val="000A72FA"/>
    <w:rsid w:val="000A73C1"/>
    <w:rsid w:val="000A7AA9"/>
    <w:rsid w:val="000A7E08"/>
    <w:rsid w:val="000B062D"/>
    <w:rsid w:val="000B0809"/>
    <w:rsid w:val="000B0818"/>
    <w:rsid w:val="000B08B1"/>
    <w:rsid w:val="000B0B11"/>
    <w:rsid w:val="000B0D62"/>
    <w:rsid w:val="000B120B"/>
    <w:rsid w:val="000B1D09"/>
    <w:rsid w:val="000B203D"/>
    <w:rsid w:val="000B2A7F"/>
    <w:rsid w:val="000B3031"/>
    <w:rsid w:val="000B32AA"/>
    <w:rsid w:val="000B3A3C"/>
    <w:rsid w:val="000B3A93"/>
    <w:rsid w:val="000B3B0D"/>
    <w:rsid w:val="000B3B11"/>
    <w:rsid w:val="000B3BDF"/>
    <w:rsid w:val="000B41B9"/>
    <w:rsid w:val="000B479B"/>
    <w:rsid w:val="000B4ADB"/>
    <w:rsid w:val="000B4C8F"/>
    <w:rsid w:val="000B4E2A"/>
    <w:rsid w:val="000B5177"/>
    <w:rsid w:val="000B581E"/>
    <w:rsid w:val="000B5F5C"/>
    <w:rsid w:val="000B6604"/>
    <w:rsid w:val="000B69A6"/>
    <w:rsid w:val="000B6A4F"/>
    <w:rsid w:val="000B6A5A"/>
    <w:rsid w:val="000B6BCD"/>
    <w:rsid w:val="000B7498"/>
    <w:rsid w:val="000B7682"/>
    <w:rsid w:val="000B7907"/>
    <w:rsid w:val="000B7E9A"/>
    <w:rsid w:val="000C00F2"/>
    <w:rsid w:val="000C0142"/>
    <w:rsid w:val="000C0856"/>
    <w:rsid w:val="000C0C8F"/>
    <w:rsid w:val="000C1D03"/>
    <w:rsid w:val="000C1D6D"/>
    <w:rsid w:val="000C1E43"/>
    <w:rsid w:val="000C24B3"/>
    <w:rsid w:val="000C2592"/>
    <w:rsid w:val="000C264C"/>
    <w:rsid w:val="000C26E3"/>
    <w:rsid w:val="000C2DDD"/>
    <w:rsid w:val="000C2F26"/>
    <w:rsid w:val="000C2F57"/>
    <w:rsid w:val="000C38B6"/>
    <w:rsid w:val="000C38D6"/>
    <w:rsid w:val="000C3AD9"/>
    <w:rsid w:val="000C3B96"/>
    <w:rsid w:val="000C41C9"/>
    <w:rsid w:val="000C4897"/>
    <w:rsid w:val="000C498F"/>
    <w:rsid w:val="000C4E9C"/>
    <w:rsid w:val="000C5605"/>
    <w:rsid w:val="000C5986"/>
    <w:rsid w:val="000C603C"/>
    <w:rsid w:val="000C606F"/>
    <w:rsid w:val="000C675D"/>
    <w:rsid w:val="000C69F2"/>
    <w:rsid w:val="000C6A73"/>
    <w:rsid w:val="000C709A"/>
    <w:rsid w:val="000C7239"/>
    <w:rsid w:val="000C76DA"/>
    <w:rsid w:val="000D0520"/>
    <w:rsid w:val="000D06A9"/>
    <w:rsid w:val="000D219B"/>
    <w:rsid w:val="000D268F"/>
    <w:rsid w:val="000D295B"/>
    <w:rsid w:val="000D2C75"/>
    <w:rsid w:val="000D3482"/>
    <w:rsid w:val="000D3496"/>
    <w:rsid w:val="000D3EC6"/>
    <w:rsid w:val="000D4260"/>
    <w:rsid w:val="000D47A1"/>
    <w:rsid w:val="000D5029"/>
    <w:rsid w:val="000D5594"/>
    <w:rsid w:val="000D576C"/>
    <w:rsid w:val="000D58A1"/>
    <w:rsid w:val="000D59AB"/>
    <w:rsid w:val="000D5E30"/>
    <w:rsid w:val="000D60CB"/>
    <w:rsid w:val="000D66CC"/>
    <w:rsid w:val="000D6B53"/>
    <w:rsid w:val="000D6D58"/>
    <w:rsid w:val="000D6FF8"/>
    <w:rsid w:val="000D7274"/>
    <w:rsid w:val="000D74E4"/>
    <w:rsid w:val="000D761F"/>
    <w:rsid w:val="000D7648"/>
    <w:rsid w:val="000D7D79"/>
    <w:rsid w:val="000D7E01"/>
    <w:rsid w:val="000D7F20"/>
    <w:rsid w:val="000E1B89"/>
    <w:rsid w:val="000E22A3"/>
    <w:rsid w:val="000E28CD"/>
    <w:rsid w:val="000E2B05"/>
    <w:rsid w:val="000E2B37"/>
    <w:rsid w:val="000E2CE0"/>
    <w:rsid w:val="000E2DE5"/>
    <w:rsid w:val="000E3153"/>
    <w:rsid w:val="000E33A9"/>
    <w:rsid w:val="000E34A7"/>
    <w:rsid w:val="000E3668"/>
    <w:rsid w:val="000E3BC7"/>
    <w:rsid w:val="000E3E89"/>
    <w:rsid w:val="000E42D6"/>
    <w:rsid w:val="000E4785"/>
    <w:rsid w:val="000E484D"/>
    <w:rsid w:val="000E5028"/>
    <w:rsid w:val="000E51A4"/>
    <w:rsid w:val="000E57C6"/>
    <w:rsid w:val="000E5BBC"/>
    <w:rsid w:val="000E5CC4"/>
    <w:rsid w:val="000E5E03"/>
    <w:rsid w:val="000E61A8"/>
    <w:rsid w:val="000E68D2"/>
    <w:rsid w:val="000E7069"/>
    <w:rsid w:val="000E7220"/>
    <w:rsid w:val="000E73DE"/>
    <w:rsid w:val="000E7823"/>
    <w:rsid w:val="000E7EC8"/>
    <w:rsid w:val="000F0032"/>
    <w:rsid w:val="000F02E7"/>
    <w:rsid w:val="000F0465"/>
    <w:rsid w:val="000F053E"/>
    <w:rsid w:val="000F0593"/>
    <w:rsid w:val="000F0FB6"/>
    <w:rsid w:val="000F1208"/>
    <w:rsid w:val="000F121E"/>
    <w:rsid w:val="000F1B47"/>
    <w:rsid w:val="000F2200"/>
    <w:rsid w:val="000F2248"/>
    <w:rsid w:val="000F2692"/>
    <w:rsid w:val="000F27C5"/>
    <w:rsid w:val="000F2D22"/>
    <w:rsid w:val="000F375F"/>
    <w:rsid w:val="000F3831"/>
    <w:rsid w:val="000F3E18"/>
    <w:rsid w:val="000F428E"/>
    <w:rsid w:val="000F42DA"/>
    <w:rsid w:val="000F4359"/>
    <w:rsid w:val="000F452B"/>
    <w:rsid w:val="000F45B2"/>
    <w:rsid w:val="000F477D"/>
    <w:rsid w:val="000F5488"/>
    <w:rsid w:val="000F54F0"/>
    <w:rsid w:val="000F5AAB"/>
    <w:rsid w:val="000F5C5E"/>
    <w:rsid w:val="000F5DE8"/>
    <w:rsid w:val="000F5EB6"/>
    <w:rsid w:val="000F6322"/>
    <w:rsid w:val="000F648F"/>
    <w:rsid w:val="000F64FF"/>
    <w:rsid w:val="000F7205"/>
    <w:rsid w:val="00100047"/>
    <w:rsid w:val="0010038E"/>
    <w:rsid w:val="00100EB0"/>
    <w:rsid w:val="00100EEE"/>
    <w:rsid w:val="0010123A"/>
    <w:rsid w:val="001014EA"/>
    <w:rsid w:val="0010181C"/>
    <w:rsid w:val="00101BFE"/>
    <w:rsid w:val="00102361"/>
    <w:rsid w:val="001025F4"/>
    <w:rsid w:val="001031C2"/>
    <w:rsid w:val="00103DEB"/>
    <w:rsid w:val="001040F1"/>
    <w:rsid w:val="00105662"/>
    <w:rsid w:val="00105CED"/>
    <w:rsid w:val="001061FA"/>
    <w:rsid w:val="00106346"/>
    <w:rsid w:val="00106822"/>
    <w:rsid w:val="00106A58"/>
    <w:rsid w:val="00106E7C"/>
    <w:rsid w:val="00107585"/>
    <w:rsid w:val="001075DB"/>
    <w:rsid w:val="00107614"/>
    <w:rsid w:val="00107CD7"/>
    <w:rsid w:val="00107EBA"/>
    <w:rsid w:val="001100D3"/>
    <w:rsid w:val="00111090"/>
    <w:rsid w:val="001112F5"/>
    <w:rsid w:val="00111A71"/>
    <w:rsid w:val="00111C88"/>
    <w:rsid w:val="001123E7"/>
    <w:rsid w:val="00112A55"/>
    <w:rsid w:val="00112B80"/>
    <w:rsid w:val="0011337A"/>
    <w:rsid w:val="001139EA"/>
    <w:rsid w:val="00113B9A"/>
    <w:rsid w:val="00113BB1"/>
    <w:rsid w:val="00113D65"/>
    <w:rsid w:val="001141B8"/>
    <w:rsid w:val="00114344"/>
    <w:rsid w:val="001161ED"/>
    <w:rsid w:val="00116243"/>
    <w:rsid w:val="001162CD"/>
    <w:rsid w:val="00117074"/>
    <w:rsid w:val="001170FB"/>
    <w:rsid w:val="00117101"/>
    <w:rsid w:val="001175E2"/>
    <w:rsid w:val="0011780C"/>
    <w:rsid w:val="001200DB"/>
    <w:rsid w:val="00120171"/>
    <w:rsid w:val="001203B8"/>
    <w:rsid w:val="00120E58"/>
    <w:rsid w:val="00120EE9"/>
    <w:rsid w:val="00120F55"/>
    <w:rsid w:val="001213C5"/>
    <w:rsid w:val="001217A0"/>
    <w:rsid w:val="001219A7"/>
    <w:rsid w:val="00121E37"/>
    <w:rsid w:val="00122229"/>
    <w:rsid w:val="001228BF"/>
    <w:rsid w:val="00122AA8"/>
    <w:rsid w:val="00122E34"/>
    <w:rsid w:val="00123816"/>
    <w:rsid w:val="00123907"/>
    <w:rsid w:val="00123C33"/>
    <w:rsid w:val="00123C34"/>
    <w:rsid w:val="001241AD"/>
    <w:rsid w:val="00124248"/>
    <w:rsid w:val="0012459F"/>
    <w:rsid w:val="00124659"/>
    <w:rsid w:val="001246F8"/>
    <w:rsid w:val="00124C37"/>
    <w:rsid w:val="00124C3C"/>
    <w:rsid w:val="00125681"/>
    <w:rsid w:val="001259BB"/>
    <w:rsid w:val="0012631F"/>
    <w:rsid w:val="00126859"/>
    <w:rsid w:val="00126CBD"/>
    <w:rsid w:val="001270E6"/>
    <w:rsid w:val="001277F0"/>
    <w:rsid w:val="00127822"/>
    <w:rsid w:val="00127F54"/>
    <w:rsid w:val="00130135"/>
    <w:rsid w:val="00131319"/>
    <w:rsid w:val="001317DA"/>
    <w:rsid w:val="001319D2"/>
    <w:rsid w:val="00132876"/>
    <w:rsid w:val="00132880"/>
    <w:rsid w:val="0013329C"/>
    <w:rsid w:val="00133819"/>
    <w:rsid w:val="001341C2"/>
    <w:rsid w:val="00134334"/>
    <w:rsid w:val="001345FF"/>
    <w:rsid w:val="00134B9D"/>
    <w:rsid w:val="00134F26"/>
    <w:rsid w:val="0013540C"/>
    <w:rsid w:val="00135E5A"/>
    <w:rsid w:val="00136700"/>
    <w:rsid w:val="00137274"/>
    <w:rsid w:val="0013764F"/>
    <w:rsid w:val="00137899"/>
    <w:rsid w:val="00137FCD"/>
    <w:rsid w:val="00140190"/>
    <w:rsid w:val="0014019A"/>
    <w:rsid w:val="001401FE"/>
    <w:rsid w:val="001404E1"/>
    <w:rsid w:val="00140B4F"/>
    <w:rsid w:val="00140FED"/>
    <w:rsid w:val="00140FEE"/>
    <w:rsid w:val="0014128E"/>
    <w:rsid w:val="001416DC"/>
    <w:rsid w:val="0014197B"/>
    <w:rsid w:val="00141CAC"/>
    <w:rsid w:val="00142237"/>
    <w:rsid w:val="001431AD"/>
    <w:rsid w:val="00143CCE"/>
    <w:rsid w:val="00143D6D"/>
    <w:rsid w:val="00143F29"/>
    <w:rsid w:val="001440E5"/>
    <w:rsid w:val="00144128"/>
    <w:rsid w:val="0014453E"/>
    <w:rsid w:val="00145546"/>
    <w:rsid w:val="001458FD"/>
    <w:rsid w:val="00145B40"/>
    <w:rsid w:val="00146251"/>
    <w:rsid w:val="001464AF"/>
    <w:rsid w:val="00147126"/>
    <w:rsid w:val="0014735E"/>
    <w:rsid w:val="0014742E"/>
    <w:rsid w:val="00147784"/>
    <w:rsid w:val="00147B3C"/>
    <w:rsid w:val="00147B7A"/>
    <w:rsid w:val="00150274"/>
    <w:rsid w:val="0015051D"/>
    <w:rsid w:val="00150550"/>
    <w:rsid w:val="00150801"/>
    <w:rsid w:val="00150E2C"/>
    <w:rsid w:val="00150E4F"/>
    <w:rsid w:val="001512EB"/>
    <w:rsid w:val="00151AC4"/>
    <w:rsid w:val="00151B49"/>
    <w:rsid w:val="00151E05"/>
    <w:rsid w:val="0015216D"/>
    <w:rsid w:val="001521B6"/>
    <w:rsid w:val="00152229"/>
    <w:rsid w:val="001527AA"/>
    <w:rsid w:val="00152CCE"/>
    <w:rsid w:val="00153571"/>
    <w:rsid w:val="0015367D"/>
    <w:rsid w:val="00154CBB"/>
    <w:rsid w:val="00154FFC"/>
    <w:rsid w:val="001555D6"/>
    <w:rsid w:val="00155D76"/>
    <w:rsid w:val="00155DA6"/>
    <w:rsid w:val="00156034"/>
    <w:rsid w:val="00156327"/>
    <w:rsid w:val="0015666E"/>
    <w:rsid w:val="001568FA"/>
    <w:rsid w:val="00156D54"/>
    <w:rsid w:val="0015717C"/>
    <w:rsid w:val="001571D1"/>
    <w:rsid w:val="0015770D"/>
    <w:rsid w:val="0015774A"/>
    <w:rsid w:val="00160065"/>
    <w:rsid w:val="00160289"/>
    <w:rsid w:val="001602F1"/>
    <w:rsid w:val="001605B6"/>
    <w:rsid w:val="00160ABC"/>
    <w:rsid w:val="00160D9D"/>
    <w:rsid w:val="001612B0"/>
    <w:rsid w:val="00161BFF"/>
    <w:rsid w:val="00161CB2"/>
    <w:rsid w:val="0016213C"/>
    <w:rsid w:val="00162774"/>
    <w:rsid w:val="00162E68"/>
    <w:rsid w:val="00162E69"/>
    <w:rsid w:val="00164828"/>
    <w:rsid w:val="001650BE"/>
    <w:rsid w:val="001651A4"/>
    <w:rsid w:val="0016594A"/>
    <w:rsid w:val="00165D29"/>
    <w:rsid w:val="00165EAE"/>
    <w:rsid w:val="001661E3"/>
    <w:rsid w:val="001668E6"/>
    <w:rsid w:val="00166A6D"/>
    <w:rsid w:val="00166FE6"/>
    <w:rsid w:val="0016714B"/>
    <w:rsid w:val="00167BBD"/>
    <w:rsid w:val="00167C22"/>
    <w:rsid w:val="00170383"/>
    <w:rsid w:val="00170588"/>
    <w:rsid w:val="001705BD"/>
    <w:rsid w:val="001708D5"/>
    <w:rsid w:val="00170977"/>
    <w:rsid w:val="00170E23"/>
    <w:rsid w:val="00170E99"/>
    <w:rsid w:val="001714C7"/>
    <w:rsid w:val="0017154D"/>
    <w:rsid w:val="001717F6"/>
    <w:rsid w:val="00171B32"/>
    <w:rsid w:val="00171EA3"/>
    <w:rsid w:val="00171EF7"/>
    <w:rsid w:val="001732B2"/>
    <w:rsid w:val="0017339A"/>
    <w:rsid w:val="001736AA"/>
    <w:rsid w:val="00173C15"/>
    <w:rsid w:val="00173C5F"/>
    <w:rsid w:val="00174A83"/>
    <w:rsid w:val="00174FAD"/>
    <w:rsid w:val="001752C1"/>
    <w:rsid w:val="00175802"/>
    <w:rsid w:val="00175BD1"/>
    <w:rsid w:val="00176522"/>
    <w:rsid w:val="00176B29"/>
    <w:rsid w:val="00176DE8"/>
    <w:rsid w:val="0017713B"/>
    <w:rsid w:val="0017726F"/>
    <w:rsid w:val="001777CE"/>
    <w:rsid w:val="00177926"/>
    <w:rsid w:val="00177BC8"/>
    <w:rsid w:val="00177FD5"/>
    <w:rsid w:val="00180903"/>
    <w:rsid w:val="00180A13"/>
    <w:rsid w:val="001810BD"/>
    <w:rsid w:val="001813C6"/>
    <w:rsid w:val="0018170C"/>
    <w:rsid w:val="00181730"/>
    <w:rsid w:val="0018239A"/>
    <w:rsid w:val="00182545"/>
    <w:rsid w:val="0018259B"/>
    <w:rsid w:val="001827BF"/>
    <w:rsid w:val="001828AB"/>
    <w:rsid w:val="00182BAE"/>
    <w:rsid w:val="00182BDB"/>
    <w:rsid w:val="00182D0C"/>
    <w:rsid w:val="0018328F"/>
    <w:rsid w:val="001837E7"/>
    <w:rsid w:val="00183A4E"/>
    <w:rsid w:val="00183BB2"/>
    <w:rsid w:val="00183C93"/>
    <w:rsid w:val="00183CD1"/>
    <w:rsid w:val="00183E6A"/>
    <w:rsid w:val="001841DF"/>
    <w:rsid w:val="001842C0"/>
    <w:rsid w:val="00185145"/>
    <w:rsid w:val="001856A5"/>
    <w:rsid w:val="00185A2F"/>
    <w:rsid w:val="00185BC5"/>
    <w:rsid w:val="00186650"/>
    <w:rsid w:val="00186D5D"/>
    <w:rsid w:val="00186F81"/>
    <w:rsid w:val="00187C2B"/>
    <w:rsid w:val="0019005B"/>
    <w:rsid w:val="001905AF"/>
    <w:rsid w:val="001908E0"/>
    <w:rsid w:val="00190F2F"/>
    <w:rsid w:val="00191005"/>
    <w:rsid w:val="00191977"/>
    <w:rsid w:val="00193924"/>
    <w:rsid w:val="00193CEB"/>
    <w:rsid w:val="00193E65"/>
    <w:rsid w:val="00194171"/>
    <w:rsid w:val="0019489E"/>
    <w:rsid w:val="00194926"/>
    <w:rsid w:val="001949B8"/>
    <w:rsid w:val="00195042"/>
    <w:rsid w:val="00195E21"/>
    <w:rsid w:val="001961A9"/>
    <w:rsid w:val="0019658E"/>
    <w:rsid w:val="001967FC"/>
    <w:rsid w:val="00196F58"/>
    <w:rsid w:val="00197065"/>
    <w:rsid w:val="00197126"/>
    <w:rsid w:val="001977F8"/>
    <w:rsid w:val="00197872"/>
    <w:rsid w:val="001979E7"/>
    <w:rsid w:val="00197C08"/>
    <w:rsid w:val="00197D23"/>
    <w:rsid w:val="00197DD2"/>
    <w:rsid w:val="001A0430"/>
    <w:rsid w:val="001A0665"/>
    <w:rsid w:val="001A079C"/>
    <w:rsid w:val="001A1269"/>
    <w:rsid w:val="001A15D5"/>
    <w:rsid w:val="001A15DA"/>
    <w:rsid w:val="001A171D"/>
    <w:rsid w:val="001A1D04"/>
    <w:rsid w:val="001A2D12"/>
    <w:rsid w:val="001A2D82"/>
    <w:rsid w:val="001A2F0E"/>
    <w:rsid w:val="001A2F85"/>
    <w:rsid w:val="001A3354"/>
    <w:rsid w:val="001A3AE4"/>
    <w:rsid w:val="001A4127"/>
    <w:rsid w:val="001A4349"/>
    <w:rsid w:val="001A57C2"/>
    <w:rsid w:val="001A5941"/>
    <w:rsid w:val="001A5FC3"/>
    <w:rsid w:val="001A606C"/>
    <w:rsid w:val="001A6605"/>
    <w:rsid w:val="001A6FBB"/>
    <w:rsid w:val="001A78B4"/>
    <w:rsid w:val="001A7B73"/>
    <w:rsid w:val="001A7D30"/>
    <w:rsid w:val="001B04C9"/>
    <w:rsid w:val="001B14B4"/>
    <w:rsid w:val="001B1B58"/>
    <w:rsid w:val="001B2702"/>
    <w:rsid w:val="001B2703"/>
    <w:rsid w:val="001B2897"/>
    <w:rsid w:val="001B35CE"/>
    <w:rsid w:val="001B3BFE"/>
    <w:rsid w:val="001B3F0A"/>
    <w:rsid w:val="001B4801"/>
    <w:rsid w:val="001B51DD"/>
    <w:rsid w:val="001B5742"/>
    <w:rsid w:val="001B599D"/>
    <w:rsid w:val="001B5DFE"/>
    <w:rsid w:val="001B606B"/>
    <w:rsid w:val="001B686B"/>
    <w:rsid w:val="001B68C5"/>
    <w:rsid w:val="001B6B46"/>
    <w:rsid w:val="001B6E19"/>
    <w:rsid w:val="001B786C"/>
    <w:rsid w:val="001B7A2C"/>
    <w:rsid w:val="001B7EC4"/>
    <w:rsid w:val="001C0301"/>
    <w:rsid w:val="001C0769"/>
    <w:rsid w:val="001C0E48"/>
    <w:rsid w:val="001C10D3"/>
    <w:rsid w:val="001C1B18"/>
    <w:rsid w:val="001C1C60"/>
    <w:rsid w:val="001C200E"/>
    <w:rsid w:val="001C2B88"/>
    <w:rsid w:val="001C2C43"/>
    <w:rsid w:val="001C2F70"/>
    <w:rsid w:val="001C2F8F"/>
    <w:rsid w:val="001C3621"/>
    <w:rsid w:val="001C3EEC"/>
    <w:rsid w:val="001C41D0"/>
    <w:rsid w:val="001C4C9E"/>
    <w:rsid w:val="001C4E5B"/>
    <w:rsid w:val="001C503F"/>
    <w:rsid w:val="001C5235"/>
    <w:rsid w:val="001C6804"/>
    <w:rsid w:val="001C700E"/>
    <w:rsid w:val="001C7E0A"/>
    <w:rsid w:val="001D0035"/>
    <w:rsid w:val="001D024C"/>
    <w:rsid w:val="001D033F"/>
    <w:rsid w:val="001D04A5"/>
    <w:rsid w:val="001D0955"/>
    <w:rsid w:val="001D0AE7"/>
    <w:rsid w:val="001D1140"/>
    <w:rsid w:val="001D134A"/>
    <w:rsid w:val="001D2687"/>
    <w:rsid w:val="001D27C8"/>
    <w:rsid w:val="001D280E"/>
    <w:rsid w:val="001D28B0"/>
    <w:rsid w:val="001D3B52"/>
    <w:rsid w:val="001D3C3B"/>
    <w:rsid w:val="001D3E12"/>
    <w:rsid w:val="001D4716"/>
    <w:rsid w:val="001D4F98"/>
    <w:rsid w:val="001D528B"/>
    <w:rsid w:val="001D5882"/>
    <w:rsid w:val="001D5A53"/>
    <w:rsid w:val="001D5F9D"/>
    <w:rsid w:val="001D61BE"/>
    <w:rsid w:val="001D6229"/>
    <w:rsid w:val="001D7350"/>
    <w:rsid w:val="001E029A"/>
    <w:rsid w:val="001E04E5"/>
    <w:rsid w:val="001E096E"/>
    <w:rsid w:val="001E0AD8"/>
    <w:rsid w:val="001E0BB4"/>
    <w:rsid w:val="001E0BF5"/>
    <w:rsid w:val="001E11BA"/>
    <w:rsid w:val="001E18E5"/>
    <w:rsid w:val="001E1AC8"/>
    <w:rsid w:val="001E20D7"/>
    <w:rsid w:val="001E2628"/>
    <w:rsid w:val="001E2935"/>
    <w:rsid w:val="001E2BA5"/>
    <w:rsid w:val="001E2D3F"/>
    <w:rsid w:val="001E32CC"/>
    <w:rsid w:val="001E384E"/>
    <w:rsid w:val="001E39F5"/>
    <w:rsid w:val="001E3CCA"/>
    <w:rsid w:val="001E419C"/>
    <w:rsid w:val="001E4A25"/>
    <w:rsid w:val="001E4C2F"/>
    <w:rsid w:val="001E50B0"/>
    <w:rsid w:val="001E55A1"/>
    <w:rsid w:val="001E60A9"/>
    <w:rsid w:val="001E625A"/>
    <w:rsid w:val="001E6423"/>
    <w:rsid w:val="001E67CC"/>
    <w:rsid w:val="001E6BFC"/>
    <w:rsid w:val="001E6EB5"/>
    <w:rsid w:val="001E74EC"/>
    <w:rsid w:val="001E7AA0"/>
    <w:rsid w:val="001F02D7"/>
    <w:rsid w:val="001F0349"/>
    <w:rsid w:val="001F0B82"/>
    <w:rsid w:val="001F0DFF"/>
    <w:rsid w:val="001F0F7B"/>
    <w:rsid w:val="001F1923"/>
    <w:rsid w:val="001F1F72"/>
    <w:rsid w:val="001F2033"/>
    <w:rsid w:val="001F20A2"/>
    <w:rsid w:val="001F218B"/>
    <w:rsid w:val="001F2450"/>
    <w:rsid w:val="001F2992"/>
    <w:rsid w:val="001F2B61"/>
    <w:rsid w:val="001F2CB5"/>
    <w:rsid w:val="001F31CC"/>
    <w:rsid w:val="001F3497"/>
    <w:rsid w:val="001F367E"/>
    <w:rsid w:val="001F39D3"/>
    <w:rsid w:val="001F3CC5"/>
    <w:rsid w:val="001F3D4F"/>
    <w:rsid w:val="001F3F79"/>
    <w:rsid w:val="001F4B42"/>
    <w:rsid w:val="001F5057"/>
    <w:rsid w:val="001F5576"/>
    <w:rsid w:val="001F571D"/>
    <w:rsid w:val="001F5BE5"/>
    <w:rsid w:val="001F7026"/>
    <w:rsid w:val="001F7CB9"/>
    <w:rsid w:val="001F7F6E"/>
    <w:rsid w:val="00200509"/>
    <w:rsid w:val="002011F7"/>
    <w:rsid w:val="002014E8"/>
    <w:rsid w:val="00201AAA"/>
    <w:rsid w:val="00201EB1"/>
    <w:rsid w:val="002020D4"/>
    <w:rsid w:val="002025F6"/>
    <w:rsid w:val="0020278F"/>
    <w:rsid w:val="00202B69"/>
    <w:rsid w:val="00202C38"/>
    <w:rsid w:val="00203FC6"/>
    <w:rsid w:val="00203FF6"/>
    <w:rsid w:val="002042C0"/>
    <w:rsid w:val="00204BE8"/>
    <w:rsid w:val="00204D8D"/>
    <w:rsid w:val="00204DC4"/>
    <w:rsid w:val="00205C74"/>
    <w:rsid w:val="002064BF"/>
    <w:rsid w:val="002064FF"/>
    <w:rsid w:val="00206950"/>
    <w:rsid w:val="002071D3"/>
    <w:rsid w:val="0020761F"/>
    <w:rsid w:val="00207DC4"/>
    <w:rsid w:val="00207FFE"/>
    <w:rsid w:val="00210A30"/>
    <w:rsid w:val="002112FE"/>
    <w:rsid w:val="002114ED"/>
    <w:rsid w:val="00211808"/>
    <w:rsid w:val="002118D4"/>
    <w:rsid w:val="002120B8"/>
    <w:rsid w:val="002121E8"/>
    <w:rsid w:val="00212233"/>
    <w:rsid w:val="0021239E"/>
    <w:rsid w:val="00212B4E"/>
    <w:rsid w:val="00212C1F"/>
    <w:rsid w:val="00213093"/>
    <w:rsid w:val="0021371E"/>
    <w:rsid w:val="00214773"/>
    <w:rsid w:val="00214BD5"/>
    <w:rsid w:val="00215130"/>
    <w:rsid w:val="0021557C"/>
    <w:rsid w:val="00215796"/>
    <w:rsid w:val="00215836"/>
    <w:rsid w:val="0021596B"/>
    <w:rsid w:val="002164C7"/>
    <w:rsid w:val="00217035"/>
    <w:rsid w:val="00217283"/>
    <w:rsid w:val="002179F6"/>
    <w:rsid w:val="002200B0"/>
    <w:rsid w:val="00221AA9"/>
    <w:rsid w:val="00221ACF"/>
    <w:rsid w:val="00221B77"/>
    <w:rsid w:val="00221FD1"/>
    <w:rsid w:val="00222190"/>
    <w:rsid w:val="0022286A"/>
    <w:rsid w:val="0022291C"/>
    <w:rsid w:val="002229D9"/>
    <w:rsid w:val="00223036"/>
    <w:rsid w:val="00223307"/>
    <w:rsid w:val="00223516"/>
    <w:rsid w:val="00223883"/>
    <w:rsid w:val="00224077"/>
    <w:rsid w:val="00224100"/>
    <w:rsid w:val="0022638B"/>
    <w:rsid w:val="002269CF"/>
    <w:rsid w:val="00227352"/>
    <w:rsid w:val="00227846"/>
    <w:rsid w:val="00227E8B"/>
    <w:rsid w:val="002300BC"/>
    <w:rsid w:val="0023054E"/>
    <w:rsid w:val="00231458"/>
    <w:rsid w:val="0023156D"/>
    <w:rsid w:val="00231A31"/>
    <w:rsid w:val="00231D39"/>
    <w:rsid w:val="002321BE"/>
    <w:rsid w:val="00232290"/>
    <w:rsid w:val="00232674"/>
    <w:rsid w:val="00232913"/>
    <w:rsid w:val="00232B16"/>
    <w:rsid w:val="00232BC3"/>
    <w:rsid w:val="0023338E"/>
    <w:rsid w:val="00233AE0"/>
    <w:rsid w:val="00233D2F"/>
    <w:rsid w:val="00233EC6"/>
    <w:rsid w:val="0023417B"/>
    <w:rsid w:val="00234613"/>
    <w:rsid w:val="00234630"/>
    <w:rsid w:val="00234D2D"/>
    <w:rsid w:val="00235E79"/>
    <w:rsid w:val="0023681D"/>
    <w:rsid w:val="00236825"/>
    <w:rsid w:val="00236EB1"/>
    <w:rsid w:val="0023706F"/>
    <w:rsid w:val="002371AC"/>
    <w:rsid w:val="00237276"/>
    <w:rsid w:val="0023774C"/>
    <w:rsid w:val="002377DD"/>
    <w:rsid w:val="002377F5"/>
    <w:rsid w:val="00237BA8"/>
    <w:rsid w:val="00240135"/>
    <w:rsid w:val="00240C4B"/>
    <w:rsid w:val="00240EA1"/>
    <w:rsid w:val="00240FE0"/>
    <w:rsid w:val="00241151"/>
    <w:rsid w:val="00241186"/>
    <w:rsid w:val="002412A2"/>
    <w:rsid w:val="00241A5F"/>
    <w:rsid w:val="00241CF5"/>
    <w:rsid w:val="002428AB"/>
    <w:rsid w:val="0024291D"/>
    <w:rsid w:val="0024377D"/>
    <w:rsid w:val="0024398F"/>
    <w:rsid w:val="00243B96"/>
    <w:rsid w:val="00243EE2"/>
    <w:rsid w:val="0024400B"/>
    <w:rsid w:val="00244523"/>
    <w:rsid w:val="002448CB"/>
    <w:rsid w:val="00244B96"/>
    <w:rsid w:val="002452FB"/>
    <w:rsid w:val="00245519"/>
    <w:rsid w:val="002455DC"/>
    <w:rsid w:val="00245C7E"/>
    <w:rsid w:val="00245DB3"/>
    <w:rsid w:val="00246FC4"/>
    <w:rsid w:val="0024706B"/>
    <w:rsid w:val="00247B47"/>
    <w:rsid w:val="002502E6"/>
    <w:rsid w:val="002503DC"/>
    <w:rsid w:val="00250AE6"/>
    <w:rsid w:val="00250B34"/>
    <w:rsid w:val="00250E2F"/>
    <w:rsid w:val="00250EE5"/>
    <w:rsid w:val="002511AC"/>
    <w:rsid w:val="0025146F"/>
    <w:rsid w:val="00251EE4"/>
    <w:rsid w:val="00251FFE"/>
    <w:rsid w:val="0025238B"/>
    <w:rsid w:val="00252874"/>
    <w:rsid w:val="002528DF"/>
    <w:rsid w:val="00252BF1"/>
    <w:rsid w:val="00252CAA"/>
    <w:rsid w:val="00252FD1"/>
    <w:rsid w:val="002534A2"/>
    <w:rsid w:val="00253509"/>
    <w:rsid w:val="002536C6"/>
    <w:rsid w:val="00253978"/>
    <w:rsid w:val="00253AAC"/>
    <w:rsid w:val="00253EDE"/>
    <w:rsid w:val="00253F38"/>
    <w:rsid w:val="002542D9"/>
    <w:rsid w:val="00254637"/>
    <w:rsid w:val="00254814"/>
    <w:rsid w:val="00255A10"/>
    <w:rsid w:val="00255B2E"/>
    <w:rsid w:val="00255E9D"/>
    <w:rsid w:val="00255F15"/>
    <w:rsid w:val="00256B1A"/>
    <w:rsid w:val="00257371"/>
    <w:rsid w:val="002575DD"/>
    <w:rsid w:val="0025780A"/>
    <w:rsid w:val="00257828"/>
    <w:rsid w:val="0026025D"/>
    <w:rsid w:val="00260F8A"/>
    <w:rsid w:val="00261104"/>
    <w:rsid w:val="00261530"/>
    <w:rsid w:val="00261711"/>
    <w:rsid w:val="00261C77"/>
    <w:rsid w:val="00261F72"/>
    <w:rsid w:val="00262023"/>
    <w:rsid w:val="0026207C"/>
    <w:rsid w:val="00262366"/>
    <w:rsid w:val="002625B6"/>
    <w:rsid w:val="00262CB7"/>
    <w:rsid w:val="0026306A"/>
    <w:rsid w:val="002631E9"/>
    <w:rsid w:val="00263F92"/>
    <w:rsid w:val="002643DC"/>
    <w:rsid w:val="00264FC0"/>
    <w:rsid w:val="00265424"/>
    <w:rsid w:val="00265617"/>
    <w:rsid w:val="00265B24"/>
    <w:rsid w:val="00265BA3"/>
    <w:rsid w:val="00265E9B"/>
    <w:rsid w:val="002660B8"/>
    <w:rsid w:val="00266802"/>
    <w:rsid w:val="00266848"/>
    <w:rsid w:val="00266930"/>
    <w:rsid w:val="00266E52"/>
    <w:rsid w:val="00266E5D"/>
    <w:rsid w:val="002676C2"/>
    <w:rsid w:val="002677D9"/>
    <w:rsid w:val="00267881"/>
    <w:rsid w:val="00270464"/>
    <w:rsid w:val="0027071B"/>
    <w:rsid w:val="00270A04"/>
    <w:rsid w:val="00270C67"/>
    <w:rsid w:val="00271CEC"/>
    <w:rsid w:val="0027283A"/>
    <w:rsid w:val="00272A8A"/>
    <w:rsid w:val="00272CA4"/>
    <w:rsid w:val="00273253"/>
    <w:rsid w:val="00273502"/>
    <w:rsid w:val="002735AD"/>
    <w:rsid w:val="00273E1E"/>
    <w:rsid w:val="002745DC"/>
    <w:rsid w:val="0027462E"/>
    <w:rsid w:val="0027479D"/>
    <w:rsid w:val="00274D49"/>
    <w:rsid w:val="00274D60"/>
    <w:rsid w:val="0027561E"/>
    <w:rsid w:val="00275B15"/>
    <w:rsid w:val="00275E27"/>
    <w:rsid w:val="0027715B"/>
    <w:rsid w:val="002773AA"/>
    <w:rsid w:val="00277B10"/>
    <w:rsid w:val="00277DBB"/>
    <w:rsid w:val="00277DE4"/>
    <w:rsid w:val="00280DCC"/>
    <w:rsid w:val="002810F1"/>
    <w:rsid w:val="00281430"/>
    <w:rsid w:val="00281B90"/>
    <w:rsid w:val="00281FFE"/>
    <w:rsid w:val="00282DC3"/>
    <w:rsid w:val="00282F13"/>
    <w:rsid w:val="0028317D"/>
    <w:rsid w:val="00283239"/>
    <w:rsid w:val="002834BF"/>
    <w:rsid w:val="0028378E"/>
    <w:rsid w:val="002839D7"/>
    <w:rsid w:val="0028428F"/>
    <w:rsid w:val="00284A62"/>
    <w:rsid w:val="00284ECE"/>
    <w:rsid w:val="0028527E"/>
    <w:rsid w:val="00285591"/>
    <w:rsid w:val="002857A2"/>
    <w:rsid w:val="00285967"/>
    <w:rsid w:val="00285A87"/>
    <w:rsid w:val="00285BC6"/>
    <w:rsid w:val="00286318"/>
    <w:rsid w:val="002865BC"/>
    <w:rsid w:val="00286740"/>
    <w:rsid w:val="00287A46"/>
    <w:rsid w:val="00287A6C"/>
    <w:rsid w:val="00287C8C"/>
    <w:rsid w:val="00287CC1"/>
    <w:rsid w:val="002904B0"/>
    <w:rsid w:val="00290544"/>
    <w:rsid w:val="0029068C"/>
    <w:rsid w:val="0029068D"/>
    <w:rsid w:val="0029152B"/>
    <w:rsid w:val="00291A31"/>
    <w:rsid w:val="00291D32"/>
    <w:rsid w:val="00291E2E"/>
    <w:rsid w:val="002922A2"/>
    <w:rsid w:val="002922D5"/>
    <w:rsid w:val="00292770"/>
    <w:rsid w:val="00292AD7"/>
    <w:rsid w:val="002934F7"/>
    <w:rsid w:val="002935F7"/>
    <w:rsid w:val="002938D7"/>
    <w:rsid w:val="00293D5E"/>
    <w:rsid w:val="002941B3"/>
    <w:rsid w:val="00294F8A"/>
    <w:rsid w:val="00295064"/>
    <w:rsid w:val="00295C30"/>
    <w:rsid w:val="00296A44"/>
    <w:rsid w:val="00297132"/>
    <w:rsid w:val="0029794C"/>
    <w:rsid w:val="00297EFF"/>
    <w:rsid w:val="002A04E6"/>
    <w:rsid w:val="002A09EA"/>
    <w:rsid w:val="002A0B49"/>
    <w:rsid w:val="002A193F"/>
    <w:rsid w:val="002A1969"/>
    <w:rsid w:val="002A1F19"/>
    <w:rsid w:val="002A2555"/>
    <w:rsid w:val="002A2FBC"/>
    <w:rsid w:val="002A311B"/>
    <w:rsid w:val="002A3599"/>
    <w:rsid w:val="002A36F3"/>
    <w:rsid w:val="002A386B"/>
    <w:rsid w:val="002A3EC4"/>
    <w:rsid w:val="002A4153"/>
    <w:rsid w:val="002A5530"/>
    <w:rsid w:val="002A5670"/>
    <w:rsid w:val="002A5D1C"/>
    <w:rsid w:val="002A5EE6"/>
    <w:rsid w:val="002A5FCC"/>
    <w:rsid w:val="002A6410"/>
    <w:rsid w:val="002A64D3"/>
    <w:rsid w:val="002A696A"/>
    <w:rsid w:val="002A7806"/>
    <w:rsid w:val="002A7BB8"/>
    <w:rsid w:val="002A7C85"/>
    <w:rsid w:val="002B032E"/>
    <w:rsid w:val="002B0C2B"/>
    <w:rsid w:val="002B0CC0"/>
    <w:rsid w:val="002B0EA1"/>
    <w:rsid w:val="002B0F47"/>
    <w:rsid w:val="002B130F"/>
    <w:rsid w:val="002B1A45"/>
    <w:rsid w:val="002B22AB"/>
    <w:rsid w:val="002B2DAA"/>
    <w:rsid w:val="002B2EE2"/>
    <w:rsid w:val="002B397A"/>
    <w:rsid w:val="002B3AB8"/>
    <w:rsid w:val="002B3D44"/>
    <w:rsid w:val="002B4447"/>
    <w:rsid w:val="002B4F21"/>
    <w:rsid w:val="002B4FCF"/>
    <w:rsid w:val="002B5D48"/>
    <w:rsid w:val="002B5FDF"/>
    <w:rsid w:val="002B606C"/>
    <w:rsid w:val="002B7042"/>
    <w:rsid w:val="002B7221"/>
    <w:rsid w:val="002B74E1"/>
    <w:rsid w:val="002B776B"/>
    <w:rsid w:val="002B79C8"/>
    <w:rsid w:val="002B7CDD"/>
    <w:rsid w:val="002C089A"/>
    <w:rsid w:val="002C0E24"/>
    <w:rsid w:val="002C141C"/>
    <w:rsid w:val="002C1691"/>
    <w:rsid w:val="002C256B"/>
    <w:rsid w:val="002C3297"/>
    <w:rsid w:val="002C366D"/>
    <w:rsid w:val="002C3A6D"/>
    <w:rsid w:val="002C3B4B"/>
    <w:rsid w:val="002C3CEB"/>
    <w:rsid w:val="002C3FB3"/>
    <w:rsid w:val="002C4366"/>
    <w:rsid w:val="002C43B2"/>
    <w:rsid w:val="002C5A23"/>
    <w:rsid w:val="002C5D9D"/>
    <w:rsid w:val="002C6C27"/>
    <w:rsid w:val="002C6C9C"/>
    <w:rsid w:val="002C7034"/>
    <w:rsid w:val="002C7BFE"/>
    <w:rsid w:val="002D0243"/>
    <w:rsid w:val="002D0ADC"/>
    <w:rsid w:val="002D0BA5"/>
    <w:rsid w:val="002D0D14"/>
    <w:rsid w:val="002D1280"/>
    <w:rsid w:val="002D1587"/>
    <w:rsid w:val="002D1BA0"/>
    <w:rsid w:val="002D1CD7"/>
    <w:rsid w:val="002D28FD"/>
    <w:rsid w:val="002D2C04"/>
    <w:rsid w:val="002D2D78"/>
    <w:rsid w:val="002D322B"/>
    <w:rsid w:val="002D332B"/>
    <w:rsid w:val="002D34A8"/>
    <w:rsid w:val="002D35B6"/>
    <w:rsid w:val="002D388F"/>
    <w:rsid w:val="002D3AF6"/>
    <w:rsid w:val="002D3F8B"/>
    <w:rsid w:val="002D4322"/>
    <w:rsid w:val="002D4380"/>
    <w:rsid w:val="002D49C0"/>
    <w:rsid w:val="002D4B49"/>
    <w:rsid w:val="002D4BCD"/>
    <w:rsid w:val="002D4C25"/>
    <w:rsid w:val="002D5D5D"/>
    <w:rsid w:val="002D62C1"/>
    <w:rsid w:val="002D6918"/>
    <w:rsid w:val="002D715E"/>
    <w:rsid w:val="002D7A90"/>
    <w:rsid w:val="002D7B79"/>
    <w:rsid w:val="002D7C05"/>
    <w:rsid w:val="002D7F44"/>
    <w:rsid w:val="002E0237"/>
    <w:rsid w:val="002E02C2"/>
    <w:rsid w:val="002E0A63"/>
    <w:rsid w:val="002E142B"/>
    <w:rsid w:val="002E1593"/>
    <w:rsid w:val="002E1729"/>
    <w:rsid w:val="002E17E7"/>
    <w:rsid w:val="002E1E9D"/>
    <w:rsid w:val="002E25B0"/>
    <w:rsid w:val="002E28AC"/>
    <w:rsid w:val="002E2A6F"/>
    <w:rsid w:val="002E2FF6"/>
    <w:rsid w:val="002E3745"/>
    <w:rsid w:val="002E3AB5"/>
    <w:rsid w:val="002E3E62"/>
    <w:rsid w:val="002E406B"/>
    <w:rsid w:val="002E47C2"/>
    <w:rsid w:val="002E48DB"/>
    <w:rsid w:val="002E4A07"/>
    <w:rsid w:val="002E4CCA"/>
    <w:rsid w:val="002E4CCE"/>
    <w:rsid w:val="002E4EFC"/>
    <w:rsid w:val="002E4F59"/>
    <w:rsid w:val="002E504F"/>
    <w:rsid w:val="002E5139"/>
    <w:rsid w:val="002E54C3"/>
    <w:rsid w:val="002E564A"/>
    <w:rsid w:val="002E56F2"/>
    <w:rsid w:val="002E5AA9"/>
    <w:rsid w:val="002E632D"/>
    <w:rsid w:val="002E6546"/>
    <w:rsid w:val="002E68DE"/>
    <w:rsid w:val="002E6A07"/>
    <w:rsid w:val="002E7019"/>
    <w:rsid w:val="002E72C0"/>
    <w:rsid w:val="002E73C9"/>
    <w:rsid w:val="002E742E"/>
    <w:rsid w:val="002E7F04"/>
    <w:rsid w:val="002E7FB3"/>
    <w:rsid w:val="002F00A4"/>
    <w:rsid w:val="002F0428"/>
    <w:rsid w:val="002F1286"/>
    <w:rsid w:val="002F14A0"/>
    <w:rsid w:val="002F173D"/>
    <w:rsid w:val="002F188D"/>
    <w:rsid w:val="002F1995"/>
    <w:rsid w:val="002F1D45"/>
    <w:rsid w:val="002F2AA8"/>
    <w:rsid w:val="002F306D"/>
    <w:rsid w:val="002F3151"/>
    <w:rsid w:val="002F3786"/>
    <w:rsid w:val="002F3A40"/>
    <w:rsid w:val="002F3E05"/>
    <w:rsid w:val="002F4266"/>
    <w:rsid w:val="002F447D"/>
    <w:rsid w:val="002F44B2"/>
    <w:rsid w:val="002F492A"/>
    <w:rsid w:val="002F4B42"/>
    <w:rsid w:val="002F4D39"/>
    <w:rsid w:val="002F5BE1"/>
    <w:rsid w:val="002F6068"/>
    <w:rsid w:val="002F616A"/>
    <w:rsid w:val="002F6AF0"/>
    <w:rsid w:val="002F6F42"/>
    <w:rsid w:val="002F6F4D"/>
    <w:rsid w:val="002F7031"/>
    <w:rsid w:val="003002BE"/>
    <w:rsid w:val="003006F4"/>
    <w:rsid w:val="00300A7B"/>
    <w:rsid w:val="00300D7B"/>
    <w:rsid w:val="003012ED"/>
    <w:rsid w:val="00301A57"/>
    <w:rsid w:val="00302911"/>
    <w:rsid w:val="0030344E"/>
    <w:rsid w:val="003037C8"/>
    <w:rsid w:val="0030389D"/>
    <w:rsid w:val="00303F65"/>
    <w:rsid w:val="00303FD5"/>
    <w:rsid w:val="00304122"/>
    <w:rsid w:val="00304654"/>
    <w:rsid w:val="00305226"/>
    <w:rsid w:val="00305706"/>
    <w:rsid w:val="003057FC"/>
    <w:rsid w:val="00306560"/>
    <w:rsid w:val="00306843"/>
    <w:rsid w:val="00306B83"/>
    <w:rsid w:val="00306C67"/>
    <w:rsid w:val="003079BE"/>
    <w:rsid w:val="00307DF3"/>
    <w:rsid w:val="0031004F"/>
    <w:rsid w:val="00310476"/>
    <w:rsid w:val="003106B8"/>
    <w:rsid w:val="0031077A"/>
    <w:rsid w:val="00310941"/>
    <w:rsid w:val="00311314"/>
    <w:rsid w:val="0031181D"/>
    <w:rsid w:val="0031260D"/>
    <w:rsid w:val="003126C6"/>
    <w:rsid w:val="00313A17"/>
    <w:rsid w:val="00313F0B"/>
    <w:rsid w:val="003142E9"/>
    <w:rsid w:val="00314678"/>
    <w:rsid w:val="00314CB7"/>
    <w:rsid w:val="00314E35"/>
    <w:rsid w:val="003158E7"/>
    <w:rsid w:val="00315EFF"/>
    <w:rsid w:val="00316717"/>
    <w:rsid w:val="00316B0A"/>
    <w:rsid w:val="00316BDF"/>
    <w:rsid w:val="003202CD"/>
    <w:rsid w:val="00320413"/>
    <w:rsid w:val="003205D0"/>
    <w:rsid w:val="00321ECC"/>
    <w:rsid w:val="00322058"/>
    <w:rsid w:val="003222C5"/>
    <w:rsid w:val="003223E6"/>
    <w:rsid w:val="003226D6"/>
    <w:rsid w:val="00322A1F"/>
    <w:rsid w:val="00322E1C"/>
    <w:rsid w:val="00322EB0"/>
    <w:rsid w:val="00322EC6"/>
    <w:rsid w:val="0032415B"/>
    <w:rsid w:val="00324188"/>
    <w:rsid w:val="00324A90"/>
    <w:rsid w:val="00324F68"/>
    <w:rsid w:val="003252C7"/>
    <w:rsid w:val="003253FA"/>
    <w:rsid w:val="00325771"/>
    <w:rsid w:val="00325C5F"/>
    <w:rsid w:val="00325FEC"/>
    <w:rsid w:val="003260E8"/>
    <w:rsid w:val="00326754"/>
    <w:rsid w:val="0032740D"/>
    <w:rsid w:val="00327C26"/>
    <w:rsid w:val="00327DBE"/>
    <w:rsid w:val="00330842"/>
    <w:rsid w:val="003312FF"/>
    <w:rsid w:val="0033175C"/>
    <w:rsid w:val="0033202A"/>
    <w:rsid w:val="00332373"/>
    <w:rsid w:val="003325E6"/>
    <w:rsid w:val="0033265A"/>
    <w:rsid w:val="0033271C"/>
    <w:rsid w:val="00332AAD"/>
    <w:rsid w:val="00332E60"/>
    <w:rsid w:val="0033314F"/>
    <w:rsid w:val="00333159"/>
    <w:rsid w:val="00333415"/>
    <w:rsid w:val="0033379E"/>
    <w:rsid w:val="0033394F"/>
    <w:rsid w:val="00333998"/>
    <w:rsid w:val="003339DC"/>
    <w:rsid w:val="0033420D"/>
    <w:rsid w:val="0033469B"/>
    <w:rsid w:val="00334B67"/>
    <w:rsid w:val="00334CE5"/>
    <w:rsid w:val="00335324"/>
    <w:rsid w:val="00336470"/>
    <w:rsid w:val="003366C7"/>
    <w:rsid w:val="00336A37"/>
    <w:rsid w:val="00336ED7"/>
    <w:rsid w:val="003373DC"/>
    <w:rsid w:val="00337A9F"/>
    <w:rsid w:val="00337F66"/>
    <w:rsid w:val="0034013D"/>
    <w:rsid w:val="0034039C"/>
    <w:rsid w:val="00340B8D"/>
    <w:rsid w:val="00341438"/>
    <w:rsid w:val="00341B9B"/>
    <w:rsid w:val="003421D2"/>
    <w:rsid w:val="00342AE4"/>
    <w:rsid w:val="00343293"/>
    <w:rsid w:val="00343306"/>
    <w:rsid w:val="003435A9"/>
    <w:rsid w:val="00343C85"/>
    <w:rsid w:val="00343E06"/>
    <w:rsid w:val="00343E6B"/>
    <w:rsid w:val="003441A6"/>
    <w:rsid w:val="003441CF"/>
    <w:rsid w:val="003441F8"/>
    <w:rsid w:val="003442C0"/>
    <w:rsid w:val="003448AD"/>
    <w:rsid w:val="00344D62"/>
    <w:rsid w:val="00344ED7"/>
    <w:rsid w:val="00344F57"/>
    <w:rsid w:val="003450CF"/>
    <w:rsid w:val="00345653"/>
    <w:rsid w:val="00345698"/>
    <w:rsid w:val="003459BB"/>
    <w:rsid w:val="003467D5"/>
    <w:rsid w:val="003469D6"/>
    <w:rsid w:val="00346E50"/>
    <w:rsid w:val="00346FA1"/>
    <w:rsid w:val="00347F33"/>
    <w:rsid w:val="00347FA4"/>
    <w:rsid w:val="00350027"/>
    <w:rsid w:val="00350292"/>
    <w:rsid w:val="00350A7B"/>
    <w:rsid w:val="00350A93"/>
    <w:rsid w:val="00351BCE"/>
    <w:rsid w:val="00352712"/>
    <w:rsid w:val="003528E4"/>
    <w:rsid w:val="00353F70"/>
    <w:rsid w:val="003542B1"/>
    <w:rsid w:val="003543DB"/>
    <w:rsid w:val="0035489D"/>
    <w:rsid w:val="00354FE8"/>
    <w:rsid w:val="00355186"/>
    <w:rsid w:val="003563FF"/>
    <w:rsid w:val="0035663D"/>
    <w:rsid w:val="00356901"/>
    <w:rsid w:val="00356B8F"/>
    <w:rsid w:val="003572F5"/>
    <w:rsid w:val="00357CEF"/>
    <w:rsid w:val="00357D56"/>
    <w:rsid w:val="00360701"/>
    <w:rsid w:val="0036105C"/>
    <w:rsid w:val="00361260"/>
    <w:rsid w:val="00361B2D"/>
    <w:rsid w:val="003624FE"/>
    <w:rsid w:val="003625C8"/>
    <w:rsid w:val="003626A9"/>
    <w:rsid w:val="00362B43"/>
    <w:rsid w:val="00363053"/>
    <w:rsid w:val="003631C0"/>
    <w:rsid w:val="00363809"/>
    <w:rsid w:val="00363879"/>
    <w:rsid w:val="003639BD"/>
    <w:rsid w:val="00363A07"/>
    <w:rsid w:val="00363B29"/>
    <w:rsid w:val="003645C6"/>
    <w:rsid w:val="0036487A"/>
    <w:rsid w:val="003648BF"/>
    <w:rsid w:val="003658BD"/>
    <w:rsid w:val="003659F3"/>
    <w:rsid w:val="003662F0"/>
    <w:rsid w:val="00366705"/>
    <w:rsid w:val="00366796"/>
    <w:rsid w:val="00366C80"/>
    <w:rsid w:val="00366D74"/>
    <w:rsid w:val="003676C4"/>
    <w:rsid w:val="003676D3"/>
    <w:rsid w:val="00367C31"/>
    <w:rsid w:val="00370010"/>
    <w:rsid w:val="00370091"/>
    <w:rsid w:val="003702B2"/>
    <w:rsid w:val="0037078C"/>
    <w:rsid w:val="00370850"/>
    <w:rsid w:val="00370BC2"/>
    <w:rsid w:val="00370DA3"/>
    <w:rsid w:val="00370F07"/>
    <w:rsid w:val="003711E2"/>
    <w:rsid w:val="003715D6"/>
    <w:rsid w:val="0037193D"/>
    <w:rsid w:val="00371FE8"/>
    <w:rsid w:val="0037202A"/>
    <w:rsid w:val="0037227A"/>
    <w:rsid w:val="00373096"/>
    <w:rsid w:val="0037312F"/>
    <w:rsid w:val="00373639"/>
    <w:rsid w:val="0037367E"/>
    <w:rsid w:val="00373FBE"/>
    <w:rsid w:val="0037467C"/>
    <w:rsid w:val="00374AAB"/>
    <w:rsid w:val="00374AF0"/>
    <w:rsid w:val="00375053"/>
    <w:rsid w:val="00375429"/>
    <w:rsid w:val="00375454"/>
    <w:rsid w:val="003755B8"/>
    <w:rsid w:val="0037575A"/>
    <w:rsid w:val="003765EC"/>
    <w:rsid w:val="00376619"/>
    <w:rsid w:val="00376A11"/>
    <w:rsid w:val="00376A4C"/>
    <w:rsid w:val="00376C53"/>
    <w:rsid w:val="003772EF"/>
    <w:rsid w:val="0037757F"/>
    <w:rsid w:val="003776DA"/>
    <w:rsid w:val="00377A63"/>
    <w:rsid w:val="00377B4E"/>
    <w:rsid w:val="00380558"/>
    <w:rsid w:val="00380876"/>
    <w:rsid w:val="00380BBF"/>
    <w:rsid w:val="00381538"/>
    <w:rsid w:val="00382316"/>
    <w:rsid w:val="00382AC0"/>
    <w:rsid w:val="00383392"/>
    <w:rsid w:val="00383A9F"/>
    <w:rsid w:val="00383BE9"/>
    <w:rsid w:val="00383EA6"/>
    <w:rsid w:val="00385115"/>
    <w:rsid w:val="003851AF"/>
    <w:rsid w:val="003854B0"/>
    <w:rsid w:val="003856CF"/>
    <w:rsid w:val="003857C1"/>
    <w:rsid w:val="0038595F"/>
    <w:rsid w:val="00385AED"/>
    <w:rsid w:val="00385CA3"/>
    <w:rsid w:val="00386121"/>
    <w:rsid w:val="003863F3"/>
    <w:rsid w:val="00386500"/>
    <w:rsid w:val="00386BBA"/>
    <w:rsid w:val="00387205"/>
    <w:rsid w:val="0038754D"/>
    <w:rsid w:val="00387680"/>
    <w:rsid w:val="00387864"/>
    <w:rsid w:val="00387915"/>
    <w:rsid w:val="00390100"/>
    <w:rsid w:val="003902A5"/>
    <w:rsid w:val="0039060C"/>
    <w:rsid w:val="003907BB"/>
    <w:rsid w:val="00390914"/>
    <w:rsid w:val="00390C9F"/>
    <w:rsid w:val="00391137"/>
    <w:rsid w:val="003912C2"/>
    <w:rsid w:val="00391558"/>
    <w:rsid w:val="00391651"/>
    <w:rsid w:val="00391936"/>
    <w:rsid w:val="00391BB2"/>
    <w:rsid w:val="00391CF3"/>
    <w:rsid w:val="00391E5D"/>
    <w:rsid w:val="00392659"/>
    <w:rsid w:val="0039292A"/>
    <w:rsid w:val="00392AAA"/>
    <w:rsid w:val="00392C0C"/>
    <w:rsid w:val="00393706"/>
    <w:rsid w:val="0039462B"/>
    <w:rsid w:val="003947FB"/>
    <w:rsid w:val="00394FDE"/>
    <w:rsid w:val="003954A0"/>
    <w:rsid w:val="0039559E"/>
    <w:rsid w:val="003961FB"/>
    <w:rsid w:val="00396B4D"/>
    <w:rsid w:val="00397601"/>
    <w:rsid w:val="003976EE"/>
    <w:rsid w:val="0039773C"/>
    <w:rsid w:val="00397910"/>
    <w:rsid w:val="00397A0C"/>
    <w:rsid w:val="00397AB7"/>
    <w:rsid w:val="003A005B"/>
    <w:rsid w:val="003A0580"/>
    <w:rsid w:val="003A09BA"/>
    <w:rsid w:val="003A1094"/>
    <w:rsid w:val="003A1CBA"/>
    <w:rsid w:val="003A2B1B"/>
    <w:rsid w:val="003A2C1E"/>
    <w:rsid w:val="003A343C"/>
    <w:rsid w:val="003A3517"/>
    <w:rsid w:val="003A3660"/>
    <w:rsid w:val="003A3B58"/>
    <w:rsid w:val="003A3BA4"/>
    <w:rsid w:val="003A3D1E"/>
    <w:rsid w:val="003A410E"/>
    <w:rsid w:val="003A5610"/>
    <w:rsid w:val="003A5716"/>
    <w:rsid w:val="003A59F0"/>
    <w:rsid w:val="003A5BA2"/>
    <w:rsid w:val="003A5DB9"/>
    <w:rsid w:val="003A5F40"/>
    <w:rsid w:val="003A6066"/>
    <w:rsid w:val="003A610E"/>
    <w:rsid w:val="003A6394"/>
    <w:rsid w:val="003A64FF"/>
    <w:rsid w:val="003A6930"/>
    <w:rsid w:val="003A6FC0"/>
    <w:rsid w:val="003A71F1"/>
    <w:rsid w:val="003A7FF4"/>
    <w:rsid w:val="003B0016"/>
    <w:rsid w:val="003B0C8C"/>
    <w:rsid w:val="003B0E20"/>
    <w:rsid w:val="003B1774"/>
    <w:rsid w:val="003B18FC"/>
    <w:rsid w:val="003B20FB"/>
    <w:rsid w:val="003B32D6"/>
    <w:rsid w:val="003B3408"/>
    <w:rsid w:val="003B3437"/>
    <w:rsid w:val="003B365C"/>
    <w:rsid w:val="003B3BF7"/>
    <w:rsid w:val="003B464B"/>
    <w:rsid w:val="003B46BD"/>
    <w:rsid w:val="003B46DB"/>
    <w:rsid w:val="003B4AF9"/>
    <w:rsid w:val="003B4CD7"/>
    <w:rsid w:val="003B566E"/>
    <w:rsid w:val="003B5757"/>
    <w:rsid w:val="003B58D5"/>
    <w:rsid w:val="003B58DC"/>
    <w:rsid w:val="003B6090"/>
    <w:rsid w:val="003B6642"/>
    <w:rsid w:val="003B66D4"/>
    <w:rsid w:val="003B67B1"/>
    <w:rsid w:val="003B67D7"/>
    <w:rsid w:val="003B6920"/>
    <w:rsid w:val="003B6AF8"/>
    <w:rsid w:val="003B7A52"/>
    <w:rsid w:val="003B7C2F"/>
    <w:rsid w:val="003C0332"/>
    <w:rsid w:val="003C04D5"/>
    <w:rsid w:val="003C09EC"/>
    <w:rsid w:val="003C1250"/>
    <w:rsid w:val="003C1603"/>
    <w:rsid w:val="003C1625"/>
    <w:rsid w:val="003C1B4E"/>
    <w:rsid w:val="003C1DC8"/>
    <w:rsid w:val="003C1F7F"/>
    <w:rsid w:val="003C2601"/>
    <w:rsid w:val="003C2726"/>
    <w:rsid w:val="003C28E0"/>
    <w:rsid w:val="003C29AA"/>
    <w:rsid w:val="003C2A62"/>
    <w:rsid w:val="003C30F3"/>
    <w:rsid w:val="003C3A1B"/>
    <w:rsid w:val="003C5037"/>
    <w:rsid w:val="003C579E"/>
    <w:rsid w:val="003C6697"/>
    <w:rsid w:val="003C6734"/>
    <w:rsid w:val="003C72A0"/>
    <w:rsid w:val="003D0E24"/>
    <w:rsid w:val="003D0F66"/>
    <w:rsid w:val="003D0FB2"/>
    <w:rsid w:val="003D15A6"/>
    <w:rsid w:val="003D1611"/>
    <w:rsid w:val="003D18E6"/>
    <w:rsid w:val="003D1FC0"/>
    <w:rsid w:val="003D20E7"/>
    <w:rsid w:val="003D2253"/>
    <w:rsid w:val="003D3199"/>
    <w:rsid w:val="003D3292"/>
    <w:rsid w:val="003D32FF"/>
    <w:rsid w:val="003D3445"/>
    <w:rsid w:val="003D375C"/>
    <w:rsid w:val="003D3C8A"/>
    <w:rsid w:val="003D3CD2"/>
    <w:rsid w:val="003D3FA2"/>
    <w:rsid w:val="003D4340"/>
    <w:rsid w:val="003D4442"/>
    <w:rsid w:val="003D4C32"/>
    <w:rsid w:val="003D4E0F"/>
    <w:rsid w:val="003D69A4"/>
    <w:rsid w:val="003D6B3C"/>
    <w:rsid w:val="003D6DC2"/>
    <w:rsid w:val="003D6E65"/>
    <w:rsid w:val="003D7367"/>
    <w:rsid w:val="003D7472"/>
    <w:rsid w:val="003E0792"/>
    <w:rsid w:val="003E0D8D"/>
    <w:rsid w:val="003E172B"/>
    <w:rsid w:val="003E18A2"/>
    <w:rsid w:val="003E18A6"/>
    <w:rsid w:val="003E21A8"/>
    <w:rsid w:val="003E2545"/>
    <w:rsid w:val="003E2D12"/>
    <w:rsid w:val="003E2D83"/>
    <w:rsid w:val="003E3050"/>
    <w:rsid w:val="003E3A8E"/>
    <w:rsid w:val="003E3ABA"/>
    <w:rsid w:val="003E41F9"/>
    <w:rsid w:val="003E441D"/>
    <w:rsid w:val="003E4D71"/>
    <w:rsid w:val="003E50B4"/>
    <w:rsid w:val="003E67EF"/>
    <w:rsid w:val="003E6F2F"/>
    <w:rsid w:val="003E761C"/>
    <w:rsid w:val="003E7C20"/>
    <w:rsid w:val="003E7CC7"/>
    <w:rsid w:val="003E7DAC"/>
    <w:rsid w:val="003F03AA"/>
    <w:rsid w:val="003F0E2C"/>
    <w:rsid w:val="003F0FEC"/>
    <w:rsid w:val="003F101F"/>
    <w:rsid w:val="003F112C"/>
    <w:rsid w:val="003F1D03"/>
    <w:rsid w:val="003F2374"/>
    <w:rsid w:val="003F2501"/>
    <w:rsid w:val="003F263B"/>
    <w:rsid w:val="003F2AF4"/>
    <w:rsid w:val="003F38F2"/>
    <w:rsid w:val="003F39E8"/>
    <w:rsid w:val="003F3EB5"/>
    <w:rsid w:val="003F414D"/>
    <w:rsid w:val="003F47D1"/>
    <w:rsid w:val="003F4D6D"/>
    <w:rsid w:val="003F4EB2"/>
    <w:rsid w:val="003F5A9D"/>
    <w:rsid w:val="003F5AE3"/>
    <w:rsid w:val="003F5F21"/>
    <w:rsid w:val="003F648E"/>
    <w:rsid w:val="003F657F"/>
    <w:rsid w:val="003F69CA"/>
    <w:rsid w:val="003F6BE3"/>
    <w:rsid w:val="003F6DD7"/>
    <w:rsid w:val="003F7A90"/>
    <w:rsid w:val="003F7CF3"/>
    <w:rsid w:val="003F7DCF"/>
    <w:rsid w:val="0040077B"/>
    <w:rsid w:val="004011B0"/>
    <w:rsid w:val="004013FF"/>
    <w:rsid w:val="0040181E"/>
    <w:rsid w:val="00401BFC"/>
    <w:rsid w:val="00401F72"/>
    <w:rsid w:val="00401F7C"/>
    <w:rsid w:val="0040206F"/>
    <w:rsid w:val="0040224B"/>
    <w:rsid w:val="00402342"/>
    <w:rsid w:val="004027CE"/>
    <w:rsid w:val="0040287C"/>
    <w:rsid w:val="00402A8E"/>
    <w:rsid w:val="0040327F"/>
    <w:rsid w:val="00403858"/>
    <w:rsid w:val="00403AB1"/>
    <w:rsid w:val="0040435D"/>
    <w:rsid w:val="004053DE"/>
    <w:rsid w:val="004055F4"/>
    <w:rsid w:val="00405774"/>
    <w:rsid w:val="0040592C"/>
    <w:rsid w:val="00405AA6"/>
    <w:rsid w:val="00406157"/>
    <w:rsid w:val="004062BD"/>
    <w:rsid w:val="004065CD"/>
    <w:rsid w:val="00406893"/>
    <w:rsid w:val="00406A5B"/>
    <w:rsid w:val="0040707E"/>
    <w:rsid w:val="00407609"/>
    <w:rsid w:val="00407E5E"/>
    <w:rsid w:val="00407E83"/>
    <w:rsid w:val="0041032B"/>
    <w:rsid w:val="004106ED"/>
    <w:rsid w:val="00410C65"/>
    <w:rsid w:val="00410EAC"/>
    <w:rsid w:val="00411141"/>
    <w:rsid w:val="004111EA"/>
    <w:rsid w:val="00411525"/>
    <w:rsid w:val="00411555"/>
    <w:rsid w:val="00411FB5"/>
    <w:rsid w:val="00412077"/>
    <w:rsid w:val="00412093"/>
    <w:rsid w:val="004127F2"/>
    <w:rsid w:val="0041294A"/>
    <w:rsid w:val="004129B3"/>
    <w:rsid w:val="00413040"/>
    <w:rsid w:val="004138F8"/>
    <w:rsid w:val="00414050"/>
    <w:rsid w:val="00414485"/>
    <w:rsid w:val="0041476B"/>
    <w:rsid w:val="004149E0"/>
    <w:rsid w:val="0041562B"/>
    <w:rsid w:val="004158D4"/>
    <w:rsid w:val="00415CFC"/>
    <w:rsid w:val="00416112"/>
    <w:rsid w:val="0041716F"/>
    <w:rsid w:val="004175EC"/>
    <w:rsid w:val="0041762A"/>
    <w:rsid w:val="004177CD"/>
    <w:rsid w:val="00417C93"/>
    <w:rsid w:val="004201E7"/>
    <w:rsid w:val="00420693"/>
    <w:rsid w:val="00420936"/>
    <w:rsid w:val="00421BCB"/>
    <w:rsid w:val="00421FCE"/>
    <w:rsid w:val="00422265"/>
    <w:rsid w:val="00422340"/>
    <w:rsid w:val="0042236C"/>
    <w:rsid w:val="004233AB"/>
    <w:rsid w:val="004233DB"/>
    <w:rsid w:val="00423591"/>
    <w:rsid w:val="00423678"/>
    <w:rsid w:val="00423AA0"/>
    <w:rsid w:val="00424225"/>
    <w:rsid w:val="00424738"/>
    <w:rsid w:val="004247B2"/>
    <w:rsid w:val="004248A4"/>
    <w:rsid w:val="00425093"/>
    <w:rsid w:val="0042553A"/>
    <w:rsid w:val="00425AFC"/>
    <w:rsid w:val="0042656D"/>
    <w:rsid w:val="00426CCE"/>
    <w:rsid w:val="0042717E"/>
    <w:rsid w:val="00427243"/>
    <w:rsid w:val="004275CE"/>
    <w:rsid w:val="004275DE"/>
    <w:rsid w:val="00427B86"/>
    <w:rsid w:val="0043029A"/>
    <w:rsid w:val="00430F5D"/>
    <w:rsid w:val="00431043"/>
    <w:rsid w:val="004319CF"/>
    <w:rsid w:val="00431E22"/>
    <w:rsid w:val="00431F90"/>
    <w:rsid w:val="00432AF9"/>
    <w:rsid w:val="004336A9"/>
    <w:rsid w:val="00433ABF"/>
    <w:rsid w:val="00434097"/>
    <w:rsid w:val="00434707"/>
    <w:rsid w:val="0043492D"/>
    <w:rsid w:val="00434A9D"/>
    <w:rsid w:val="004352A3"/>
    <w:rsid w:val="00435383"/>
    <w:rsid w:val="00435933"/>
    <w:rsid w:val="00436BDD"/>
    <w:rsid w:val="00436DA7"/>
    <w:rsid w:val="00437850"/>
    <w:rsid w:val="004401A5"/>
    <w:rsid w:val="004404B6"/>
    <w:rsid w:val="004409BB"/>
    <w:rsid w:val="00440C3E"/>
    <w:rsid w:val="00440DC3"/>
    <w:rsid w:val="0044245E"/>
    <w:rsid w:val="00442787"/>
    <w:rsid w:val="00442AC6"/>
    <w:rsid w:val="00442E80"/>
    <w:rsid w:val="00443799"/>
    <w:rsid w:val="004438B6"/>
    <w:rsid w:val="00443ADC"/>
    <w:rsid w:val="00443E65"/>
    <w:rsid w:val="00443F64"/>
    <w:rsid w:val="00444091"/>
    <w:rsid w:val="004443C4"/>
    <w:rsid w:val="00444F6E"/>
    <w:rsid w:val="004452DD"/>
    <w:rsid w:val="00445707"/>
    <w:rsid w:val="00445BB8"/>
    <w:rsid w:val="00445FAE"/>
    <w:rsid w:val="004465CE"/>
    <w:rsid w:val="004465E5"/>
    <w:rsid w:val="00446A09"/>
    <w:rsid w:val="00446B26"/>
    <w:rsid w:val="00446D44"/>
    <w:rsid w:val="00447094"/>
    <w:rsid w:val="00447173"/>
    <w:rsid w:val="0044744C"/>
    <w:rsid w:val="004477DF"/>
    <w:rsid w:val="004478C7"/>
    <w:rsid w:val="00447C49"/>
    <w:rsid w:val="00447EDC"/>
    <w:rsid w:val="004500BF"/>
    <w:rsid w:val="004501F9"/>
    <w:rsid w:val="0045029D"/>
    <w:rsid w:val="0045124D"/>
    <w:rsid w:val="00451493"/>
    <w:rsid w:val="00451689"/>
    <w:rsid w:val="00452100"/>
    <w:rsid w:val="00452BB0"/>
    <w:rsid w:val="00452C8E"/>
    <w:rsid w:val="00453339"/>
    <w:rsid w:val="00453693"/>
    <w:rsid w:val="004537D9"/>
    <w:rsid w:val="0045381A"/>
    <w:rsid w:val="0045387A"/>
    <w:rsid w:val="00453C6F"/>
    <w:rsid w:val="00453D6A"/>
    <w:rsid w:val="0045408D"/>
    <w:rsid w:val="00454532"/>
    <w:rsid w:val="004545AB"/>
    <w:rsid w:val="004553F3"/>
    <w:rsid w:val="004556E5"/>
    <w:rsid w:val="004558FD"/>
    <w:rsid w:val="00455BA5"/>
    <w:rsid w:val="00455C9A"/>
    <w:rsid w:val="0045623F"/>
    <w:rsid w:val="00457A78"/>
    <w:rsid w:val="00460F23"/>
    <w:rsid w:val="00461553"/>
    <w:rsid w:val="00461AD3"/>
    <w:rsid w:val="00461E54"/>
    <w:rsid w:val="00461F4C"/>
    <w:rsid w:val="00462002"/>
    <w:rsid w:val="00462114"/>
    <w:rsid w:val="00462351"/>
    <w:rsid w:val="00462890"/>
    <w:rsid w:val="0046349B"/>
    <w:rsid w:val="00463F17"/>
    <w:rsid w:val="00463F20"/>
    <w:rsid w:val="0046412B"/>
    <w:rsid w:val="0046477A"/>
    <w:rsid w:val="0046493D"/>
    <w:rsid w:val="00464AC9"/>
    <w:rsid w:val="00464BAA"/>
    <w:rsid w:val="00464C4E"/>
    <w:rsid w:val="00464C5F"/>
    <w:rsid w:val="00464D38"/>
    <w:rsid w:val="00464F9C"/>
    <w:rsid w:val="00465467"/>
    <w:rsid w:val="00465595"/>
    <w:rsid w:val="004661F2"/>
    <w:rsid w:val="004663F9"/>
    <w:rsid w:val="00466480"/>
    <w:rsid w:val="004665BC"/>
    <w:rsid w:val="00466CC9"/>
    <w:rsid w:val="00466E44"/>
    <w:rsid w:val="004671D7"/>
    <w:rsid w:val="004671E1"/>
    <w:rsid w:val="004679B2"/>
    <w:rsid w:val="00467C9E"/>
    <w:rsid w:val="00467EB4"/>
    <w:rsid w:val="004705AB"/>
    <w:rsid w:val="00470833"/>
    <w:rsid w:val="00470A2D"/>
    <w:rsid w:val="004712EC"/>
    <w:rsid w:val="004717D7"/>
    <w:rsid w:val="00471BD6"/>
    <w:rsid w:val="00471C1E"/>
    <w:rsid w:val="0047282A"/>
    <w:rsid w:val="00472832"/>
    <w:rsid w:val="0047365F"/>
    <w:rsid w:val="00473778"/>
    <w:rsid w:val="00473EE3"/>
    <w:rsid w:val="00474233"/>
    <w:rsid w:val="00474330"/>
    <w:rsid w:val="004743A1"/>
    <w:rsid w:val="00474821"/>
    <w:rsid w:val="00474A02"/>
    <w:rsid w:val="00474BB1"/>
    <w:rsid w:val="00475AF8"/>
    <w:rsid w:val="00475AFC"/>
    <w:rsid w:val="004769BA"/>
    <w:rsid w:val="00476B83"/>
    <w:rsid w:val="004774C9"/>
    <w:rsid w:val="0048014E"/>
    <w:rsid w:val="004801AD"/>
    <w:rsid w:val="0048031A"/>
    <w:rsid w:val="0048055F"/>
    <w:rsid w:val="00480A02"/>
    <w:rsid w:val="00480CF4"/>
    <w:rsid w:val="00481B74"/>
    <w:rsid w:val="004821FA"/>
    <w:rsid w:val="0048235C"/>
    <w:rsid w:val="004825DA"/>
    <w:rsid w:val="00483067"/>
    <w:rsid w:val="00483696"/>
    <w:rsid w:val="0048443C"/>
    <w:rsid w:val="004844C9"/>
    <w:rsid w:val="00484592"/>
    <w:rsid w:val="00484E6C"/>
    <w:rsid w:val="00484F44"/>
    <w:rsid w:val="0048531A"/>
    <w:rsid w:val="00485C7D"/>
    <w:rsid w:val="00485CF3"/>
    <w:rsid w:val="00485F04"/>
    <w:rsid w:val="0048627B"/>
    <w:rsid w:val="00486611"/>
    <w:rsid w:val="0048725E"/>
    <w:rsid w:val="00487749"/>
    <w:rsid w:val="0048781E"/>
    <w:rsid w:val="00487E2F"/>
    <w:rsid w:val="00487F2B"/>
    <w:rsid w:val="00487FDD"/>
    <w:rsid w:val="00490614"/>
    <w:rsid w:val="00491882"/>
    <w:rsid w:val="004921F6"/>
    <w:rsid w:val="0049233C"/>
    <w:rsid w:val="00492B9E"/>
    <w:rsid w:val="00492C75"/>
    <w:rsid w:val="004930F0"/>
    <w:rsid w:val="00493177"/>
    <w:rsid w:val="00493C02"/>
    <w:rsid w:val="004942CC"/>
    <w:rsid w:val="004944DD"/>
    <w:rsid w:val="004951DC"/>
    <w:rsid w:val="00495263"/>
    <w:rsid w:val="004953AA"/>
    <w:rsid w:val="004958EF"/>
    <w:rsid w:val="00495F9A"/>
    <w:rsid w:val="00496093"/>
    <w:rsid w:val="00496151"/>
    <w:rsid w:val="00496377"/>
    <w:rsid w:val="00497194"/>
    <w:rsid w:val="004979A6"/>
    <w:rsid w:val="004979F4"/>
    <w:rsid w:val="00497A52"/>
    <w:rsid w:val="00497D0C"/>
    <w:rsid w:val="004A006F"/>
    <w:rsid w:val="004A0125"/>
    <w:rsid w:val="004A0B9D"/>
    <w:rsid w:val="004A1D76"/>
    <w:rsid w:val="004A2130"/>
    <w:rsid w:val="004A2C2D"/>
    <w:rsid w:val="004A314E"/>
    <w:rsid w:val="004A3462"/>
    <w:rsid w:val="004A4A87"/>
    <w:rsid w:val="004A4B73"/>
    <w:rsid w:val="004A5A2D"/>
    <w:rsid w:val="004A5B31"/>
    <w:rsid w:val="004A60EB"/>
    <w:rsid w:val="004A61B0"/>
    <w:rsid w:val="004A62E5"/>
    <w:rsid w:val="004A6799"/>
    <w:rsid w:val="004A728B"/>
    <w:rsid w:val="004A72C7"/>
    <w:rsid w:val="004A731B"/>
    <w:rsid w:val="004A767F"/>
    <w:rsid w:val="004A771B"/>
    <w:rsid w:val="004A7B0B"/>
    <w:rsid w:val="004A7CF1"/>
    <w:rsid w:val="004B01BD"/>
    <w:rsid w:val="004B03D9"/>
    <w:rsid w:val="004B06E3"/>
    <w:rsid w:val="004B0918"/>
    <w:rsid w:val="004B0D1F"/>
    <w:rsid w:val="004B0E5D"/>
    <w:rsid w:val="004B137B"/>
    <w:rsid w:val="004B1F25"/>
    <w:rsid w:val="004B2108"/>
    <w:rsid w:val="004B2412"/>
    <w:rsid w:val="004B2775"/>
    <w:rsid w:val="004B2901"/>
    <w:rsid w:val="004B290B"/>
    <w:rsid w:val="004B2F17"/>
    <w:rsid w:val="004B36E7"/>
    <w:rsid w:val="004B37C6"/>
    <w:rsid w:val="004B3F0C"/>
    <w:rsid w:val="004B3F25"/>
    <w:rsid w:val="004B4014"/>
    <w:rsid w:val="004B41CA"/>
    <w:rsid w:val="004B4307"/>
    <w:rsid w:val="004B49A8"/>
    <w:rsid w:val="004B4BFF"/>
    <w:rsid w:val="004B4DD6"/>
    <w:rsid w:val="004B4E04"/>
    <w:rsid w:val="004B4F59"/>
    <w:rsid w:val="004B51B8"/>
    <w:rsid w:val="004B5785"/>
    <w:rsid w:val="004B5A1C"/>
    <w:rsid w:val="004B5A2F"/>
    <w:rsid w:val="004B5A70"/>
    <w:rsid w:val="004B5E23"/>
    <w:rsid w:val="004B5E79"/>
    <w:rsid w:val="004B649F"/>
    <w:rsid w:val="004B64D3"/>
    <w:rsid w:val="004B6A6A"/>
    <w:rsid w:val="004B6AA9"/>
    <w:rsid w:val="004B6BB2"/>
    <w:rsid w:val="004B75B3"/>
    <w:rsid w:val="004B7B0D"/>
    <w:rsid w:val="004B7BB5"/>
    <w:rsid w:val="004B7F3F"/>
    <w:rsid w:val="004C0611"/>
    <w:rsid w:val="004C0658"/>
    <w:rsid w:val="004C0FC9"/>
    <w:rsid w:val="004C1B2A"/>
    <w:rsid w:val="004C1EA1"/>
    <w:rsid w:val="004C1F6A"/>
    <w:rsid w:val="004C1FE4"/>
    <w:rsid w:val="004C2042"/>
    <w:rsid w:val="004C263E"/>
    <w:rsid w:val="004C2DF1"/>
    <w:rsid w:val="004C3C03"/>
    <w:rsid w:val="004C46C2"/>
    <w:rsid w:val="004C4E2D"/>
    <w:rsid w:val="004C5491"/>
    <w:rsid w:val="004C5A38"/>
    <w:rsid w:val="004C61F3"/>
    <w:rsid w:val="004C6717"/>
    <w:rsid w:val="004C6BBE"/>
    <w:rsid w:val="004C6CE2"/>
    <w:rsid w:val="004C70B0"/>
    <w:rsid w:val="004C7685"/>
    <w:rsid w:val="004C7A6D"/>
    <w:rsid w:val="004C7C74"/>
    <w:rsid w:val="004C7C78"/>
    <w:rsid w:val="004C7F63"/>
    <w:rsid w:val="004D0846"/>
    <w:rsid w:val="004D0DA2"/>
    <w:rsid w:val="004D0F01"/>
    <w:rsid w:val="004D161F"/>
    <w:rsid w:val="004D175A"/>
    <w:rsid w:val="004D1B35"/>
    <w:rsid w:val="004D20BC"/>
    <w:rsid w:val="004D2CFC"/>
    <w:rsid w:val="004D2DFF"/>
    <w:rsid w:val="004D360C"/>
    <w:rsid w:val="004D3643"/>
    <w:rsid w:val="004D3806"/>
    <w:rsid w:val="004D3CEC"/>
    <w:rsid w:val="004D3FAC"/>
    <w:rsid w:val="004D4709"/>
    <w:rsid w:val="004D495F"/>
    <w:rsid w:val="004D5D0F"/>
    <w:rsid w:val="004D629D"/>
    <w:rsid w:val="004D6517"/>
    <w:rsid w:val="004D6CCD"/>
    <w:rsid w:val="004D737F"/>
    <w:rsid w:val="004D76F2"/>
    <w:rsid w:val="004D7BD2"/>
    <w:rsid w:val="004E0025"/>
    <w:rsid w:val="004E00E2"/>
    <w:rsid w:val="004E0936"/>
    <w:rsid w:val="004E0FED"/>
    <w:rsid w:val="004E16B7"/>
    <w:rsid w:val="004E1C9B"/>
    <w:rsid w:val="004E1CCE"/>
    <w:rsid w:val="004E23BC"/>
    <w:rsid w:val="004E2653"/>
    <w:rsid w:val="004E2E1E"/>
    <w:rsid w:val="004E37BB"/>
    <w:rsid w:val="004E3ED7"/>
    <w:rsid w:val="004E4A42"/>
    <w:rsid w:val="004E4CA0"/>
    <w:rsid w:val="004E5CF9"/>
    <w:rsid w:val="004E5D4E"/>
    <w:rsid w:val="004E5D65"/>
    <w:rsid w:val="004E60EF"/>
    <w:rsid w:val="004E6396"/>
    <w:rsid w:val="004E7892"/>
    <w:rsid w:val="004E7FC1"/>
    <w:rsid w:val="004F03C4"/>
    <w:rsid w:val="004F0A14"/>
    <w:rsid w:val="004F0D13"/>
    <w:rsid w:val="004F0FD3"/>
    <w:rsid w:val="004F100C"/>
    <w:rsid w:val="004F1131"/>
    <w:rsid w:val="004F114F"/>
    <w:rsid w:val="004F19C0"/>
    <w:rsid w:val="004F22FC"/>
    <w:rsid w:val="004F242E"/>
    <w:rsid w:val="004F2ADF"/>
    <w:rsid w:val="004F3C97"/>
    <w:rsid w:val="004F4294"/>
    <w:rsid w:val="004F42BA"/>
    <w:rsid w:val="004F4589"/>
    <w:rsid w:val="004F4697"/>
    <w:rsid w:val="004F5302"/>
    <w:rsid w:val="004F5BF4"/>
    <w:rsid w:val="004F5CB5"/>
    <w:rsid w:val="004F681D"/>
    <w:rsid w:val="004F6B7F"/>
    <w:rsid w:val="004F6F1C"/>
    <w:rsid w:val="004F75DF"/>
    <w:rsid w:val="004F7624"/>
    <w:rsid w:val="00500386"/>
    <w:rsid w:val="0050114B"/>
    <w:rsid w:val="00501258"/>
    <w:rsid w:val="0050184E"/>
    <w:rsid w:val="00501F10"/>
    <w:rsid w:val="00501F87"/>
    <w:rsid w:val="005025D9"/>
    <w:rsid w:val="005027E8"/>
    <w:rsid w:val="00502B62"/>
    <w:rsid w:val="0050327A"/>
    <w:rsid w:val="005038CC"/>
    <w:rsid w:val="005039DE"/>
    <w:rsid w:val="00503B3C"/>
    <w:rsid w:val="00504157"/>
    <w:rsid w:val="00504D1E"/>
    <w:rsid w:val="00504F73"/>
    <w:rsid w:val="00505293"/>
    <w:rsid w:val="00506E76"/>
    <w:rsid w:val="005076F5"/>
    <w:rsid w:val="00507799"/>
    <w:rsid w:val="00507E15"/>
    <w:rsid w:val="005101B0"/>
    <w:rsid w:val="00510479"/>
    <w:rsid w:val="00510632"/>
    <w:rsid w:val="00510948"/>
    <w:rsid w:val="00511BAD"/>
    <w:rsid w:val="00511DBF"/>
    <w:rsid w:val="0051239E"/>
    <w:rsid w:val="005126E8"/>
    <w:rsid w:val="00512D23"/>
    <w:rsid w:val="00513670"/>
    <w:rsid w:val="005138C5"/>
    <w:rsid w:val="00514611"/>
    <w:rsid w:val="00514B3C"/>
    <w:rsid w:val="005150C9"/>
    <w:rsid w:val="0051586C"/>
    <w:rsid w:val="00515DF5"/>
    <w:rsid w:val="00515E1D"/>
    <w:rsid w:val="0051632B"/>
    <w:rsid w:val="00516738"/>
    <w:rsid w:val="00516DAD"/>
    <w:rsid w:val="00516E08"/>
    <w:rsid w:val="0051759B"/>
    <w:rsid w:val="005176B0"/>
    <w:rsid w:val="00517E42"/>
    <w:rsid w:val="00517F36"/>
    <w:rsid w:val="00520329"/>
    <w:rsid w:val="00520356"/>
    <w:rsid w:val="005206D2"/>
    <w:rsid w:val="005210F6"/>
    <w:rsid w:val="005213DA"/>
    <w:rsid w:val="00521486"/>
    <w:rsid w:val="00522935"/>
    <w:rsid w:val="00522BA5"/>
    <w:rsid w:val="005233E5"/>
    <w:rsid w:val="005233F8"/>
    <w:rsid w:val="00523477"/>
    <w:rsid w:val="005235A5"/>
    <w:rsid w:val="005239F5"/>
    <w:rsid w:val="005240F4"/>
    <w:rsid w:val="0052417B"/>
    <w:rsid w:val="00524223"/>
    <w:rsid w:val="00524867"/>
    <w:rsid w:val="0052491C"/>
    <w:rsid w:val="00525852"/>
    <w:rsid w:val="00525E23"/>
    <w:rsid w:val="005266D9"/>
    <w:rsid w:val="005267E0"/>
    <w:rsid w:val="005270F7"/>
    <w:rsid w:val="005274F1"/>
    <w:rsid w:val="00527726"/>
    <w:rsid w:val="00527A15"/>
    <w:rsid w:val="00527C19"/>
    <w:rsid w:val="00527D70"/>
    <w:rsid w:val="0053016A"/>
    <w:rsid w:val="005301C9"/>
    <w:rsid w:val="00530496"/>
    <w:rsid w:val="0053088B"/>
    <w:rsid w:val="00530F03"/>
    <w:rsid w:val="00532538"/>
    <w:rsid w:val="00532AC6"/>
    <w:rsid w:val="00533354"/>
    <w:rsid w:val="005335AA"/>
    <w:rsid w:val="005337D6"/>
    <w:rsid w:val="00533BC9"/>
    <w:rsid w:val="00533C2A"/>
    <w:rsid w:val="00533F87"/>
    <w:rsid w:val="00534443"/>
    <w:rsid w:val="0053490D"/>
    <w:rsid w:val="00534B91"/>
    <w:rsid w:val="00534E3E"/>
    <w:rsid w:val="00534EBD"/>
    <w:rsid w:val="00534EE2"/>
    <w:rsid w:val="005354C6"/>
    <w:rsid w:val="00535796"/>
    <w:rsid w:val="0053581A"/>
    <w:rsid w:val="00535AA2"/>
    <w:rsid w:val="00535C2C"/>
    <w:rsid w:val="00535F6E"/>
    <w:rsid w:val="005367E8"/>
    <w:rsid w:val="00536B93"/>
    <w:rsid w:val="00536CD5"/>
    <w:rsid w:val="00537379"/>
    <w:rsid w:val="00537495"/>
    <w:rsid w:val="005374FC"/>
    <w:rsid w:val="005402AF"/>
    <w:rsid w:val="00540591"/>
    <w:rsid w:val="0054071A"/>
    <w:rsid w:val="005409BA"/>
    <w:rsid w:val="00541197"/>
    <w:rsid w:val="00541833"/>
    <w:rsid w:val="005418B5"/>
    <w:rsid w:val="0054202F"/>
    <w:rsid w:val="005428E6"/>
    <w:rsid w:val="00542CD9"/>
    <w:rsid w:val="005433FD"/>
    <w:rsid w:val="00543936"/>
    <w:rsid w:val="00543A49"/>
    <w:rsid w:val="00543CC6"/>
    <w:rsid w:val="0054457E"/>
    <w:rsid w:val="00544620"/>
    <w:rsid w:val="005450C6"/>
    <w:rsid w:val="005454AD"/>
    <w:rsid w:val="005458B2"/>
    <w:rsid w:val="00546525"/>
    <w:rsid w:val="00546D18"/>
    <w:rsid w:val="005476B4"/>
    <w:rsid w:val="00547AAB"/>
    <w:rsid w:val="00547DBC"/>
    <w:rsid w:val="005502B5"/>
    <w:rsid w:val="00550559"/>
    <w:rsid w:val="005506B7"/>
    <w:rsid w:val="00550871"/>
    <w:rsid w:val="005509A7"/>
    <w:rsid w:val="00550A62"/>
    <w:rsid w:val="00550DDB"/>
    <w:rsid w:val="00551399"/>
    <w:rsid w:val="005513CD"/>
    <w:rsid w:val="005513EA"/>
    <w:rsid w:val="005515EC"/>
    <w:rsid w:val="00551E4B"/>
    <w:rsid w:val="00551F5F"/>
    <w:rsid w:val="00552108"/>
    <w:rsid w:val="005522A9"/>
    <w:rsid w:val="005524B3"/>
    <w:rsid w:val="005524CF"/>
    <w:rsid w:val="00552514"/>
    <w:rsid w:val="00552F6F"/>
    <w:rsid w:val="005532CE"/>
    <w:rsid w:val="005533A0"/>
    <w:rsid w:val="00553691"/>
    <w:rsid w:val="005536D2"/>
    <w:rsid w:val="00553C48"/>
    <w:rsid w:val="00554041"/>
    <w:rsid w:val="00554390"/>
    <w:rsid w:val="005547CB"/>
    <w:rsid w:val="005552C9"/>
    <w:rsid w:val="005553E5"/>
    <w:rsid w:val="005554B8"/>
    <w:rsid w:val="00555DBD"/>
    <w:rsid w:val="00556B2D"/>
    <w:rsid w:val="00556E95"/>
    <w:rsid w:val="00556ECC"/>
    <w:rsid w:val="00557A49"/>
    <w:rsid w:val="00557A80"/>
    <w:rsid w:val="00557CA4"/>
    <w:rsid w:val="0056035C"/>
    <w:rsid w:val="00560683"/>
    <w:rsid w:val="00560D7C"/>
    <w:rsid w:val="005610C8"/>
    <w:rsid w:val="00561221"/>
    <w:rsid w:val="00561C6A"/>
    <w:rsid w:val="00561C82"/>
    <w:rsid w:val="00561FBD"/>
    <w:rsid w:val="005624A1"/>
    <w:rsid w:val="005625D5"/>
    <w:rsid w:val="00562DE9"/>
    <w:rsid w:val="00562E0D"/>
    <w:rsid w:val="005633FD"/>
    <w:rsid w:val="00563754"/>
    <w:rsid w:val="00563A61"/>
    <w:rsid w:val="00564395"/>
    <w:rsid w:val="005647F5"/>
    <w:rsid w:val="00564BC5"/>
    <w:rsid w:val="00564C3E"/>
    <w:rsid w:val="005651A7"/>
    <w:rsid w:val="005657F9"/>
    <w:rsid w:val="00565877"/>
    <w:rsid w:val="005663EB"/>
    <w:rsid w:val="00566459"/>
    <w:rsid w:val="005667C7"/>
    <w:rsid w:val="00566FC7"/>
    <w:rsid w:val="0056738F"/>
    <w:rsid w:val="00567A91"/>
    <w:rsid w:val="00567DF1"/>
    <w:rsid w:val="00570017"/>
    <w:rsid w:val="0057006A"/>
    <w:rsid w:val="005702B0"/>
    <w:rsid w:val="0057160A"/>
    <w:rsid w:val="00571F7A"/>
    <w:rsid w:val="00572166"/>
    <w:rsid w:val="005722E2"/>
    <w:rsid w:val="00572767"/>
    <w:rsid w:val="00572CE9"/>
    <w:rsid w:val="00573001"/>
    <w:rsid w:val="005732FA"/>
    <w:rsid w:val="00573D69"/>
    <w:rsid w:val="0057464C"/>
    <w:rsid w:val="005747A8"/>
    <w:rsid w:val="0057528E"/>
    <w:rsid w:val="00575B3E"/>
    <w:rsid w:val="00575F57"/>
    <w:rsid w:val="00576001"/>
    <w:rsid w:val="0057680B"/>
    <w:rsid w:val="005769B6"/>
    <w:rsid w:val="00576B1F"/>
    <w:rsid w:val="00576DC9"/>
    <w:rsid w:val="00577172"/>
    <w:rsid w:val="005771AC"/>
    <w:rsid w:val="005775C7"/>
    <w:rsid w:val="00577BFA"/>
    <w:rsid w:val="00577EE1"/>
    <w:rsid w:val="0058079F"/>
    <w:rsid w:val="00580C8D"/>
    <w:rsid w:val="00580D28"/>
    <w:rsid w:val="00581277"/>
    <w:rsid w:val="00581385"/>
    <w:rsid w:val="005818C6"/>
    <w:rsid w:val="00582976"/>
    <w:rsid w:val="005829DA"/>
    <w:rsid w:val="00582ACC"/>
    <w:rsid w:val="00582D67"/>
    <w:rsid w:val="00583B65"/>
    <w:rsid w:val="00584035"/>
    <w:rsid w:val="005840F1"/>
    <w:rsid w:val="005842C2"/>
    <w:rsid w:val="00584463"/>
    <w:rsid w:val="0058466F"/>
    <w:rsid w:val="00584837"/>
    <w:rsid w:val="00584A21"/>
    <w:rsid w:val="00585024"/>
    <w:rsid w:val="00585198"/>
    <w:rsid w:val="00585338"/>
    <w:rsid w:val="00585431"/>
    <w:rsid w:val="005854BD"/>
    <w:rsid w:val="00585799"/>
    <w:rsid w:val="0058584C"/>
    <w:rsid w:val="00585D7A"/>
    <w:rsid w:val="00587070"/>
    <w:rsid w:val="005870B5"/>
    <w:rsid w:val="00590709"/>
    <w:rsid w:val="00590CD1"/>
    <w:rsid w:val="00590F8B"/>
    <w:rsid w:val="005912FC"/>
    <w:rsid w:val="00591CE7"/>
    <w:rsid w:val="00591D54"/>
    <w:rsid w:val="00591E91"/>
    <w:rsid w:val="005929BA"/>
    <w:rsid w:val="00592CE7"/>
    <w:rsid w:val="00592F4F"/>
    <w:rsid w:val="00592F7A"/>
    <w:rsid w:val="005938D7"/>
    <w:rsid w:val="00593952"/>
    <w:rsid w:val="00593B98"/>
    <w:rsid w:val="005942B4"/>
    <w:rsid w:val="00594530"/>
    <w:rsid w:val="00594B08"/>
    <w:rsid w:val="00595245"/>
    <w:rsid w:val="00595880"/>
    <w:rsid w:val="00597F5E"/>
    <w:rsid w:val="005A0E92"/>
    <w:rsid w:val="005A13A3"/>
    <w:rsid w:val="005A1DBB"/>
    <w:rsid w:val="005A202E"/>
    <w:rsid w:val="005A280F"/>
    <w:rsid w:val="005A28D1"/>
    <w:rsid w:val="005A2917"/>
    <w:rsid w:val="005A297C"/>
    <w:rsid w:val="005A3567"/>
    <w:rsid w:val="005A402E"/>
    <w:rsid w:val="005A4229"/>
    <w:rsid w:val="005A43D3"/>
    <w:rsid w:val="005A5926"/>
    <w:rsid w:val="005A5E15"/>
    <w:rsid w:val="005A6013"/>
    <w:rsid w:val="005A6494"/>
    <w:rsid w:val="005A662D"/>
    <w:rsid w:val="005A6A91"/>
    <w:rsid w:val="005A6F4A"/>
    <w:rsid w:val="005A7075"/>
    <w:rsid w:val="005A7347"/>
    <w:rsid w:val="005A7460"/>
    <w:rsid w:val="005B05BD"/>
    <w:rsid w:val="005B082D"/>
    <w:rsid w:val="005B08BC"/>
    <w:rsid w:val="005B0CDF"/>
    <w:rsid w:val="005B1D4A"/>
    <w:rsid w:val="005B21C4"/>
    <w:rsid w:val="005B22F2"/>
    <w:rsid w:val="005B2EC7"/>
    <w:rsid w:val="005B2F25"/>
    <w:rsid w:val="005B2FCB"/>
    <w:rsid w:val="005B3427"/>
    <w:rsid w:val="005B3DB3"/>
    <w:rsid w:val="005B49FB"/>
    <w:rsid w:val="005B4AF1"/>
    <w:rsid w:val="005B5376"/>
    <w:rsid w:val="005B55C5"/>
    <w:rsid w:val="005B5D4E"/>
    <w:rsid w:val="005B6103"/>
    <w:rsid w:val="005B6298"/>
    <w:rsid w:val="005B63AF"/>
    <w:rsid w:val="005B67FA"/>
    <w:rsid w:val="005B6EEF"/>
    <w:rsid w:val="005B732E"/>
    <w:rsid w:val="005B75E4"/>
    <w:rsid w:val="005B79D9"/>
    <w:rsid w:val="005B7E2E"/>
    <w:rsid w:val="005C0960"/>
    <w:rsid w:val="005C1122"/>
    <w:rsid w:val="005C2039"/>
    <w:rsid w:val="005C24F4"/>
    <w:rsid w:val="005C27C2"/>
    <w:rsid w:val="005C29EE"/>
    <w:rsid w:val="005C3036"/>
    <w:rsid w:val="005C3165"/>
    <w:rsid w:val="005C3C40"/>
    <w:rsid w:val="005C3EDE"/>
    <w:rsid w:val="005C4732"/>
    <w:rsid w:val="005C49A4"/>
    <w:rsid w:val="005C504F"/>
    <w:rsid w:val="005C5AFB"/>
    <w:rsid w:val="005C5C5F"/>
    <w:rsid w:val="005C6082"/>
    <w:rsid w:val="005C6723"/>
    <w:rsid w:val="005C67BA"/>
    <w:rsid w:val="005C740B"/>
    <w:rsid w:val="005C77F7"/>
    <w:rsid w:val="005C7839"/>
    <w:rsid w:val="005C79B0"/>
    <w:rsid w:val="005D0133"/>
    <w:rsid w:val="005D0A99"/>
    <w:rsid w:val="005D0F43"/>
    <w:rsid w:val="005D102D"/>
    <w:rsid w:val="005D205D"/>
    <w:rsid w:val="005D269D"/>
    <w:rsid w:val="005D2758"/>
    <w:rsid w:val="005D2878"/>
    <w:rsid w:val="005D2CB1"/>
    <w:rsid w:val="005D3416"/>
    <w:rsid w:val="005D3E2B"/>
    <w:rsid w:val="005D4177"/>
    <w:rsid w:val="005D45D5"/>
    <w:rsid w:val="005D4EE7"/>
    <w:rsid w:val="005D4FC3"/>
    <w:rsid w:val="005D52DF"/>
    <w:rsid w:val="005D55B0"/>
    <w:rsid w:val="005D609F"/>
    <w:rsid w:val="005D64D8"/>
    <w:rsid w:val="005D6792"/>
    <w:rsid w:val="005D6B89"/>
    <w:rsid w:val="005D710B"/>
    <w:rsid w:val="005D72EB"/>
    <w:rsid w:val="005D75B1"/>
    <w:rsid w:val="005D777C"/>
    <w:rsid w:val="005D7DA5"/>
    <w:rsid w:val="005D7EE2"/>
    <w:rsid w:val="005D7F9F"/>
    <w:rsid w:val="005E0073"/>
    <w:rsid w:val="005E0333"/>
    <w:rsid w:val="005E04CF"/>
    <w:rsid w:val="005E06AF"/>
    <w:rsid w:val="005E12A1"/>
    <w:rsid w:val="005E12AB"/>
    <w:rsid w:val="005E151F"/>
    <w:rsid w:val="005E17A4"/>
    <w:rsid w:val="005E2097"/>
    <w:rsid w:val="005E2385"/>
    <w:rsid w:val="005E23AC"/>
    <w:rsid w:val="005E2418"/>
    <w:rsid w:val="005E27DF"/>
    <w:rsid w:val="005E2BAA"/>
    <w:rsid w:val="005E2D35"/>
    <w:rsid w:val="005E2FF4"/>
    <w:rsid w:val="005E3E10"/>
    <w:rsid w:val="005E3F50"/>
    <w:rsid w:val="005E4286"/>
    <w:rsid w:val="005E4355"/>
    <w:rsid w:val="005E47DD"/>
    <w:rsid w:val="005E4BDD"/>
    <w:rsid w:val="005E54D9"/>
    <w:rsid w:val="005E5764"/>
    <w:rsid w:val="005E5BD3"/>
    <w:rsid w:val="005E6297"/>
    <w:rsid w:val="005E75CE"/>
    <w:rsid w:val="005F08F5"/>
    <w:rsid w:val="005F0AA9"/>
    <w:rsid w:val="005F0CA4"/>
    <w:rsid w:val="005F0E16"/>
    <w:rsid w:val="005F0E8F"/>
    <w:rsid w:val="005F1543"/>
    <w:rsid w:val="005F2B55"/>
    <w:rsid w:val="005F2E1B"/>
    <w:rsid w:val="005F33BF"/>
    <w:rsid w:val="005F4307"/>
    <w:rsid w:val="005F54C5"/>
    <w:rsid w:val="005F5B17"/>
    <w:rsid w:val="005F5B31"/>
    <w:rsid w:val="005F689A"/>
    <w:rsid w:val="005F68B2"/>
    <w:rsid w:val="005F6AAC"/>
    <w:rsid w:val="005F6D6A"/>
    <w:rsid w:val="005F6F16"/>
    <w:rsid w:val="005F6FD4"/>
    <w:rsid w:val="005F7545"/>
    <w:rsid w:val="005F798F"/>
    <w:rsid w:val="0060026E"/>
    <w:rsid w:val="0060095D"/>
    <w:rsid w:val="00600AA4"/>
    <w:rsid w:val="006019DF"/>
    <w:rsid w:val="00602084"/>
    <w:rsid w:val="0060215D"/>
    <w:rsid w:val="006024D2"/>
    <w:rsid w:val="00602612"/>
    <w:rsid w:val="00603BCF"/>
    <w:rsid w:val="00603E7D"/>
    <w:rsid w:val="00603FA5"/>
    <w:rsid w:val="00604264"/>
    <w:rsid w:val="00604541"/>
    <w:rsid w:val="00605328"/>
    <w:rsid w:val="00605727"/>
    <w:rsid w:val="006057D8"/>
    <w:rsid w:val="00605DC5"/>
    <w:rsid w:val="00606326"/>
    <w:rsid w:val="00607349"/>
    <w:rsid w:val="00607CC5"/>
    <w:rsid w:val="00610574"/>
    <w:rsid w:val="0061135A"/>
    <w:rsid w:val="00612639"/>
    <w:rsid w:val="00612838"/>
    <w:rsid w:val="00612951"/>
    <w:rsid w:val="00612D0F"/>
    <w:rsid w:val="00612ECB"/>
    <w:rsid w:val="006139EA"/>
    <w:rsid w:val="00613A5F"/>
    <w:rsid w:val="00613BC1"/>
    <w:rsid w:val="0061455F"/>
    <w:rsid w:val="00614EB3"/>
    <w:rsid w:val="00614FBF"/>
    <w:rsid w:val="006157C3"/>
    <w:rsid w:val="006158F6"/>
    <w:rsid w:val="00615E4E"/>
    <w:rsid w:val="00615FAA"/>
    <w:rsid w:val="0061614C"/>
    <w:rsid w:val="0061618D"/>
    <w:rsid w:val="00616836"/>
    <w:rsid w:val="0061752A"/>
    <w:rsid w:val="0061757A"/>
    <w:rsid w:val="00617B42"/>
    <w:rsid w:val="00617DF4"/>
    <w:rsid w:val="00620244"/>
    <w:rsid w:val="0062050C"/>
    <w:rsid w:val="006209A6"/>
    <w:rsid w:val="006210B3"/>
    <w:rsid w:val="00621F82"/>
    <w:rsid w:val="0062243A"/>
    <w:rsid w:val="0062246B"/>
    <w:rsid w:val="0062293A"/>
    <w:rsid w:val="00622C66"/>
    <w:rsid w:val="00622EC4"/>
    <w:rsid w:val="0062372D"/>
    <w:rsid w:val="00623830"/>
    <w:rsid w:val="00623872"/>
    <w:rsid w:val="006239B6"/>
    <w:rsid w:val="00624217"/>
    <w:rsid w:val="0062429B"/>
    <w:rsid w:val="006251CF"/>
    <w:rsid w:val="00625534"/>
    <w:rsid w:val="006256DE"/>
    <w:rsid w:val="006265EA"/>
    <w:rsid w:val="00626C92"/>
    <w:rsid w:val="0062733E"/>
    <w:rsid w:val="0062774F"/>
    <w:rsid w:val="0062797A"/>
    <w:rsid w:val="006306AC"/>
    <w:rsid w:val="0063096A"/>
    <w:rsid w:val="00630F01"/>
    <w:rsid w:val="00630F49"/>
    <w:rsid w:val="00631EC0"/>
    <w:rsid w:val="006321C6"/>
    <w:rsid w:val="00632430"/>
    <w:rsid w:val="00632594"/>
    <w:rsid w:val="00632924"/>
    <w:rsid w:val="00632E3D"/>
    <w:rsid w:val="00633A4C"/>
    <w:rsid w:val="00633AC7"/>
    <w:rsid w:val="00633C81"/>
    <w:rsid w:val="00633D33"/>
    <w:rsid w:val="006342AB"/>
    <w:rsid w:val="00634903"/>
    <w:rsid w:val="0063495B"/>
    <w:rsid w:val="006353B1"/>
    <w:rsid w:val="006353F1"/>
    <w:rsid w:val="00635F8E"/>
    <w:rsid w:val="00636130"/>
    <w:rsid w:val="006364AE"/>
    <w:rsid w:val="00636596"/>
    <w:rsid w:val="006368BC"/>
    <w:rsid w:val="00636BBC"/>
    <w:rsid w:val="00637AEF"/>
    <w:rsid w:val="00637B10"/>
    <w:rsid w:val="00637F9B"/>
    <w:rsid w:val="006402C2"/>
    <w:rsid w:val="006402C8"/>
    <w:rsid w:val="006407F6"/>
    <w:rsid w:val="0064083A"/>
    <w:rsid w:val="00640ACD"/>
    <w:rsid w:val="0064155F"/>
    <w:rsid w:val="00641598"/>
    <w:rsid w:val="006416E1"/>
    <w:rsid w:val="0064197A"/>
    <w:rsid w:val="00641C8D"/>
    <w:rsid w:val="00642449"/>
    <w:rsid w:val="00642580"/>
    <w:rsid w:val="00642933"/>
    <w:rsid w:val="00642FBA"/>
    <w:rsid w:val="0064302B"/>
    <w:rsid w:val="006431B3"/>
    <w:rsid w:val="00643420"/>
    <w:rsid w:val="006435C9"/>
    <w:rsid w:val="00643C59"/>
    <w:rsid w:val="006449AF"/>
    <w:rsid w:val="00645052"/>
    <w:rsid w:val="006451E1"/>
    <w:rsid w:val="0064604A"/>
    <w:rsid w:val="0064639A"/>
    <w:rsid w:val="0064666E"/>
    <w:rsid w:val="00646DAB"/>
    <w:rsid w:val="00646F8E"/>
    <w:rsid w:val="0064724A"/>
    <w:rsid w:val="00647C3D"/>
    <w:rsid w:val="00647FA6"/>
    <w:rsid w:val="006504FB"/>
    <w:rsid w:val="0065074D"/>
    <w:rsid w:val="00650B0B"/>
    <w:rsid w:val="00650C56"/>
    <w:rsid w:val="00650D2A"/>
    <w:rsid w:val="0065123B"/>
    <w:rsid w:val="006517FB"/>
    <w:rsid w:val="00651848"/>
    <w:rsid w:val="00651B99"/>
    <w:rsid w:val="00651C4C"/>
    <w:rsid w:val="00651D1A"/>
    <w:rsid w:val="0065247B"/>
    <w:rsid w:val="006524A9"/>
    <w:rsid w:val="00652599"/>
    <w:rsid w:val="006526C8"/>
    <w:rsid w:val="00652D4D"/>
    <w:rsid w:val="00653261"/>
    <w:rsid w:val="0065406D"/>
    <w:rsid w:val="006543DC"/>
    <w:rsid w:val="006544E6"/>
    <w:rsid w:val="006546FF"/>
    <w:rsid w:val="00654867"/>
    <w:rsid w:val="00654BFD"/>
    <w:rsid w:val="00654EA8"/>
    <w:rsid w:val="00654EBA"/>
    <w:rsid w:val="0065561A"/>
    <w:rsid w:val="00655909"/>
    <w:rsid w:val="00655D10"/>
    <w:rsid w:val="00655E36"/>
    <w:rsid w:val="00655FEF"/>
    <w:rsid w:val="00656397"/>
    <w:rsid w:val="006564EC"/>
    <w:rsid w:val="00656CA0"/>
    <w:rsid w:val="00656EAA"/>
    <w:rsid w:val="006570C6"/>
    <w:rsid w:val="006574C9"/>
    <w:rsid w:val="00657607"/>
    <w:rsid w:val="00657C2B"/>
    <w:rsid w:val="00657E02"/>
    <w:rsid w:val="00657F1B"/>
    <w:rsid w:val="00657FB8"/>
    <w:rsid w:val="006601A1"/>
    <w:rsid w:val="0066029F"/>
    <w:rsid w:val="00660797"/>
    <w:rsid w:val="006607B0"/>
    <w:rsid w:val="00660852"/>
    <w:rsid w:val="00661C53"/>
    <w:rsid w:val="006625D5"/>
    <w:rsid w:val="0066260A"/>
    <w:rsid w:val="00662715"/>
    <w:rsid w:val="00662B00"/>
    <w:rsid w:val="00662FE7"/>
    <w:rsid w:val="0066366B"/>
    <w:rsid w:val="00663FD7"/>
    <w:rsid w:val="006640EC"/>
    <w:rsid w:val="006645D1"/>
    <w:rsid w:val="00664BB3"/>
    <w:rsid w:val="00664EF2"/>
    <w:rsid w:val="00665E8C"/>
    <w:rsid w:val="00666515"/>
    <w:rsid w:val="006706D2"/>
    <w:rsid w:val="00670718"/>
    <w:rsid w:val="00670F00"/>
    <w:rsid w:val="00671B8C"/>
    <w:rsid w:val="00671BE7"/>
    <w:rsid w:val="00671DA2"/>
    <w:rsid w:val="00671E51"/>
    <w:rsid w:val="00672238"/>
    <w:rsid w:val="0067235A"/>
    <w:rsid w:val="0067277B"/>
    <w:rsid w:val="00672996"/>
    <w:rsid w:val="00672C8E"/>
    <w:rsid w:val="00673456"/>
    <w:rsid w:val="00673B1C"/>
    <w:rsid w:val="00673CF0"/>
    <w:rsid w:val="00673D6C"/>
    <w:rsid w:val="00673DAD"/>
    <w:rsid w:val="00674044"/>
    <w:rsid w:val="00674091"/>
    <w:rsid w:val="006745EE"/>
    <w:rsid w:val="006758DC"/>
    <w:rsid w:val="00675D21"/>
    <w:rsid w:val="00676101"/>
    <w:rsid w:val="00676152"/>
    <w:rsid w:val="006761D0"/>
    <w:rsid w:val="00676885"/>
    <w:rsid w:val="00676D7F"/>
    <w:rsid w:val="00677A97"/>
    <w:rsid w:val="00677BA8"/>
    <w:rsid w:val="006812A0"/>
    <w:rsid w:val="00681BFB"/>
    <w:rsid w:val="00681C2C"/>
    <w:rsid w:val="006823A4"/>
    <w:rsid w:val="006826FB"/>
    <w:rsid w:val="00682D6E"/>
    <w:rsid w:val="0068322E"/>
    <w:rsid w:val="00683FEA"/>
    <w:rsid w:val="00685109"/>
    <w:rsid w:val="00685281"/>
    <w:rsid w:val="0068536A"/>
    <w:rsid w:val="00685423"/>
    <w:rsid w:val="0068543D"/>
    <w:rsid w:val="0068594D"/>
    <w:rsid w:val="00685F3B"/>
    <w:rsid w:val="00685F5E"/>
    <w:rsid w:val="00685F9C"/>
    <w:rsid w:val="00686506"/>
    <w:rsid w:val="0068692F"/>
    <w:rsid w:val="0068783A"/>
    <w:rsid w:val="006879A3"/>
    <w:rsid w:val="0069025A"/>
    <w:rsid w:val="00690ADB"/>
    <w:rsid w:val="00690B71"/>
    <w:rsid w:val="00690C6C"/>
    <w:rsid w:val="00690D8C"/>
    <w:rsid w:val="006910CD"/>
    <w:rsid w:val="006912EC"/>
    <w:rsid w:val="00692111"/>
    <w:rsid w:val="0069228F"/>
    <w:rsid w:val="00693247"/>
    <w:rsid w:val="00693282"/>
    <w:rsid w:val="006932E5"/>
    <w:rsid w:val="0069344D"/>
    <w:rsid w:val="00693AC8"/>
    <w:rsid w:val="00693DAE"/>
    <w:rsid w:val="00693E46"/>
    <w:rsid w:val="00694069"/>
    <w:rsid w:val="00694DFA"/>
    <w:rsid w:val="00694F03"/>
    <w:rsid w:val="00695B6C"/>
    <w:rsid w:val="00695D38"/>
    <w:rsid w:val="0069617A"/>
    <w:rsid w:val="0069671F"/>
    <w:rsid w:val="00696991"/>
    <w:rsid w:val="00696B0A"/>
    <w:rsid w:val="00696B2D"/>
    <w:rsid w:val="00696C78"/>
    <w:rsid w:val="00697379"/>
    <w:rsid w:val="006973E9"/>
    <w:rsid w:val="006974ED"/>
    <w:rsid w:val="006A0302"/>
    <w:rsid w:val="006A0A44"/>
    <w:rsid w:val="006A0BD9"/>
    <w:rsid w:val="006A0E41"/>
    <w:rsid w:val="006A0EEA"/>
    <w:rsid w:val="006A1055"/>
    <w:rsid w:val="006A14C1"/>
    <w:rsid w:val="006A17BD"/>
    <w:rsid w:val="006A20AC"/>
    <w:rsid w:val="006A23C8"/>
    <w:rsid w:val="006A256D"/>
    <w:rsid w:val="006A2F0D"/>
    <w:rsid w:val="006A3032"/>
    <w:rsid w:val="006A317D"/>
    <w:rsid w:val="006A3716"/>
    <w:rsid w:val="006A3E21"/>
    <w:rsid w:val="006A3F61"/>
    <w:rsid w:val="006A40A7"/>
    <w:rsid w:val="006A40DA"/>
    <w:rsid w:val="006A47A6"/>
    <w:rsid w:val="006A48DF"/>
    <w:rsid w:val="006A4A87"/>
    <w:rsid w:val="006A4C5F"/>
    <w:rsid w:val="006A5676"/>
    <w:rsid w:val="006A5AA9"/>
    <w:rsid w:val="006A63F4"/>
    <w:rsid w:val="006A6B82"/>
    <w:rsid w:val="006A6C49"/>
    <w:rsid w:val="006A73DB"/>
    <w:rsid w:val="006B1493"/>
    <w:rsid w:val="006B1B3C"/>
    <w:rsid w:val="006B1C2D"/>
    <w:rsid w:val="006B26BB"/>
    <w:rsid w:val="006B29E6"/>
    <w:rsid w:val="006B2CED"/>
    <w:rsid w:val="006B31E4"/>
    <w:rsid w:val="006B35B6"/>
    <w:rsid w:val="006B3B9A"/>
    <w:rsid w:val="006B3DF7"/>
    <w:rsid w:val="006B4320"/>
    <w:rsid w:val="006B521B"/>
    <w:rsid w:val="006B5448"/>
    <w:rsid w:val="006B5502"/>
    <w:rsid w:val="006B6076"/>
    <w:rsid w:val="006B62D1"/>
    <w:rsid w:val="006B6509"/>
    <w:rsid w:val="006B6691"/>
    <w:rsid w:val="006B6846"/>
    <w:rsid w:val="006B68D1"/>
    <w:rsid w:val="006B6BAD"/>
    <w:rsid w:val="006B6CCC"/>
    <w:rsid w:val="006B6D6C"/>
    <w:rsid w:val="006B72A9"/>
    <w:rsid w:val="006B7656"/>
    <w:rsid w:val="006B766A"/>
    <w:rsid w:val="006B77F8"/>
    <w:rsid w:val="006C00B5"/>
    <w:rsid w:val="006C05D3"/>
    <w:rsid w:val="006C0C95"/>
    <w:rsid w:val="006C108A"/>
    <w:rsid w:val="006C17E6"/>
    <w:rsid w:val="006C1B4E"/>
    <w:rsid w:val="006C1BBB"/>
    <w:rsid w:val="006C23AD"/>
    <w:rsid w:val="006C23BE"/>
    <w:rsid w:val="006C280C"/>
    <w:rsid w:val="006C2F11"/>
    <w:rsid w:val="006C3CFB"/>
    <w:rsid w:val="006C489C"/>
    <w:rsid w:val="006C49F9"/>
    <w:rsid w:val="006C4C54"/>
    <w:rsid w:val="006C59E7"/>
    <w:rsid w:val="006C5A45"/>
    <w:rsid w:val="006C5FD0"/>
    <w:rsid w:val="006C6278"/>
    <w:rsid w:val="006C661C"/>
    <w:rsid w:val="006C6770"/>
    <w:rsid w:val="006C73BB"/>
    <w:rsid w:val="006C7A57"/>
    <w:rsid w:val="006D0530"/>
    <w:rsid w:val="006D1375"/>
    <w:rsid w:val="006D1AF9"/>
    <w:rsid w:val="006D1E6B"/>
    <w:rsid w:val="006D1EEE"/>
    <w:rsid w:val="006D1F3C"/>
    <w:rsid w:val="006D22F1"/>
    <w:rsid w:val="006D2347"/>
    <w:rsid w:val="006D23A3"/>
    <w:rsid w:val="006D3006"/>
    <w:rsid w:val="006D3386"/>
    <w:rsid w:val="006D3517"/>
    <w:rsid w:val="006D37E0"/>
    <w:rsid w:val="006D3B57"/>
    <w:rsid w:val="006D3D5C"/>
    <w:rsid w:val="006D4933"/>
    <w:rsid w:val="006D541F"/>
    <w:rsid w:val="006D5840"/>
    <w:rsid w:val="006D584A"/>
    <w:rsid w:val="006D5D75"/>
    <w:rsid w:val="006D5DA9"/>
    <w:rsid w:val="006D6088"/>
    <w:rsid w:val="006D6500"/>
    <w:rsid w:val="006D6630"/>
    <w:rsid w:val="006D678F"/>
    <w:rsid w:val="006D71EE"/>
    <w:rsid w:val="006D7589"/>
    <w:rsid w:val="006D7CD6"/>
    <w:rsid w:val="006E0443"/>
    <w:rsid w:val="006E055D"/>
    <w:rsid w:val="006E068C"/>
    <w:rsid w:val="006E0743"/>
    <w:rsid w:val="006E094F"/>
    <w:rsid w:val="006E0E93"/>
    <w:rsid w:val="006E117F"/>
    <w:rsid w:val="006E149F"/>
    <w:rsid w:val="006E1EF5"/>
    <w:rsid w:val="006E2260"/>
    <w:rsid w:val="006E3226"/>
    <w:rsid w:val="006E392F"/>
    <w:rsid w:val="006E39C1"/>
    <w:rsid w:val="006E3D96"/>
    <w:rsid w:val="006E4637"/>
    <w:rsid w:val="006E5A95"/>
    <w:rsid w:val="006E5F19"/>
    <w:rsid w:val="006E68F0"/>
    <w:rsid w:val="006E694A"/>
    <w:rsid w:val="006E6CED"/>
    <w:rsid w:val="006E6FB4"/>
    <w:rsid w:val="006E75C8"/>
    <w:rsid w:val="006E7FCC"/>
    <w:rsid w:val="006F0527"/>
    <w:rsid w:val="006F08AF"/>
    <w:rsid w:val="006F0A40"/>
    <w:rsid w:val="006F0F3D"/>
    <w:rsid w:val="006F1280"/>
    <w:rsid w:val="006F1630"/>
    <w:rsid w:val="006F1A3F"/>
    <w:rsid w:val="006F1A7D"/>
    <w:rsid w:val="006F1D1C"/>
    <w:rsid w:val="006F20F0"/>
    <w:rsid w:val="006F27D0"/>
    <w:rsid w:val="006F2FE7"/>
    <w:rsid w:val="006F3441"/>
    <w:rsid w:val="006F34F0"/>
    <w:rsid w:val="006F3B21"/>
    <w:rsid w:val="006F47A7"/>
    <w:rsid w:val="006F4B40"/>
    <w:rsid w:val="006F4B9E"/>
    <w:rsid w:val="006F4E59"/>
    <w:rsid w:val="006F5038"/>
    <w:rsid w:val="006F510F"/>
    <w:rsid w:val="006F590C"/>
    <w:rsid w:val="006F5A6C"/>
    <w:rsid w:val="006F5BD3"/>
    <w:rsid w:val="006F6004"/>
    <w:rsid w:val="006F65A8"/>
    <w:rsid w:val="006F65D1"/>
    <w:rsid w:val="006F6B8B"/>
    <w:rsid w:val="006F6F15"/>
    <w:rsid w:val="006F7042"/>
    <w:rsid w:val="006F743A"/>
    <w:rsid w:val="006F74E6"/>
    <w:rsid w:val="006F7872"/>
    <w:rsid w:val="006F7B9C"/>
    <w:rsid w:val="006F7D7A"/>
    <w:rsid w:val="0070056F"/>
    <w:rsid w:val="00700631"/>
    <w:rsid w:val="0070080F"/>
    <w:rsid w:val="00700852"/>
    <w:rsid w:val="00700D10"/>
    <w:rsid w:val="00701254"/>
    <w:rsid w:val="00701444"/>
    <w:rsid w:val="00701922"/>
    <w:rsid w:val="00701E80"/>
    <w:rsid w:val="0070269C"/>
    <w:rsid w:val="007026F0"/>
    <w:rsid w:val="00702ADC"/>
    <w:rsid w:val="00702E10"/>
    <w:rsid w:val="00702ED7"/>
    <w:rsid w:val="007039BB"/>
    <w:rsid w:val="00703ACD"/>
    <w:rsid w:val="007041F7"/>
    <w:rsid w:val="0070532B"/>
    <w:rsid w:val="00705F48"/>
    <w:rsid w:val="00706008"/>
    <w:rsid w:val="0070614D"/>
    <w:rsid w:val="00706449"/>
    <w:rsid w:val="00706932"/>
    <w:rsid w:val="0070694B"/>
    <w:rsid w:val="00706BFD"/>
    <w:rsid w:val="00706C7A"/>
    <w:rsid w:val="00707445"/>
    <w:rsid w:val="007100B7"/>
    <w:rsid w:val="00710CC0"/>
    <w:rsid w:val="00711226"/>
    <w:rsid w:val="007113A4"/>
    <w:rsid w:val="00711659"/>
    <w:rsid w:val="007119E5"/>
    <w:rsid w:val="00711AE7"/>
    <w:rsid w:val="007122B2"/>
    <w:rsid w:val="00713569"/>
    <w:rsid w:val="0071458B"/>
    <w:rsid w:val="00714B7F"/>
    <w:rsid w:val="00714F67"/>
    <w:rsid w:val="00716502"/>
    <w:rsid w:val="00716AEC"/>
    <w:rsid w:val="007170A8"/>
    <w:rsid w:val="007171CE"/>
    <w:rsid w:val="0071738B"/>
    <w:rsid w:val="007176E5"/>
    <w:rsid w:val="0071781B"/>
    <w:rsid w:val="00717851"/>
    <w:rsid w:val="00717B42"/>
    <w:rsid w:val="00717B9C"/>
    <w:rsid w:val="0072066E"/>
    <w:rsid w:val="00720D7F"/>
    <w:rsid w:val="00721082"/>
    <w:rsid w:val="0072127D"/>
    <w:rsid w:val="00721AEB"/>
    <w:rsid w:val="00721C54"/>
    <w:rsid w:val="00721F9A"/>
    <w:rsid w:val="007222BF"/>
    <w:rsid w:val="007222FE"/>
    <w:rsid w:val="007228EC"/>
    <w:rsid w:val="00722DE2"/>
    <w:rsid w:val="0072310D"/>
    <w:rsid w:val="007244AE"/>
    <w:rsid w:val="0072498A"/>
    <w:rsid w:val="00724AE2"/>
    <w:rsid w:val="00724DA9"/>
    <w:rsid w:val="00725007"/>
    <w:rsid w:val="00725E6E"/>
    <w:rsid w:val="00725E80"/>
    <w:rsid w:val="00725F58"/>
    <w:rsid w:val="00725FA6"/>
    <w:rsid w:val="00726283"/>
    <w:rsid w:val="007263A0"/>
    <w:rsid w:val="007266BE"/>
    <w:rsid w:val="00726C52"/>
    <w:rsid w:val="00726F0D"/>
    <w:rsid w:val="00727126"/>
    <w:rsid w:val="007271E1"/>
    <w:rsid w:val="007277DC"/>
    <w:rsid w:val="007279E5"/>
    <w:rsid w:val="0073009A"/>
    <w:rsid w:val="007303D9"/>
    <w:rsid w:val="00730610"/>
    <w:rsid w:val="0073065D"/>
    <w:rsid w:val="00730D6E"/>
    <w:rsid w:val="00730DDA"/>
    <w:rsid w:val="007311F0"/>
    <w:rsid w:val="00731477"/>
    <w:rsid w:val="007315BC"/>
    <w:rsid w:val="00731C25"/>
    <w:rsid w:val="007323D4"/>
    <w:rsid w:val="007323DA"/>
    <w:rsid w:val="00732F34"/>
    <w:rsid w:val="007340A8"/>
    <w:rsid w:val="0073430E"/>
    <w:rsid w:val="007343F5"/>
    <w:rsid w:val="00734CFE"/>
    <w:rsid w:val="00735CFF"/>
    <w:rsid w:val="007363B4"/>
    <w:rsid w:val="007363B9"/>
    <w:rsid w:val="0073657E"/>
    <w:rsid w:val="0073659A"/>
    <w:rsid w:val="00736635"/>
    <w:rsid w:val="0073676B"/>
    <w:rsid w:val="0073702F"/>
    <w:rsid w:val="00737103"/>
    <w:rsid w:val="0073719D"/>
    <w:rsid w:val="00737B19"/>
    <w:rsid w:val="00737C45"/>
    <w:rsid w:val="00737CB2"/>
    <w:rsid w:val="00737CF5"/>
    <w:rsid w:val="00740CF4"/>
    <w:rsid w:val="00740EA8"/>
    <w:rsid w:val="0074139E"/>
    <w:rsid w:val="00742230"/>
    <w:rsid w:val="00742D42"/>
    <w:rsid w:val="00742F1A"/>
    <w:rsid w:val="007430C7"/>
    <w:rsid w:val="0074348B"/>
    <w:rsid w:val="00743814"/>
    <w:rsid w:val="00743A8F"/>
    <w:rsid w:val="00743B25"/>
    <w:rsid w:val="00743F5C"/>
    <w:rsid w:val="00744633"/>
    <w:rsid w:val="00744875"/>
    <w:rsid w:val="00744F81"/>
    <w:rsid w:val="00745720"/>
    <w:rsid w:val="00745816"/>
    <w:rsid w:val="00746766"/>
    <w:rsid w:val="00746D77"/>
    <w:rsid w:val="00747417"/>
    <w:rsid w:val="0074787D"/>
    <w:rsid w:val="00747CF3"/>
    <w:rsid w:val="00750A6B"/>
    <w:rsid w:val="00750B68"/>
    <w:rsid w:val="00750B98"/>
    <w:rsid w:val="00751A16"/>
    <w:rsid w:val="00751B24"/>
    <w:rsid w:val="007521B9"/>
    <w:rsid w:val="007523A4"/>
    <w:rsid w:val="00753012"/>
    <w:rsid w:val="0075378D"/>
    <w:rsid w:val="007537B5"/>
    <w:rsid w:val="00753827"/>
    <w:rsid w:val="00753CAB"/>
    <w:rsid w:val="00753E24"/>
    <w:rsid w:val="0075442F"/>
    <w:rsid w:val="0075478A"/>
    <w:rsid w:val="00754E33"/>
    <w:rsid w:val="00754EFE"/>
    <w:rsid w:val="00755631"/>
    <w:rsid w:val="00755709"/>
    <w:rsid w:val="00755848"/>
    <w:rsid w:val="00755DFB"/>
    <w:rsid w:val="00755F77"/>
    <w:rsid w:val="0075615A"/>
    <w:rsid w:val="00756458"/>
    <w:rsid w:val="007566CD"/>
    <w:rsid w:val="00756805"/>
    <w:rsid w:val="0075687D"/>
    <w:rsid w:val="00757187"/>
    <w:rsid w:val="00757213"/>
    <w:rsid w:val="00757916"/>
    <w:rsid w:val="00760096"/>
    <w:rsid w:val="00760996"/>
    <w:rsid w:val="00760AE8"/>
    <w:rsid w:val="00760C34"/>
    <w:rsid w:val="00760FC0"/>
    <w:rsid w:val="00761436"/>
    <w:rsid w:val="00762140"/>
    <w:rsid w:val="00762797"/>
    <w:rsid w:val="00762D2B"/>
    <w:rsid w:val="00763164"/>
    <w:rsid w:val="00763543"/>
    <w:rsid w:val="00763AAD"/>
    <w:rsid w:val="007642A5"/>
    <w:rsid w:val="0076462C"/>
    <w:rsid w:val="00764D67"/>
    <w:rsid w:val="00764E98"/>
    <w:rsid w:val="00764F25"/>
    <w:rsid w:val="0076566D"/>
    <w:rsid w:val="00765EC5"/>
    <w:rsid w:val="00765FD4"/>
    <w:rsid w:val="0076691E"/>
    <w:rsid w:val="00766DC5"/>
    <w:rsid w:val="007671D1"/>
    <w:rsid w:val="00770C2C"/>
    <w:rsid w:val="00770E58"/>
    <w:rsid w:val="00771F38"/>
    <w:rsid w:val="00772012"/>
    <w:rsid w:val="0077232A"/>
    <w:rsid w:val="0077255C"/>
    <w:rsid w:val="007737C3"/>
    <w:rsid w:val="00773A39"/>
    <w:rsid w:val="00774A69"/>
    <w:rsid w:val="00774D03"/>
    <w:rsid w:val="00775324"/>
    <w:rsid w:val="007755B8"/>
    <w:rsid w:val="00775ED3"/>
    <w:rsid w:val="00775F4B"/>
    <w:rsid w:val="00776144"/>
    <w:rsid w:val="007764BA"/>
    <w:rsid w:val="0077651B"/>
    <w:rsid w:val="00776694"/>
    <w:rsid w:val="00776729"/>
    <w:rsid w:val="007767A8"/>
    <w:rsid w:val="00776842"/>
    <w:rsid w:val="00776D78"/>
    <w:rsid w:val="0077719E"/>
    <w:rsid w:val="00777771"/>
    <w:rsid w:val="00777894"/>
    <w:rsid w:val="00781011"/>
    <w:rsid w:val="007824AF"/>
    <w:rsid w:val="0078275D"/>
    <w:rsid w:val="007835AA"/>
    <w:rsid w:val="00783B17"/>
    <w:rsid w:val="00783C91"/>
    <w:rsid w:val="00783C92"/>
    <w:rsid w:val="007844EB"/>
    <w:rsid w:val="0078487A"/>
    <w:rsid w:val="0078488D"/>
    <w:rsid w:val="007848B1"/>
    <w:rsid w:val="00784FE8"/>
    <w:rsid w:val="0078508A"/>
    <w:rsid w:val="0078521C"/>
    <w:rsid w:val="0078586D"/>
    <w:rsid w:val="00785BB5"/>
    <w:rsid w:val="00786466"/>
    <w:rsid w:val="00786EF6"/>
    <w:rsid w:val="00787611"/>
    <w:rsid w:val="00787894"/>
    <w:rsid w:val="00787A0C"/>
    <w:rsid w:val="00787E29"/>
    <w:rsid w:val="007915D2"/>
    <w:rsid w:val="007923A2"/>
    <w:rsid w:val="007923AB"/>
    <w:rsid w:val="00792D74"/>
    <w:rsid w:val="00792E30"/>
    <w:rsid w:val="0079315D"/>
    <w:rsid w:val="007933EF"/>
    <w:rsid w:val="00793714"/>
    <w:rsid w:val="007941D2"/>
    <w:rsid w:val="00794A7C"/>
    <w:rsid w:val="00794B42"/>
    <w:rsid w:val="007950D7"/>
    <w:rsid w:val="007955A7"/>
    <w:rsid w:val="00795D1E"/>
    <w:rsid w:val="00796289"/>
    <w:rsid w:val="007963FE"/>
    <w:rsid w:val="00796649"/>
    <w:rsid w:val="0079668C"/>
    <w:rsid w:val="00796B1E"/>
    <w:rsid w:val="00797162"/>
    <w:rsid w:val="0079770F"/>
    <w:rsid w:val="00797FF2"/>
    <w:rsid w:val="007A0200"/>
    <w:rsid w:val="007A0A03"/>
    <w:rsid w:val="007A11B5"/>
    <w:rsid w:val="007A212D"/>
    <w:rsid w:val="007A28B7"/>
    <w:rsid w:val="007A2A66"/>
    <w:rsid w:val="007A34C6"/>
    <w:rsid w:val="007A3CBE"/>
    <w:rsid w:val="007A3E1E"/>
    <w:rsid w:val="007A3F84"/>
    <w:rsid w:val="007A3FA5"/>
    <w:rsid w:val="007A4407"/>
    <w:rsid w:val="007A491E"/>
    <w:rsid w:val="007A4C4A"/>
    <w:rsid w:val="007A4FA2"/>
    <w:rsid w:val="007A53DE"/>
    <w:rsid w:val="007A5A20"/>
    <w:rsid w:val="007A62A6"/>
    <w:rsid w:val="007A63B4"/>
    <w:rsid w:val="007A68FF"/>
    <w:rsid w:val="007A695D"/>
    <w:rsid w:val="007A7360"/>
    <w:rsid w:val="007A75B3"/>
    <w:rsid w:val="007A7613"/>
    <w:rsid w:val="007A7F79"/>
    <w:rsid w:val="007B0B7F"/>
    <w:rsid w:val="007B21EE"/>
    <w:rsid w:val="007B266D"/>
    <w:rsid w:val="007B2BCF"/>
    <w:rsid w:val="007B2D7B"/>
    <w:rsid w:val="007B35C3"/>
    <w:rsid w:val="007B39C6"/>
    <w:rsid w:val="007B42AD"/>
    <w:rsid w:val="007B47DD"/>
    <w:rsid w:val="007B49BB"/>
    <w:rsid w:val="007B4A2E"/>
    <w:rsid w:val="007B4AB9"/>
    <w:rsid w:val="007B4B16"/>
    <w:rsid w:val="007B4C26"/>
    <w:rsid w:val="007B4D86"/>
    <w:rsid w:val="007B5594"/>
    <w:rsid w:val="007B5761"/>
    <w:rsid w:val="007B5D4F"/>
    <w:rsid w:val="007B61AB"/>
    <w:rsid w:val="007B690C"/>
    <w:rsid w:val="007B6DB8"/>
    <w:rsid w:val="007B6FBE"/>
    <w:rsid w:val="007B7069"/>
    <w:rsid w:val="007B73AA"/>
    <w:rsid w:val="007B7AA9"/>
    <w:rsid w:val="007C0DB9"/>
    <w:rsid w:val="007C111B"/>
    <w:rsid w:val="007C12D5"/>
    <w:rsid w:val="007C1438"/>
    <w:rsid w:val="007C205A"/>
    <w:rsid w:val="007C20D5"/>
    <w:rsid w:val="007C22BD"/>
    <w:rsid w:val="007C28E7"/>
    <w:rsid w:val="007C32D2"/>
    <w:rsid w:val="007C336C"/>
    <w:rsid w:val="007C37EF"/>
    <w:rsid w:val="007C3845"/>
    <w:rsid w:val="007C3927"/>
    <w:rsid w:val="007C3FE7"/>
    <w:rsid w:val="007C44B7"/>
    <w:rsid w:val="007C4863"/>
    <w:rsid w:val="007C4AEB"/>
    <w:rsid w:val="007C4B68"/>
    <w:rsid w:val="007C4F2F"/>
    <w:rsid w:val="007C5074"/>
    <w:rsid w:val="007C5144"/>
    <w:rsid w:val="007C5472"/>
    <w:rsid w:val="007C5C3D"/>
    <w:rsid w:val="007C5D60"/>
    <w:rsid w:val="007C5DA6"/>
    <w:rsid w:val="007C61D7"/>
    <w:rsid w:val="007C6B78"/>
    <w:rsid w:val="007C6F55"/>
    <w:rsid w:val="007C732E"/>
    <w:rsid w:val="007C74C2"/>
    <w:rsid w:val="007C77D0"/>
    <w:rsid w:val="007C7A28"/>
    <w:rsid w:val="007C7E1E"/>
    <w:rsid w:val="007D07E2"/>
    <w:rsid w:val="007D1603"/>
    <w:rsid w:val="007D1860"/>
    <w:rsid w:val="007D1AA7"/>
    <w:rsid w:val="007D1AFB"/>
    <w:rsid w:val="007D2061"/>
    <w:rsid w:val="007D2283"/>
    <w:rsid w:val="007D276A"/>
    <w:rsid w:val="007D29B6"/>
    <w:rsid w:val="007D2BE2"/>
    <w:rsid w:val="007D2D13"/>
    <w:rsid w:val="007D2DBB"/>
    <w:rsid w:val="007D2F41"/>
    <w:rsid w:val="007D438B"/>
    <w:rsid w:val="007D4485"/>
    <w:rsid w:val="007D44D6"/>
    <w:rsid w:val="007D4704"/>
    <w:rsid w:val="007D4C1E"/>
    <w:rsid w:val="007D4EAB"/>
    <w:rsid w:val="007D509F"/>
    <w:rsid w:val="007D57F0"/>
    <w:rsid w:val="007D5C4F"/>
    <w:rsid w:val="007D627D"/>
    <w:rsid w:val="007D64E4"/>
    <w:rsid w:val="007D6AEE"/>
    <w:rsid w:val="007D6DB1"/>
    <w:rsid w:val="007D7143"/>
    <w:rsid w:val="007D72C3"/>
    <w:rsid w:val="007D73FB"/>
    <w:rsid w:val="007D76E1"/>
    <w:rsid w:val="007D7BBE"/>
    <w:rsid w:val="007E041A"/>
    <w:rsid w:val="007E087B"/>
    <w:rsid w:val="007E0BB0"/>
    <w:rsid w:val="007E0EAD"/>
    <w:rsid w:val="007E0F48"/>
    <w:rsid w:val="007E1062"/>
    <w:rsid w:val="007E1A8F"/>
    <w:rsid w:val="007E1AC6"/>
    <w:rsid w:val="007E1CE7"/>
    <w:rsid w:val="007E1FD4"/>
    <w:rsid w:val="007E2381"/>
    <w:rsid w:val="007E2C8E"/>
    <w:rsid w:val="007E2D30"/>
    <w:rsid w:val="007E2EC4"/>
    <w:rsid w:val="007E31CA"/>
    <w:rsid w:val="007E368A"/>
    <w:rsid w:val="007E3BBC"/>
    <w:rsid w:val="007E3F7A"/>
    <w:rsid w:val="007E48B2"/>
    <w:rsid w:val="007E4A4C"/>
    <w:rsid w:val="007E4AE0"/>
    <w:rsid w:val="007E4CD8"/>
    <w:rsid w:val="007E4D7C"/>
    <w:rsid w:val="007E563C"/>
    <w:rsid w:val="007E599B"/>
    <w:rsid w:val="007E5C49"/>
    <w:rsid w:val="007E601C"/>
    <w:rsid w:val="007E6299"/>
    <w:rsid w:val="007E632A"/>
    <w:rsid w:val="007E6545"/>
    <w:rsid w:val="007E6690"/>
    <w:rsid w:val="007E6731"/>
    <w:rsid w:val="007E67A3"/>
    <w:rsid w:val="007E67CE"/>
    <w:rsid w:val="007E6846"/>
    <w:rsid w:val="007E6B1A"/>
    <w:rsid w:val="007E7441"/>
    <w:rsid w:val="007E7782"/>
    <w:rsid w:val="007E7970"/>
    <w:rsid w:val="007E7EA2"/>
    <w:rsid w:val="007F0836"/>
    <w:rsid w:val="007F1036"/>
    <w:rsid w:val="007F10A0"/>
    <w:rsid w:val="007F13BE"/>
    <w:rsid w:val="007F14CC"/>
    <w:rsid w:val="007F1515"/>
    <w:rsid w:val="007F1A25"/>
    <w:rsid w:val="007F1E43"/>
    <w:rsid w:val="007F2242"/>
    <w:rsid w:val="007F24DC"/>
    <w:rsid w:val="007F268B"/>
    <w:rsid w:val="007F2776"/>
    <w:rsid w:val="007F28F7"/>
    <w:rsid w:val="007F2DEC"/>
    <w:rsid w:val="007F2EFD"/>
    <w:rsid w:val="007F339E"/>
    <w:rsid w:val="007F3A2D"/>
    <w:rsid w:val="007F3AA0"/>
    <w:rsid w:val="007F4DF6"/>
    <w:rsid w:val="007F5209"/>
    <w:rsid w:val="007F5210"/>
    <w:rsid w:val="007F55BB"/>
    <w:rsid w:val="007F5B6A"/>
    <w:rsid w:val="007F5EE9"/>
    <w:rsid w:val="007F603A"/>
    <w:rsid w:val="007F6339"/>
    <w:rsid w:val="007F6D4D"/>
    <w:rsid w:val="007F7075"/>
    <w:rsid w:val="007F70C7"/>
    <w:rsid w:val="007F7240"/>
    <w:rsid w:val="007F7316"/>
    <w:rsid w:val="007F7549"/>
    <w:rsid w:val="007F7935"/>
    <w:rsid w:val="00800C94"/>
    <w:rsid w:val="00801AEA"/>
    <w:rsid w:val="00801F5D"/>
    <w:rsid w:val="00802A26"/>
    <w:rsid w:val="00802CCE"/>
    <w:rsid w:val="00802E41"/>
    <w:rsid w:val="00803880"/>
    <w:rsid w:val="00803C87"/>
    <w:rsid w:val="0080413C"/>
    <w:rsid w:val="00804675"/>
    <w:rsid w:val="008048ED"/>
    <w:rsid w:val="00804C62"/>
    <w:rsid w:val="00804C8F"/>
    <w:rsid w:val="00804CC5"/>
    <w:rsid w:val="00804E22"/>
    <w:rsid w:val="008052BF"/>
    <w:rsid w:val="008054FE"/>
    <w:rsid w:val="00805574"/>
    <w:rsid w:val="00805E23"/>
    <w:rsid w:val="00806128"/>
    <w:rsid w:val="00806152"/>
    <w:rsid w:val="008068FB"/>
    <w:rsid w:val="00806D1C"/>
    <w:rsid w:val="00806DDF"/>
    <w:rsid w:val="00806E3E"/>
    <w:rsid w:val="00806FE4"/>
    <w:rsid w:val="00807BAC"/>
    <w:rsid w:val="00807C1C"/>
    <w:rsid w:val="00807F23"/>
    <w:rsid w:val="0081083F"/>
    <w:rsid w:val="008118D7"/>
    <w:rsid w:val="008119E6"/>
    <w:rsid w:val="00811CCE"/>
    <w:rsid w:val="00811F75"/>
    <w:rsid w:val="00812A46"/>
    <w:rsid w:val="00812CE5"/>
    <w:rsid w:val="00812E5D"/>
    <w:rsid w:val="00813C7E"/>
    <w:rsid w:val="00814C35"/>
    <w:rsid w:val="008151A3"/>
    <w:rsid w:val="00815CE1"/>
    <w:rsid w:val="008168F7"/>
    <w:rsid w:val="008170C3"/>
    <w:rsid w:val="00817108"/>
    <w:rsid w:val="008172CB"/>
    <w:rsid w:val="0082027A"/>
    <w:rsid w:val="008202EE"/>
    <w:rsid w:val="008203E5"/>
    <w:rsid w:val="008209B6"/>
    <w:rsid w:val="008209D7"/>
    <w:rsid w:val="00820D85"/>
    <w:rsid w:val="00821E04"/>
    <w:rsid w:val="0082200E"/>
    <w:rsid w:val="0082269E"/>
    <w:rsid w:val="0082308F"/>
    <w:rsid w:val="0082333D"/>
    <w:rsid w:val="00824705"/>
    <w:rsid w:val="00825259"/>
    <w:rsid w:val="008252C5"/>
    <w:rsid w:val="0082535C"/>
    <w:rsid w:val="0082541A"/>
    <w:rsid w:val="0082569A"/>
    <w:rsid w:val="00825B2A"/>
    <w:rsid w:val="00826314"/>
    <w:rsid w:val="008263F4"/>
    <w:rsid w:val="008265E3"/>
    <w:rsid w:val="008269DF"/>
    <w:rsid w:val="00826CEA"/>
    <w:rsid w:val="00826DE8"/>
    <w:rsid w:val="00827B85"/>
    <w:rsid w:val="00827C39"/>
    <w:rsid w:val="00827EAF"/>
    <w:rsid w:val="00830065"/>
    <w:rsid w:val="0083044B"/>
    <w:rsid w:val="008309A2"/>
    <w:rsid w:val="0083161A"/>
    <w:rsid w:val="00831D90"/>
    <w:rsid w:val="008321E2"/>
    <w:rsid w:val="00832257"/>
    <w:rsid w:val="008328C6"/>
    <w:rsid w:val="00832EB4"/>
    <w:rsid w:val="00834D6A"/>
    <w:rsid w:val="0083545F"/>
    <w:rsid w:val="0083577B"/>
    <w:rsid w:val="00835D10"/>
    <w:rsid w:val="00835EC6"/>
    <w:rsid w:val="0083619C"/>
    <w:rsid w:val="00836332"/>
    <w:rsid w:val="0083634D"/>
    <w:rsid w:val="00837DF6"/>
    <w:rsid w:val="00840271"/>
    <w:rsid w:val="00840F9F"/>
    <w:rsid w:val="0084109D"/>
    <w:rsid w:val="00841EAC"/>
    <w:rsid w:val="00842153"/>
    <w:rsid w:val="0084290B"/>
    <w:rsid w:val="00842946"/>
    <w:rsid w:val="00842C11"/>
    <w:rsid w:val="00843595"/>
    <w:rsid w:val="00843B32"/>
    <w:rsid w:val="0084411A"/>
    <w:rsid w:val="008442EC"/>
    <w:rsid w:val="00844372"/>
    <w:rsid w:val="008445DC"/>
    <w:rsid w:val="008447F1"/>
    <w:rsid w:val="0084499E"/>
    <w:rsid w:val="00844BB6"/>
    <w:rsid w:val="00846ACB"/>
    <w:rsid w:val="00846AD7"/>
    <w:rsid w:val="00846D1F"/>
    <w:rsid w:val="00847302"/>
    <w:rsid w:val="008478C4"/>
    <w:rsid w:val="00847B5D"/>
    <w:rsid w:val="00850025"/>
    <w:rsid w:val="008505C4"/>
    <w:rsid w:val="00850BCD"/>
    <w:rsid w:val="008510B9"/>
    <w:rsid w:val="0085165F"/>
    <w:rsid w:val="00851834"/>
    <w:rsid w:val="008535A4"/>
    <w:rsid w:val="00853E8F"/>
    <w:rsid w:val="008551BA"/>
    <w:rsid w:val="0085599F"/>
    <w:rsid w:val="00855A01"/>
    <w:rsid w:val="00855CEC"/>
    <w:rsid w:val="00855DB7"/>
    <w:rsid w:val="00855E74"/>
    <w:rsid w:val="0085690C"/>
    <w:rsid w:val="00856CC8"/>
    <w:rsid w:val="00856FED"/>
    <w:rsid w:val="0085755D"/>
    <w:rsid w:val="00857684"/>
    <w:rsid w:val="00857819"/>
    <w:rsid w:val="008600AA"/>
    <w:rsid w:val="00860783"/>
    <w:rsid w:val="00860B4C"/>
    <w:rsid w:val="00860EF3"/>
    <w:rsid w:val="00861123"/>
    <w:rsid w:val="00861226"/>
    <w:rsid w:val="0086196D"/>
    <w:rsid w:val="00862A2D"/>
    <w:rsid w:val="00862A42"/>
    <w:rsid w:val="0086361D"/>
    <w:rsid w:val="00864227"/>
    <w:rsid w:val="00864A97"/>
    <w:rsid w:val="0086526B"/>
    <w:rsid w:val="008657F5"/>
    <w:rsid w:val="00865DE8"/>
    <w:rsid w:val="00865E14"/>
    <w:rsid w:val="00866793"/>
    <w:rsid w:val="008667DA"/>
    <w:rsid w:val="008669DC"/>
    <w:rsid w:val="0086795D"/>
    <w:rsid w:val="00867B0A"/>
    <w:rsid w:val="008705A6"/>
    <w:rsid w:val="0087072E"/>
    <w:rsid w:val="008708D3"/>
    <w:rsid w:val="00870EB7"/>
    <w:rsid w:val="008715DC"/>
    <w:rsid w:val="00871640"/>
    <w:rsid w:val="0087187C"/>
    <w:rsid w:val="008719B1"/>
    <w:rsid w:val="008723B5"/>
    <w:rsid w:val="008724A8"/>
    <w:rsid w:val="00872F1B"/>
    <w:rsid w:val="00872FAB"/>
    <w:rsid w:val="00873025"/>
    <w:rsid w:val="0087330E"/>
    <w:rsid w:val="0087369C"/>
    <w:rsid w:val="00874A0C"/>
    <w:rsid w:val="00874A22"/>
    <w:rsid w:val="00874ABE"/>
    <w:rsid w:val="00874DB4"/>
    <w:rsid w:val="00874E14"/>
    <w:rsid w:val="008752AD"/>
    <w:rsid w:val="00875559"/>
    <w:rsid w:val="00875A48"/>
    <w:rsid w:val="0087605D"/>
    <w:rsid w:val="00876F43"/>
    <w:rsid w:val="00877569"/>
    <w:rsid w:val="00877619"/>
    <w:rsid w:val="0088053D"/>
    <w:rsid w:val="0088065D"/>
    <w:rsid w:val="00880705"/>
    <w:rsid w:val="00880708"/>
    <w:rsid w:val="00880BC2"/>
    <w:rsid w:val="00880CEC"/>
    <w:rsid w:val="00881134"/>
    <w:rsid w:val="008812C4"/>
    <w:rsid w:val="00882ED0"/>
    <w:rsid w:val="00882F11"/>
    <w:rsid w:val="008832B5"/>
    <w:rsid w:val="00883585"/>
    <w:rsid w:val="00883E96"/>
    <w:rsid w:val="008846FD"/>
    <w:rsid w:val="00885560"/>
    <w:rsid w:val="00885D20"/>
    <w:rsid w:val="0088642A"/>
    <w:rsid w:val="008864A6"/>
    <w:rsid w:val="0088688C"/>
    <w:rsid w:val="00886DD3"/>
    <w:rsid w:val="00886E8B"/>
    <w:rsid w:val="008873FA"/>
    <w:rsid w:val="00887830"/>
    <w:rsid w:val="008879C6"/>
    <w:rsid w:val="00887E2A"/>
    <w:rsid w:val="00890425"/>
    <w:rsid w:val="00890427"/>
    <w:rsid w:val="0089048C"/>
    <w:rsid w:val="00890B48"/>
    <w:rsid w:val="008915FD"/>
    <w:rsid w:val="008916C1"/>
    <w:rsid w:val="00891AC9"/>
    <w:rsid w:val="00891B17"/>
    <w:rsid w:val="00891E7B"/>
    <w:rsid w:val="00891F0D"/>
    <w:rsid w:val="008925DD"/>
    <w:rsid w:val="0089281F"/>
    <w:rsid w:val="00892F90"/>
    <w:rsid w:val="00893839"/>
    <w:rsid w:val="008938C0"/>
    <w:rsid w:val="008939ED"/>
    <w:rsid w:val="00893AC4"/>
    <w:rsid w:val="00893C5F"/>
    <w:rsid w:val="00894068"/>
    <w:rsid w:val="00894665"/>
    <w:rsid w:val="008947AB"/>
    <w:rsid w:val="008949F2"/>
    <w:rsid w:val="00894DFE"/>
    <w:rsid w:val="00894F79"/>
    <w:rsid w:val="00895249"/>
    <w:rsid w:val="00895285"/>
    <w:rsid w:val="008952EF"/>
    <w:rsid w:val="00895562"/>
    <w:rsid w:val="008956BC"/>
    <w:rsid w:val="008967C0"/>
    <w:rsid w:val="00896BE8"/>
    <w:rsid w:val="008970FF"/>
    <w:rsid w:val="00897505"/>
    <w:rsid w:val="00897E60"/>
    <w:rsid w:val="008A0682"/>
    <w:rsid w:val="008A0910"/>
    <w:rsid w:val="008A0E38"/>
    <w:rsid w:val="008A18DB"/>
    <w:rsid w:val="008A18F2"/>
    <w:rsid w:val="008A1912"/>
    <w:rsid w:val="008A19C7"/>
    <w:rsid w:val="008A1B4E"/>
    <w:rsid w:val="008A2414"/>
    <w:rsid w:val="008A294D"/>
    <w:rsid w:val="008A2A32"/>
    <w:rsid w:val="008A33B7"/>
    <w:rsid w:val="008A359C"/>
    <w:rsid w:val="008A3723"/>
    <w:rsid w:val="008A3808"/>
    <w:rsid w:val="008A3E2D"/>
    <w:rsid w:val="008A4999"/>
    <w:rsid w:val="008A4C7D"/>
    <w:rsid w:val="008A4E3C"/>
    <w:rsid w:val="008A5503"/>
    <w:rsid w:val="008A5898"/>
    <w:rsid w:val="008A61E3"/>
    <w:rsid w:val="008A6440"/>
    <w:rsid w:val="008A64B7"/>
    <w:rsid w:val="008A7232"/>
    <w:rsid w:val="008A75B6"/>
    <w:rsid w:val="008A7E8F"/>
    <w:rsid w:val="008B014E"/>
    <w:rsid w:val="008B059D"/>
    <w:rsid w:val="008B09BF"/>
    <w:rsid w:val="008B0F09"/>
    <w:rsid w:val="008B1164"/>
    <w:rsid w:val="008B155D"/>
    <w:rsid w:val="008B18D8"/>
    <w:rsid w:val="008B2191"/>
    <w:rsid w:val="008B222C"/>
    <w:rsid w:val="008B2B8C"/>
    <w:rsid w:val="008B3068"/>
    <w:rsid w:val="008B33F2"/>
    <w:rsid w:val="008B3686"/>
    <w:rsid w:val="008B3E19"/>
    <w:rsid w:val="008B3FD3"/>
    <w:rsid w:val="008B4196"/>
    <w:rsid w:val="008B459A"/>
    <w:rsid w:val="008B4760"/>
    <w:rsid w:val="008B4AC9"/>
    <w:rsid w:val="008B4C43"/>
    <w:rsid w:val="008B4C44"/>
    <w:rsid w:val="008B4CF2"/>
    <w:rsid w:val="008B4DEF"/>
    <w:rsid w:val="008B4E21"/>
    <w:rsid w:val="008B50BD"/>
    <w:rsid w:val="008B5413"/>
    <w:rsid w:val="008B551D"/>
    <w:rsid w:val="008B55B4"/>
    <w:rsid w:val="008B5EA4"/>
    <w:rsid w:val="008B612C"/>
    <w:rsid w:val="008B637D"/>
    <w:rsid w:val="008B6582"/>
    <w:rsid w:val="008B6714"/>
    <w:rsid w:val="008B696C"/>
    <w:rsid w:val="008B6A0C"/>
    <w:rsid w:val="008B6C21"/>
    <w:rsid w:val="008B6E28"/>
    <w:rsid w:val="008B7F4A"/>
    <w:rsid w:val="008C024A"/>
    <w:rsid w:val="008C0669"/>
    <w:rsid w:val="008C068D"/>
    <w:rsid w:val="008C090E"/>
    <w:rsid w:val="008C11F7"/>
    <w:rsid w:val="008C14FE"/>
    <w:rsid w:val="008C1790"/>
    <w:rsid w:val="008C1EC0"/>
    <w:rsid w:val="008C26DF"/>
    <w:rsid w:val="008C2925"/>
    <w:rsid w:val="008C2C4C"/>
    <w:rsid w:val="008C2CCB"/>
    <w:rsid w:val="008C36FA"/>
    <w:rsid w:val="008C394C"/>
    <w:rsid w:val="008C3992"/>
    <w:rsid w:val="008C4273"/>
    <w:rsid w:val="008C42F7"/>
    <w:rsid w:val="008C479C"/>
    <w:rsid w:val="008C4848"/>
    <w:rsid w:val="008C49FE"/>
    <w:rsid w:val="008C4E32"/>
    <w:rsid w:val="008C4FAB"/>
    <w:rsid w:val="008C5A99"/>
    <w:rsid w:val="008C5F45"/>
    <w:rsid w:val="008C63EA"/>
    <w:rsid w:val="008C677E"/>
    <w:rsid w:val="008C6D67"/>
    <w:rsid w:val="008C73D6"/>
    <w:rsid w:val="008C795E"/>
    <w:rsid w:val="008C7DAA"/>
    <w:rsid w:val="008D0AA9"/>
    <w:rsid w:val="008D0B44"/>
    <w:rsid w:val="008D138E"/>
    <w:rsid w:val="008D1631"/>
    <w:rsid w:val="008D1FC4"/>
    <w:rsid w:val="008D24BC"/>
    <w:rsid w:val="008D2939"/>
    <w:rsid w:val="008D2993"/>
    <w:rsid w:val="008D2B4E"/>
    <w:rsid w:val="008D2B61"/>
    <w:rsid w:val="008D2F38"/>
    <w:rsid w:val="008D3599"/>
    <w:rsid w:val="008D362E"/>
    <w:rsid w:val="008D41FC"/>
    <w:rsid w:val="008D43FF"/>
    <w:rsid w:val="008D447D"/>
    <w:rsid w:val="008D4539"/>
    <w:rsid w:val="008D45F8"/>
    <w:rsid w:val="008D493E"/>
    <w:rsid w:val="008D5126"/>
    <w:rsid w:val="008D5826"/>
    <w:rsid w:val="008D60D6"/>
    <w:rsid w:val="008D690C"/>
    <w:rsid w:val="008D6996"/>
    <w:rsid w:val="008D6E69"/>
    <w:rsid w:val="008D734A"/>
    <w:rsid w:val="008D7716"/>
    <w:rsid w:val="008D7720"/>
    <w:rsid w:val="008D772A"/>
    <w:rsid w:val="008E00D6"/>
    <w:rsid w:val="008E07A0"/>
    <w:rsid w:val="008E14AB"/>
    <w:rsid w:val="008E1768"/>
    <w:rsid w:val="008E2473"/>
    <w:rsid w:val="008E2D8C"/>
    <w:rsid w:val="008E30C2"/>
    <w:rsid w:val="008E3AA2"/>
    <w:rsid w:val="008E408E"/>
    <w:rsid w:val="008E4644"/>
    <w:rsid w:val="008E472D"/>
    <w:rsid w:val="008E4EA3"/>
    <w:rsid w:val="008E4EF5"/>
    <w:rsid w:val="008E52FB"/>
    <w:rsid w:val="008E5E3B"/>
    <w:rsid w:val="008E602E"/>
    <w:rsid w:val="008E6163"/>
    <w:rsid w:val="008E62AC"/>
    <w:rsid w:val="008E6565"/>
    <w:rsid w:val="008E68E6"/>
    <w:rsid w:val="008E6AB0"/>
    <w:rsid w:val="008E6C05"/>
    <w:rsid w:val="008E7041"/>
    <w:rsid w:val="008E711F"/>
    <w:rsid w:val="008E7316"/>
    <w:rsid w:val="008E7AB3"/>
    <w:rsid w:val="008E7C27"/>
    <w:rsid w:val="008E7CDC"/>
    <w:rsid w:val="008E7E9B"/>
    <w:rsid w:val="008F0341"/>
    <w:rsid w:val="008F0548"/>
    <w:rsid w:val="008F0FDE"/>
    <w:rsid w:val="008F1112"/>
    <w:rsid w:val="008F1186"/>
    <w:rsid w:val="008F17EE"/>
    <w:rsid w:val="008F1866"/>
    <w:rsid w:val="008F1992"/>
    <w:rsid w:val="008F1B4D"/>
    <w:rsid w:val="008F1FED"/>
    <w:rsid w:val="008F2440"/>
    <w:rsid w:val="008F249F"/>
    <w:rsid w:val="008F271F"/>
    <w:rsid w:val="008F34BF"/>
    <w:rsid w:val="008F39A7"/>
    <w:rsid w:val="008F4751"/>
    <w:rsid w:val="008F516F"/>
    <w:rsid w:val="008F5675"/>
    <w:rsid w:val="008F5D08"/>
    <w:rsid w:val="008F5EC4"/>
    <w:rsid w:val="008F6904"/>
    <w:rsid w:val="008F6DEB"/>
    <w:rsid w:val="008F74EC"/>
    <w:rsid w:val="008F7677"/>
    <w:rsid w:val="008F78F3"/>
    <w:rsid w:val="008F791C"/>
    <w:rsid w:val="008F7F93"/>
    <w:rsid w:val="008F7FD6"/>
    <w:rsid w:val="009000DF"/>
    <w:rsid w:val="009005D5"/>
    <w:rsid w:val="0090080D"/>
    <w:rsid w:val="009008FD"/>
    <w:rsid w:val="0090091D"/>
    <w:rsid w:val="00900E51"/>
    <w:rsid w:val="009012A4"/>
    <w:rsid w:val="009012AB"/>
    <w:rsid w:val="00901632"/>
    <w:rsid w:val="009017E9"/>
    <w:rsid w:val="00901B98"/>
    <w:rsid w:val="00901C4B"/>
    <w:rsid w:val="009025DB"/>
    <w:rsid w:val="0090273E"/>
    <w:rsid w:val="00902A6E"/>
    <w:rsid w:val="00902AFD"/>
    <w:rsid w:val="00903260"/>
    <w:rsid w:val="0090378E"/>
    <w:rsid w:val="00903D06"/>
    <w:rsid w:val="00905574"/>
    <w:rsid w:val="00905613"/>
    <w:rsid w:val="0090566C"/>
    <w:rsid w:val="00905CFC"/>
    <w:rsid w:val="009060B4"/>
    <w:rsid w:val="0090622A"/>
    <w:rsid w:val="009068BF"/>
    <w:rsid w:val="00907ED8"/>
    <w:rsid w:val="00910925"/>
    <w:rsid w:val="00910957"/>
    <w:rsid w:val="0091099D"/>
    <w:rsid w:val="00910BEC"/>
    <w:rsid w:val="00910E01"/>
    <w:rsid w:val="00910E35"/>
    <w:rsid w:val="009117D4"/>
    <w:rsid w:val="00912E20"/>
    <w:rsid w:val="00913396"/>
    <w:rsid w:val="0091345E"/>
    <w:rsid w:val="00913F3F"/>
    <w:rsid w:val="0091440D"/>
    <w:rsid w:val="009144D8"/>
    <w:rsid w:val="0091473B"/>
    <w:rsid w:val="009149C7"/>
    <w:rsid w:val="00914E87"/>
    <w:rsid w:val="00914EF5"/>
    <w:rsid w:val="009153E2"/>
    <w:rsid w:val="009155D5"/>
    <w:rsid w:val="009155FF"/>
    <w:rsid w:val="00915726"/>
    <w:rsid w:val="009157C0"/>
    <w:rsid w:val="00915ED4"/>
    <w:rsid w:val="0091629E"/>
    <w:rsid w:val="00916792"/>
    <w:rsid w:val="00916C30"/>
    <w:rsid w:val="009177E5"/>
    <w:rsid w:val="009206A9"/>
    <w:rsid w:val="00920B83"/>
    <w:rsid w:val="00920F87"/>
    <w:rsid w:val="009216E6"/>
    <w:rsid w:val="00921B4C"/>
    <w:rsid w:val="00921BBD"/>
    <w:rsid w:val="00921E3D"/>
    <w:rsid w:val="00922EBC"/>
    <w:rsid w:val="009237BF"/>
    <w:rsid w:val="009240BC"/>
    <w:rsid w:val="00924C0A"/>
    <w:rsid w:val="00924D22"/>
    <w:rsid w:val="00924DC1"/>
    <w:rsid w:val="00924FFC"/>
    <w:rsid w:val="0092534E"/>
    <w:rsid w:val="009254F1"/>
    <w:rsid w:val="009259F3"/>
    <w:rsid w:val="0092605F"/>
    <w:rsid w:val="00926364"/>
    <w:rsid w:val="00926845"/>
    <w:rsid w:val="00926D64"/>
    <w:rsid w:val="00927208"/>
    <w:rsid w:val="009277B1"/>
    <w:rsid w:val="0093016D"/>
    <w:rsid w:val="0093058A"/>
    <w:rsid w:val="00930797"/>
    <w:rsid w:val="00930D08"/>
    <w:rsid w:val="00931108"/>
    <w:rsid w:val="009315F1"/>
    <w:rsid w:val="00931D8B"/>
    <w:rsid w:val="009320A8"/>
    <w:rsid w:val="00932328"/>
    <w:rsid w:val="00932CAE"/>
    <w:rsid w:val="00932F3E"/>
    <w:rsid w:val="009336C4"/>
    <w:rsid w:val="00933FF7"/>
    <w:rsid w:val="0093484B"/>
    <w:rsid w:val="009349A9"/>
    <w:rsid w:val="00934FC2"/>
    <w:rsid w:val="00934FDA"/>
    <w:rsid w:val="00935296"/>
    <w:rsid w:val="009358DA"/>
    <w:rsid w:val="00935AE7"/>
    <w:rsid w:val="00935C69"/>
    <w:rsid w:val="00936993"/>
    <w:rsid w:val="00936C95"/>
    <w:rsid w:val="00936F7F"/>
    <w:rsid w:val="00937046"/>
    <w:rsid w:val="00937782"/>
    <w:rsid w:val="0093784E"/>
    <w:rsid w:val="00937CA4"/>
    <w:rsid w:val="00940373"/>
    <w:rsid w:val="00940E36"/>
    <w:rsid w:val="00940E6E"/>
    <w:rsid w:val="0094181B"/>
    <w:rsid w:val="00942129"/>
    <w:rsid w:val="009422C2"/>
    <w:rsid w:val="00942369"/>
    <w:rsid w:val="00942611"/>
    <w:rsid w:val="00942DE7"/>
    <w:rsid w:val="00943684"/>
    <w:rsid w:val="009439F8"/>
    <w:rsid w:val="009442D4"/>
    <w:rsid w:val="00944409"/>
    <w:rsid w:val="00944713"/>
    <w:rsid w:val="00945B7E"/>
    <w:rsid w:val="009460F9"/>
    <w:rsid w:val="009468A5"/>
    <w:rsid w:val="00946AF2"/>
    <w:rsid w:val="009476AE"/>
    <w:rsid w:val="009476CD"/>
    <w:rsid w:val="00947C22"/>
    <w:rsid w:val="00947FCB"/>
    <w:rsid w:val="009509B6"/>
    <w:rsid w:val="00950D76"/>
    <w:rsid w:val="0095103D"/>
    <w:rsid w:val="009514EC"/>
    <w:rsid w:val="00951877"/>
    <w:rsid w:val="00951EBD"/>
    <w:rsid w:val="00952375"/>
    <w:rsid w:val="009532D1"/>
    <w:rsid w:val="009533A1"/>
    <w:rsid w:val="00954258"/>
    <w:rsid w:val="00954800"/>
    <w:rsid w:val="00954BBD"/>
    <w:rsid w:val="00954F5A"/>
    <w:rsid w:val="00954FDD"/>
    <w:rsid w:val="009554C3"/>
    <w:rsid w:val="00955646"/>
    <w:rsid w:val="009557FC"/>
    <w:rsid w:val="00955839"/>
    <w:rsid w:val="00955EED"/>
    <w:rsid w:val="00955FC7"/>
    <w:rsid w:val="00955FDC"/>
    <w:rsid w:val="00956846"/>
    <w:rsid w:val="0095692E"/>
    <w:rsid w:val="00957666"/>
    <w:rsid w:val="009579CA"/>
    <w:rsid w:val="00957BF0"/>
    <w:rsid w:val="00957C82"/>
    <w:rsid w:val="00957CF1"/>
    <w:rsid w:val="00957E8E"/>
    <w:rsid w:val="009606C6"/>
    <w:rsid w:val="00960949"/>
    <w:rsid w:val="00960C78"/>
    <w:rsid w:val="0096138B"/>
    <w:rsid w:val="009616BC"/>
    <w:rsid w:val="009618FE"/>
    <w:rsid w:val="00961918"/>
    <w:rsid w:val="00962269"/>
    <w:rsid w:val="00962488"/>
    <w:rsid w:val="00962CD6"/>
    <w:rsid w:val="0096308E"/>
    <w:rsid w:val="0096325B"/>
    <w:rsid w:val="009633A2"/>
    <w:rsid w:val="00963F03"/>
    <w:rsid w:val="00963FC9"/>
    <w:rsid w:val="00965E0D"/>
    <w:rsid w:val="0096603B"/>
    <w:rsid w:val="00966262"/>
    <w:rsid w:val="00966454"/>
    <w:rsid w:val="00966A6B"/>
    <w:rsid w:val="00967256"/>
    <w:rsid w:val="009673E1"/>
    <w:rsid w:val="0096741C"/>
    <w:rsid w:val="00967555"/>
    <w:rsid w:val="009675BD"/>
    <w:rsid w:val="0096789E"/>
    <w:rsid w:val="009678C1"/>
    <w:rsid w:val="00967CD3"/>
    <w:rsid w:val="00970928"/>
    <w:rsid w:val="00970F74"/>
    <w:rsid w:val="009715EA"/>
    <w:rsid w:val="00971AFB"/>
    <w:rsid w:val="00971FB9"/>
    <w:rsid w:val="009722AA"/>
    <w:rsid w:val="00972982"/>
    <w:rsid w:val="00972B07"/>
    <w:rsid w:val="00972CA3"/>
    <w:rsid w:val="009732D5"/>
    <w:rsid w:val="0097345F"/>
    <w:rsid w:val="00973779"/>
    <w:rsid w:val="00973F26"/>
    <w:rsid w:val="009741F7"/>
    <w:rsid w:val="00974506"/>
    <w:rsid w:val="00974C88"/>
    <w:rsid w:val="00974CF4"/>
    <w:rsid w:val="00975443"/>
    <w:rsid w:val="00975810"/>
    <w:rsid w:val="00975859"/>
    <w:rsid w:val="00975A13"/>
    <w:rsid w:val="00975EDB"/>
    <w:rsid w:val="00976901"/>
    <w:rsid w:val="00976F5C"/>
    <w:rsid w:val="00977D2A"/>
    <w:rsid w:val="00977EDA"/>
    <w:rsid w:val="00980120"/>
    <w:rsid w:val="00980335"/>
    <w:rsid w:val="00980472"/>
    <w:rsid w:val="00980C9C"/>
    <w:rsid w:val="00980DF1"/>
    <w:rsid w:val="009816F9"/>
    <w:rsid w:val="00981C1F"/>
    <w:rsid w:val="00981E36"/>
    <w:rsid w:val="0098260B"/>
    <w:rsid w:val="00982AD7"/>
    <w:rsid w:val="0098304D"/>
    <w:rsid w:val="009834CC"/>
    <w:rsid w:val="009841C5"/>
    <w:rsid w:val="009842C4"/>
    <w:rsid w:val="00984BB8"/>
    <w:rsid w:val="009853A9"/>
    <w:rsid w:val="00985531"/>
    <w:rsid w:val="00985671"/>
    <w:rsid w:val="00985BC8"/>
    <w:rsid w:val="00985EC5"/>
    <w:rsid w:val="009863EE"/>
    <w:rsid w:val="009869BE"/>
    <w:rsid w:val="00986A1C"/>
    <w:rsid w:val="00986BEA"/>
    <w:rsid w:val="00987013"/>
    <w:rsid w:val="00987422"/>
    <w:rsid w:val="00987430"/>
    <w:rsid w:val="00987493"/>
    <w:rsid w:val="0098753A"/>
    <w:rsid w:val="009901D9"/>
    <w:rsid w:val="009903E4"/>
    <w:rsid w:val="00990575"/>
    <w:rsid w:val="009905AB"/>
    <w:rsid w:val="0099063A"/>
    <w:rsid w:val="009906FE"/>
    <w:rsid w:val="009907FB"/>
    <w:rsid w:val="00990EB4"/>
    <w:rsid w:val="009921B0"/>
    <w:rsid w:val="009922BB"/>
    <w:rsid w:val="00992575"/>
    <w:rsid w:val="00992849"/>
    <w:rsid w:val="009928CD"/>
    <w:rsid w:val="009938B9"/>
    <w:rsid w:val="00993B88"/>
    <w:rsid w:val="00994D83"/>
    <w:rsid w:val="0099549F"/>
    <w:rsid w:val="0099558B"/>
    <w:rsid w:val="009955E2"/>
    <w:rsid w:val="009956C9"/>
    <w:rsid w:val="009956E8"/>
    <w:rsid w:val="00995CE4"/>
    <w:rsid w:val="00995ED4"/>
    <w:rsid w:val="00996FF4"/>
    <w:rsid w:val="009974FB"/>
    <w:rsid w:val="009975FF"/>
    <w:rsid w:val="009A13B3"/>
    <w:rsid w:val="009A1613"/>
    <w:rsid w:val="009A17B4"/>
    <w:rsid w:val="009A17C1"/>
    <w:rsid w:val="009A1959"/>
    <w:rsid w:val="009A1C80"/>
    <w:rsid w:val="009A21B8"/>
    <w:rsid w:val="009A2726"/>
    <w:rsid w:val="009A2A3C"/>
    <w:rsid w:val="009A2DD5"/>
    <w:rsid w:val="009A42F2"/>
    <w:rsid w:val="009A4AC9"/>
    <w:rsid w:val="009A4BED"/>
    <w:rsid w:val="009A4E33"/>
    <w:rsid w:val="009A50B3"/>
    <w:rsid w:val="009A51AD"/>
    <w:rsid w:val="009A5A6C"/>
    <w:rsid w:val="009A5FE8"/>
    <w:rsid w:val="009A6882"/>
    <w:rsid w:val="009A68CA"/>
    <w:rsid w:val="009A6EFF"/>
    <w:rsid w:val="009A7117"/>
    <w:rsid w:val="009A7A12"/>
    <w:rsid w:val="009B0087"/>
    <w:rsid w:val="009B02EE"/>
    <w:rsid w:val="009B06A0"/>
    <w:rsid w:val="009B08DD"/>
    <w:rsid w:val="009B0BED"/>
    <w:rsid w:val="009B0F18"/>
    <w:rsid w:val="009B136B"/>
    <w:rsid w:val="009B1A31"/>
    <w:rsid w:val="009B1E82"/>
    <w:rsid w:val="009B222F"/>
    <w:rsid w:val="009B2739"/>
    <w:rsid w:val="009B2FC0"/>
    <w:rsid w:val="009B325E"/>
    <w:rsid w:val="009B35FE"/>
    <w:rsid w:val="009B3965"/>
    <w:rsid w:val="009B4385"/>
    <w:rsid w:val="009B484E"/>
    <w:rsid w:val="009B4F44"/>
    <w:rsid w:val="009B5405"/>
    <w:rsid w:val="009B5DA7"/>
    <w:rsid w:val="009B6142"/>
    <w:rsid w:val="009B6864"/>
    <w:rsid w:val="009B68D5"/>
    <w:rsid w:val="009B6D93"/>
    <w:rsid w:val="009B7150"/>
    <w:rsid w:val="009B731F"/>
    <w:rsid w:val="009B74E0"/>
    <w:rsid w:val="009B7A46"/>
    <w:rsid w:val="009B7F8E"/>
    <w:rsid w:val="009C0944"/>
    <w:rsid w:val="009C0CEE"/>
    <w:rsid w:val="009C0D45"/>
    <w:rsid w:val="009C1463"/>
    <w:rsid w:val="009C163F"/>
    <w:rsid w:val="009C196F"/>
    <w:rsid w:val="009C19DD"/>
    <w:rsid w:val="009C1C91"/>
    <w:rsid w:val="009C2D03"/>
    <w:rsid w:val="009C3237"/>
    <w:rsid w:val="009C3370"/>
    <w:rsid w:val="009C3720"/>
    <w:rsid w:val="009C42EA"/>
    <w:rsid w:val="009C437D"/>
    <w:rsid w:val="009C43FC"/>
    <w:rsid w:val="009C48A8"/>
    <w:rsid w:val="009C4AD2"/>
    <w:rsid w:val="009C5165"/>
    <w:rsid w:val="009C5208"/>
    <w:rsid w:val="009C5AFD"/>
    <w:rsid w:val="009C5C6F"/>
    <w:rsid w:val="009C65C2"/>
    <w:rsid w:val="009C6CF2"/>
    <w:rsid w:val="009C738F"/>
    <w:rsid w:val="009C7592"/>
    <w:rsid w:val="009C75D5"/>
    <w:rsid w:val="009C7D8B"/>
    <w:rsid w:val="009D0047"/>
    <w:rsid w:val="009D0B3F"/>
    <w:rsid w:val="009D0BA8"/>
    <w:rsid w:val="009D13C4"/>
    <w:rsid w:val="009D1501"/>
    <w:rsid w:val="009D19BF"/>
    <w:rsid w:val="009D201F"/>
    <w:rsid w:val="009D20E1"/>
    <w:rsid w:val="009D2D5C"/>
    <w:rsid w:val="009D3035"/>
    <w:rsid w:val="009D378F"/>
    <w:rsid w:val="009D47E9"/>
    <w:rsid w:val="009D4AA7"/>
    <w:rsid w:val="009D560A"/>
    <w:rsid w:val="009D5DFE"/>
    <w:rsid w:val="009D5F22"/>
    <w:rsid w:val="009D5FBF"/>
    <w:rsid w:val="009D60DF"/>
    <w:rsid w:val="009D6776"/>
    <w:rsid w:val="009D6A00"/>
    <w:rsid w:val="009D6B98"/>
    <w:rsid w:val="009D72B9"/>
    <w:rsid w:val="009D7B04"/>
    <w:rsid w:val="009D7C81"/>
    <w:rsid w:val="009D7F82"/>
    <w:rsid w:val="009E00A3"/>
    <w:rsid w:val="009E1170"/>
    <w:rsid w:val="009E142D"/>
    <w:rsid w:val="009E1878"/>
    <w:rsid w:val="009E1CDF"/>
    <w:rsid w:val="009E2141"/>
    <w:rsid w:val="009E2580"/>
    <w:rsid w:val="009E25E8"/>
    <w:rsid w:val="009E282D"/>
    <w:rsid w:val="009E3EDC"/>
    <w:rsid w:val="009E442A"/>
    <w:rsid w:val="009E4B96"/>
    <w:rsid w:val="009E4C5F"/>
    <w:rsid w:val="009E5047"/>
    <w:rsid w:val="009E53B6"/>
    <w:rsid w:val="009E5790"/>
    <w:rsid w:val="009E5959"/>
    <w:rsid w:val="009E5C48"/>
    <w:rsid w:val="009E5F5E"/>
    <w:rsid w:val="009E6BAF"/>
    <w:rsid w:val="009E7780"/>
    <w:rsid w:val="009F1961"/>
    <w:rsid w:val="009F2B79"/>
    <w:rsid w:val="009F2C4A"/>
    <w:rsid w:val="009F2EFC"/>
    <w:rsid w:val="009F3BAE"/>
    <w:rsid w:val="009F3F52"/>
    <w:rsid w:val="009F4E9E"/>
    <w:rsid w:val="009F4F40"/>
    <w:rsid w:val="009F5569"/>
    <w:rsid w:val="009F56EE"/>
    <w:rsid w:val="009F59E8"/>
    <w:rsid w:val="009F5B55"/>
    <w:rsid w:val="009F5B7B"/>
    <w:rsid w:val="009F5C29"/>
    <w:rsid w:val="009F61AC"/>
    <w:rsid w:val="009F67FF"/>
    <w:rsid w:val="009F6F16"/>
    <w:rsid w:val="009F786F"/>
    <w:rsid w:val="009F7DD3"/>
    <w:rsid w:val="00A00635"/>
    <w:rsid w:val="00A0068F"/>
    <w:rsid w:val="00A007AA"/>
    <w:rsid w:val="00A0094E"/>
    <w:rsid w:val="00A00DA2"/>
    <w:rsid w:val="00A00EE2"/>
    <w:rsid w:val="00A01BDB"/>
    <w:rsid w:val="00A01D41"/>
    <w:rsid w:val="00A01E7C"/>
    <w:rsid w:val="00A01FD1"/>
    <w:rsid w:val="00A024DB"/>
    <w:rsid w:val="00A025EA"/>
    <w:rsid w:val="00A02D27"/>
    <w:rsid w:val="00A03303"/>
    <w:rsid w:val="00A0360A"/>
    <w:rsid w:val="00A038D1"/>
    <w:rsid w:val="00A03BD0"/>
    <w:rsid w:val="00A041D9"/>
    <w:rsid w:val="00A06444"/>
    <w:rsid w:val="00A06773"/>
    <w:rsid w:val="00A06DBF"/>
    <w:rsid w:val="00A07119"/>
    <w:rsid w:val="00A07C25"/>
    <w:rsid w:val="00A07C73"/>
    <w:rsid w:val="00A07D18"/>
    <w:rsid w:val="00A07EAC"/>
    <w:rsid w:val="00A10A9B"/>
    <w:rsid w:val="00A10B6D"/>
    <w:rsid w:val="00A1103E"/>
    <w:rsid w:val="00A110F9"/>
    <w:rsid w:val="00A116B2"/>
    <w:rsid w:val="00A12066"/>
    <w:rsid w:val="00A12E46"/>
    <w:rsid w:val="00A133BF"/>
    <w:rsid w:val="00A135C3"/>
    <w:rsid w:val="00A136E1"/>
    <w:rsid w:val="00A1370C"/>
    <w:rsid w:val="00A13CC5"/>
    <w:rsid w:val="00A13F24"/>
    <w:rsid w:val="00A13F95"/>
    <w:rsid w:val="00A1444A"/>
    <w:rsid w:val="00A14A5C"/>
    <w:rsid w:val="00A14A6D"/>
    <w:rsid w:val="00A14BD2"/>
    <w:rsid w:val="00A14C07"/>
    <w:rsid w:val="00A15210"/>
    <w:rsid w:val="00A152EB"/>
    <w:rsid w:val="00A1555D"/>
    <w:rsid w:val="00A158D0"/>
    <w:rsid w:val="00A15EE0"/>
    <w:rsid w:val="00A16B6D"/>
    <w:rsid w:val="00A16D9E"/>
    <w:rsid w:val="00A16F94"/>
    <w:rsid w:val="00A17022"/>
    <w:rsid w:val="00A17276"/>
    <w:rsid w:val="00A1796C"/>
    <w:rsid w:val="00A17A6E"/>
    <w:rsid w:val="00A17EDD"/>
    <w:rsid w:val="00A17FC8"/>
    <w:rsid w:val="00A20EFC"/>
    <w:rsid w:val="00A21C6F"/>
    <w:rsid w:val="00A21DE7"/>
    <w:rsid w:val="00A2216A"/>
    <w:rsid w:val="00A2266C"/>
    <w:rsid w:val="00A22A97"/>
    <w:rsid w:val="00A22B02"/>
    <w:rsid w:val="00A23071"/>
    <w:rsid w:val="00A23E1A"/>
    <w:rsid w:val="00A242DB"/>
    <w:rsid w:val="00A24610"/>
    <w:rsid w:val="00A2476C"/>
    <w:rsid w:val="00A25132"/>
    <w:rsid w:val="00A25366"/>
    <w:rsid w:val="00A25ABA"/>
    <w:rsid w:val="00A2625F"/>
    <w:rsid w:val="00A2646C"/>
    <w:rsid w:val="00A267D5"/>
    <w:rsid w:val="00A26A27"/>
    <w:rsid w:val="00A26CC6"/>
    <w:rsid w:val="00A26CF5"/>
    <w:rsid w:val="00A26EA1"/>
    <w:rsid w:val="00A270F4"/>
    <w:rsid w:val="00A2787F"/>
    <w:rsid w:val="00A279B5"/>
    <w:rsid w:val="00A27CD4"/>
    <w:rsid w:val="00A30F1E"/>
    <w:rsid w:val="00A314C5"/>
    <w:rsid w:val="00A3151F"/>
    <w:rsid w:val="00A31590"/>
    <w:rsid w:val="00A318E7"/>
    <w:rsid w:val="00A31F92"/>
    <w:rsid w:val="00A32065"/>
    <w:rsid w:val="00A3215B"/>
    <w:rsid w:val="00A3288C"/>
    <w:rsid w:val="00A32B60"/>
    <w:rsid w:val="00A32E09"/>
    <w:rsid w:val="00A32E20"/>
    <w:rsid w:val="00A32F23"/>
    <w:rsid w:val="00A33348"/>
    <w:rsid w:val="00A34379"/>
    <w:rsid w:val="00A34402"/>
    <w:rsid w:val="00A348D1"/>
    <w:rsid w:val="00A34C7B"/>
    <w:rsid w:val="00A35225"/>
    <w:rsid w:val="00A35851"/>
    <w:rsid w:val="00A35A8B"/>
    <w:rsid w:val="00A35AF5"/>
    <w:rsid w:val="00A360D5"/>
    <w:rsid w:val="00A36136"/>
    <w:rsid w:val="00A36B23"/>
    <w:rsid w:val="00A36B56"/>
    <w:rsid w:val="00A36D23"/>
    <w:rsid w:val="00A37202"/>
    <w:rsid w:val="00A374D1"/>
    <w:rsid w:val="00A37EFF"/>
    <w:rsid w:val="00A40594"/>
    <w:rsid w:val="00A4063F"/>
    <w:rsid w:val="00A40C3C"/>
    <w:rsid w:val="00A40F5E"/>
    <w:rsid w:val="00A412F0"/>
    <w:rsid w:val="00A4162D"/>
    <w:rsid w:val="00A41A5B"/>
    <w:rsid w:val="00A421C7"/>
    <w:rsid w:val="00A42AA5"/>
    <w:rsid w:val="00A42ED1"/>
    <w:rsid w:val="00A430ED"/>
    <w:rsid w:val="00A439BA"/>
    <w:rsid w:val="00A44E11"/>
    <w:rsid w:val="00A457A6"/>
    <w:rsid w:val="00A45947"/>
    <w:rsid w:val="00A45AB3"/>
    <w:rsid w:val="00A46C59"/>
    <w:rsid w:val="00A4731F"/>
    <w:rsid w:val="00A473D4"/>
    <w:rsid w:val="00A47F63"/>
    <w:rsid w:val="00A50441"/>
    <w:rsid w:val="00A50A4B"/>
    <w:rsid w:val="00A51004"/>
    <w:rsid w:val="00A5137C"/>
    <w:rsid w:val="00A51C5A"/>
    <w:rsid w:val="00A523CE"/>
    <w:rsid w:val="00A52536"/>
    <w:rsid w:val="00A527E2"/>
    <w:rsid w:val="00A52972"/>
    <w:rsid w:val="00A529C9"/>
    <w:rsid w:val="00A52E69"/>
    <w:rsid w:val="00A53B5F"/>
    <w:rsid w:val="00A5450F"/>
    <w:rsid w:val="00A54728"/>
    <w:rsid w:val="00A55025"/>
    <w:rsid w:val="00A56368"/>
    <w:rsid w:val="00A5672F"/>
    <w:rsid w:val="00A56CF9"/>
    <w:rsid w:val="00A56F1E"/>
    <w:rsid w:val="00A5706E"/>
    <w:rsid w:val="00A570C4"/>
    <w:rsid w:val="00A5735B"/>
    <w:rsid w:val="00A574BD"/>
    <w:rsid w:val="00A57A09"/>
    <w:rsid w:val="00A57F59"/>
    <w:rsid w:val="00A601FD"/>
    <w:rsid w:val="00A604B8"/>
    <w:rsid w:val="00A607EE"/>
    <w:rsid w:val="00A60B5D"/>
    <w:rsid w:val="00A60CDC"/>
    <w:rsid w:val="00A60D49"/>
    <w:rsid w:val="00A60DEF"/>
    <w:rsid w:val="00A610BF"/>
    <w:rsid w:val="00A61B6A"/>
    <w:rsid w:val="00A61CB1"/>
    <w:rsid w:val="00A62A61"/>
    <w:rsid w:val="00A63404"/>
    <w:rsid w:val="00A6359C"/>
    <w:rsid w:val="00A6367B"/>
    <w:rsid w:val="00A64061"/>
    <w:rsid w:val="00A64749"/>
    <w:rsid w:val="00A64A92"/>
    <w:rsid w:val="00A64DC3"/>
    <w:rsid w:val="00A658C3"/>
    <w:rsid w:val="00A65F81"/>
    <w:rsid w:val="00A6600F"/>
    <w:rsid w:val="00A66B07"/>
    <w:rsid w:val="00A66E97"/>
    <w:rsid w:val="00A67A80"/>
    <w:rsid w:val="00A67C19"/>
    <w:rsid w:val="00A67FA3"/>
    <w:rsid w:val="00A70692"/>
    <w:rsid w:val="00A70C45"/>
    <w:rsid w:val="00A70D46"/>
    <w:rsid w:val="00A71209"/>
    <w:rsid w:val="00A71253"/>
    <w:rsid w:val="00A716EA"/>
    <w:rsid w:val="00A724D0"/>
    <w:rsid w:val="00A724ED"/>
    <w:rsid w:val="00A728D4"/>
    <w:rsid w:val="00A72E3D"/>
    <w:rsid w:val="00A7312B"/>
    <w:rsid w:val="00A731E6"/>
    <w:rsid w:val="00A7358A"/>
    <w:rsid w:val="00A73726"/>
    <w:rsid w:val="00A73DBD"/>
    <w:rsid w:val="00A7471E"/>
    <w:rsid w:val="00A747D2"/>
    <w:rsid w:val="00A74C64"/>
    <w:rsid w:val="00A74D9B"/>
    <w:rsid w:val="00A75306"/>
    <w:rsid w:val="00A753F5"/>
    <w:rsid w:val="00A7561D"/>
    <w:rsid w:val="00A75892"/>
    <w:rsid w:val="00A76258"/>
    <w:rsid w:val="00A762A0"/>
    <w:rsid w:val="00A76427"/>
    <w:rsid w:val="00A76663"/>
    <w:rsid w:val="00A769AC"/>
    <w:rsid w:val="00A76D77"/>
    <w:rsid w:val="00A775A0"/>
    <w:rsid w:val="00A77FEC"/>
    <w:rsid w:val="00A80216"/>
    <w:rsid w:val="00A803F7"/>
    <w:rsid w:val="00A80CA7"/>
    <w:rsid w:val="00A81B70"/>
    <w:rsid w:val="00A82793"/>
    <w:rsid w:val="00A830F1"/>
    <w:rsid w:val="00A834B9"/>
    <w:rsid w:val="00A8394B"/>
    <w:rsid w:val="00A83E88"/>
    <w:rsid w:val="00A84C19"/>
    <w:rsid w:val="00A84F3B"/>
    <w:rsid w:val="00A851D9"/>
    <w:rsid w:val="00A8550D"/>
    <w:rsid w:val="00A85516"/>
    <w:rsid w:val="00A85551"/>
    <w:rsid w:val="00A8579F"/>
    <w:rsid w:val="00A86FE0"/>
    <w:rsid w:val="00A87424"/>
    <w:rsid w:val="00A87777"/>
    <w:rsid w:val="00A907B7"/>
    <w:rsid w:val="00A90882"/>
    <w:rsid w:val="00A909E3"/>
    <w:rsid w:val="00A90A83"/>
    <w:rsid w:val="00A90AA1"/>
    <w:rsid w:val="00A91221"/>
    <w:rsid w:val="00A91314"/>
    <w:rsid w:val="00A916A2"/>
    <w:rsid w:val="00A91B82"/>
    <w:rsid w:val="00A91FD1"/>
    <w:rsid w:val="00A92267"/>
    <w:rsid w:val="00A93982"/>
    <w:rsid w:val="00A93BE8"/>
    <w:rsid w:val="00A93E8B"/>
    <w:rsid w:val="00A94AA1"/>
    <w:rsid w:val="00A95197"/>
    <w:rsid w:val="00A951EF"/>
    <w:rsid w:val="00A95255"/>
    <w:rsid w:val="00A95286"/>
    <w:rsid w:val="00A956AB"/>
    <w:rsid w:val="00A964A7"/>
    <w:rsid w:val="00A968A2"/>
    <w:rsid w:val="00A969E5"/>
    <w:rsid w:val="00A96DE0"/>
    <w:rsid w:val="00A96F35"/>
    <w:rsid w:val="00A96F96"/>
    <w:rsid w:val="00A970B5"/>
    <w:rsid w:val="00A97841"/>
    <w:rsid w:val="00A97888"/>
    <w:rsid w:val="00AA128B"/>
    <w:rsid w:val="00AA2095"/>
    <w:rsid w:val="00AA216F"/>
    <w:rsid w:val="00AA2350"/>
    <w:rsid w:val="00AA2371"/>
    <w:rsid w:val="00AA2F1B"/>
    <w:rsid w:val="00AA3058"/>
    <w:rsid w:val="00AA31BE"/>
    <w:rsid w:val="00AA3EFA"/>
    <w:rsid w:val="00AA48D4"/>
    <w:rsid w:val="00AA4A59"/>
    <w:rsid w:val="00AA4BDB"/>
    <w:rsid w:val="00AA4DEE"/>
    <w:rsid w:val="00AA50C1"/>
    <w:rsid w:val="00AA5933"/>
    <w:rsid w:val="00AA5EEC"/>
    <w:rsid w:val="00AA5FE8"/>
    <w:rsid w:val="00AA616E"/>
    <w:rsid w:val="00AA6451"/>
    <w:rsid w:val="00AA6ACF"/>
    <w:rsid w:val="00AA74BD"/>
    <w:rsid w:val="00AA759B"/>
    <w:rsid w:val="00AA77A3"/>
    <w:rsid w:val="00AA79D7"/>
    <w:rsid w:val="00AA7A58"/>
    <w:rsid w:val="00AB05D3"/>
    <w:rsid w:val="00AB0CD1"/>
    <w:rsid w:val="00AB0FB9"/>
    <w:rsid w:val="00AB1021"/>
    <w:rsid w:val="00AB11B4"/>
    <w:rsid w:val="00AB128F"/>
    <w:rsid w:val="00AB15F8"/>
    <w:rsid w:val="00AB1B3A"/>
    <w:rsid w:val="00AB1CB9"/>
    <w:rsid w:val="00AB1F35"/>
    <w:rsid w:val="00AB2161"/>
    <w:rsid w:val="00AB2854"/>
    <w:rsid w:val="00AB2BCC"/>
    <w:rsid w:val="00AB3243"/>
    <w:rsid w:val="00AB3881"/>
    <w:rsid w:val="00AB3B1D"/>
    <w:rsid w:val="00AB3B51"/>
    <w:rsid w:val="00AB3C74"/>
    <w:rsid w:val="00AB3D43"/>
    <w:rsid w:val="00AB4EC2"/>
    <w:rsid w:val="00AB51F5"/>
    <w:rsid w:val="00AB59F3"/>
    <w:rsid w:val="00AB5A83"/>
    <w:rsid w:val="00AB5FCA"/>
    <w:rsid w:val="00AB60F8"/>
    <w:rsid w:val="00AB6114"/>
    <w:rsid w:val="00AB67E8"/>
    <w:rsid w:val="00AB6905"/>
    <w:rsid w:val="00AB6E41"/>
    <w:rsid w:val="00AB6F0F"/>
    <w:rsid w:val="00AB7028"/>
    <w:rsid w:val="00AB7564"/>
    <w:rsid w:val="00AB7851"/>
    <w:rsid w:val="00AB7C63"/>
    <w:rsid w:val="00AC0018"/>
    <w:rsid w:val="00AC015F"/>
    <w:rsid w:val="00AC0168"/>
    <w:rsid w:val="00AC07E1"/>
    <w:rsid w:val="00AC0C28"/>
    <w:rsid w:val="00AC0CFB"/>
    <w:rsid w:val="00AC0D79"/>
    <w:rsid w:val="00AC0D87"/>
    <w:rsid w:val="00AC1B91"/>
    <w:rsid w:val="00AC1CF5"/>
    <w:rsid w:val="00AC25A3"/>
    <w:rsid w:val="00AC269E"/>
    <w:rsid w:val="00AC2AB0"/>
    <w:rsid w:val="00AC331A"/>
    <w:rsid w:val="00AC3679"/>
    <w:rsid w:val="00AC3A71"/>
    <w:rsid w:val="00AC3EC9"/>
    <w:rsid w:val="00AC40A7"/>
    <w:rsid w:val="00AC43CD"/>
    <w:rsid w:val="00AC44C7"/>
    <w:rsid w:val="00AC4782"/>
    <w:rsid w:val="00AC4893"/>
    <w:rsid w:val="00AC4B69"/>
    <w:rsid w:val="00AC5943"/>
    <w:rsid w:val="00AC5A9F"/>
    <w:rsid w:val="00AC69DB"/>
    <w:rsid w:val="00AC779D"/>
    <w:rsid w:val="00AD055F"/>
    <w:rsid w:val="00AD062F"/>
    <w:rsid w:val="00AD0B31"/>
    <w:rsid w:val="00AD0D6B"/>
    <w:rsid w:val="00AD1244"/>
    <w:rsid w:val="00AD162C"/>
    <w:rsid w:val="00AD1682"/>
    <w:rsid w:val="00AD1854"/>
    <w:rsid w:val="00AD1FAA"/>
    <w:rsid w:val="00AD201A"/>
    <w:rsid w:val="00AD2BCD"/>
    <w:rsid w:val="00AD3B2C"/>
    <w:rsid w:val="00AD3DF4"/>
    <w:rsid w:val="00AD40B5"/>
    <w:rsid w:val="00AD42DB"/>
    <w:rsid w:val="00AD49C8"/>
    <w:rsid w:val="00AD5FAE"/>
    <w:rsid w:val="00AD6322"/>
    <w:rsid w:val="00AD65CD"/>
    <w:rsid w:val="00AD730D"/>
    <w:rsid w:val="00AE094B"/>
    <w:rsid w:val="00AE0C7D"/>
    <w:rsid w:val="00AE0D9A"/>
    <w:rsid w:val="00AE0EEE"/>
    <w:rsid w:val="00AE129F"/>
    <w:rsid w:val="00AE13ED"/>
    <w:rsid w:val="00AE1E44"/>
    <w:rsid w:val="00AE20B0"/>
    <w:rsid w:val="00AE2244"/>
    <w:rsid w:val="00AE295F"/>
    <w:rsid w:val="00AE29C9"/>
    <w:rsid w:val="00AE2BB3"/>
    <w:rsid w:val="00AE3AF1"/>
    <w:rsid w:val="00AE3D53"/>
    <w:rsid w:val="00AE4037"/>
    <w:rsid w:val="00AE4913"/>
    <w:rsid w:val="00AE4C0F"/>
    <w:rsid w:val="00AE4DFC"/>
    <w:rsid w:val="00AE5109"/>
    <w:rsid w:val="00AE5421"/>
    <w:rsid w:val="00AE5E57"/>
    <w:rsid w:val="00AE63A2"/>
    <w:rsid w:val="00AE6FBB"/>
    <w:rsid w:val="00AE6FF9"/>
    <w:rsid w:val="00AF02C8"/>
    <w:rsid w:val="00AF05DD"/>
    <w:rsid w:val="00AF0A41"/>
    <w:rsid w:val="00AF0C86"/>
    <w:rsid w:val="00AF10E6"/>
    <w:rsid w:val="00AF153B"/>
    <w:rsid w:val="00AF264A"/>
    <w:rsid w:val="00AF2CF4"/>
    <w:rsid w:val="00AF309A"/>
    <w:rsid w:val="00AF3577"/>
    <w:rsid w:val="00AF3643"/>
    <w:rsid w:val="00AF37AC"/>
    <w:rsid w:val="00AF392A"/>
    <w:rsid w:val="00AF3C10"/>
    <w:rsid w:val="00AF3F55"/>
    <w:rsid w:val="00AF40C5"/>
    <w:rsid w:val="00AF42EB"/>
    <w:rsid w:val="00AF45EE"/>
    <w:rsid w:val="00AF48FE"/>
    <w:rsid w:val="00AF4AD7"/>
    <w:rsid w:val="00AF4B4E"/>
    <w:rsid w:val="00AF4F70"/>
    <w:rsid w:val="00AF4F97"/>
    <w:rsid w:val="00AF5179"/>
    <w:rsid w:val="00AF52F5"/>
    <w:rsid w:val="00AF59E4"/>
    <w:rsid w:val="00AF61C4"/>
    <w:rsid w:val="00AF6929"/>
    <w:rsid w:val="00AF6B34"/>
    <w:rsid w:val="00AF712C"/>
    <w:rsid w:val="00AF72EB"/>
    <w:rsid w:val="00B0015B"/>
    <w:rsid w:val="00B004FF"/>
    <w:rsid w:val="00B00931"/>
    <w:rsid w:val="00B00FB5"/>
    <w:rsid w:val="00B0142F"/>
    <w:rsid w:val="00B01639"/>
    <w:rsid w:val="00B0174E"/>
    <w:rsid w:val="00B0180E"/>
    <w:rsid w:val="00B019F3"/>
    <w:rsid w:val="00B01C3A"/>
    <w:rsid w:val="00B01CF1"/>
    <w:rsid w:val="00B01DB7"/>
    <w:rsid w:val="00B02252"/>
    <w:rsid w:val="00B0249A"/>
    <w:rsid w:val="00B0254F"/>
    <w:rsid w:val="00B02589"/>
    <w:rsid w:val="00B02D4A"/>
    <w:rsid w:val="00B02D53"/>
    <w:rsid w:val="00B02F3F"/>
    <w:rsid w:val="00B03CA8"/>
    <w:rsid w:val="00B0454D"/>
    <w:rsid w:val="00B04848"/>
    <w:rsid w:val="00B0589F"/>
    <w:rsid w:val="00B061FA"/>
    <w:rsid w:val="00B06461"/>
    <w:rsid w:val="00B06A80"/>
    <w:rsid w:val="00B06BAD"/>
    <w:rsid w:val="00B06FFA"/>
    <w:rsid w:val="00B07121"/>
    <w:rsid w:val="00B0723F"/>
    <w:rsid w:val="00B07455"/>
    <w:rsid w:val="00B075E0"/>
    <w:rsid w:val="00B07912"/>
    <w:rsid w:val="00B07C23"/>
    <w:rsid w:val="00B10265"/>
    <w:rsid w:val="00B1041B"/>
    <w:rsid w:val="00B10A19"/>
    <w:rsid w:val="00B111A9"/>
    <w:rsid w:val="00B1174C"/>
    <w:rsid w:val="00B118BF"/>
    <w:rsid w:val="00B1192F"/>
    <w:rsid w:val="00B11C08"/>
    <w:rsid w:val="00B11C43"/>
    <w:rsid w:val="00B1249C"/>
    <w:rsid w:val="00B124D1"/>
    <w:rsid w:val="00B12AFE"/>
    <w:rsid w:val="00B12B43"/>
    <w:rsid w:val="00B13252"/>
    <w:rsid w:val="00B13257"/>
    <w:rsid w:val="00B13417"/>
    <w:rsid w:val="00B1386C"/>
    <w:rsid w:val="00B1394D"/>
    <w:rsid w:val="00B13B30"/>
    <w:rsid w:val="00B13BB9"/>
    <w:rsid w:val="00B14318"/>
    <w:rsid w:val="00B14E2C"/>
    <w:rsid w:val="00B15073"/>
    <w:rsid w:val="00B15426"/>
    <w:rsid w:val="00B1573D"/>
    <w:rsid w:val="00B157E3"/>
    <w:rsid w:val="00B159FF"/>
    <w:rsid w:val="00B15A4F"/>
    <w:rsid w:val="00B15C7C"/>
    <w:rsid w:val="00B162F9"/>
    <w:rsid w:val="00B16391"/>
    <w:rsid w:val="00B1692B"/>
    <w:rsid w:val="00B17127"/>
    <w:rsid w:val="00B17279"/>
    <w:rsid w:val="00B172B6"/>
    <w:rsid w:val="00B178FA"/>
    <w:rsid w:val="00B17A42"/>
    <w:rsid w:val="00B17ACE"/>
    <w:rsid w:val="00B20681"/>
    <w:rsid w:val="00B20766"/>
    <w:rsid w:val="00B208F3"/>
    <w:rsid w:val="00B20996"/>
    <w:rsid w:val="00B20C8A"/>
    <w:rsid w:val="00B20F3A"/>
    <w:rsid w:val="00B2164C"/>
    <w:rsid w:val="00B21CCC"/>
    <w:rsid w:val="00B21D37"/>
    <w:rsid w:val="00B222F4"/>
    <w:rsid w:val="00B22544"/>
    <w:rsid w:val="00B22972"/>
    <w:rsid w:val="00B22B36"/>
    <w:rsid w:val="00B22B7C"/>
    <w:rsid w:val="00B2310B"/>
    <w:rsid w:val="00B2361E"/>
    <w:rsid w:val="00B24384"/>
    <w:rsid w:val="00B24914"/>
    <w:rsid w:val="00B24CBC"/>
    <w:rsid w:val="00B2544A"/>
    <w:rsid w:val="00B2585A"/>
    <w:rsid w:val="00B25AA0"/>
    <w:rsid w:val="00B261E6"/>
    <w:rsid w:val="00B262D0"/>
    <w:rsid w:val="00B263E8"/>
    <w:rsid w:val="00B2644B"/>
    <w:rsid w:val="00B26458"/>
    <w:rsid w:val="00B26680"/>
    <w:rsid w:val="00B26988"/>
    <w:rsid w:val="00B273A0"/>
    <w:rsid w:val="00B279BA"/>
    <w:rsid w:val="00B305BF"/>
    <w:rsid w:val="00B30BC1"/>
    <w:rsid w:val="00B30D11"/>
    <w:rsid w:val="00B3160F"/>
    <w:rsid w:val="00B318F0"/>
    <w:rsid w:val="00B32083"/>
    <w:rsid w:val="00B32432"/>
    <w:rsid w:val="00B324B8"/>
    <w:rsid w:val="00B3295C"/>
    <w:rsid w:val="00B33122"/>
    <w:rsid w:val="00B33958"/>
    <w:rsid w:val="00B33A86"/>
    <w:rsid w:val="00B33B1F"/>
    <w:rsid w:val="00B33B23"/>
    <w:rsid w:val="00B33DE8"/>
    <w:rsid w:val="00B344CE"/>
    <w:rsid w:val="00B34752"/>
    <w:rsid w:val="00B34C40"/>
    <w:rsid w:val="00B3517C"/>
    <w:rsid w:val="00B35B8D"/>
    <w:rsid w:val="00B35FC0"/>
    <w:rsid w:val="00B36545"/>
    <w:rsid w:val="00B3768A"/>
    <w:rsid w:val="00B3773D"/>
    <w:rsid w:val="00B379FE"/>
    <w:rsid w:val="00B40A66"/>
    <w:rsid w:val="00B40DDA"/>
    <w:rsid w:val="00B417B4"/>
    <w:rsid w:val="00B41A86"/>
    <w:rsid w:val="00B41D3E"/>
    <w:rsid w:val="00B420C2"/>
    <w:rsid w:val="00B426D7"/>
    <w:rsid w:val="00B43347"/>
    <w:rsid w:val="00B43A40"/>
    <w:rsid w:val="00B43B89"/>
    <w:rsid w:val="00B44271"/>
    <w:rsid w:val="00B44468"/>
    <w:rsid w:val="00B44625"/>
    <w:rsid w:val="00B4470D"/>
    <w:rsid w:val="00B4490B"/>
    <w:rsid w:val="00B452D8"/>
    <w:rsid w:val="00B45735"/>
    <w:rsid w:val="00B45BBD"/>
    <w:rsid w:val="00B45E64"/>
    <w:rsid w:val="00B464B2"/>
    <w:rsid w:val="00B4699B"/>
    <w:rsid w:val="00B46C3E"/>
    <w:rsid w:val="00B47490"/>
    <w:rsid w:val="00B476CD"/>
    <w:rsid w:val="00B50195"/>
    <w:rsid w:val="00B50257"/>
    <w:rsid w:val="00B50281"/>
    <w:rsid w:val="00B505B6"/>
    <w:rsid w:val="00B50CE4"/>
    <w:rsid w:val="00B519B2"/>
    <w:rsid w:val="00B51CB5"/>
    <w:rsid w:val="00B51D4E"/>
    <w:rsid w:val="00B51E7E"/>
    <w:rsid w:val="00B52072"/>
    <w:rsid w:val="00B52A39"/>
    <w:rsid w:val="00B52B3E"/>
    <w:rsid w:val="00B53203"/>
    <w:rsid w:val="00B53344"/>
    <w:rsid w:val="00B534C3"/>
    <w:rsid w:val="00B53BC2"/>
    <w:rsid w:val="00B54872"/>
    <w:rsid w:val="00B54BDF"/>
    <w:rsid w:val="00B54C7C"/>
    <w:rsid w:val="00B54CB3"/>
    <w:rsid w:val="00B54E7F"/>
    <w:rsid w:val="00B5590A"/>
    <w:rsid w:val="00B55AD1"/>
    <w:rsid w:val="00B55D6C"/>
    <w:rsid w:val="00B5602B"/>
    <w:rsid w:val="00B5616F"/>
    <w:rsid w:val="00B563A7"/>
    <w:rsid w:val="00B56522"/>
    <w:rsid w:val="00B5694D"/>
    <w:rsid w:val="00B56A72"/>
    <w:rsid w:val="00B577D2"/>
    <w:rsid w:val="00B57A19"/>
    <w:rsid w:val="00B60C2C"/>
    <w:rsid w:val="00B60F89"/>
    <w:rsid w:val="00B610D8"/>
    <w:rsid w:val="00B61883"/>
    <w:rsid w:val="00B62096"/>
    <w:rsid w:val="00B62097"/>
    <w:rsid w:val="00B62672"/>
    <w:rsid w:val="00B628D2"/>
    <w:rsid w:val="00B628F1"/>
    <w:rsid w:val="00B62AD7"/>
    <w:rsid w:val="00B62D30"/>
    <w:rsid w:val="00B63847"/>
    <w:rsid w:val="00B639B1"/>
    <w:rsid w:val="00B63A1A"/>
    <w:rsid w:val="00B63A30"/>
    <w:rsid w:val="00B648C7"/>
    <w:rsid w:val="00B64EFF"/>
    <w:rsid w:val="00B65F9B"/>
    <w:rsid w:val="00B660C4"/>
    <w:rsid w:val="00B662B7"/>
    <w:rsid w:val="00B664FD"/>
    <w:rsid w:val="00B66B1C"/>
    <w:rsid w:val="00B67102"/>
    <w:rsid w:val="00B671FF"/>
    <w:rsid w:val="00B677B0"/>
    <w:rsid w:val="00B67868"/>
    <w:rsid w:val="00B67BB4"/>
    <w:rsid w:val="00B67EA0"/>
    <w:rsid w:val="00B703D7"/>
    <w:rsid w:val="00B70692"/>
    <w:rsid w:val="00B70F9D"/>
    <w:rsid w:val="00B71B66"/>
    <w:rsid w:val="00B71BC5"/>
    <w:rsid w:val="00B722F7"/>
    <w:rsid w:val="00B72AB8"/>
    <w:rsid w:val="00B72C74"/>
    <w:rsid w:val="00B72D4C"/>
    <w:rsid w:val="00B737C7"/>
    <w:rsid w:val="00B73AAD"/>
    <w:rsid w:val="00B73D67"/>
    <w:rsid w:val="00B743D0"/>
    <w:rsid w:val="00B743E8"/>
    <w:rsid w:val="00B745FC"/>
    <w:rsid w:val="00B75091"/>
    <w:rsid w:val="00B754A9"/>
    <w:rsid w:val="00B759F6"/>
    <w:rsid w:val="00B762E9"/>
    <w:rsid w:val="00B762F8"/>
    <w:rsid w:val="00B76D6B"/>
    <w:rsid w:val="00B770E8"/>
    <w:rsid w:val="00B772B7"/>
    <w:rsid w:val="00B77910"/>
    <w:rsid w:val="00B77911"/>
    <w:rsid w:val="00B77B1C"/>
    <w:rsid w:val="00B77EEF"/>
    <w:rsid w:val="00B809DD"/>
    <w:rsid w:val="00B80AE2"/>
    <w:rsid w:val="00B82368"/>
    <w:rsid w:val="00B82417"/>
    <w:rsid w:val="00B83104"/>
    <w:rsid w:val="00B832B5"/>
    <w:rsid w:val="00B83AC4"/>
    <w:rsid w:val="00B83DB5"/>
    <w:rsid w:val="00B8447A"/>
    <w:rsid w:val="00B853C3"/>
    <w:rsid w:val="00B856BB"/>
    <w:rsid w:val="00B862A9"/>
    <w:rsid w:val="00B868B6"/>
    <w:rsid w:val="00B86A7E"/>
    <w:rsid w:val="00B86B11"/>
    <w:rsid w:val="00B86C7A"/>
    <w:rsid w:val="00B870DA"/>
    <w:rsid w:val="00B871C9"/>
    <w:rsid w:val="00B87439"/>
    <w:rsid w:val="00B87864"/>
    <w:rsid w:val="00B87EB2"/>
    <w:rsid w:val="00B907EA"/>
    <w:rsid w:val="00B90B0F"/>
    <w:rsid w:val="00B90FB4"/>
    <w:rsid w:val="00B91252"/>
    <w:rsid w:val="00B915A3"/>
    <w:rsid w:val="00B917DA"/>
    <w:rsid w:val="00B91EEE"/>
    <w:rsid w:val="00B9270E"/>
    <w:rsid w:val="00B928A1"/>
    <w:rsid w:val="00B92D42"/>
    <w:rsid w:val="00B92EE0"/>
    <w:rsid w:val="00B932AC"/>
    <w:rsid w:val="00B932B9"/>
    <w:rsid w:val="00B93CF5"/>
    <w:rsid w:val="00B94BE9"/>
    <w:rsid w:val="00B94C30"/>
    <w:rsid w:val="00B952F4"/>
    <w:rsid w:val="00B95831"/>
    <w:rsid w:val="00B95935"/>
    <w:rsid w:val="00B95AC5"/>
    <w:rsid w:val="00B95C20"/>
    <w:rsid w:val="00B95C84"/>
    <w:rsid w:val="00B962DE"/>
    <w:rsid w:val="00B96A7B"/>
    <w:rsid w:val="00B96FAC"/>
    <w:rsid w:val="00B96FAE"/>
    <w:rsid w:val="00B977D1"/>
    <w:rsid w:val="00B9794E"/>
    <w:rsid w:val="00BA013B"/>
    <w:rsid w:val="00BA019D"/>
    <w:rsid w:val="00BA04A2"/>
    <w:rsid w:val="00BA069E"/>
    <w:rsid w:val="00BA14AE"/>
    <w:rsid w:val="00BA1766"/>
    <w:rsid w:val="00BA1973"/>
    <w:rsid w:val="00BA1E29"/>
    <w:rsid w:val="00BA1F94"/>
    <w:rsid w:val="00BA2AE3"/>
    <w:rsid w:val="00BA2B23"/>
    <w:rsid w:val="00BA3660"/>
    <w:rsid w:val="00BA3791"/>
    <w:rsid w:val="00BA3ACB"/>
    <w:rsid w:val="00BA3DEE"/>
    <w:rsid w:val="00BA3EF3"/>
    <w:rsid w:val="00BA4D5D"/>
    <w:rsid w:val="00BA5113"/>
    <w:rsid w:val="00BA544F"/>
    <w:rsid w:val="00BA577A"/>
    <w:rsid w:val="00BA583C"/>
    <w:rsid w:val="00BA586F"/>
    <w:rsid w:val="00BA5C50"/>
    <w:rsid w:val="00BA5E5B"/>
    <w:rsid w:val="00BA5F66"/>
    <w:rsid w:val="00BA6108"/>
    <w:rsid w:val="00BA6398"/>
    <w:rsid w:val="00BA6A03"/>
    <w:rsid w:val="00BA6CE3"/>
    <w:rsid w:val="00BA6DA6"/>
    <w:rsid w:val="00BA6E00"/>
    <w:rsid w:val="00BA6F84"/>
    <w:rsid w:val="00BA7446"/>
    <w:rsid w:val="00BA7480"/>
    <w:rsid w:val="00BA78C0"/>
    <w:rsid w:val="00BA7919"/>
    <w:rsid w:val="00BA7A7D"/>
    <w:rsid w:val="00BA7BDF"/>
    <w:rsid w:val="00BB043F"/>
    <w:rsid w:val="00BB04E1"/>
    <w:rsid w:val="00BB0D1C"/>
    <w:rsid w:val="00BB0D87"/>
    <w:rsid w:val="00BB13A7"/>
    <w:rsid w:val="00BB19F6"/>
    <w:rsid w:val="00BB22AC"/>
    <w:rsid w:val="00BB31C5"/>
    <w:rsid w:val="00BB3E7B"/>
    <w:rsid w:val="00BB552B"/>
    <w:rsid w:val="00BB5619"/>
    <w:rsid w:val="00BB5BEB"/>
    <w:rsid w:val="00BB5E96"/>
    <w:rsid w:val="00BB6A70"/>
    <w:rsid w:val="00BB6B06"/>
    <w:rsid w:val="00BB6B76"/>
    <w:rsid w:val="00BB753B"/>
    <w:rsid w:val="00BB7BFF"/>
    <w:rsid w:val="00BC054B"/>
    <w:rsid w:val="00BC0CFC"/>
    <w:rsid w:val="00BC1377"/>
    <w:rsid w:val="00BC1394"/>
    <w:rsid w:val="00BC17B7"/>
    <w:rsid w:val="00BC1CF1"/>
    <w:rsid w:val="00BC1EC8"/>
    <w:rsid w:val="00BC235C"/>
    <w:rsid w:val="00BC23DA"/>
    <w:rsid w:val="00BC2437"/>
    <w:rsid w:val="00BC29FA"/>
    <w:rsid w:val="00BC2AB6"/>
    <w:rsid w:val="00BC2D4F"/>
    <w:rsid w:val="00BC30AB"/>
    <w:rsid w:val="00BC353D"/>
    <w:rsid w:val="00BC387F"/>
    <w:rsid w:val="00BC39E3"/>
    <w:rsid w:val="00BC41EC"/>
    <w:rsid w:val="00BC43E2"/>
    <w:rsid w:val="00BC4690"/>
    <w:rsid w:val="00BC4693"/>
    <w:rsid w:val="00BC480E"/>
    <w:rsid w:val="00BC4B42"/>
    <w:rsid w:val="00BC5662"/>
    <w:rsid w:val="00BC5FF2"/>
    <w:rsid w:val="00BC62F1"/>
    <w:rsid w:val="00BC739D"/>
    <w:rsid w:val="00BC7680"/>
    <w:rsid w:val="00BC7B81"/>
    <w:rsid w:val="00BC7BE8"/>
    <w:rsid w:val="00BD0846"/>
    <w:rsid w:val="00BD0B02"/>
    <w:rsid w:val="00BD0C07"/>
    <w:rsid w:val="00BD0D39"/>
    <w:rsid w:val="00BD0EFF"/>
    <w:rsid w:val="00BD0FD1"/>
    <w:rsid w:val="00BD1041"/>
    <w:rsid w:val="00BD1797"/>
    <w:rsid w:val="00BD18C3"/>
    <w:rsid w:val="00BD1CC1"/>
    <w:rsid w:val="00BD1D44"/>
    <w:rsid w:val="00BD24D7"/>
    <w:rsid w:val="00BD2861"/>
    <w:rsid w:val="00BD2DF5"/>
    <w:rsid w:val="00BD2F06"/>
    <w:rsid w:val="00BD3219"/>
    <w:rsid w:val="00BD345F"/>
    <w:rsid w:val="00BD35A6"/>
    <w:rsid w:val="00BD381E"/>
    <w:rsid w:val="00BD6182"/>
    <w:rsid w:val="00BD65F5"/>
    <w:rsid w:val="00BD67DC"/>
    <w:rsid w:val="00BD6DEF"/>
    <w:rsid w:val="00BD71AA"/>
    <w:rsid w:val="00BD7789"/>
    <w:rsid w:val="00BD7983"/>
    <w:rsid w:val="00BE01EB"/>
    <w:rsid w:val="00BE04A4"/>
    <w:rsid w:val="00BE0F08"/>
    <w:rsid w:val="00BE165C"/>
    <w:rsid w:val="00BE2B68"/>
    <w:rsid w:val="00BE2EC4"/>
    <w:rsid w:val="00BE3339"/>
    <w:rsid w:val="00BE3857"/>
    <w:rsid w:val="00BE3EB6"/>
    <w:rsid w:val="00BE3EC6"/>
    <w:rsid w:val="00BE3FCC"/>
    <w:rsid w:val="00BE4628"/>
    <w:rsid w:val="00BE4757"/>
    <w:rsid w:val="00BE48B6"/>
    <w:rsid w:val="00BE4BE6"/>
    <w:rsid w:val="00BE4D61"/>
    <w:rsid w:val="00BE503F"/>
    <w:rsid w:val="00BE50B4"/>
    <w:rsid w:val="00BE51AB"/>
    <w:rsid w:val="00BE5646"/>
    <w:rsid w:val="00BE5A05"/>
    <w:rsid w:val="00BE601F"/>
    <w:rsid w:val="00BE6086"/>
    <w:rsid w:val="00BE64E3"/>
    <w:rsid w:val="00BE713A"/>
    <w:rsid w:val="00BE7683"/>
    <w:rsid w:val="00BE7853"/>
    <w:rsid w:val="00BE7A7D"/>
    <w:rsid w:val="00BE7DAE"/>
    <w:rsid w:val="00BE7DBE"/>
    <w:rsid w:val="00BE7F17"/>
    <w:rsid w:val="00BF03A4"/>
    <w:rsid w:val="00BF0462"/>
    <w:rsid w:val="00BF0A6F"/>
    <w:rsid w:val="00BF0C49"/>
    <w:rsid w:val="00BF0CE3"/>
    <w:rsid w:val="00BF2271"/>
    <w:rsid w:val="00BF2480"/>
    <w:rsid w:val="00BF27AA"/>
    <w:rsid w:val="00BF2F67"/>
    <w:rsid w:val="00BF30A8"/>
    <w:rsid w:val="00BF34DD"/>
    <w:rsid w:val="00BF3DD5"/>
    <w:rsid w:val="00BF3E9C"/>
    <w:rsid w:val="00BF41B8"/>
    <w:rsid w:val="00BF42DD"/>
    <w:rsid w:val="00BF4508"/>
    <w:rsid w:val="00BF472A"/>
    <w:rsid w:val="00BF4825"/>
    <w:rsid w:val="00BF4B93"/>
    <w:rsid w:val="00BF54F0"/>
    <w:rsid w:val="00BF5519"/>
    <w:rsid w:val="00BF56B0"/>
    <w:rsid w:val="00BF5D21"/>
    <w:rsid w:val="00BF6071"/>
    <w:rsid w:val="00BF67B6"/>
    <w:rsid w:val="00BF6C24"/>
    <w:rsid w:val="00BF6E73"/>
    <w:rsid w:val="00BF70C8"/>
    <w:rsid w:val="00BF73D2"/>
    <w:rsid w:val="00BF74E5"/>
    <w:rsid w:val="00BF7B73"/>
    <w:rsid w:val="00C013BF"/>
    <w:rsid w:val="00C01910"/>
    <w:rsid w:val="00C0278E"/>
    <w:rsid w:val="00C032C0"/>
    <w:rsid w:val="00C03574"/>
    <w:rsid w:val="00C0392F"/>
    <w:rsid w:val="00C03EE0"/>
    <w:rsid w:val="00C0444A"/>
    <w:rsid w:val="00C04B67"/>
    <w:rsid w:val="00C054F7"/>
    <w:rsid w:val="00C05BFC"/>
    <w:rsid w:val="00C06110"/>
    <w:rsid w:val="00C06541"/>
    <w:rsid w:val="00C065DF"/>
    <w:rsid w:val="00C06654"/>
    <w:rsid w:val="00C06975"/>
    <w:rsid w:val="00C06FE6"/>
    <w:rsid w:val="00C071C8"/>
    <w:rsid w:val="00C0752C"/>
    <w:rsid w:val="00C0777A"/>
    <w:rsid w:val="00C10224"/>
    <w:rsid w:val="00C11326"/>
    <w:rsid w:val="00C11C0D"/>
    <w:rsid w:val="00C11DE7"/>
    <w:rsid w:val="00C12129"/>
    <w:rsid w:val="00C122B3"/>
    <w:rsid w:val="00C123E3"/>
    <w:rsid w:val="00C1262A"/>
    <w:rsid w:val="00C1308D"/>
    <w:rsid w:val="00C130DA"/>
    <w:rsid w:val="00C13417"/>
    <w:rsid w:val="00C1344E"/>
    <w:rsid w:val="00C13ABA"/>
    <w:rsid w:val="00C13D28"/>
    <w:rsid w:val="00C13D35"/>
    <w:rsid w:val="00C14322"/>
    <w:rsid w:val="00C14792"/>
    <w:rsid w:val="00C14E00"/>
    <w:rsid w:val="00C154CC"/>
    <w:rsid w:val="00C15781"/>
    <w:rsid w:val="00C157C2"/>
    <w:rsid w:val="00C15BD7"/>
    <w:rsid w:val="00C15F60"/>
    <w:rsid w:val="00C16095"/>
    <w:rsid w:val="00C16703"/>
    <w:rsid w:val="00C168A7"/>
    <w:rsid w:val="00C16D9E"/>
    <w:rsid w:val="00C171AB"/>
    <w:rsid w:val="00C17200"/>
    <w:rsid w:val="00C2007E"/>
    <w:rsid w:val="00C203C3"/>
    <w:rsid w:val="00C2067C"/>
    <w:rsid w:val="00C21750"/>
    <w:rsid w:val="00C21BAC"/>
    <w:rsid w:val="00C21D89"/>
    <w:rsid w:val="00C21EDB"/>
    <w:rsid w:val="00C21F3A"/>
    <w:rsid w:val="00C220BF"/>
    <w:rsid w:val="00C22289"/>
    <w:rsid w:val="00C22506"/>
    <w:rsid w:val="00C2289A"/>
    <w:rsid w:val="00C2302B"/>
    <w:rsid w:val="00C23369"/>
    <w:rsid w:val="00C23534"/>
    <w:rsid w:val="00C2387B"/>
    <w:rsid w:val="00C23907"/>
    <w:rsid w:val="00C23BA4"/>
    <w:rsid w:val="00C2524D"/>
    <w:rsid w:val="00C253BD"/>
    <w:rsid w:val="00C255B5"/>
    <w:rsid w:val="00C256D0"/>
    <w:rsid w:val="00C259EB"/>
    <w:rsid w:val="00C25B41"/>
    <w:rsid w:val="00C261CF"/>
    <w:rsid w:val="00C261DC"/>
    <w:rsid w:val="00C261E5"/>
    <w:rsid w:val="00C262EB"/>
    <w:rsid w:val="00C2664C"/>
    <w:rsid w:val="00C2745D"/>
    <w:rsid w:val="00C301AE"/>
    <w:rsid w:val="00C30292"/>
    <w:rsid w:val="00C309A6"/>
    <w:rsid w:val="00C30A00"/>
    <w:rsid w:val="00C3126D"/>
    <w:rsid w:val="00C32160"/>
    <w:rsid w:val="00C323A6"/>
    <w:rsid w:val="00C32873"/>
    <w:rsid w:val="00C32FFD"/>
    <w:rsid w:val="00C33577"/>
    <w:rsid w:val="00C33745"/>
    <w:rsid w:val="00C340C5"/>
    <w:rsid w:val="00C348CD"/>
    <w:rsid w:val="00C34BCF"/>
    <w:rsid w:val="00C352E5"/>
    <w:rsid w:val="00C35896"/>
    <w:rsid w:val="00C35991"/>
    <w:rsid w:val="00C36148"/>
    <w:rsid w:val="00C362F5"/>
    <w:rsid w:val="00C366C0"/>
    <w:rsid w:val="00C36B2C"/>
    <w:rsid w:val="00C36BE5"/>
    <w:rsid w:val="00C37C33"/>
    <w:rsid w:val="00C4133D"/>
    <w:rsid w:val="00C417D1"/>
    <w:rsid w:val="00C41969"/>
    <w:rsid w:val="00C41975"/>
    <w:rsid w:val="00C42551"/>
    <w:rsid w:val="00C4271A"/>
    <w:rsid w:val="00C43AD0"/>
    <w:rsid w:val="00C43EA9"/>
    <w:rsid w:val="00C43FD4"/>
    <w:rsid w:val="00C45255"/>
    <w:rsid w:val="00C45DEC"/>
    <w:rsid w:val="00C4635F"/>
    <w:rsid w:val="00C463EE"/>
    <w:rsid w:val="00C46541"/>
    <w:rsid w:val="00C4662A"/>
    <w:rsid w:val="00C468EF"/>
    <w:rsid w:val="00C46A9C"/>
    <w:rsid w:val="00C46D67"/>
    <w:rsid w:val="00C472A1"/>
    <w:rsid w:val="00C472FD"/>
    <w:rsid w:val="00C478B8"/>
    <w:rsid w:val="00C507BD"/>
    <w:rsid w:val="00C50D76"/>
    <w:rsid w:val="00C50DEE"/>
    <w:rsid w:val="00C50E19"/>
    <w:rsid w:val="00C511D4"/>
    <w:rsid w:val="00C52187"/>
    <w:rsid w:val="00C5247D"/>
    <w:rsid w:val="00C52A98"/>
    <w:rsid w:val="00C532D6"/>
    <w:rsid w:val="00C5339C"/>
    <w:rsid w:val="00C53600"/>
    <w:rsid w:val="00C53A1E"/>
    <w:rsid w:val="00C54071"/>
    <w:rsid w:val="00C546D7"/>
    <w:rsid w:val="00C5470C"/>
    <w:rsid w:val="00C55310"/>
    <w:rsid w:val="00C56041"/>
    <w:rsid w:val="00C56185"/>
    <w:rsid w:val="00C56216"/>
    <w:rsid w:val="00C566A2"/>
    <w:rsid w:val="00C57037"/>
    <w:rsid w:val="00C573BC"/>
    <w:rsid w:val="00C575A1"/>
    <w:rsid w:val="00C57C81"/>
    <w:rsid w:val="00C57CA9"/>
    <w:rsid w:val="00C57EEE"/>
    <w:rsid w:val="00C607DA"/>
    <w:rsid w:val="00C6093B"/>
    <w:rsid w:val="00C60DE0"/>
    <w:rsid w:val="00C610C8"/>
    <w:rsid w:val="00C61608"/>
    <w:rsid w:val="00C6270C"/>
    <w:rsid w:val="00C632D9"/>
    <w:rsid w:val="00C63476"/>
    <w:rsid w:val="00C63871"/>
    <w:rsid w:val="00C63A41"/>
    <w:rsid w:val="00C63A47"/>
    <w:rsid w:val="00C64965"/>
    <w:rsid w:val="00C65186"/>
    <w:rsid w:val="00C65943"/>
    <w:rsid w:val="00C65C12"/>
    <w:rsid w:val="00C65E3D"/>
    <w:rsid w:val="00C6632E"/>
    <w:rsid w:val="00C6716C"/>
    <w:rsid w:val="00C67960"/>
    <w:rsid w:val="00C67CF1"/>
    <w:rsid w:val="00C67F01"/>
    <w:rsid w:val="00C70480"/>
    <w:rsid w:val="00C70814"/>
    <w:rsid w:val="00C70921"/>
    <w:rsid w:val="00C70960"/>
    <w:rsid w:val="00C70C94"/>
    <w:rsid w:val="00C7160C"/>
    <w:rsid w:val="00C71BFC"/>
    <w:rsid w:val="00C71CE9"/>
    <w:rsid w:val="00C71EDA"/>
    <w:rsid w:val="00C7275A"/>
    <w:rsid w:val="00C728A4"/>
    <w:rsid w:val="00C72ADA"/>
    <w:rsid w:val="00C72D2D"/>
    <w:rsid w:val="00C73372"/>
    <w:rsid w:val="00C7352E"/>
    <w:rsid w:val="00C73D36"/>
    <w:rsid w:val="00C73DD7"/>
    <w:rsid w:val="00C73EC6"/>
    <w:rsid w:val="00C7568A"/>
    <w:rsid w:val="00C75798"/>
    <w:rsid w:val="00C75849"/>
    <w:rsid w:val="00C75B14"/>
    <w:rsid w:val="00C75CFC"/>
    <w:rsid w:val="00C7629E"/>
    <w:rsid w:val="00C762CD"/>
    <w:rsid w:val="00C76602"/>
    <w:rsid w:val="00C76882"/>
    <w:rsid w:val="00C77108"/>
    <w:rsid w:val="00C775F9"/>
    <w:rsid w:val="00C8015A"/>
    <w:rsid w:val="00C80DA5"/>
    <w:rsid w:val="00C81222"/>
    <w:rsid w:val="00C81252"/>
    <w:rsid w:val="00C81400"/>
    <w:rsid w:val="00C8168D"/>
    <w:rsid w:val="00C81862"/>
    <w:rsid w:val="00C82949"/>
    <w:rsid w:val="00C82AC3"/>
    <w:rsid w:val="00C82D86"/>
    <w:rsid w:val="00C82FF1"/>
    <w:rsid w:val="00C83547"/>
    <w:rsid w:val="00C83A9E"/>
    <w:rsid w:val="00C841FA"/>
    <w:rsid w:val="00C84671"/>
    <w:rsid w:val="00C84E83"/>
    <w:rsid w:val="00C858A5"/>
    <w:rsid w:val="00C8599F"/>
    <w:rsid w:val="00C859FA"/>
    <w:rsid w:val="00C85E12"/>
    <w:rsid w:val="00C85F47"/>
    <w:rsid w:val="00C86348"/>
    <w:rsid w:val="00C863A9"/>
    <w:rsid w:val="00C866B7"/>
    <w:rsid w:val="00C8680A"/>
    <w:rsid w:val="00C86CFD"/>
    <w:rsid w:val="00C86FBA"/>
    <w:rsid w:val="00C87442"/>
    <w:rsid w:val="00C87D70"/>
    <w:rsid w:val="00C904BC"/>
    <w:rsid w:val="00C9069C"/>
    <w:rsid w:val="00C90DA0"/>
    <w:rsid w:val="00C918DA"/>
    <w:rsid w:val="00C91B12"/>
    <w:rsid w:val="00C91F69"/>
    <w:rsid w:val="00C91FA0"/>
    <w:rsid w:val="00C921DB"/>
    <w:rsid w:val="00C925C5"/>
    <w:rsid w:val="00C92743"/>
    <w:rsid w:val="00C92A53"/>
    <w:rsid w:val="00C934D7"/>
    <w:rsid w:val="00C93A9A"/>
    <w:rsid w:val="00C940AA"/>
    <w:rsid w:val="00C949B7"/>
    <w:rsid w:val="00C94AFE"/>
    <w:rsid w:val="00C95111"/>
    <w:rsid w:val="00C95334"/>
    <w:rsid w:val="00C95EF5"/>
    <w:rsid w:val="00C96467"/>
    <w:rsid w:val="00C9717A"/>
    <w:rsid w:val="00C97723"/>
    <w:rsid w:val="00C97A4E"/>
    <w:rsid w:val="00CA0150"/>
    <w:rsid w:val="00CA042D"/>
    <w:rsid w:val="00CA090C"/>
    <w:rsid w:val="00CA0C38"/>
    <w:rsid w:val="00CA10D9"/>
    <w:rsid w:val="00CA1B6E"/>
    <w:rsid w:val="00CA1C8B"/>
    <w:rsid w:val="00CA1EC8"/>
    <w:rsid w:val="00CA2333"/>
    <w:rsid w:val="00CA2472"/>
    <w:rsid w:val="00CA2823"/>
    <w:rsid w:val="00CA29A9"/>
    <w:rsid w:val="00CA2C03"/>
    <w:rsid w:val="00CA2EF3"/>
    <w:rsid w:val="00CA3291"/>
    <w:rsid w:val="00CA35D9"/>
    <w:rsid w:val="00CA366C"/>
    <w:rsid w:val="00CA3916"/>
    <w:rsid w:val="00CA409C"/>
    <w:rsid w:val="00CA42EE"/>
    <w:rsid w:val="00CA4BD7"/>
    <w:rsid w:val="00CA4F31"/>
    <w:rsid w:val="00CA5256"/>
    <w:rsid w:val="00CA60D6"/>
    <w:rsid w:val="00CA63DC"/>
    <w:rsid w:val="00CA64BC"/>
    <w:rsid w:val="00CA6BD1"/>
    <w:rsid w:val="00CA6F30"/>
    <w:rsid w:val="00CA738E"/>
    <w:rsid w:val="00CB0303"/>
    <w:rsid w:val="00CB0D48"/>
    <w:rsid w:val="00CB12CC"/>
    <w:rsid w:val="00CB1466"/>
    <w:rsid w:val="00CB180D"/>
    <w:rsid w:val="00CB1FB9"/>
    <w:rsid w:val="00CB243C"/>
    <w:rsid w:val="00CB26D4"/>
    <w:rsid w:val="00CB2A7B"/>
    <w:rsid w:val="00CB2C4C"/>
    <w:rsid w:val="00CB3113"/>
    <w:rsid w:val="00CB34F6"/>
    <w:rsid w:val="00CB3FD3"/>
    <w:rsid w:val="00CB48EE"/>
    <w:rsid w:val="00CB4B6D"/>
    <w:rsid w:val="00CB4D06"/>
    <w:rsid w:val="00CB5080"/>
    <w:rsid w:val="00CB5A4D"/>
    <w:rsid w:val="00CB5F61"/>
    <w:rsid w:val="00CB6487"/>
    <w:rsid w:val="00CB6CAF"/>
    <w:rsid w:val="00CB6F8D"/>
    <w:rsid w:val="00CB78F4"/>
    <w:rsid w:val="00CB7BA5"/>
    <w:rsid w:val="00CC0043"/>
    <w:rsid w:val="00CC00A0"/>
    <w:rsid w:val="00CC0A55"/>
    <w:rsid w:val="00CC0FAA"/>
    <w:rsid w:val="00CC0FD4"/>
    <w:rsid w:val="00CC0FEA"/>
    <w:rsid w:val="00CC1DAB"/>
    <w:rsid w:val="00CC214F"/>
    <w:rsid w:val="00CC2372"/>
    <w:rsid w:val="00CC2373"/>
    <w:rsid w:val="00CC252F"/>
    <w:rsid w:val="00CC2A0E"/>
    <w:rsid w:val="00CC3083"/>
    <w:rsid w:val="00CC3440"/>
    <w:rsid w:val="00CC369C"/>
    <w:rsid w:val="00CC3CC3"/>
    <w:rsid w:val="00CC3D49"/>
    <w:rsid w:val="00CC42B2"/>
    <w:rsid w:val="00CC47CE"/>
    <w:rsid w:val="00CC48C0"/>
    <w:rsid w:val="00CC5B3B"/>
    <w:rsid w:val="00CC6729"/>
    <w:rsid w:val="00CC68BF"/>
    <w:rsid w:val="00CC6911"/>
    <w:rsid w:val="00CC6ABC"/>
    <w:rsid w:val="00CC7603"/>
    <w:rsid w:val="00CC78CC"/>
    <w:rsid w:val="00CD0026"/>
    <w:rsid w:val="00CD0305"/>
    <w:rsid w:val="00CD10AE"/>
    <w:rsid w:val="00CD1CF1"/>
    <w:rsid w:val="00CD2087"/>
    <w:rsid w:val="00CD232E"/>
    <w:rsid w:val="00CD2993"/>
    <w:rsid w:val="00CD2D19"/>
    <w:rsid w:val="00CD347B"/>
    <w:rsid w:val="00CD38EA"/>
    <w:rsid w:val="00CD3A48"/>
    <w:rsid w:val="00CD3B8B"/>
    <w:rsid w:val="00CD3F51"/>
    <w:rsid w:val="00CD4573"/>
    <w:rsid w:val="00CD4993"/>
    <w:rsid w:val="00CD516C"/>
    <w:rsid w:val="00CD581F"/>
    <w:rsid w:val="00CD5F97"/>
    <w:rsid w:val="00CD67ED"/>
    <w:rsid w:val="00CD6A16"/>
    <w:rsid w:val="00CD7AE9"/>
    <w:rsid w:val="00CE011F"/>
    <w:rsid w:val="00CE05D6"/>
    <w:rsid w:val="00CE10D3"/>
    <w:rsid w:val="00CE119F"/>
    <w:rsid w:val="00CE17FE"/>
    <w:rsid w:val="00CE1C01"/>
    <w:rsid w:val="00CE208C"/>
    <w:rsid w:val="00CE2118"/>
    <w:rsid w:val="00CE215F"/>
    <w:rsid w:val="00CE2B52"/>
    <w:rsid w:val="00CE3694"/>
    <w:rsid w:val="00CE393F"/>
    <w:rsid w:val="00CE3A3B"/>
    <w:rsid w:val="00CE3A76"/>
    <w:rsid w:val="00CE3A94"/>
    <w:rsid w:val="00CE40A0"/>
    <w:rsid w:val="00CE40D0"/>
    <w:rsid w:val="00CE42F1"/>
    <w:rsid w:val="00CE4A58"/>
    <w:rsid w:val="00CE4F24"/>
    <w:rsid w:val="00CE51C1"/>
    <w:rsid w:val="00CE63A2"/>
    <w:rsid w:val="00CE6CD8"/>
    <w:rsid w:val="00CE750F"/>
    <w:rsid w:val="00CE775D"/>
    <w:rsid w:val="00CE78F2"/>
    <w:rsid w:val="00CE7926"/>
    <w:rsid w:val="00CE7955"/>
    <w:rsid w:val="00CE7EFA"/>
    <w:rsid w:val="00CE7F88"/>
    <w:rsid w:val="00CF0276"/>
    <w:rsid w:val="00CF083D"/>
    <w:rsid w:val="00CF0BED"/>
    <w:rsid w:val="00CF0F22"/>
    <w:rsid w:val="00CF0FD7"/>
    <w:rsid w:val="00CF105A"/>
    <w:rsid w:val="00CF1CD4"/>
    <w:rsid w:val="00CF1E02"/>
    <w:rsid w:val="00CF2278"/>
    <w:rsid w:val="00CF2473"/>
    <w:rsid w:val="00CF2924"/>
    <w:rsid w:val="00CF2C59"/>
    <w:rsid w:val="00CF3047"/>
    <w:rsid w:val="00CF32E3"/>
    <w:rsid w:val="00CF3CE2"/>
    <w:rsid w:val="00CF4189"/>
    <w:rsid w:val="00CF426D"/>
    <w:rsid w:val="00CF55BF"/>
    <w:rsid w:val="00CF5ADF"/>
    <w:rsid w:val="00CF5C95"/>
    <w:rsid w:val="00CF630C"/>
    <w:rsid w:val="00CF6891"/>
    <w:rsid w:val="00CF689D"/>
    <w:rsid w:val="00CF6DB9"/>
    <w:rsid w:val="00CF721A"/>
    <w:rsid w:val="00CF77E5"/>
    <w:rsid w:val="00CF79DD"/>
    <w:rsid w:val="00CF7B41"/>
    <w:rsid w:val="00D01A52"/>
    <w:rsid w:val="00D01BBA"/>
    <w:rsid w:val="00D01EA0"/>
    <w:rsid w:val="00D027B6"/>
    <w:rsid w:val="00D0293A"/>
    <w:rsid w:val="00D02D80"/>
    <w:rsid w:val="00D03691"/>
    <w:rsid w:val="00D03BE2"/>
    <w:rsid w:val="00D03C46"/>
    <w:rsid w:val="00D03CAD"/>
    <w:rsid w:val="00D04493"/>
    <w:rsid w:val="00D049DE"/>
    <w:rsid w:val="00D04AED"/>
    <w:rsid w:val="00D04C45"/>
    <w:rsid w:val="00D05021"/>
    <w:rsid w:val="00D0521E"/>
    <w:rsid w:val="00D05507"/>
    <w:rsid w:val="00D05794"/>
    <w:rsid w:val="00D05926"/>
    <w:rsid w:val="00D05940"/>
    <w:rsid w:val="00D0596F"/>
    <w:rsid w:val="00D05A14"/>
    <w:rsid w:val="00D05C5C"/>
    <w:rsid w:val="00D06190"/>
    <w:rsid w:val="00D065FC"/>
    <w:rsid w:val="00D068A8"/>
    <w:rsid w:val="00D0693A"/>
    <w:rsid w:val="00D07A13"/>
    <w:rsid w:val="00D106E2"/>
    <w:rsid w:val="00D109DD"/>
    <w:rsid w:val="00D10CB6"/>
    <w:rsid w:val="00D10CBF"/>
    <w:rsid w:val="00D113BB"/>
    <w:rsid w:val="00D120C7"/>
    <w:rsid w:val="00D128F6"/>
    <w:rsid w:val="00D13230"/>
    <w:rsid w:val="00D13356"/>
    <w:rsid w:val="00D1399A"/>
    <w:rsid w:val="00D141DF"/>
    <w:rsid w:val="00D14317"/>
    <w:rsid w:val="00D149A5"/>
    <w:rsid w:val="00D151D2"/>
    <w:rsid w:val="00D1537F"/>
    <w:rsid w:val="00D1546B"/>
    <w:rsid w:val="00D15B6C"/>
    <w:rsid w:val="00D1609E"/>
    <w:rsid w:val="00D167CB"/>
    <w:rsid w:val="00D16C1F"/>
    <w:rsid w:val="00D174B3"/>
    <w:rsid w:val="00D20583"/>
    <w:rsid w:val="00D20C4F"/>
    <w:rsid w:val="00D20D14"/>
    <w:rsid w:val="00D21523"/>
    <w:rsid w:val="00D22ACF"/>
    <w:rsid w:val="00D22FD7"/>
    <w:rsid w:val="00D23431"/>
    <w:rsid w:val="00D2362C"/>
    <w:rsid w:val="00D23820"/>
    <w:rsid w:val="00D24043"/>
    <w:rsid w:val="00D2418B"/>
    <w:rsid w:val="00D24617"/>
    <w:rsid w:val="00D24B88"/>
    <w:rsid w:val="00D2539F"/>
    <w:rsid w:val="00D25C05"/>
    <w:rsid w:val="00D25E9D"/>
    <w:rsid w:val="00D264CC"/>
    <w:rsid w:val="00D273A1"/>
    <w:rsid w:val="00D27D41"/>
    <w:rsid w:val="00D304EB"/>
    <w:rsid w:val="00D30FD2"/>
    <w:rsid w:val="00D317CA"/>
    <w:rsid w:val="00D320C0"/>
    <w:rsid w:val="00D321A7"/>
    <w:rsid w:val="00D32C64"/>
    <w:rsid w:val="00D32D23"/>
    <w:rsid w:val="00D3307A"/>
    <w:rsid w:val="00D332C2"/>
    <w:rsid w:val="00D334C1"/>
    <w:rsid w:val="00D337DD"/>
    <w:rsid w:val="00D33FD5"/>
    <w:rsid w:val="00D3406F"/>
    <w:rsid w:val="00D3408A"/>
    <w:rsid w:val="00D3481F"/>
    <w:rsid w:val="00D349AB"/>
    <w:rsid w:val="00D34A64"/>
    <w:rsid w:val="00D34ACE"/>
    <w:rsid w:val="00D34C78"/>
    <w:rsid w:val="00D35A33"/>
    <w:rsid w:val="00D35B1D"/>
    <w:rsid w:val="00D35DE9"/>
    <w:rsid w:val="00D35FD9"/>
    <w:rsid w:val="00D36268"/>
    <w:rsid w:val="00D36527"/>
    <w:rsid w:val="00D3669A"/>
    <w:rsid w:val="00D3698C"/>
    <w:rsid w:val="00D37366"/>
    <w:rsid w:val="00D3789C"/>
    <w:rsid w:val="00D37A9A"/>
    <w:rsid w:val="00D4041D"/>
    <w:rsid w:val="00D40E32"/>
    <w:rsid w:val="00D415CC"/>
    <w:rsid w:val="00D415E7"/>
    <w:rsid w:val="00D42AAD"/>
    <w:rsid w:val="00D42F37"/>
    <w:rsid w:val="00D4305B"/>
    <w:rsid w:val="00D438D9"/>
    <w:rsid w:val="00D439B5"/>
    <w:rsid w:val="00D43CC9"/>
    <w:rsid w:val="00D442B8"/>
    <w:rsid w:val="00D44A95"/>
    <w:rsid w:val="00D44BEA"/>
    <w:rsid w:val="00D44EC0"/>
    <w:rsid w:val="00D455DA"/>
    <w:rsid w:val="00D4569A"/>
    <w:rsid w:val="00D457AA"/>
    <w:rsid w:val="00D45E80"/>
    <w:rsid w:val="00D45ED6"/>
    <w:rsid w:val="00D46114"/>
    <w:rsid w:val="00D463FC"/>
    <w:rsid w:val="00D46592"/>
    <w:rsid w:val="00D4697B"/>
    <w:rsid w:val="00D46A4E"/>
    <w:rsid w:val="00D46AE4"/>
    <w:rsid w:val="00D47025"/>
    <w:rsid w:val="00D4720B"/>
    <w:rsid w:val="00D47273"/>
    <w:rsid w:val="00D47632"/>
    <w:rsid w:val="00D47690"/>
    <w:rsid w:val="00D47FA1"/>
    <w:rsid w:val="00D5053A"/>
    <w:rsid w:val="00D5058E"/>
    <w:rsid w:val="00D505AF"/>
    <w:rsid w:val="00D511C0"/>
    <w:rsid w:val="00D512B2"/>
    <w:rsid w:val="00D51607"/>
    <w:rsid w:val="00D516F3"/>
    <w:rsid w:val="00D5199C"/>
    <w:rsid w:val="00D51C68"/>
    <w:rsid w:val="00D52851"/>
    <w:rsid w:val="00D52C84"/>
    <w:rsid w:val="00D52D57"/>
    <w:rsid w:val="00D52F61"/>
    <w:rsid w:val="00D53012"/>
    <w:rsid w:val="00D534BE"/>
    <w:rsid w:val="00D53525"/>
    <w:rsid w:val="00D536D3"/>
    <w:rsid w:val="00D53BE6"/>
    <w:rsid w:val="00D53D09"/>
    <w:rsid w:val="00D54D95"/>
    <w:rsid w:val="00D553F9"/>
    <w:rsid w:val="00D55F44"/>
    <w:rsid w:val="00D56074"/>
    <w:rsid w:val="00D562DB"/>
    <w:rsid w:val="00D56C9B"/>
    <w:rsid w:val="00D573B6"/>
    <w:rsid w:val="00D57981"/>
    <w:rsid w:val="00D57B90"/>
    <w:rsid w:val="00D57FA7"/>
    <w:rsid w:val="00D60124"/>
    <w:rsid w:val="00D6056D"/>
    <w:rsid w:val="00D606B7"/>
    <w:rsid w:val="00D60BA9"/>
    <w:rsid w:val="00D60E99"/>
    <w:rsid w:val="00D61287"/>
    <w:rsid w:val="00D61571"/>
    <w:rsid w:val="00D61CCA"/>
    <w:rsid w:val="00D61F98"/>
    <w:rsid w:val="00D6225E"/>
    <w:rsid w:val="00D62671"/>
    <w:rsid w:val="00D62A66"/>
    <w:rsid w:val="00D62BCC"/>
    <w:rsid w:val="00D62C8E"/>
    <w:rsid w:val="00D6314B"/>
    <w:rsid w:val="00D633B9"/>
    <w:rsid w:val="00D63B2F"/>
    <w:rsid w:val="00D641A1"/>
    <w:rsid w:val="00D64B24"/>
    <w:rsid w:val="00D6542C"/>
    <w:rsid w:val="00D65698"/>
    <w:rsid w:val="00D656CD"/>
    <w:rsid w:val="00D65B17"/>
    <w:rsid w:val="00D65BF7"/>
    <w:rsid w:val="00D6645F"/>
    <w:rsid w:val="00D66999"/>
    <w:rsid w:val="00D6707C"/>
    <w:rsid w:val="00D679FB"/>
    <w:rsid w:val="00D706B7"/>
    <w:rsid w:val="00D70E51"/>
    <w:rsid w:val="00D7102E"/>
    <w:rsid w:val="00D71052"/>
    <w:rsid w:val="00D717D4"/>
    <w:rsid w:val="00D71876"/>
    <w:rsid w:val="00D718EC"/>
    <w:rsid w:val="00D71A09"/>
    <w:rsid w:val="00D71A14"/>
    <w:rsid w:val="00D72649"/>
    <w:rsid w:val="00D72863"/>
    <w:rsid w:val="00D72867"/>
    <w:rsid w:val="00D729EB"/>
    <w:rsid w:val="00D72EEC"/>
    <w:rsid w:val="00D731EC"/>
    <w:rsid w:val="00D737DA"/>
    <w:rsid w:val="00D73CAE"/>
    <w:rsid w:val="00D73CBD"/>
    <w:rsid w:val="00D73F96"/>
    <w:rsid w:val="00D747B3"/>
    <w:rsid w:val="00D74B6E"/>
    <w:rsid w:val="00D74D11"/>
    <w:rsid w:val="00D752B8"/>
    <w:rsid w:val="00D75AC7"/>
    <w:rsid w:val="00D75CDC"/>
    <w:rsid w:val="00D75DAF"/>
    <w:rsid w:val="00D75E7C"/>
    <w:rsid w:val="00D768BE"/>
    <w:rsid w:val="00D7698D"/>
    <w:rsid w:val="00D76B99"/>
    <w:rsid w:val="00D771E0"/>
    <w:rsid w:val="00D77EB4"/>
    <w:rsid w:val="00D802CB"/>
    <w:rsid w:val="00D80BF7"/>
    <w:rsid w:val="00D816B8"/>
    <w:rsid w:val="00D819F6"/>
    <w:rsid w:val="00D81A38"/>
    <w:rsid w:val="00D81A8A"/>
    <w:rsid w:val="00D81C7E"/>
    <w:rsid w:val="00D8243E"/>
    <w:rsid w:val="00D82608"/>
    <w:rsid w:val="00D83695"/>
    <w:rsid w:val="00D836E7"/>
    <w:rsid w:val="00D847C5"/>
    <w:rsid w:val="00D84A97"/>
    <w:rsid w:val="00D84B91"/>
    <w:rsid w:val="00D84E5E"/>
    <w:rsid w:val="00D84F43"/>
    <w:rsid w:val="00D85897"/>
    <w:rsid w:val="00D85A9E"/>
    <w:rsid w:val="00D85DEC"/>
    <w:rsid w:val="00D872B0"/>
    <w:rsid w:val="00D87A9E"/>
    <w:rsid w:val="00D87C36"/>
    <w:rsid w:val="00D90163"/>
    <w:rsid w:val="00D904FD"/>
    <w:rsid w:val="00D9091A"/>
    <w:rsid w:val="00D90BA7"/>
    <w:rsid w:val="00D90F86"/>
    <w:rsid w:val="00D91518"/>
    <w:rsid w:val="00D919D3"/>
    <w:rsid w:val="00D9258C"/>
    <w:rsid w:val="00D929AB"/>
    <w:rsid w:val="00D93426"/>
    <w:rsid w:val="00D93BF1"/>
    <w:rsid w:val="00D93FD8"/>
    <w:rsid w:val="00D9412C"/>
    <w:rsid w:val="00D943E1"/>
    <w:rsid w:val="00D94C51"/>
    <w:rsid w:val="00D94DE6"/>
    <w:rsid w:val="00D94FAD"/>
    <w:rsid w:val="00D95029"/>
    <w:rsid w:val="00D95187"/>
    <w:rsid w:val="00D952D5"/>
    <w:rsid w:val="00D95413"/>
    <w:rsid w:val="00D954E0"/>
    <w:rsid w:val="00D958D6"/>
    <w:rsid w:val="00D959EC"/>
    <w:rsid w:val="00D9618A"/>
    <w:rsid w:val="00D96838"/>
    <w:rsid w:val="00D96ACE"/>
    <w:rsid w:val="00D97395"/>
    <w:rsid w:val="00D975B5"/>
    <w:rsid w:val="00D97B99"/>
    <w:rsid w:val="00DA00ED"/>
    <w:rsid w:val="00DA0683"/>
    <w:rsid w:val="00DA0BD8"/>
    <w:rsid w:val="00DA1BF1"/>
    <w:rsid w:val="00DA1DDF"/>
    <w:rsid w:val="00DA2242"/>
    <w:rsid w:val="00DA279C"/>
    <w:rsid w:val="00DA2CCE"/>
    <w:rsid w:val="00DA30FC"/>
    <w:rsid w:val="00DA44C8"/>
    <w:rsid w:val="00DA4618"/>
    <w:rsid w:val="00DA4625"/>
    <w:rsid w:val="00DA46AB"/>
    <w:rsid w:val="00DA49C9"/>
    <w:rsid w:val="00DA539E"/>
    <w:rsid w:val="00DA53D8"/>
    <w:rsid w:val="00DA5B95"/>
    <w:rsid w:val="00DA5CF2"/>
    <w:rsid w:val="00DA5DC2"/>
    <w:rsid w:val="00DA6AE4"/>
    <w:rsid w:val="00DA7244"/>
    <w:rsid w:val="00DA74C0"/>
    <w:rsid w:val="00DA7D9C"/>
    <w:rsid w:val="00DA7F98"/>
    <w:rsid w:val="00DB02A5"/>
    <w:rsid w:val="00DB0C42"/>
    <w:rsid w:val="00DB121A"/>
    <w:rsid w:val="00DB1514"/>
    <w:rsid w:val="00DB1534"/>
    <w:rsid w:val="00DB1B12"/>
    <w:rsid w:val="00DB1B44"/>
    <w:rsid w:val="00DB1D92"/>
    <w:rsid w:val="00DB2137"/>
    <w:rsid w:val="00DB2505"/>
    <w:rsid w:val="00DB2701"/>
    <w:rsid w:val="00DB29E7"/>
    <w:rsid w:val="00DB2C2D"/>
    <w:rsid w:val="00DB32CD"/>
    <w:rsid w:val="00DB373A"/>
    <w:rsid w:val="00DB3923"/>
    <w:rsid w:val="00DB3BE5"/>
    <w:rsid w:val="00DB3FE9"/>
    <w:rsid w:val="00DB4614"/>
    <w:rsid w:val="00DB4945"/>
    <w:rsid w:val="00DB4C21"/>
    <w:rsid w:val="00DB4DCF"/>
    <w:rsid w:val="00DB4F3B"/>
    <w:rsid w:val="00DB4F6E"/>
    <w:rsid w:val="00DB52BB"/>
    <w:rsid w:val="00DB57A9"/>
    <w:rsid w:val="00DB5C1B"/>
    <w:rsid w:val="00DB5E5E"/>
    <w:rsid w:val="00DB644F"/>
    <w:rsid w:val="00DB65AC"/>
    <w:rsid w:val="00DB6A03"/>
    <w:rsid w:val="00DB704B"/>
    <w:rsid w:val="00DB73F0"/>
    <w:rsid w:val="00DB798F"/>
    <w:rsid w:val="00DB7AAB"/>
    <w:rsid w:val="00DC02A8"/>
    <w:rsid w:val="00DC05C2"/>
    <w:rsid w:val="00DC0A79"/>
    <w:rsid w:val="00DC0B86"/>
    <w:rsid w:val="00DC0F61"/>
    <w:rsid w:val="00DC16B6"/>
    <w:rsid w:val="00DC16CE"/>
    <w:rsid w:val="00DC1855"/>
    <w:rsid w:val="00DC1901"/>
    <w:rsid w:val="00DC19FC"/>
    <w:rsid w:val="00DC1CA9"/>
    <w:rsid w:val="00DC1CE3"/>
    <w:rsid w:val="00DC1EF8"/>
    <w:rsid w:val="00DC2125"/>
    <w:rsid w:val="00DC3425"/>
    <w:rsid w:val="00DC37D2"/>
    <w:rsid w:val="00DC42AB"/>
    <w:rsid w:val="00DC47B0"/>
    <w:rsid w:val="00DC57D5"/>
    <w:rsid w:val="00DC619A"/>
    <w:rsid w:val="00DC6371"/>
    <w:rsid w:val="00DC6494"/>
    <w:rsid w:val="00DC66D5"/>
    <w:rsid w:val="00DC674F"/>
    <w:rsid w:val="00DC73B5"/>
    <w:rsid w:val="00DC7844"/>
    <w:rsid w:val="00DC7924"/>
    <w:rsid w:val="00DC7D5E"/>
    <w:rsid w:val="00DD01E3"/>
    <w:rsid w:val="00DD1304"/>
    <w:rsid w:val="00DD19DA"/>
    <w:rsid w:val="00DD2284"/>
    <w:rsid w:val="00DD2AFE"/>
    <w:rsid w:val="00DD2D86"/>
    <w:rsid w:val="00DD2DD8"/>
    <w:rsid w:val="00DD3138"/>
    <w:rsid w:val="00DD339D"/>
    <w:rsid w:val="00DD3B86"/>
    <w:rsid w:val="00DD3CC9"/>
    <w:rsid w:val="00DD412D"/>
    <w:rsid w:val="00DD4438"/>
    <w:rsid w:val="00DD4F58"/>
    <w:rsid w:val="00DD5BF4"/>
    <w:rsid w:val="00DD5BF7"/>
    <w:rsid w:val="00DD60DD"/>
    <w:rsid w:val="00DD6D11"/>
    <w:rsid w:val="00DD7896"/>
    <w:rsid w:val="00DD7B29"/>
    <w:rsid w:val="00DD7FBD"/>
    <w:rsid w:val="00DE01DD"/>
    <w:rsid w:val="00DE1747"/>
    <w:rsid w:val="00DE18F3"/>
    <w:rsid w:val="00DE193B"/>
    <w:rsid w:val="00DE1DB6"/>
    <w:rsid w:val="00DE2363"/>
    <w:rsid w:val="00DE24D2"/>
    <w:rsid w:val="00DE24E0"/>
    <w:rsid w:val="00DE25D3"/>
    <w:rsid w:val="00DE27CD"/>
    <w:rsid w:val="00DE2A25"/>
    <w:rsid w:val="00DE2D8D"/>
    <w:rsid w:val="00DE2EC7"/>
    <w:rsid w:val="00DE3249"/>
    <w:rsid w:val="00DE36B5"/>
    <w:rsid w:val="00DE3B9C"/>
    <w:rsid w:val="00DE4490"/>
    <w:rsid w:val="00DE4504"/>
    <w:rsid w:val="00DE4780"/>
    <w:rsid w:val="00DE4D07"/>
    <w:rsid w:val="00DE4EE9"/>
    <w:rsid w:val="00DE5050"/>
    <w:rsid w:val="00DE51EE"/>
    <w:rsid w:val="00DE55C7"/>
    <w:rsid w:val="00DE583F"/>
    <w:rsid w:val="00DE5D0C"/>
    <w:rsid w:val="00DE5E06"/>
    <w:rsid w:val="00DE5F14"/>
    <w:rsid w:val="00DE69C5"/>
    <w:rsid w:val="00DE6EFE"/>
    <w:rsid w:val="00DE7405"/>
    <w:rsid w:val="00DE761D"/>
    <w:rsid w:val="00DE7E78"/>
    <w:rsid w:val="00DE7F97"/>
    <w:rsid w:val="00DF05F3"/>
    <w:rsid w:val="00DF1132"/>
    <w:rsid w:val="00DF146F"/>
    <w:rsid w:val="00DF19FC"/>
    <w:rsid w:val="00DF1FE6"/>
    <w:rsid w:val="00DF2699"/>
    <w:rsid w:val="00DF2760"/>
    <w:rsid w:val="00DF2903"/>
    <w:rsid w:val="00DF2B26"/>
    <w:rsid w:val="00DF2DD3"/>
    <w:rsid w:val="00DF395E"/>
    <w:rsid w:val="00DF3AB3"/>
    <w:rsid w:val="00DF3E6D"/>
    <w:rsid w:val="00DF461F"/>
    <w:rsid w:val="00DF4F92"/>
    <w:rsid w:val="00DF5138"/>
    <w:rsid w:val="00DF542E"/>
    <w:rsid w:val="00DF571E"/>
    <w:rsid w:val="00DF5ACF"/>
    <w:rsid w:val="00DF5DEF"/>
    <w:rsid w:val="00DF6823"/>
    <w:rsid w:val="00DF6F0E"/>
    <w:rsid w:val="00DF73E1"/>
    <w:rsid w:val="00DF7598"/>
    <w:rsid w:val="00DF761A"/>
    <w:rsid w:val="00DF7A4C"/>
    <w:rsid w:val="00DF7E06"/>
    <w:rsid w:val="00E00207"/>
    <w:rsid w:val="00E010CB"/>
    <w:rsid w:val="00E01367"/>
    <w:rsid w:val="00E013A9"/>
    <w:rsid w:val="00E014A0"/>
    <w:rsid w:val="00E018AF"/>
    <w:rsid w:val="00E01991"/>
    <w:rsid w:val="00E02470"/>
    <w:rsid w:val="00E0253C"/>
    <w:rsid w:val="00E027A5"/>
    <w:rsid w:val="00E045B9"/>
    <w:rsid w:val="00E04756"/>
    <w:rsid w:val="00E04AA5"/>
    <w:rsid w:val="00E05123"/>
    <w:rsid w:val="00E0517D"/>
    <w:rsid w:val="00E052C1"/>
    <w:rsid w:val="00E05809"/>
    <w:rsid w:val="00E05879"/>
    <w:rsid w:val="00E05B9C"/>
    <w:rsid w:val="00E06529"/>
    <w:rsid w:val="00E06787"/>
    <w:rsid w:val="00E069B0"/>
    <w:rsid w:val="00E06C0C"/>
    <w:rsid w:val="00E071A5"/>
    <w:rsid w:val="00E0734A"/>
    <w:rsid w:val="00E074F5"/>
    <w:rsid w:val="00E076C2"/>
    <w:rsid w:val="00E1031A"/>
    <w:rsid w:val="00E10FB3"/>
    <w:rsid w:val="00E116C3"/>
    <w:rsid w:val="00E116EC"/>
    <w:rsid w:val="00E11CB6"/>
    <w:rsid w:val="00E12207"/>
    <w:rsid w:val="00E12E1E"/>
    <w:rsid w:val="00E12F7F"/>
    <w:rsid w:val="00E135CB"/>
    <w:rsid w:val="00E136F8"/>
    <w:rsid w:val="00E137FC"/>
    <w:rsid w:val="00E1394C"/>
    <w:rsid w:val="00E142DF"/>
    <w:rsid w:val="00E144CC"/>
    <w:rsid w:val="00E1458F"/>
    <w:rsid w:val="00E1462D"/>
    <w:rsid w:val="00E146A8"/>
    <w:rsid w:val="00E14F3D"/>
    <w:rsid w:val="00E152D0"/>
    <w:rsid w:val="00E152E6"/>
    <w:rsid w:val="00E153A1"/>
    <w:rsid w:val="00E15BD2"/>
    <w:rsid w:val="00E15D48"/>
    <w:rsid w:val="00E16062"/>
    <w:rsid w:val="00E16386"/>
    <w:rsid w:val="00E169D2"/>
    <w:rsid w:val="00E16A56"/>
    <w:rsid w:val="00E16C89"/>
    <w:rsid w:val="00E17259"/>
    <w:rsid w:val="00E17704"/>
    <w:rsid w:val="00E1770F"/>
    <w:rsid w:val="00E2132C"/>
    <w:rsid w:val="00E2164D"/>
    <w:rsid w:val="00E21F4C"/>
    <w:rsid w:val="00E2245C"/>
    <w:rsid w:val="00E2249B"/>
    <w:rsid w:val="00E22955"/>
    <w:rsid w:val="00E22B2A"/>
    <w:rsid w:val="00E233CD"/>
    <w:rsid w:val="00E233CF"/>
    <w:rsid w:val="00E23994"/>
    <w:rsid w:val="00E240E0"/>
    <w:rsid w:val="00E2428F"/>
    <w:rsid w:val="00E24552"/>
    <w:rsid w:val="00E24FD4"/>
    <w:rsid w:val="00E25260"/>
    <w:rsid w:val="00E2558F"/>
    <w:rsid w:val="00E25E6F"/>
    <w:rsid w:val="00E26230"/>
    <w:rsid w:val="00E262AA"/>
    <w:rsid w:val="00E26374"/>
    <w:rsid w:val="00E26736"/>
    <w:rsid w:val="00E26CBB"/>
    <w:rsid w:val="00E2703C"/>
    <w:rsid w:val="00E27D03"/>
    <w:rsid w:val="00E3019E"/>
    <w:rsid w:val="00E30860"/>
    <w:rsid w:val="00E3099C"/>
    <w:rsid w:val="00E30C8F"/>
    <w:rsid w:val="00E30DC1"/>
    <w:rsid w:val="00E30F71"/>
    <w:rsid w:val="00E31699"/>
    <w:rsid w:val="00E31BA2"/>
    <w:rsid w:val="00E32041"/>
    <w:rsid w:val="00E324A9"/>
    <w:rsid w:val="00E32574"/>
    <w:rsid w:val="00E326D1"/>
    <w:rsid w:val="00E32723"/>
    <w:rsid w:val="00E331F5"/>
    <w:rsid w:val="00E332EC"/>
    <w:rsid w:val="00E33830"/>
    <w:rsid w:val="00E33AAF"/>
    <w:rsid w:val="00E33F04"/>
    <w:rsid w:val="00E3400B"/>
    <w:rsid w:val="00E341C8"/>
    <w:rsid w:val="00E3426F"/>
    <w:rsid w:val="00E34930"/>
    <w:rsid w:val="00E34A52"/>
    <w:rsid w:val="00E34FBC"/>
    <w:rsid w:val="00E35061"/>
    <w:rsid w:val="00E354EE"/>
    <w:rsid w:val="00E3574D"/>
    <w:rsid w:val="00E363D6"/>
    <w:rsid w:val="00E36885"/>
    <w:rsid w:val="00E36F3D"/>
    <w:rsid w:val="00E37F58"/>
    <w:rsid w:val="00E40111"/>
    <w:rsid w:val="00E404B3"/>
    <w:rsid w:val="00E4066E"/>
    <w:rsid w:val="00E40689"/>
    <w:rsid w:val="00E41460"/>
    <w:rsid w:val="00E4176E"/>
    <w:rsid w:val="00E4295D"/>
    <w:rsid w:val="00E435AD"/>
    <w:rsid w:val="00E436BE"/>
    <w:rsid w:val="00E4427E"/>
    <w:rsid w:val="00E443CA"/>
    <w:rsid w:val="00E443DA"/>
    <w:rsid w:val="00E443FA"/>
    <w:rsid w:val="00E44737"/>
    <w:rsid w:val="00E44E6D"/>
    <w:rsid w:val="00E45581"/>
    <w:rsid w:val="00E45D9D"/>
    <w:rsid w:val="00E4636A"/>
    <w:rsid w:val="00E464F7"/>
    <w:rsid w:val="00E46EC5"/>
    <w:rsid w:val="00E478CC"/>
    <w:rsid w:val="00E50E5F"/>
    <w:rsid w:val="00E50F5E"/>
    <w:rsid w:val="00E50F9D"/>
    <w:rsid w:val="00E51738"/>
    <w:rsid w:val="00E520B5"/>
    <w:rsid w:val="00E5225A"/>
    <w:rsid w:val="00E5275F"/>
    <w:rsid w:val="00E52773"/>
    <w:rsid w:val="00E52C52"/>
    <w:rsid w:val="00E52D4C"/>
    <w:rsid w:val="00E533F4"/>
    <w:rsid w:val="00E53AD4"/>
    <w:rsid w:val="00E53AE3"/>
    <w:rsid w:val="00E53AF9"/>
    <w:rsid w:val="00E541B1"/>
    <w:rsid w:val="00E5459F"/>
    <w:rsid w:val="00E54ABD"/>
    <w:rsid w:val="00E5516F"/>
    <w:rsid w:val="00E55319"/>
    <w:rsid w:val="00E55323"/>
    <w:rsid w:val="00E558BD"/>
    <w:rsid w:val="00E55A04"/>
    <w:rsid w:val="00E569C2"/>
    <w:rsid w:val="00E579C7"/>
    <w:rsid w:val="00E6006F"/>
    <w:rsid w:val="00E6038B"/>
    <w:rsid w:val="00E60981"/>
    <w:rsid w:val="00E60BA8"/>
    <w:rsid w:val="00E60FCC"/>
    <w:rsid w:val="00E61EE7"/>
    <w:rsid w:val="00E62273"/>
    <w:rsid w:val="00E62E1A"/>
    <w:rsid w:val="00E6367C"/>
    <w:rsid w:val="00E6387B"/>
    <w:rsid w:val="00E6399F"/>
    <w:rsid w:val="00E63CA4"/>
    <w:rsid w:val="00E643EB"/>
    <w:rsid w:val="00E64A8A"/>
    <w:rsid w:val="00E64BC3"/>
    <w:rsid w:val="00E64E77"/>
    <w:rsid w:val="00E6543F"/>
    <w:rsid w:val="00E6567D"/>
    <w:rsid w:val="00E660AD"/>
    <w:rsid w:val="00E6632C"/>
    <w:rsid w:val="00E663EF"/>
    <w:rsid w:val="00E667DF"/>
    <w:rsid w:val="00E67109"/>
    <w:rsid w:val="00E67892"/>
    <w:rsid w:val="00E67994"/>
    <w:rsid w:val="00E70153"/>
    <w:rsid w:val="00E7025D"/>
    <w:rsid w:val="00E70A21"/>
    <w:rsid w:val="00E710A4"/>
    <w:rsid w:val="00E7126D"/>
    <w:rsid w:val="00E712EA"/>
    <w:rsid w:val="00E71316"/>
    <w:rsid w:val="00E7132F"/>
    <w:rsid w:val="00E717B7"/>
    <w:rsid w:val="00E71C17"/>
    <w:rsid w:val="00E71FC8"/>
    <w:rsid w:val="00E72615"/>
    <w:rsid w:val="00E72B20"/>
    <w:rsid w:val="00E72E6F"/>
    <w:rsid w:val="00E73190"/>
    <w:rsid w:val="00E735CD"/>
    <w:rsid w:val="00E738F8"/>
    <w:rsid w:val="00E73A97"/>
    <w:rsid w:val="00E749DA"/>
    <w:rsid w:val="00E74DA6"/>
    <w:rsid w:val="00E753C6"/>
    <w:rsid w:val="00E75736"/>
    <w:rsid w:val="00E758AE"/>
    <w:rsid w:val="00E761BE"/>
    <w:rsid w:val="00E7655E"/>
    <w:rsid w:val="00E778C6"/>
    <w:rsid w:val="00E77AEC"/>
    <w:rsid w:val="00E77AED"/>
    <w:rsid w:val="00E77B55"/>
    <w:rsid w:val="00E806E7"/>
    <w:rsid w:val="00E80A6B"/>
    <w:rsid w:val="00E80C34"/>
    <w:rsid w:val="00E80C3C"/>
    <w:rsid w:val="00E80CCB"/>
    <w:rsid w:val="00E815D1"/>
    <w:rsid w:val="00E818B4"/>
    <w:rsid w:val="00E81A3E"/>
    <w:rsid w:val="00E81EDF"/>
    <w:rsid w:val="00E820F3"/>
    <w:rsid w:val="00E823C6"/>
    <w:rsid w:val="00E82A42"/>
    <w:rsid w:val="00E82FD3"/>
    <w:rsid w:val="00E83111"/>
    <w:rsid w:val="00E831D0"/>
    <w:rsid w:val="00E8357A"/>
    <w:rsid w:val="00E83A82"/>
    <w:rsid w:val="00E83CFC"/>
    <w:rsid w:val="00E84407"/>
    <w:rsid w:val="00E845AF"/>
    <w:rsid w:val="00E849FA"/>
    <w:rsid w:val="00E84D0E"/>
    <w:rsid w:val="00E84ED2"/>
    <w:rsid w:val="00E850EC"/>
    <w:rsid w:val="00E85640"/>
    <w:rsid w:val="00E8587D"/>
    <w:rsid w:val="00E85D18"/>
    <w:rsid w:val="00E85D37"/>
    <w:rsid w:val="00E86168"/>
    <w:rsid w:val="00E86374"/>
    <w:rsid w:val="00E86BF6"/>
    <w:rsid w:val="00E86F7D"/>
    <w:rsid w:val="00E877BA"/>
    <w:rsid w:val="00E87BDC"/>
    <w:rsid w:val="00E87F8F"/>
    <w:rsid w:val="00E905B0"/>
    <w:rsid w:val="00E906D3"/>
    <w:rsid w:val="00E907F9"/>
    <w:rsid w:val="00E9086B"/>
    <w:rsid w:val="00E90C0B"/>
    <w:rsid w:val="00E91047"/>
    <w:rsid w:val="00E915A0"/>
    <w:rsid w:val="00E924E1"/>
    <w:rsid w:val="00E92FAF"/>
    <w:rsid w:val="00E9310F"/>
    <w:rsid w:val="00E932F5"/>
    <w:rsid w:val="00E9365E"/>
    <w:rsid w:val="00E93FAD"/>
    <w:rsid w:val="00E94210"/>
    <w:rsid w:val="00E94CD7"/>
    <w:rsid w:val="00E9583E"/>
    <w:rsid w:val="00E95C63"/>
    <w:rsid w:val="00E95CFE"/>
    <w:rsid w:val="00E95F99"/>
    <w:rsid w:val="00E96351"/>
    <w:rsid w:val="00E964DE"/>
    <w:rsid w:val="00E96B95"/>
    <w:rsid w:val="00E96C06"/>
    <w:rsid w:val="00E971B1"/>
    <w:rsid w:val="00E971B8"/>
    <w:rsid w:val="00E97372"/>
    <w:rsid w:val="00E97381"/>
    <w:rsid w:val="00E9739F"/>
    <w:rsid w:val="00E97BC8"/>
    <w:rsid w:val="00E97DA9"/>
    <w:rsid w:val="00E97FE3"/>
    <w:rsid w:val="00EA01FA"/>
    <w:rsid w:val="00EA0380"/>
    <w:rsid w:val="00EA0A89"/>
    <w:rsid w:val="00EA0EA2"/>
    <w:rsid w:val="00EA0F55"/>
    <w:rsid w:val="00EA1499"/>
    <w:rsid w:val="00EA1675"/>
    <w:rsid w:val="00EA169C"/>
    <w:rsid w:val="00EA185D"/>
    <w:rsid w:val="00EA1C23"/>
    <w:rsid w:val="00EA21D2"/>
    <w:rsid w:val="00EA222B"/>
    <w:rsid w:val="00EA2708"/>
    <w:rsid w:val="00EA281E"/>
    <w:rsid w:val="00EA28BA"/>
    <w:rsid w:val="00EA2965"/>
    <w:rsid w:val="00EA30DD"/>
    <w:rsid w:val="00EA32F4"/>
    <w:rsid w:val="00EA3431"/>
    <w:rsid w:val="00EA3454"/>
    <w:rsid w:val="00EA345D"/>
    <w:rsid w:val="00EA35CB"/>
    <w:rsid w:val="00EA416D"/>
    <w:rsid w:val="00EA5280"/>
    <w:rsid w:val="00EA5361"/>
    <w:rsid w:val="00EA56C6"/>
    <w:rsid w:val="00EA58E2"/>
    <w:rsid w:val="00EA6577"/>
    <w:rsid w:val="00EA6CBB"/>
    <w:rsid w:val="00EA729D"/>
    <w:rsid w:val="00EA73EE"/>
    <w:rsid w:val="00EA751B"/>
    <w:rsid w:val="00EA7B20"/>
    <w:rsid w:val="00EA7B77"/>
    <w:rsid w:val="00EB050D"/>
    <w:rsid w:val="00EB05E1"/>
    <w:rsid w:val="00EB1026"/>
    <w:rsid w:val="00EB1126"/>
    <w:rsid w:val="00EB15C2"/>
    <w:rsid w:val="00EB18F5"/>
    <w:rsid w:val="00EB2162"/>
    <w:rsid w:val="00EB23D8"/>
    <w:rsid w:val="00EB30E1"/>
    <w:rsid w:val="00EB345B"/>
    <w:rsid w:val="00EB3683"/>
    <w:rsid w:val="00EB3E9B"/>
    <w:rsid w:val="00EB474A"/>
    <w:rsid w:val="00EB49C7"/>
    <w:rsid w:val="00EB4EAE"/>
    <w:rsid w:val="00EB50D5"/>
    <w:rsid w:val="00EB5E83"/>
    <w:rsid w:val="00EB5F64"/>
    <w:rsid w:val="00EB5F79"/>
    <w:rsid w:val="00EB5FD0"/>
    <w:rsid w:val="00EB640A"/>
    <w:rsid w:val="00EB66A7"/>
    <w:rsid w:val="00EB6E65"/>
    <w:rsid w:val="00EB7AEA"/>
    <w:rsid w:val="00EC0003"/>
    <w:rsid w:val="00EC0339"/>
    <w:rsid w:val="00EC04DF"/>
    <w:rsid w:val="00EC1F1C"/>
    <w:rsid w:val="00EC1FF7"/>
    <w:rsid w:val="00EC2005"/>
    <w:rsid w:val="00EC26B7"/>
    <w:rsid w:val="00EC28DA"/>
    <w:rsid w:val="00EC2AE3"/>
    <w:rsid w:val="00EC2DF2"/>
    <w:rsid w:val="00EC3994"/>
    <w:rsid w:val="00EC3B29"/>
    <w:rsid w:val="00EC40D9"/>
    <w:rsid w:val="00EC41E6"/>
    <w:rsid w:val="00EC4238"/>
    <w:rsid w:val="00EC4564"/>
    <w:rsid w:val="00EC4795"/>
    <w:rsid w:val="00EC488F"/>
    <w:rsid w:val="00EC4CCF"/>
    <w:rsid w:val="00EC4DC0"/>
    <w:rsid w:val="00EC4E33"/>
    <w:rsid w:val="00EC5640"/>
    <w:rsid w:val="00EC6120"/>
    <w:rsid w:val="00EC6241"/>
    <w:rsid w:val="00EC6823"/>
    <w:rsid w:val="00EC7092"/>
    <w:rsid w:val="00EC7D72"/>
    <w:rsid w:val="00ED00C5"/>
    <w:rsid w:val="00ED05AD"/>
    <w:rsid w:val="00ED0F94"/>
    <w:rsid w:val="00ED0FB0"/>
    <w:rsid w:val="00ED14C3"/>
    <w:rsid w:val="00ED1BBE"/>
    <w:rsid w:val="00ED1C84"/>
    <w:rsid w:val="00ED209D"/>
    <w:rsid w:val="00ED21C2"/>
    <w:rsid w:val="00ED224E"/>
    <w:rsid w:val="00ED24F0"/>
    <w:rsid w:val="00ED250E"/>
    <w:rsid w:val="00ED2D9C"/>
    <w:rsid w:val="00ED373D"/>
    <w:rsid w:val="00ED39A3"/>
    <w:rsid w:val="00ED3EE6"/>
    <w:rsid w:val="00ED47C0"/>
    <w:rsid w:val="00ED4A6B"/>
    <w:rsid w:val="00ED5242"/>
    <w:rsid w:val="00ED5642"/>
    <w:rsid w:val="00ED5B73"/>
    <w:rsid w:val="00ED5FE7"/>
    <w:rsid w:val="00ED603F"/>
    <w:rsid w:val="00ED6045"/>
    <w:rsid w:val="00ED6255"/>
    <w:rsid w:val="00ED75B1"/>
    <w:rsid w:val="00ED75FF"/>
    <w:rsid w:val="00ED78CA"/>
    <w:rsid w:val="00ED7A25"/>
    <w:rsid w:val="00ED7BBB"/>
    <w:rsid w:val="00ED7D52"/>
    <w:rsid w:val="00ED7EFC"/>
    <w:rsid w:val="00EE01F1"/>
    <w:rsid w:val="00EE02EB"/>
    <w:rsid w:val="00EE13B0"/>
    <w:rsid w:val="00EE17C6"/>
    <w:rsid w:val="00EE1ADE"/>
    <w:rsid w:val="00EE1FCC"/>
    <w:rsid w:val="00EE20D0"/>
    <w:rsid w:val="00EE2311"/>
    <w:rsid w:val="00EE280E"/>
    <w:rsid w:val="00EE33BD"/>
    <w:rsid w:val="00EE4703"/>
    <w:rsid w:val="00EE47EA"/>
    <w:rsid w:val="00EE4ED0"/>
    <w:rsid w:val="00EE4FF2"/>
    <w:rsid w:val="00EE5153"/>
    <w:rsid w:val="00EE5229"/>
    <w:rsid w:val="00EE5595"/>
    <w:rsid w:val="00EE587E"/>
    <w:rsid w:val="00EE5BAA"/>
    <w:rsid w:val="00EE635C"/>
    <w:rsid w:val="00EE6D9E"/>
    <w:rsid w:val="00EE6E95"/>
    <w:rsid w:val="00EE714E"/>
    <w:rsid w:val="00EE7408"/>
    <w:rsid w:val="00EE755E"/>
    <w:rsid w:val="00EE75C1"/>
    <w:rsid w:val="00EE76A9"/>
    <w:rsid w:val="00EE79BC"/>
    <w:rsid w:val="00EE7C33"/>
    <w:rsid w:val="00EE7E6C"/>
    <w:rsid w:val="00EF01F9"/>
    <w:rsid w:val="00EF053C"/>
    <w:rsid w:val="00EF07A6"/>
    <w:rsid w:val="00EF09FB"/>
    <w:rsid w:val="00EF0A63"/>
    <w:rsid w:val="00EF15B3"/>
    <w:rsid w:val="00EF1E1C"/>
    <w:rsid w:val="00EF2285"/>
    <w:rsid w:val="00EF24AE"/>
    <w:rsid w:val="00EF27DA"/>
    <w:rsid w:val="00EF285A"/>
    <w:rsid w:val="00EF32A0"/>
    <w:rsid w:val="00EF335B"/>
    <w:rsid w:val="00EF3722"/>
    <w:rsid w:val="00EF426F"/>
    <w:rsid w:val="00EF543B"/>
    <w:rsid w:val="00EF5A90"/>
    <w:rsid w:val="00EF5B5C"/>
    <w:rsid w:val="00EF5C8F"/>
    <w:rsid w:val="00EF62B4"/>
    <w:rsid w:val="00EF67EC"/>
    <w:rsid w:val="00EF69F6"/>
    <w:rsid w:val="00EF6C0F"/>
    <w:rsid w:val="00EF6F65"/>
    <w:rsid w:val="00EF75E9"/>
    <w:rsid w:val="00EF76EB"/>
    <w:rsid w:val="00EF7D92"/>
    <w:rsid w:val="00F0045A"/>
    <w:rsid w:val="00F00B52"/>
    <w:rsid w:val="00F00E28"/>
    <w:rsid w:val="00F011AE"/>
    <w:rsid w:val="00F014DB"/>
    <w:rsid w:val="00F0179A"/>
    <w:rsid w:val="00F020BA"/>
    <w:rsid w:val="00F020C5"/>
    <w:rsid w:val="00F0252E"/>
    <w:rsid w:val="00F033DB"/>
    <w:rsid w:val="00F035E8"/>
    <w:rsid w:val="00F036F7"/>
    <w:rsid w:val="00F03737"/>
    <w:rsid w:val="00F03883"/>
    <w:rsid w:val="00F038F5"/>
    <w:rsid w:val="00F03E3B"/>
    <w:rsid w:val="00F03E58"/>
    <w:rsid w:val="00F040B1"/>
    <w:rsid w:val="00F040C4"/>
    <w:rsid w:val="00F0415B"/>
    <w:rsid w:val="00F041F6"/>
    <w:rsid w:val="00F04378"/>
    <w:rsid w:val="00F05168"/>
    <w:rsid w:val="00F05715"/>
    <w:rsid w:val="00F05E1C"/>
    <w:rsid w:val="00F065A1"/>
    <w:rsid w:val="00F07485"/>
    <w:rsid w:val="00F07AE7"/>
    <w:rsid w:val="00F1004C"/>
    <w:rsid w:val="00F10392"/>
    <w:rsid w:val="00F111F0"/>
    <w:rsid w:val="00F11433"/>
    <w:rsid w:val="00F11921"/>
    <w:rsid w:val="00F12325"/>
    <w:rsid w:val="00F12A92"/>
    <w:rsid w:val="00F12DDD"/>
    <w:rsid w:val="00F13F6C"/>
    <w:rsid w:val="00F1495D"/>
    <w:rsid w:val="00F1518C"/>
    <w:rsid w:val="00F15A24"/>
    <w:rsid w:val="00F15AD5"/>
    <w:rsid w:val="00F15B84"/>
    <w:rsid w:val="00F160CD"/>
    <w:rsid w:val="00F160E7"/>
    <w:rsid w:val="00F16327"/>
    <w:rsid w:val="00F163DE"/>
    <w:rsid w:val="00F16442"/>
    <w:rsid w:val="00F164F4"/>
    <w:rsid w:val="00F16771"/>
    <w:rsid w:val="00F1690D"/>
    <w:rsid w:val="00F17AF9"/>
    <w:rsid w:val="00F17CC9"/>
    <w:rsid w:val="00F2041E"/>
    <w:rsid w:val="00F20430"/>
    <w:rsid w:val="00F211F6"/>
    <w:rsid w:val="00F2173B"/>
    <w:rsid w:val="00F21DE3"/>
    <w:rsid w:val="00F2263C"/>
    <w:rsid w:val="00F227FB"/>
    <w:rsid w:val="00F22DEC"/>
    <w:rsid w:val="00F22EC9"/>
    <w:rsid w:val="00F23309"/>
    <w:rsid w:val="00F23459"/>
    <w:rsid w:val="00F235CB"/>
    <w:rsid w:val="00F235E7"/>
    <w:rsid w:val="00F236D5"/>
    <w:rsid w:val="00F24417"/>
    <w:rsid w:val="00F25D4E"/>
    <w:rsid w:val="00F25E68"/>
    <w:rsid w:val="00F260C5"/>
    <w:rsid w:val="00F26C4D"/>
    <w:rsid w:val="00F27017"/>
    <w:rsid w:val="00F27207"/>
    <w:rsid w:val="00F27D0D"/>
    <w:rsid w:val="00F27DBD"/>
    <w:rsid w:val="00F302B7"/>
    <w:rsid w:val="00F3032C"/>
    <w:rsid w:val="00F304D6"/>
    <w:rsid w:val="00F309CD"/>
    <w:rsid w:val="00F30CC3"/>
    <w:rsid w:val="00F310EA"/>
    <w:rsid w:val="00F31637"/>
    <w:rsid w:val="00F31817"/>
    <w:rsid w:val="00F318FE"/>
    <w:rsid w:val="00F31B93"/>
    <w:rsid w:val="00F31EA8"/>
    <w:rsid w:val="00F32B20"/>
    <w:rsid w:val="00F32D91"/>
    <w:rsid w:val="00F33946"/>
    <w:rsid w:val="00F33C72"/>
    <w:rsid w:val="00F33E66"/>
    <w:rsid w:val="00F3436C"/>
    <w:rsid w:val="00F34473"/>
    <w:rsid w:val="00F355B9"/>
    <w:rsid w:val="00F3597D"/>
    <w:rsid w:val="00F35B16"/>
    <w:rsid w:val="00F36131"/>
    <w:rsid w:val="00F3615A"/>
    <w:rsid w:val="00F3637E"/>
    <w:rsid w:val="00F36991"/>
    <w:rsid w:val="00F36D43"/>
    <w:rsid w:val="00F36F7F"/>
    <w:rsid w:val="00F37E80"/>
    <w:rsid w:val="00F37FAC"/>
    <w:rsid w:val="00F40712"/>
    <w:rsid w:val="00F409C2"/>
    <w:rsid w:val="00F40A09"/>
    <w:rsid w:val="00F40D4F"/>
    <w:rsid w:val="00F41182"/>
    <w:rsid w:val="00F41683"/>
    <w:rsid w:val="00F41A2C"/>
    <w:rsid w:val="00F41D7B"/>
    <w:rsid w:val="00F41E80"/>
    <w:rsid w:val="00F4271C"/>
    <w:rsid w:val="00F42A66"/>
    <w:rsid w:val="00F43004"/>
    <w:rsid w:val="00F43545"/>
    <w:rsid w:val="00F43D31"/>
    <w:rsid w:val="00F444A5"/>
    <w:rsid w:val="00F44B87"/>
    <w:rsid w:val="00F44CD0"/>
    <w:rsid w:val="00F453E1"/>
    <w:rsid w:val="00F45449"/>
    <w:rsid w:val="00F463C6"/>
    <w:rsid w:val="00F466E1"/>
    <w:rsid w:val="00F46970"/>
    <w:rsid w:val="00F469FC"/>
    <w:rsid w:val="00F46AC7"/>
    <w:rsid w:val="00F46EBD"/>
    <w:rsid w:val="00F4761D"/>
    <w:rsid w:val="00F47A5F"/>
    <w:rsid w:val="00F47A85"/>
    <w:rsid w:val="00F47ECF"/>
    <w:rsid w:val="00F50720"/>
    <w:rsid w:val="00F50BAA"/>
    <w:rsid w:val="00F50E50"/>
    <w:rsid w:val="00F5100F"/>
    <w:rsid w:val="00F5146F"/>
    <w:rsid w:val="00F51B3D"/>
    <w:rsid w:val="00F51E42"/>
    <w:rsid w:val="00F52385"/>
    <w:rsid w:val="00F52F0B"/>
    <w:rsid w:val="00F53DAF"/>
    <w:rsid w:val="00F54566"/>
    <w:rsid w:val="00F54833"/>
    <w:rsid w:val="00F54A31"/>
    <w:rsid w:val="00F557FE"/>
    <w:rsid w:val="00F56347"/>
    <w:rsid w:val="00F5723F"/>
    <w:rsid w:val="00F57CB3"/>
    <w:rsid w:val="00F602FB"/>
    <w:rsid w:val="00F60D64"/>
    <w:rsid w:val="00F60EF8"/>
    <w:rsid w:val="00F616B8"/>
    <w:rsid w:val="00F617D8"/>
    <w:rsid w:val="00F619B9"/>
    <w:rsid w:val="00F619F0"/>
    <w:rsid w:val="00F61B5B"/>
    <w:rsid w:val="00F61B6E"/>
    <w:rsid w:val="00F62440"/>
    <w:rsid w:val="00F630F1"/>
    <w:rsid w:val="00F63383"/>
    <w:rsid w:val="00F63443"/>
    <w:rsid w:val="00F63CA9"/>
    <w:rsid w:val="00F63F2E"/>
    <w:rsid w:val="00F641AC"/>
    <w:rsid w:val="00F64263"/>
    <w:rsid w:val="00F645DC"/>
    <w:rsid w:val="00F64D2A"/>
    <w:rsid w:val="00F64F7B"/>
    <w:rsid w:val="00F65ED2"/>
    <w:rsid w:val="00F663F5"/>
    <w:rsid w:val="00F6706C"/>
    <w:rsid w:val="00F6711C"/>
    <w:rsid w:val="00F671F9"/>
    <w:rsid w:val="00F67B7A"/>
    <w:rsid w:val="00F7002C"/>
    <w:rsid w:val="00F7060E"/>
    <w:rsid w:val="00F7094C"/>
    <w:rsid w:val="00F70A2B"/>
    <w:rsid w:val="00F70C96"/>
    <w:rsid w:val="00F70E26"/>
    <w:rsid w:val="00F71B46"/>
    <w:rsid w:val="00F72184"/>
    <w:rsid w:val="00F722BE"/>
    <w:rsid w:val="00F72359"/>
    <w:rsid w:val="00F725F7"/>
    <w:rsid w:val="00F731AC"/>
    <w:rsid w:val="00F738C2"/>
    <w:rsid w:val="00F73905"/>
    <w:rsid w:val="00F73BBB"/>
    <w:rsid w:val="00F74037"/>
    <w:rsid w:val="00F740FD"/>
    <w:rsid w:val="00F741C9"/>
    <w:rsid w:val="00F7462A"/>
    <w:rsid w:val="00F7497A"/>
    <w:rsid w:val="00F75494"/>
    <w:rsid w:val="00F7564D"/>
    <w:rsid w:val="00F76454"/>
    <w:rsid w:val="00F76B2F"/>
    <w:rsid w:val="00F770DE"/>
    <w:rsid w:val="00F7714D"/>
    <w:rsid w:val="00F7731F"/>
    <w:rsid w:val="00F7775E"/>
    <w:rsid w:val="00F77957"/>
    <w:rsid w:val="00F77BCF"/>
    <w:rsid w:val="00F77DEA"/>
    <w:rsid w:val="00F80055"/>
    <w:rsid w:val="00F803FE"/>
    <w:rsid w:val="00F807E2"/>
    <w:rsid w:val="00F809F5"/>
    <w:rsid w:val="00F80DCD"/>
    <w:rsid w:val="00F80DFC"/>
    <w:rsid w:val="00F81309"/>
    <w:rsid w:val="00F818FA"/>
    <w:rsid w:val="00F819F3"/>
    <w:rsid w:val="00F81C74"/>
    <w:rsid w:val="00F81D2A"/>
    <w:rsid w:val="00F81E9E"/>
    <w:rsid w:val="00F827A2"/>
    <w:rsid w:val="00F82D98"/>
    <w:rsid w:val="00F82F9D"/>
    <w:rsid w:val="00F831CB"/>
    <w:rsid w:val="00F8421F"/>
    <w:rsid w:val="00F84400"/>
    <w:rsid w:val="00F84A83"/>
    <w:rsid w:val="00F84D21"/>
    <w:rsid w:val="00F84D9A"/>
    <w:rsid w:val="00F84DD7"/>
    <w:rsid w:val="00F84DDC"/>
    <w:rsid w:val="00F84ED1"/>
    <w:rsid w:val="00F856EF"/>
    <w:rsid w:val="00F85A6A"/>
    <w:rsid w:val="00F86012"/>
    <w:rsid w:val="00F863C8"/>
    <w:rsid w:val="00F864D6"/>
    <w:rsid w:val="00F8653C"/>
    <w:rsid w:val="00F866CE"/>
    <w:rsid w:val="00F86B98"/>
    <w:rsid w:val="00F86D74"/>
    <w:rsid w:val="00F86FC1"/>
    <w:rsid w:val="00F87146"/>
    <w:rsid w:val="00F87161"/>
    <w:rsid w:val="00F87384"/>
    <w:rsid w:val="00F87753"/>
    <w:rsid w:val="00F903F2"/>
    <w:rsid w:val="00F907F0"/>
    <w:rsid w:val="00F90C9F"/>
    <w:rsid w:val="00F90EEB"/>
    <w:rsid w:val="00F9189E"/>
    <w:rsid w:val="00F91ED6"/>
    <w:rsid w:val="00F920DB"/>
    <w:rsid w:val="00F922DE"/>
    <w:rsid w:val="00F926D2"/>
    <w:rsid w:val="00F92CF4"/>
    <w:rsid w:val="00F930CD"/>
    <w:rsid w:val="00F9318C"/>
    <w:rsid w:val="00F9352C"/>
    <w:rsid w:val="00F93641"/>
    <w:rsid w:val="00F93795"/>
    <w:rsid w:val="00F93839"/>
    <w:rsid w:val="00F938DC"/>
    <w:rsid w:val="00F93C53"/>
    <w:rsid w:val="00F93D62"/>
    <w:rsid w:val="00F93F40"/>
    <w:rsid w:val="00F9456A"/>
    <w:rsid w:val="00F94C43"/>
    <w:rsid w:val="00F95788"/>
    <w:rsid w:val="00F962C3"/>
    <w:rsid w:val="00F965ED"/>
    <w:rsid w:val="00F96D07"/>
    <w:rsid w:val="00F96FD1"/>
    <w:rsid w:val="00F972F3"/>
    <w:rsid w:val="00F9773A"/>
    <w:rsid w:val="00F9779C"/>
    <w:rsid w:val="00F97A98"/>
    <w:rsid w:val="00FA05FB"/>
    <w:rsid w:val="00FA0981"/>
    <w:rsid w:val="00FA0A84"/>
    <w:rsid w:val="00FA0AC7"/>
    <w:rsid w:val="00FA0B4A"/>
    <w:rsid w:val="00FA0F40"/>
    <w:rsid w:val="00FA1CA0"/>
    <w:rsid w:val="00FA1E32"/>
    <w:rsid w:val="00FA2335"/>
    <w:rsid w:val="00FA239A"/>
    <w:rsid w:val="00FA23E6"/>
    <w:rsid w:val="00FA2AB4"/>
    <w:rsid w:val="00FA2C14"/>
    <w:rsid w:val="00FA378F"/>
    <w:rsid w:val="00FA3887"/>
    <w:rsid w:val="00FA3D11"/>
    <w:rsid w:val="00FA40E6"/>
    <w:rsid w:val="00FA43A1"/>
    <w:rsid w:val="00FA4F52"/>
    <w:rsid w:val="00FA50A6"/>
    <w:rsid w:val="00FA5E69"/>
    <w:rsid w:val="00FA616B"/>
    <w:rsid w:val="00FA67AD"/>
    <w:rsid w:val="00FA6A5B"/>
    <w:rsid w:val="00FA6B22"/>
    <w:rsid w:val="00FA739C"/>
    <w:rsid w:val="00FA774D"/>
    <w:rsid w:val="00FB046F"/>
    <w:rsid w:val="00FB06AC"/>
    <w:rsid w:val="00FB09B0"/>
    <w:rsid w:val="00FB0F16"/>
    <w:rsid w:val="00FB1002"/>
    <w:rsid w:val="00FB1583"/>
    <w:rsid w:val="00FB1708"/>
    <w:rsid w:val="00FB1C8E"/>
    <w:rsid w:val="00FB1C9D"/>
    <w:rsid w:val="00FB1CD9"/>
    <w:rsid w:val="00FB2434"/>
    <w:rsid w:val="00FB2884"/>
    <w:rsid w:val="00FB292B"/>
    <w:rsid w:val="00FB31D1"/>
    <w:rsid w:val="00FB335A"/>
    <w:rsid w:val="00FB3AD1"/>
    <w:rsid w:val="00FB3B35"/>
    <w:rsid w:val="00FB3B68"/>
    <w:rsid w:val="00FB3C2B"/>
    <w:rsid w:val="00FB4216"/>
    <w:rsid w:val="00FB42A6"/>
    <w:rsid w:val="00FB44BD"/>
    <w:rsid w:val="00FB49BF"/>
    <w:rsid w:val="00FB4C77"/>
    <w:rsid w:val="00FB4DB3"/>
    <w:rsid w:val="00FB4E10"/>
    <w:rsid w:val="00FB5C0A"/>
    <w:rsid w:val="00FB5E81"/>
    <w:rsid w:val="00FB5F4B"/>
    <w:rsid w:val="00FB5FFB"/>
    <w:rsid w:val="00FB647D"/>
    <w:rsid w:val="00FB6523"/>
    <w:rsid w:val="00FB6A6F"/>
    <w:rsid w:val="00FB6E69"/>
    <w:rsid w:val="00FB71A1"/>
    <w:rsid w:val="00FC0303"/>
    <w:rsid w:val="00FC0587"/>
    <w:rsid w:val="00FC06CD"/>
    <w:rsid w:val="00FC1021"/>
    <w:rsid w:val="00FC13FC"/>
    <w:rsid w:val="00FC1461"/>
    <w:rsid w:val="00FC17F7"/>
    <w:rsid w:val="00FC29C8"/>
    <w:rsid w:val="00FC2B39"/>
    <w:rsid w:val="00FC2C87"/>
    <w:rsid w:val="00FC3228"/>
    <w:rsid w:val="00FC3431"/>
    <w:rsid w:val="00FC3698"/>
    <w:rsid w:val="00FC4591"/>
    <w:rsid w:val="00FC5E60"/>
    <w:rsid w:val="00FC5FDD"/>
    <w:rsid w:val="00FC6B9C"/>
    <w:rsid w:val="00FC7818"/>
    <w:rsid w:val="00FC7B55"/>
    <w:rsid w:val="00FC7F1E"/>
    <w:rsid w:val="00FD0085"/>
    <w:rsid w:val="00FD0377"/>
    <w:rsid w:val="00FD13FE"/>
    <w:rsid w:val="00FD19A0"/>
    <w:rsid w:val="00FD1EE3"/>
    <w:rsid w:val="00FD208C"/>
    <w:rsid w:val="00FD3254"/>
    <w:rsid w:val="00FD3276"/>
    <w:rsid w:val="00FD3334"/>
    <w:rsid w:val="00FD3B22"/>
    <w:rsid w:val="00FD3F84"/>
    <w:rsid w:val="00FD4391"/>
    <w:rsid w:val="00FD4BB1"/>
    <w:rsid w:val="00FD4C3B"/>
    <w:rsid w:val="00FD4F60"/>
    <w:rsid w:val="00FD5025"/>
    <w:rsid w:val="00FD56B6"/>
    <w:rsid w:val="00FD5952"/>
    <w:rsid w:val="00FD5A7E"/>
    <w:rsid w:val="00FD5ABC"/>
    <w:rsid w:val="00FD5D88"/>
    <w:rsid w:val="00FD5E47"/>
    <w:rsid w:val="00FD5E6D"/>
    <w:rsid w:val="00FD611C"/>
    <w:rsid w:val="00FD62F1"/>
    <w:rsid w:val="00FD64A0"/>
    <w:rsid w:val="00FD65CF"/>
    <w:rsid w:val="00FD6E06"/>
    <w:rsid w:val="00FD726B"/>
    <w:rsid w:val="00FD74A1"/>
    <w:rsid w:val="00FD7536"/>
    <w:rsid w:val="00FD7998"/>
    <w:rsid w:val="00FD7F77"/>
    <w:rsid w:val="00FE03D6"/>
    <w:rsid w:val="00FE03DD"/>
    <w:rsid w:val="00FE03F3"/>
    <w:rsid w:val="00FE0A41"/>
    <w:rsid w:val="00FE0CAF"/>
    <w:rsid w:val="00FE1464"/>
    <w:rsid w:val="00FE1F93"/>
    <w:rsid w:val="00FE2094"/>
    <w:rsid w:val="00FE20E3"/>
    <w:rsid w:val="00FE2282"/>
    <w:rsid w:val="00FE2905"/>
    <w:rsid w:val="00FE2E83"/>
    <w:rsid w:val="00FE3C2B"/>
    <w:rsid w:val="00FE3D08"/>
    <w:rsid w:val="00FE3F7C"/>
    <w:rsid w:val="00FE406D"/>
    <w:rsid w:val="00FE420F"/>
    <w:rsid w:val="00FE4817"/>
    <w:rsid w:val="00FE4EF5"/>
    <w:rsid w:val="00FE51B0"/>
    <w:rsid w:val="00FE52B6"/>
    <w:rsid w:val="00FE533B"/>
    <w:rsid w:val="00FE54D6"/>
    <w:rsid w:val="00FE577D"/>
    <w:rsid w:val="00FE63A4"/>
    <w:rsid w:val="00FE6B16"/>
    <w:rsid w:val="00FE6BEE"/>
    <w:rsid w:val="00FE7037"/>
    <w:rsid w:val="00FE740A"/>
    <w:rsid w:val="00FE757F"/>
    <w:rsid w:val="00FE7DBF"/>
    <w:rsid w:val="00FE7F44"/>
    <w:rsid w:val="00FF037B"/>
    <w:rsid w:val="00FF0867"/>
    <w:rsid w:val="00FF09FA"/>
    <w:rsid w:val="00FF15A8"/>
    <w:rsid w:val="00FF1D82"/>
    <w:rsid w:val="00FF284C"/>
    <w:rsid w:val="00FF29B2"/>
    <w:rsid w:val="00FF2AF7"/>
    <w:rsid w:val="00FF34BF"/>
    <w:rsid w:val="00FF39A0"/>
    <w:rsid w:val="00FF39B4"/>
    <w:rsid w:val="00FF3A1E"/>
    <w:rsid w:val="00FF3F40"/>
    <w:rsid w:val="00FF4148"/>
    <w:rsid w:val="00FF4E1B"/>
    <w:rsid w:val="00FF5005"/>
    <w:rsid w:val="00FF57D9"/>
    <w:rsid w:val="00FF5807"/>
    <w:rsid w:val="00FF76E0"/>
  </w:rsids>
  <m:mathPr>
    <m:mathFont m:val="Cambria Math"/>
    <m:brkBin m:val="before"/>
    <m:brkBinSub m:val="--"/>
    <m:smallFrac m:val="0"/>
    <m:dispDef/>
    <m:lMargin m:val="72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73C357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List Bullet" w:semiHidden="0"/>
    <w:lsdException w:name="List Number" w:unhideWhenUsed="0"/>
    <w:lsdException w:name="List 4" w:unhideWhenUsed="0"/>
    <w:lsdException w:name="List 5" w:unhideWhenUsed="0"/>
    <w:lsdException w:name="List Bullet 2" w:semiHidden="0"/>
    <w:lsdException w:name="Title" w:semiHidden="0" w:uiPriority="10" w:unhideWhenUsed="0" w:qFormat="1"/>
    <w:lsdException w:name="Default Paragraph Font" w:uiPriority="1"/>
    <w:lsdException w:name="Body Text" w:semiHidden="0" w:unhideWhenUsed="0"/>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B24"/>
    <w:pPr>
      <w:spacing w:after="113" w:line="240" w:lineRule="atLeast"/>
    </w:pPr>
    <w:rPr>
      <w:rFonts w:ascii="Arial Narrow" w:hAnsi="Arial Narrow" w:cs="Times New Roman"/>
      <w:lang w:val="en-AU"/>
    </w:rPr>
  </w:style>
  <w:style w:type="paragraph" w:styleId="Heading1">
    <w:name w:val="heading 1"/>
    <w:basedOn w:val="Normal"/>
    <w:next w:val="BodyText"/>
    <w:link w:val="Heading1Char"/>
    <w:uiPriority w:val="9"/>
    <w:qFormat/>
    <w:rsid w:val="00D4697B"/>
    <w:pPr>
      <w:keepNext/>
      <w:keepLines/>
      <w:numPr>
        <w:numId w:val="21"/>
      </w:numPr>
      <w:spacing w:after="0"/>
      <w:outlineLvl w:val="0"/>
    </w:pPr>
    <w:rPr>
      <w:rFonts w:eastAsiaTheme="majorEastAsia"/>
      <w:bCs/>
      <w:caps/>
      <w:color w:val="FFFEFF"/>
      <w:spacing w:val="110"/>
      <w:sz w:val="38"/>
      <w:szCs w:val="28"/>
    </w:rPr>
  </w:style>
  <w:style w:type="paragraph" w:styleId="Heading2">
    <w:name w:val="heading 2"/>
    <w:basedOn w:val="Normal"/>
    <w:next w:val="BodyText"/>
    <w:link w:val="Heading2Char"/>
    <w:uiPriority w:val="9"/>
    <w:qFormat/>
    <w:rsid w:val="00A93E8B"/>
    <w:pPr>
      <w:keepNext/>
      <w:keepLines/>
      <w:numPr>
        <w:ilvl w:val="1"/>
        <w:numId w:val="21"/>
      </w:numPr>
      <w:pBdr>
        <w:bottom w:val="single" w:sz="4" w:space="1" w:color="auto"/>
        <w:between w:val="single" w:sz="4" w:space="1" w:color="auto"/>
      </w:pBdr>
      <w:spacing w:before="240" w:after="216" w:line="280" w:lineRule="atLeast"/>
      <w:ind w:right="6"/>
      <w:outlineLvl w:val="1"/>
    </w:pPr>
    <w:rPr>
      <w:rFonts w:eastAsiaTheme="majorEastAsia"/>
      <w:b/>
      <w:bCs/>
      <w:color w:val="000001"/>
      <w:sz w:val="28"/>
      <w:szCs w:val="26"/>
    </w:rPr>
  </w:style>
  <w:style w:type="paragraph" w:styleId="Heading3">
    <w:name w:val="heading 3"/>
    <w:basedOn w:val="Normal"/>
    <w:next w:val="BodyText"/>
    <w:link w:val="Heading3Char"/>
    <w:uiPriority w:val="9"/>
    <w:qFormat/>
    <w:rsid w:val="00A93E8B"/>
    <w:pPr>
      <w:keepNext/>
      <w:keepLines/>
      <w:numPr>
        <w:ilvl w:val="2"/>
        <w:numId w:val="21"/>
      </w:numPr>
      <w:pBdr>
        <w:bottom w:val="single" w:sz="4" w:space="1" w:color="auto"/>
      </w:pBdr>
      <w:spacing w:before="240" w:after="48"/>
      <w:ind w:left="720" w:hanging="720"/>
      <w:outlineLvl w:val="2"/>
    </w:pPr>
    <w:rPr>
      <w:rFonts w:eastAsiaTheme="majorEastAsia"/>
      <w:b/>
      <w:color w:val="000001"/>
      <w:szCs w:val="24"/>
    </w:rPr>
  </w:style>
  <w:style w:type="paragraph" w:styleId="Heading4">
    <w:name w:val="heading 4"/>
    <w:basedOn w:val="Normal"/>
    <w:next w:val="BodyText"/>
    <w:link w:val="Heading4Char"/>
    <w:uiPriority w:val="9"/>
    <w:qFormat/>
    <w:rsid w:val="00F87161"/>
    <w:pPr>
      <w:keepNext/>
      <w:keepLines/>
      <w:numPr>
        <w:ilvl w:val="3"/>
        <w:numId w:val="21"/>
      </w:numPr>
      <w:spacing w:before="240" w:after="64"/>
      <w:outlineLvl w:val="3"/>
    </w:pPr>
    <w:rPr>
      <w:rFonts w:eastAsiaTheme="majorEastAsia"/>
      <w:b/>
      <w:iCs/>
      <w:color w:val="000100"/>
      <w:spacing w:val="-1"/>
    </w:rPr>
  </w:style>
  <w:style w:type="paragraph" w:styleId="Heading5">
    <w:name w:val="heading 5"/>
    <w:basedOn w:val="Normal"/>
    <w:next w:val="BodyText"/>
    <w:link w:val="Heading5Char"/>
    <w:uiPriority w:val="9"/>
    <w:qFormat/>
    <w:rsid w:val="00F87161"/>
    <w:pPr>
      <w:keepNext/>
      <w:keepLines/>
      <w:numPr>
        <w:ilvl w:val="4"/>
        <w:numId w:val="21"/>
      </w:numPr>
      <w:spacing w:before="240" w:after="89"/>
      <w:outlineLvl w:val="4"/>
    </w:pPr>
    <w:rPr>
      <w:b/>
      <w:i/>
      <w:spacing w:val="3"/>
    </w:rPr>
  </w:style>
  <w:style w:type="paragraph" w:styleId="Heading6">
    <w:name w:val="heading 6"/>
    <w:basedOn w:val="Normal"/>
    <w:next w:val="BodyText"/>
    <w:link w:val="Heading6Char"/>
    <w:uiPriority w:val="9"/>
    <w:qFormat/>
    <w:rsid w:val="00F87161"/>
    <w:pPr>
      <w:keepNext/>
      <w:keepLines/>
      <w:numPr>
        <w:ilvl w:val="5"/>
        <w:numId w:val="21"/>
      </w:numPr>
      <w:pBdr>
        <w:between w:val="single" w:sz="4" w:space="1" w:color="auto"/>
      </w:pBdr>
      <w:spacing w:before="240" w:after="89"/>
      <w:outlineLvl w:val="5"/>
    </w:pPr>
    <w:rPr>
      <w:rFonts w:eastAsiaTheme="majorEastAsia"/>
      <w:b/>
      <w:i/>
      <w:color w:val="808080" w:themeColor="background1" w:themeShade="80"/>
      <w:spacing w:val="3"/>
    </w:rPr>
  </w:style>
  <w:style w:type="paragraph" w:styleId="Heading7">
    <w:name w:val="heading 7"/>
    <w:basedOn w:val="Normal"/>
    <w:link w:val="Heading7Char"/>
    <w:uiPriority w:val="9"/>
    <w:qFormat/>
    <w:rsid w:val="001E32CC"/>
    <w:pPr>
      <w:keepNext/>
      <w:keepLines/>
      <w:numPr>
        <w:numId w:val="22"/>
      </w:numPr>
      <w:spacing w:after="0"/>
      <w:outlineLvl w:val="6"/>
    </w:pPr>
    <w:rPr>
      <w:rFonts w:eastAsiaTheme="majorEastAsia"/>
      <w:iCs/>
      <w:caps/>
      <w:color w:val="FFFEFF"/>
      <w:spacing w:val="110"/>
      <w:sz w:val="38"/>
    </w:rPr>
  </w:style>
  <w:style w:type="paragraph" w:styleId="Heading8">
    <w:name w:val="heading 8"/>
    <w:basedOn w:val="Normal"/>
    <w:next w:val="BodyText"/>
    <w:link w:val="Heading8Char"/>
    <w:uiPriority w:val="9"/>
    <w:qFormat/>
    <w:rsid w:val="00A93E8B"/>
    <w:pPr>
      <w:keepNext/>
      <w:keepLines/>
      <w:numPr>
        <w:ilvl w:val="1"/>
        <w:numId w:val="22"/>
      </w:numPr>
      <w:pBdr>
        <w:bottom w:val="single" w:sz="4" w:space="1" w:color="000100"/>
      </w:pBdr>
      <w:spacing w:before="240" w:after="216" w:line="280" w:lineRule="atLeast"/>
      <w:outlineLvl w:val="7"/>
    </w:pPr>
    <w:rPr>
      <w:rFonts w:eastAsiaTheme="majorEastAsia"/>
      <w:b/>
      <w:color w:val="272727" w:themeColor="text1" w:themeTint="D8"/>
      <w:sz w:val="28"/>
      <w:szCs w:val="21"/>
    </w:rPr>
  </w:style>
  <w:style w:type="paragraph" w:styleId="Heading9">
    <w:name w:val="heading 9"/>
    <w:basedOn w:val="Normal"/>
    <w:next w:val="BodyText"/>
    <w:link w:val="Heading9Char"/>
    <w:uiPriority w:val="9"/>
    <w:qFormat/>
    <w:rsid w:val="00A93E8B"/>
    <w:pPr>
      <w:keepNext/>
      <w:keepLines/>
      <w:numPr>
        <w:ilvl w:val="2"/>
        <w:numId w:val="22"/>
      </w:numPr>
      <w:pBdr>
        <w:bottom w:val="single" w:sz="4" w:space="1" w:color="auto"/>
      </w:pBdr>
      <w:spacing w:before="240" w:after="48"/>
      <w:ind w:left="720" w:hanging="720"/>
      <w:outlineLvl w:val="8"/>
    </w:pPr>
    <w:rPr>
      <w:rFonts w:eastAsiaTheme="majorEastAsia"/>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4697B"/>
    <w:rPr>
      <w:rFonts w:ascii="Arial Narrow" w:eastAsiaTheme="majorEastAsia" w:hAnsi="Arial Narrow" w:cs="Times New Roman"/>
      <w:bCs/>
      <w:caps/>
      <w:color w:val="FFFEFF"/>
      <w:spacing w:val="110"/>
      <w:sz w:val="38"/>
      <w:szCs w:val="28"/>
      <w:lang w:val="en-AU"/>
    </w:rPr>
  </w:style>
  <w:style w:type="character" w:customStyle="1" w:styleId="Heading2Char">
    <w:name w:val="Heading 2 Char"/>
    <w:basedOn w:val="DefaultParagraphFont"/>
    <w:link w:val="Heading2"/>
    <w:uiPriority w:val="9"/>
    <w:locked/>
    <w:rsid w:val="00A93E8B"/>
    <w:rPr>
      <w:rFonts w:ascii="Arial Narrow" w:eastAsiaTheme="majorEastAsia" w:hAnsi="Arial Narrow" w:cs="Times New Roman"/>
      <w:b/>
      <w:bCs/>
      <w:color w:val="000001"/>
      <w:sz w:val="28"/>
      <w:szCs w:val="26"/>
      <w:lang w:val="en-AU"/>
    </w:rPr>
  </w:style>
  <w:style w:type="character" w:customStyle="1" w:styleId="Heading3Char">
    <w:name w:val="Heading 3 Char"/>
    <w:basedOn w:val="DefaultParagraphFont"/>
    <w:link w:val="Heading3"/>
    <w:uiPriority w:val="9"/>
    <w:locked/>
    <w:rsid w:val="00A93E8B"/>
    <w:rPr>
      <w:rFonts w:ascii="Arial Narrow" w:eastAsiaTheme="majorEastAsia" w:hAnsi="Arial Narrow" w:cs="Times New Roman"/>
      <w:b/>
      <w:color w:val="000001"/>
      <w:szCs w:val="24"/>
      <w:lang w:val="en-AU"/>
    </w:rPr>
  </w:style>
  <w:style w:type="character" w:customStyle="1" w:styleId="Heading4Char">
    <w:name w:val="Heading 4 Char"/>
    <w:basedOn w:val="DefaultParagraphFont"/>
    <w:link w:val="Heading4"/>
    <w:uiPriority w:val="9"/>
    <w:locked/>
    <w:rsid w:val="00F87161"/>
    <w:rPr>
      <w:rFonts w:ascii="Arial Narrow" w:eastAsiaTheme="majorEastAsia" w:hAnsi="Arial Narrow" w:cs="Times New Roman"/>
      <w:b/>
      <w:iCs/>
      <w:color w:val="000100"/>
      <w:spacing w:val="-1"/>
      <w:lang w:val="en-AU"/>
    </w:rPr>
  </w:style>
  <w:style w:type="character" w:customStyle="1" w:styleId="Heading5Char">
    <w:name w:val="Heading 5 Char"/>
    <w:basedOn w:val="DefaultParagraphFont"/>
    <w:link w:val="Heading5"/>
    <w:uiPriority w:val="9"/>
    <w:locked/>
    <w:rsid w:val="00F87161"/>
    <w:rPr>
      <w:rFonts w:ascii="Arial Narrow" w:hAnsi="Arial Narrow" w:cs="Times New Roman"/>
      <w:b/>
      <w:i/>
      <w:spacing w:val="3"/>
      <w:lang w:val="en-AU"/>
    </w:rPr>
  </w:style>
  <w:style w:type="character" w:customStyle="1" w:styleId="Heading6Char">
    <w:name w:val="Heading 6 Char"/>
    <w:basedOn w:val="DefaultParagraphFont"/>
    <w:link w:val="Heading6"/>
    <w:uiPriority w:val="9"/>
    <w:locked/>
    <w:rsid w:val="00F87161"/>
    <w:rPr>
      <w:rFonts w:ascii="Arial Narrow" w:eastAsiaTheme="majorEastAsia" w:hAnsi="Arial Narrow" w:cs="Times New Roman"/>
      <w:b/>
      <w:i/>
      <w:color w:val="808080" w:themeColor="background1" w:themeShade="80"/>
      <w:spacing w:val="3"/>
      <w:lang w:val="en-AU"/>
    </w:rPr>
  </w:style>
  <w:style w:type="character" w:customStyle="1" w:styleId="Heading7Char">
    <w:name w:val="Heading 7 Char"/>
    <w:basedOn w:val="DefaultParagraphFont"/>
    <w:link w:val="Heading7"/>
    <w:uiPriority w:val="9"/>
    <w:locked/>
    <w:rsid w:val="001E32CC"/>
    <w:rPr>
      <w:rFonts w:ascii="Arial Narrow" w:eastAsiaTheme="majorEastAsia" w:hAnsi="Arial Narrow" w:cs="Times New Roman"/>
      <w:iCs/>
      <w:caps/>
      <w:color w:val="FFFEFF"/>
      <w:spacing w:val="110"/>
      <w:sz w:val="38"/>
      <w:lang w:val="en-AU"/>
    </w:rPr>
  </w:style>
  <w:style w:type="character" w:customStyle="1" w:styleId="Heading8Char">
    <w:name w:val="Heading 8 Char"/>
    <w:basedOn w:val="DefaultParagraphFont"/>
    <w:link w:val="Heading8"/>
    <w:uiPriority w:val="9"/>
    <w:locked/>
    <w:rsid w:val="00A93E8B"/>
    <w:rPr>
      <w:rFonts w:ascii="Arial Narrow" w:eastAsiaTheme="majorEastAsia" w:hAnsi="Arial Narrow" w:cs="Times New Roman"/>
      <w:b/>
      <w:color w:val="272727" w:themeColor="text1" w:themeTint="D8"/>
      <w:sz w:val="28"/>
      <w:szCs w:val="21"/>
      <w:lang w:val="en-AU"/>
    </w:rPr>
  </w:style>
  <w:style w:type="character" w:customStyle="1" w:styleId="Heading9Char">
    <w:name w:val="Heading 9 Char"/>
    <w:basedOn w:val="DefaultParagraphFont"/>
    <w:link w:val="Heading9"/>
    <w:uiPriority w:val="9"/>
    <w:locked/>
    <w:rsid w:val="00A93E8B"/>
    <w:rPr>
      <w:rFonts w:ascii="Arial Narrow" w:eastAsiaTheme="majorEastAsia" w:hAnsi="Arial Narrow" w:cs="Times New Roman"/>
      <w:b/>
      <w:iCs/>
      <w:color w:val="272727" w:themeColor="text1" w:themeTint="D8"/>
      <w:spacing w:val="3"/>
      <w:szCs w:val="21"/>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locked/>
    <w:rsid w:val="00DB373A"/>
    <w:rPr>
      <w:rFonts w:ascii="HelveticaNeueLT Std Lt Cn" w:hAnsi="HelveticaNeueLT Std Lt Cn" w:cs="Times New Roma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locked/>
    <w:rsid w:val="002C3B4B"/>
    <w:rPr>
      <w:rFonts w:ascii="Arial" w:hAnsi="Arial" w:cs="Times New Roman"/>
      <w:caps/>
      <w:spacing w:val="6"/>
      <w:sz w:val="13"/>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basedOn w:val="Normal"/>
    <w:uiPriority w:val="99"/>
    <w:rsid w:val="000659A4"/>
    <w:pPr>
      <w:numPr>
        <w:numId w:val="37"/>
      </w:numPr>
      <w:spacing w:before="60" w:after="60"/>
    </w:pPr>
  </w:style>
  <w:style w:type="paragraph" w:styleId="ListBullet2">
    <w:name w:val="List Bullet 2"/>
    <w:basedOn w:val="Normal"/>
    <w:uiPriority w:val="99"/>
    <w:rsid w:val="000659A4"/>
    <w:pPr>
      <w:numPr>
        <w:ilvl w:val="1"/>
        <w:numId w:val="37"/>
      </w:numPr>
      <w:spacing w:after="60"/>
      <w:contextualSpacing/>
    </w:p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basedOn w:val="TableNormal"/>
    <w:uiPriority w:val="39"/>
    <w:rsid w:val="000F2200"/>
    <w:pPr>
      <w:spacing w:after="0" w:line="240" w:lineRule="auto"/>
    </w:pPr>
    <w:rPr>
      <w:rFonts w:ascii="HelveticaNeueLT Std Lt Cn" w:hAnsi="HelveticaNeueLT Std Lt C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EF5A90"/>
    <w:pPr>
      <w:spacing w:after="0" w:line="800" w:lineRule="exact"/>
    </w:pPr>
    <w:rPr>
      <w:rFonts w:ascii="Bodoni MT" w:hAnsi="Bodoni MT"/>
      <w:caps/>
      <w:color w:val="000100"/>
      <w:spacing w:val="-60"/>
      <w:sz w:val="92"/>
    </w:rPr>
  </w:style>
  <w:style w:type="paragraph" w:styleId="BodyText">
    <w:name w:val="Body Text"/>
    <w:basedOn w:val="Normal"/>
    <w:link w:val="BodyTextChar"/>
    <w:uiPriority w:val="99"/>
    <w:rsid w:val="0054071A"/>
    <w:pPr>
      <w:spacing w:before="113" w:after="60"/>
    </w:pPr>
  </w:style>
  <w:style w:type="character" w:customStyle="1" w:styleId="BodyTextChar">
    <w:name w:val="Body Text Char"/>
    <w:basedOn w:val="DefaultParagraphFont"/>
    <w:link w:val="BodyText"/>
    <w:uiPriority w:val="99"/>
    <w:locked/>
    <w:rsid w:val="0054071A"/>
    <w:rPr>
      <w:rFonts w:ascii="Arial Narrow" w:hAnsi="Arial Narrow" w:cs="Times New Roman"/>
      <w:lang w:val="en-AU" w:eastAsia="x-none"/>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B80AE2"/>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rFonts w:ascii="Bodoni MT" w:hAnsi="Bodoni MT"/>
      <w:caps/>
      <w:sz w:val="30"/>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paragraph" w:customStyle="1" w:styleId="BoxText">
    <w:name w:val="Box Text"/>
    <w:basedOn w:val="Normal"/>
    <w:qFormat/>
    <w:rsid w:val="005F68B2"/>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nospace"/>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rFonts w:cs="Times New Roman"/>
      <w:b/>
    </w:rPr>
  </w:style>
  <w:style w:type="paragraph" w:customStyle="1" w:styleId="Source">
    <w:name w:val="Source"/>
    <w:basedOn w:val="Normal"/>
    <w:link w:val="SourceChar"/>
    <w:qFormat/>
    <w:rsid w:val="00806152"/>
    <w:pPr>
      <w:keepNext/>
      <w:spacing w:before="52" w:after="0" w:line="240" w:lineRule="auto"/>
    </w:pPr>
    <w:rPr>
      <w:i/>
      <w:caps/>
      <w:spacing w:val="-3"/>
      <w:sz w:val="14"/>
    </w:rPr>
  </w:style>
  <w:style w:type="paragraph" w:customStyle="1" w:styleId="BoxListBullet">
    <w:name w:val="Box List Bullet"/>
    <w:basedOn w:val="Normal"/>
    <w:qFormat/>
    <w:rsid w:val="005F68B2"/>
    <w:pPr>
      <w:keepNext/>
      <w:numPr>
        <w:numId w:val="23"/>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E5CC4"/>
    <w:rPr>
      <w:rFonts w:ascii="Segoe UI" w:hAnsi="Segoe UI" w:cs="Segoe UI"/>
      <w:sz w:val="18"/>
      <w:szCs w:val="18"/>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locked/>
    <w:rsid w:val="000E5CC4"/>
    <w:rPr>
      <w:rFonts w:ascii="HelveticaNeueLT Std Lt Cn" w:hAnsi="HelveticaNeueLT Std Lt Cn" w:cs="Times New Roma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locked/>
    <w:rsid w:val="000E5CC4"/>
    <w:rPr>
      <w:rFonts w:ascii="HelveticaNeueLT Std Lt Cn" w:hAnsi="HelveticaNeueLT Std Lt Cn" w:cs="Times New Roma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locked/>
    <w:rsid w:val="000E5CC4"/>
    <w:rPr>
      <w:rFonts w:ascii="HelveticaNeueLT Std Lt Cn" w:hAnsi="HelveticaNeueLT Std Lt Cn" w:cs="Times New Roman"/>
      <w:sz w:val="20"/>
      <w:lang w:val="en-AU" w:eastAsia="x-none"/>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locked/>
    <w:rsid w:val="000E5CC4"/>
    <w:rPr>
      <w:rFonts w:ascii="HelveticaNeueLT Std Lt Cn" w:hAnsi="HelveticaNeueLT Std Lt Cn" w:cs="Times New Roma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locked/>
    <w:rsid w:val="000E5CC4"/>
    <w:rPr>
      <w:rFonts w:ascii="HelveticaNeueLT Std Lt Cn" w:hAnsi="HelveticaNeueLT Std Lt Cn" w:cs="Times New Roma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0E5CC4"/>
    <w:rPr>
      <w:rFonts w:ascii="HelveticaNeueLT Std Lt Cn" w:hAnsi="HelveticaNeueLT Std Lt Cn" w:cs="Times New Roma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0E5CC4"/>
    <w:rPr>
      <w:rFonts w:ascii="HelveticaNeueLT Std Lt Cn" w:hAnsi="HelveticaNeueLT Std Lt Cn" w:cs="Times New Roman"/>
      <w:sz w:val="16"/>
      <w:szCs w:val="16"/>
    </w:rPr>
  </w:style>
  <w:style w:type="character" w:styleId="BookTitle">
    <w:name w:val="Book Title"/>
    <w:basedOn w:val="DefaultParagraphFont"/>
    <w:uiPriority w:val="33"/>
    <w:qFormat/>
    <w:rsid w:val="000E5CC4"/>
    <w:rPr>
      <w:rFonts w:cs="Times New Roman"/>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locked/>
    <w:rsid w:val="000E5CC4"/>
    <w:rPr>
      <w:rFonts w:ascii="HelveticaNeueLT Std Lt Cn" w:hAnsi="HelveticaNeueLT Std Lt Cn" w:cs="Times New Roman"/>
      <w:sz w:val="20"/>
    </w:rPr>
  </w:style>
  <w:style w:type="table" w:styleId="ColorfulGrid">
    <w:name w:val="Colorful Grid"/>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rFonts w:cs="Times New Roman"/>
        <w:b/>
        <w:bCs/>
      </w:rPr>
      <w:tblPr/>
      <w:tcPr>
        <w:shd w:val="clear" w:color="auto" w:fill="999999" w:themeFill="text1" w:themeFillTint="66"/>
      </w:tcPr>
    </w:tblStylePr>
    <w:tblStylePr w:type="lastRow">
      <w:rPr>
        <w:rFonts w:cs="Times New Roman"/>
        <w:b/>
        <w:bCs/>
        <w:color w:val="000000" w:themeColor="text1"/>
      </w:rPr>
      <w:tblPr/>
      <w:tcPr>
        <w:shd w:val="clear" w:color="auto" w:fill="999999" w:themeFill="text1" w:themeFillTint="66"/>
      </w:tcPr>
    </w:tblStylePr>
    <w:tblStylePr w:type="firstCol">
      <w:rPr>
        <w:rFonts w:cs="Times New Roman"/>
        <w:color w:val="FFFFFF" w:themeColor="background1"/>
      </w:rPr>
      <w:tblPr/>
      <w:tcPr>
        <w:shd w:val="clear" w:color="auto" w:fill="000000" w:themeFill="text1" w:themeFillShade="BF"/>
      </w:tcPr>
    </w:tblStylePr>
    <w:tblStylePr w:type="lastCol">
      <w:rPr>
        <w:rFonts w:cs="Times New Roman"/>
        <w:color w:val="FFFFFF" w:themeColor="background1"/>
      </w:rPr>
      <w:tblPr/>
      <w:tcPr>
        <w:shd w:val="clear" w:color="auto" w:fill="000000" w:themeFill="text1" w:themeFillShade="BF"/>
      </w:tcPr>
    </w:tblStylePr>
    <w:tblStylePr w:type="band1Vert">
      <w:rPr>
        <w:rFonts w:cs="Times New Roman"/>
      </w:rPr>
      <w:tblPr/>
      <w:tcPr>
        <w:shd w:val="clear" w:color="auto" w:fill="808080" w:themeFill="text1" w:themeFillTint="7F"/>
      </w:tcPr>
    </w:tblStylePr>
    <w:tblStylePr w:type="band1Horz">
      <w:rPr>
        <w:rFonts w:cs="Times New Roman"/>
      </w:rPr>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rFonts w:cs="Times New Roman"/>
        <w:b/>
        <w:bCs/>
      </w:rPr>
      <w:tblPr/>
      <w:tcPr>
        <w:shd w:val="clear" w:color="auto" w:fill="D5BBDB" w:themeFill="accent1" w:themeFillTint="66"/>
      </w:tcPr>
    </w:tblStylePr>
    <w:tblStylePr w:type="lastRow">
      <w:rPr>
        <w:rFonts w:cs="Times New Roman"/>
        <w:b/>
        <w:bCs/>
        <w:color w:val="000000" w:themeColor="text1"/>
      </w:rPr>
      <w:tblPr/>
      <w:tcPr>
        <w:shd w:val="clear" w:color="auto" w:fill="D5BBDB" w:themeFill="accent1" w:themeFillTint="66"/>
      </w:tcPr>
    </w:tblStylePr>
    <w:tblStylePr w:type="firstCol">
      <w:rPr>
        <w:rFonts w:cs="Times New Roman"/>
        <w:color w:val="FFFFFF" w:themeColor="background1"/>
      </w:rPr>
      <w:tblPr/>
      <w:tcPr>
        <w:shd w:val="clear" w:color="auto" w:fill="70417C" w:themeFill="accent1" w:themeFillShade="BF"/>
      </w:tcPr>
    </w:tblStylePr>
    <w:tblStylePr w:type="lastCol">
      <w:rPr>
        <w:rFonts w:cs="Times New Roman"/>
        <w:color w:val="FFFFFF" w:themeColor="background1"/>
      </w:rPr>
      <w:tblPr/>
      <w:tcPr>
        <w:shd w:val="clear" w:color="auto" w:fill="70417C" w:themeFill="accent1" w:themeFillShade="BF"/>
      </w:tcPr>
    </w:tblStylePr>
    <w:tblStylePr w:type="band1Vert">
      <w:rPr>
        <w:rFonts w:cs="Times New Roman"/>
      </w:rPr>
      <w:tblPr/>
      <w:tcPr>
        <w:shd w:val="clear" w:color="auto" w:fill="CBABD3" w:themeFill="accent1" w:themeFillTint="7F"/>
      </w:tcPr>
    </w:tblStylePr>
    <w:tblStylePr w:type="band1Horz">
      <w:rPr>
        <w:rFonts w:cs="Times New Roman"/>
      </w:rPr>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rFonts w:cs="Times New Roman"/>
        <w:b/>
        <w:bCs/>
      </w:rPr>
      <w:tblPr/>
      <w:tcPr>
        <w:shd w:val="clear" w:color="auto" w:fill="FFDEB0" w:themeFill="accent2" w:themeFillTint="66"/>
      </w:tcPr>
    </w:tblStylePr>
    <w:tblStylePr w:type="lastRow">
      <w:rPr>
        <w:rFonts w:cs="Times New Roman"/>
        <w:b/>
        <w:bCs/>
        <w:color w:val="000000" w:themeColor="text1"/>
      </w:rPr>
      <w:tblPr/>
      <w:tcPr>
        <w:shd w:val="clear" w:color="auto" w:fill="FFDEB0" w:themeFill="accent2" w:themeFillTint="66"/>
      </w:tcPr>
    </w:tblStylePr>
    <w:tblStylePr w:type="firstCol">
      <w:rPr>
        <w:rFonts w:cs="Times New Roman"/>
        <w:color w:val="FFFFFF" w:themeColor="background1"/>
      </w:rPr>
      <w:tblPr/>
      <w:tcPr>
        <w:shd w:val="clear" w:color="auto" w:fill="EB8900" w:themeFill="accent2" w:themeFillShade="BF"/>
      </w:tcPr>
    </w:tblStylePr>
    <w:tblStylePr w:type="lastCol">
      <w:rPr>
        <w:rFonts w:cs="Times New Roman"/>
        <w:color w:val="FFFFFF" w:themeColor="background1"/>
      </w:rPr>
      <w:tblPr/>
      <w:tcPr>
        <w:shd w:val="clear" w:color="auto" w:fill="EB8900" w:themeFill="accent2" w:themeFillShade="BF"/>
      </w:tcPr>
    </w:tblStylePr>
    <w:tblStylePr w:type="band1Vert">
      <w:rPr>
        <w:rFonts w:cs="Times New Roman"/>
      </w:rPr>
      <w:tblPr/>
      <w:tcPr>
        <w:shd w:val="clear" w:color="auto" w:fill="FFD69D" w:themeFill="accent2" w:themeFillTint="7F"/>
      </w:tcPr>
    </w:tblStylePr>
    <w:tblStylePr w:type="band1Horz">
      <w:rPr>
        <w:rFonts w:cs="Times New Roman"/>
      </w:rPr>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rFonts w:cs="Times New Roman"/>
        <w:b/>
        <w:bCs/>
      </w:rPr>
      <w:tblPr/>
      <w:tcPr>
        <w:shd w:val="clear" w:color="auto" w:fill="DBDBDB" w:themeFill="accent3" w:themeFillTint="66"/>
      </w:tcPr>
    </w:tblStylePr>
    <w:tblStylePr w:type="lastRow">
      <w:rPr>
        <w:rFonts w:cs="Times New Roman"/>
        <w:b/>
        <w:bCs/>
        <w:color w:val="000000" w:themeColor="text1"/>
      </w:rPr>
      <w:tblPr/>
      <w:tcPr>
        <w:shd w:val="clear" w:color="auto" w:fill="DBDBDB" w:themeFill="accent3" w:themeFillTint="66"/>
      </w:tcPr>
    </w:tblStylePr>
    <w:tblStylePr w:type="firstCol">
      <w:rPr>
        <w:rFonts w:cs="Times New Roman"/>
        <w:color w:val="FFFFFF" w:themeColor="background1"/>
      </w:rPr>
      <w:tblPr/>
      <w:tcPr>
        <w:shd w:val="clear" w:color="auto" w:fill="7B7B7B" w:themeFill="accent3" w:themeFillShade="BF"/>
      </w:tcPr>
    </w:tblStylePr>
    <w:tblStylePr w:type="lastCol">
      <w:rPr>
        <w:rFonts w:cs="Times New Roman"/>
        <w:color w:val="FFFFFF" w:themeColor="background1"/>
      </w:rPr>
      <w:tblPr/>
      <w:tcPr>
        <w:shd w:val="clear" w:color="auto" w:fill="7B7B7B" w:themeFill="accent3" w:themeFillShade="BF"/>
      </w:tc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rFonts w:cs="Times New Roman"/>
        <w:b/>
        <w:bCs/>
      </w:rPr>
      <w:tblPr/>
      <w:tcPr>
        <w:shd w:val="clear" w:color="auto" w:fill="E1CFE6" w:themeFill="accent4" w:themeFillTint="66"/>
      </w:tcPr>
    </w:tblStylePr>
    <w:tblStylePr w:type="lastRow">
      <w:rPr>
        <w:rFonts w:cs="Times New Roman"/>
        <w:b/>
        <w:bCs/>
        <w:color w:val="000000" w:themeColor="text1"/>
      </w:rPr>
      <w:tblPr/>
      <w:tcPr>
        <w:shd w:val="clear" w:color="auto" w:fill="E1CFE6" w:themeFill="accent4" w:themeFillTint="66"/>
      </w:tcPr>
    </w:tblStylePr>
    <w:tblStylePr w:type="firstCol">
      <w:rPr>
        <w:rFonts w:cs="Times New Roman"/>
        <w:color w:val="FFFFFF" w:themeColor="background1"/>
      </w:rPr>
      <w:tblPr/>
      <w:tcPr>
        <w:shd w:val="clear" w:color="auto" w:fill="9255A1" w:themeFill="accent4" w:themeFillShade="BF"/>
      </w:tcPr>
    </w:tblStylePr>
    <w:tblStylePr w:type="lastCol">
      <w:rPr>
        <w:rFonts w:cs="Times New Roman"/>
        <w:color w:val="FFFFFF" w:themeColor="background1"/>
      </w:rPr>
      <w:tblPr/>
      <w:tcPr>
        <w:shd w:val="clear" w:color="auto" w:fill="9255A1" w:themeFill="accent4" w:themeFillShade="BF"/>
      </w:tcPr>
    </w:tblStylePr>
    <w:tblStylePr w:type="band1Vert">
      <w:rPr>
        <w:rFonts w:cs="Times New Roman"/>
      </w:rPr>
      <w:tblPr/>
      <w:tcPr>
        <w:shd w:val="clear" w:color="auto" w:fill="DAC4E0" w:themeFill="accent4" w:themeFillTint="7F"/>
      </w:tcPr>
    </w:tblStylePr>
    <w:tblStylePr w:type="band1Horz">
      <w:rPr>
        <w:rFonts w:cs="Times New Roman"/>
      </w:rPr>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rFonts w:cs="Times New Roman"/>
        <w:b/>
        <w:bCs/>
      </w:rPr>
      <w:tblPr/>
      <w:tcPr>
        <w:shd w:val="clear" w:color="auto" w:fill="FFD190" w:themeFill="accent5" w:themeFillTint="66"/>
      </w:tcPr>
    </w:tblStylePr>
    <w:tblStylePr w:type="lastRow">
      <w:rPr>
        <w:rFonts w:cs="Times New Roman"/>
        <w:b/>
        <w:bCs/>
        <w:color w:val="000000" w:themeColor="text1"/>
      </w:rPr>
      <w:tblPr/>
      <w:tcPr>
        <w:shd w:val="clear" w:color="auto" w:fill="FFD190" w:themeFill="accent5" w:themeFillTint="66"/>
      </w:tcPr>
    </w:tblStylePr>
    <w:tblStylePr w:type="firstCol">
      <w:rPr>
        <w:rFonts w:cs="Times New Roman"/>
        <w:color w:val="FFFFFF" w:themeColor="background1"/>
      </w:rPr>
      <w:tblPr/>
      <w:tcPr>
        <w:shd w:val="clear" w:color="auto" w:fill="AF6700" w:themeFill="accent5" w:themeFillShade="BF"/>
      </w:tcPr>
    </w:tblStylePr>
    <w:tblStylePr w:type="lastCol">
      <w:rPr>
        <w:rFonts w:cs="Times New Roman"/>
        <w:color w:val="FFFFFF" w:themeColor="background1"/>
      </w:rPr>
      <w:tblPr/>
      <w:tcPr>
        <w:shd w:val="clear" w:color="auto" w:fill="AF6700" w:themeFill="accent5" w:themeFillShade="BF"/>
      </w:tcPr>
    </w:tblStylePr>
    <w:tblStylePr w:type="band1Vert">
      <w:rPr>
        <w:rFonts w:cs="Times New Roman"/>
      </w:rPr>
      <w:tblPr/>
      <w:tcPr>
        <w:shd w:val="clear" w:color="auto" w:fill="FFC675" w:themeFill="accent5" w:themeFillTint="7F"/>
      </w:tcPr>
    </w:tblStylePr>
    <w:tblStylePr w:type="band1Horz">
      <w:rPr>
        <w:rFonts w:cs="Times New Roman"/>
      </w:rPr>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rFonts w:cs="Times New Roman"/>
        <w:b/>
        <w:bCs/>
      </w:rPr>
      <w:tblPr/>
      <w:tcPr>
        <w:shd w:val="clear" w:color="auto" w:fill="E5E5E5" w:themeFill="accent6" w:themeFillTint="66"/>
      </w:tcPr>
    </w:tblStylePr>
    <w:tblStylePr w:type="lastRow">
      <w:rPr>
        <w:rFonts w:cs="Times New Roman"/>
        <w:b/>
        <w:bCs/>
        <w:color w:val="000000" w:themeColor="text1"/>
      </w:rPr>
      <w:tblPr/>
      <w:tcPr>
        <w:shd w:val="clear" w:color="auto" w:fill="E5E5E5" w:themeFill="accent6" w:themeFillTint="66"/>
      </w:tcPr>
    </w:tblStylePr>
    <w:tblStylePr w:type="firstCol">
      <w:rPr>
        <w:rFonts w:cs="Times New Roman"/>
        <w:color w:val="FFFFFF" w:themeColor="background1"/>
      </w:rPr>
      <w:tblPr/>
      <w:tcPr>
        <w:shd w:val="clear" w:color="auto" w:fill="8F8F8F" w:themeFill="accent6" w:themeFillShade="BF"/>
      </w:tcPr>
    </w:tblStylePr>
    <w:tblStylePr w:type="lastCol">
      <w:rPr>
        <w:rFonts w:cs="Times New Roman"/>
        <w:color w:val="FFFFFF" w:themeColor="background1"/>
      </w:rPr>
      <w:tblPr/>
      <w:tcPr>
        <w:shd w:val="clear" w:color="auto" w:fill="8F8F8F" w:themeFill="accent6" w:themeFillShade="BF"/>
      </w:tcPr>
    </w:tblStylePr>
    <w:tblStylePr w:type="band1Vert">
      <w:rPr>
        <w:rFonts w:cs="Times New Roman"/>
      </w:rPr>
      <w:tblPr/>
      <w:tcPr>
        <w:shd w:val="clear" w:color="auto" w:fill="DFDFDF" w:themeFill="accent6" w:themeFillTint="7F"/>
      </w:tcPr>
    </w:tblStylePr>
    <w:tblStylePr w:type="band1Horz">
      <w:rPr>
        <w:rFonts w:cs="Times New Roman"/>
      </w:rPr>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E6E6E6" w:themeFill="text1" w:themeFillTint="19"/>
    </w:tcPr>
    <w:tblStylePr w:type="firstRow">
      <w:rPr>
        <w:rFonts w:cs="Times New Roman"/>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rFonts w:cs="Times New Roman"/>
        <w:b/>
        <w:bCs/>
        <w:color w:val="FB9200"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hemeFill="text1" w:themeFillTint="3F"/>
      </w:tcPr>
    </w:tblStylePr>
    <w:tblStylePr w:type="band1Horz">
      <w:rPr>
        <w:rFonts w:cs="Times New Roman"/>
      </w:rPr>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4EEF6" w:themeFill="accent1" w:themeFillTint="19"/>
    </w:tcPr>
    <w:tblStylePr w:type="firstRow">
      <w:rPr>
        <w:rFonts w:cs="Times New Roman"/>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rFonts w:cs="Times New Roman"/>
        <w:b/>
        <w:bCs/>
        <w:color w:val="FB9200"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5D5E9" w:themeFill="accent1" w:themeFillTint="3F"/>
      </w:tcPr>
    </w:tblStylePr>
    <w:tblStylePr w:type="band1Horz">
      <w:rPr>
        <w:rFonts w:cs="Times New Roman"/>
      </w:rPr>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FF6EB" w:themeFill="accent2" w:themeFillTint="19"/>
    </w:tcPr>
    <w:tblStylePr w:type="firstRow">
      <w:rPr>
        <w:rFonts w:cs="Times New Roman"/>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rFonts w:cs="Times New Roman"/>
        <w:b/>
        <w:bCs/>
        <w:color w:val="FB9200"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ACE" w:themeFill="accent2" w:themeFillTint="3F"/>
      </w:tcPr>
    </w:tblStylePr>
    <w:tblStylePr w:type="band1Horz">
      <w:rPr>
        <w:rFonts w:cs="Times New Roman"/>
      </w:rPr>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6F6F6" w:themeFill="accent3" w:themeFillTint="19"/>
    </w:tcPr>
    <w:tblStylePr w:type="firstRow">
      <w:rPr>
        <w:rFonts w:cs="Times New Roman"/>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rFonts w:cs="Times New Roman"/>
        <w:b/>
        <w:bCs/>
        <w:color w:val="9B5DAA" w:themeColor="accent4"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hemeFill="accent3" w:themeFillTint="3F"/>
      </w:tcPr>
    </w:tblStylePr>
    <w:tblStylePr w:type="band1Horz">
      <w:rPr>
        <w:rFonts w:cs="Times New Roman"/>
      </w:rPr>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7F3F9" w:themeFill="accent4" w:themeFillTint="19"/>
    </w:tcPr>
    <w:tblStylePr w:type="firstRow">
      <w:rPr>
        <w:rFonts w:cs="Times New Roman"/>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rFonts w:cs="Times New Roman"/>
        <w:b/>
        <w:bCs/>
        <w:color w:val="848484" w:themeColor="accent3"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CE1EF" w:themeFill="accent4" w:themeFillTint="3F"/>
      </w:tcPr>
    </w:tblStylePr>
    <w:tblStylePr w:type="band1Horz">
      <w:rPr>
        <w:rFonts w:cs="Times New Roman"/>
      </w:rPr>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FF3E3" w:themeFill="accent5" w:themeFillTint="19"/>
    </w:tcPr>
    <w:tblStylePr w:type="firstRow">
      <w:rPr>
        <w:rFonts w:cs="Times New Roman"/>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rFonts w:cs="Times New Roman"/>
        <w:b/>
        <w:bCs/>
        <w:color w:val="989898" w:themeColor="accent6"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3BA" w:themeFill="accent5" w:themeFillTint="3F"/>
      </w:tcPr>
    </w:tblStylePr>
    <w:tblStylePr w:type="band1Horz">
      <w:rPr>
        <w:rFonts w:cs="Times New Roman"/>
      </w:rPr>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8F8F8" w:themeFill="accent6" w:themeFillTint="19"/>
    </w:tcPr>
    <w:tblStylePr w:type="firstRow">
      <w:rPr>
        <w:rFonts w:cs="Times New Roman"/>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rFonts w:cs="Times New Roman"/>
        <w:b/>
        <w:bCs/>
        <w:color w:val="BB6E00" w:themeColor="accent5"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EFEF" w:themeFill="accent6" w:themeFillTint="3F"/>
      </w:tcPr>
    </w:tblStylePr>
    <w:tblStylePr w:type="band1Horz">
      <w:rPr>
        <w:rFonts w:cs="Times New Roman"/>
      </w:rPr>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rFonts w:cs="Times New Roman"/>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cs="Times New Roman"/>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808080" w:themeFill="text1"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rFonts w:cs="Times New Roman"/>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5A3463" w:themeFill="accent1" w:themeFillShade="99"/>
      </w:tcPr>
    </w:tblStylePr>
    <w:tblStylePr w:type="firstCol">
      <w:rPr>
        <w:rFonts w:cs="Times New Roman"/>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rPr>
        <w:rFonts w:cs="Times New Roman"/>
      </w:rPr>
      <w:tblPr/>
      <w:tcPr>
        <w:shd w:val="clear" w:color="auto" w:fill="D5BBDB" w:themeFill="accent1" w:themeFillTint="66"/>
      </w:tcPr>
    </w:tblStylePr>
    <w:tblStylePr w:type="band1Horz">
      <w:rPr>
        <w:rFonts w:cs="Times New Roman"/>
      </w:rPr>
      <w:tblPr/>
      <w:tcPr>
        <w:shd w:val="clear" w:color="auto" w:fill="CBABD3" w:themeFill="accent1"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rFonts w:cs="Times New Roman"/>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BC6E00" w:themeFill="accent2" w:themeFillShade="99"/>
      </w:tcPr>
    </w:tblStylePr>
    <w:tblStylePr w:type="firstCol">
      <w:rPr>
        <w:rFonts w:cs="Times New Roman"/>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rPr>
        <w:rFonts w:cs="Times New Roman"/>
      </w:rPr>
      <w:tblPr/>
      <w:tcPr>
        <w:shd w:val="clear" w:color="auto" w:fill="FFDEB0" w:themeFill="accent2" w:themeFillTint="66"/>
      </w:tcPr>
    </w:tblStylePr>
    <w:tblStylePr w:type="band1Horz">
      <w:rPr>
        <w:rFonts w:cs="Times New Roman"/>
      </w:rPr>
      <w:tblPr/>
      <w:tcPr>
        <w:shd w:val="clear" w:color="auto" w:fill="FFD69D" w:themeFill="accent2"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rFonts w:cs="Times New Roman"/>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636363" w:themeFill="accent3" w:themeFillShade="99"/>
      </w:tcPr>
    </w:tblStylePr>
    <w:tblStylePr w:type="firstCol">
      <w:rPr>
        <w:rFonts w:cs="Times New Roman"/>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rPr>
        <w:rFonts w:cs="Times New Roman"/>
      </w:rPr>
      <w:tblPr/>
      <w:tcPr>
        <w:shd w:val="clear" w:color="auto" w:fill="DBDBDB" w:themeFill="accent3" w:themeFillTint="66"/>
      </w:tcPr>
    </w:tblStylePr>
    <w:tblStylePr w:type="band1Horz">
      <w:rPr>
        <w:rFonts w:cs="Times New Roman"/>
      </w:rPr>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rFonts w:cs="Times New Roman"/>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754481" w:themeFill="accent4" w:themeFillShade="99"/>
      </w:tcPr>
    </w:tblStylePr>
    <w:tblStylePr w:type="firstCol">
      <w:rPr>
        <w:rFonts w:cs="Times New Roman"/>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rPr>
        <w:rFonts w:cs="Times New Roman"/>
      </w:rPr>
      <w:tblPr/>
      <w:tcPr>
        <w:shd w:val="clear" w:color="auto" w:fill="E1CFE6" w:themeFill="accent4" w:themeFillTint="66"/>
      </w:tcPr>
    </w:tblStylePr>
    <w:tblStylePr w:type="band1Horz">
      <w:rPr>
        <w:rFonts w:cs="Times New Roman"/>
      </w:rPr>
      <w:tblPr/>
      <w:tcPr>
        <w:shd w:val="clear" w:color="auto" w:fill="DAC4E0" w:themeFill="accent4"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rFonts w:cs="Times New Roman"/>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8C5300" w:themeFill="accent5" w:themeFillShade="99"/>
      </w:tcPr>
    </w:tblStylePr>
    <w:tblStylePr w:type="firstCol">
      <w:rPr>
        <w:rFonts w:cs="Times New Roman"/>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rPr>
        <w:rFonts w:cs="Times New Roman"/>
      </w:rPr>
      <w:tblPr/>
      <w:tcPr>
        <w:shd w:val="clear" w:color="auto" w:fill="FFD190" w:themeFill="accent5" w:themeFillTint="66"/>
      </w:tcPr>
    </w:tblStylePr>
    <w:tblStylePr w:type="band1Horz">
      <w:rPr>
        <w:rFonts w:cs="Times New Roman"/>
      </w:rPr>
      <w:tblPr/>
      <w:tcPr>
        <w:shd w:val="clear" w:color="auto" w:fill="FFC675" w:themeFill="accent5"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rFonts w:cs="Times New Roman"/>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727272" w:themeFill="accent6" w:themeFillShade="99"/>
      </w:tcPr>
    </w:tblStylePr>
    <w:tblStylePr w:type="firstCol">
      <w:rPr>
        <w:rFonts w:cs="Times New Roman"/>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rPr>
        <w:rFonts w:cs="Times New Roman"/>
      </w:rPr>
      <w:tblPr/>
      <w:tcPr>
        <w:shd w:val="clear" w:color="auto" w:fill="E5E5E5" w:themeFill="accent6" w:themeFillTint="66"/>
      </w:tcPr>
    </w:tblStylePr>
    <w:tblStylePr w:type="band1Horz">
      <w:rPr>
        <w:rFonts w:cs="Times New Roman"/>
      </w:rPr>
      <w:tblPr/>
      <w:tcPr>
        <w:shd w:val="clear" w:color="auto" w:fill="DFDFDF" w:themeFill="accent6" w:themeFillTint="7F"/>
      </w:tcPr>
    </w:tblStylePr>
    <w:tblStylePr w:type="neCell">
      <w:rPr>
        <w:rFonts w:cs="Times New Roman"/>
        <w:color w:val="000000" w:themeColor="text1"/>
      </w:rPr>
    </w:tblStylePr>
    <w:tblStylePr w:type="nwCell">
      <w:rPr>
        <w:rFonts w:cs="Times New Roman"/>
        <w:color w:val="000000" w:themeColor="text1"/>
      </w:rPr>
    </w:tblStylePr>
  </w:style>
  <w:style w:type="character" w:styleId="CommentReference">
    <w:name w:val="annotation reference"/>
    <w:basedOn w:val="DefaultParagraphFont"/>
    <w:uiPriority w:val="99"/>
    <w:semiHidden/>
    <w:unhideWhenUsed/>
    <w:rsid w:val="000E5CC4"/>
    <w:rPr>
      <w:rFonts w:cs="Times New Roman"/>
      <w:sz w:val="16"/>
      <w:szCs w:val="16"/>
    </w:rPr>
  </w:style>
  <w:style w:type="paragraph" w:styleId="CommentText">
    <w:name w:val="annotation text"/>
    <w:basedOn w:val="Normal"/>
    <w:link w:val="CommentTextChar"/>
    <w:uiPriority w:val="99"/>
    <w:unhideWhenUsed/>
    <w:rsid w:val="000E5CC4"/>
    <w:pPr>
      <w:spacing w:line="240" w:lineRule="auto"/>
    </w:pPr>
    <w:rPr>
      <w:szCs w:val="20"/>
    </w:rPr>
  </w:style>
  <w:style w:type="character" w:customStyle="1" w:styleId="CommentTextChar">
    <w:name w:val="Comment Text Char"/>
    <w:basedOn w:val="DefaultParagraphFont"/>
    <w:link w:val="CommentText"/>
    <w:uiPriority w:val="99"/>
    <w:locked/>
    <w:rsid w:val="000E5CC4"/>
    <w:rPr>
      <w:rFonts w:ascii="HelveticaNeueLT Std Lt Cn" w:hAnsi="HelveticaNeueLT Std Lt Cn" w:cs="Times New Roma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locked/>
    <w:rsid w:val="000E5CC4"/>
    <w:rPr>
      <w:rFonts w:ascii="HelveticaNeueLT Std Lt Cn" w:hAnsi="HelveticaNeueLT Std Lt Cn" w:cs="Times New Roman"/>
      <w:b/>
      <w:bCs/>
      <w:sz w:val="20"/>
      <w:szCs w:val="20"/>
    </w:rPr>
  </w:style>
  <w:style w:type="table" w:styleId="DarkList">
    <w:name w:val="Dark List"/>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000000" w:themeFill="text1"/>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rPr>
        <w:rFonts w:cs="Times New Roman"/>
      </w:rPr>
      <w:tblPr/>
      <w:tcPr>
        <w:tcBorders>
          <w:top w:val="nil"/>
          <w:left w:val="nil"/>
          <w:bottom w:val="nil"/>
          <w:right w:val="nil"/>
          <w:insideH w:val="nil"/>
          <w:insideV w:val="nil"/>
        </w:tcBorders>
        <w:shd w:val="clear" w:color="auto" w:fill="000000" w:themeFill="text1" w:themeFillShade="BF"/>
      </w:tcPr>
    </w:tblStylePr>
    <w:tblStylePr w:type="band1Horz">
      <w:rPr>
        <w:rFonts w:cs="Times New Roman"/>
      </w:rPr>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9757A6" w:themeFill="accent1"/>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rPr>
        <w:rFonts w:cs="Times New Roman"/>
      </w:rPr>
      <w:tblPr/>
      <w:tcPr>
        <w:tcBorders>
          <w:top w:val="nil"/>
          <w:left w:val="nil"/>
          <w:bottom w:val="nil"/>
          <w:right w:val="nil"/>
          <w:insideH w:val="nil"/>
          <w:insideV w:val="nil"/>
        </w:tcBorders>
        <w:shd w:val="clear" w:color="auto" w:fill="70417C" w:themeFill="accent1" w:themeFillShade="BF"/>
      </w:tcPr>
    </w:tblStylePr>
    <w:tblStylePr w:type="band1Horz">
      <w:rPr>
        <w:rFonts w:cs="Times New Roman"/>
      </w:rPr>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FFAE3B" w:themeFill="accent2"/>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rPr>
        <w:rFonts w:cs="Times New Roman"/>
      </w:rPr>
      <w:tblPr/>
      <w:tcPr>
        <w:tcBorders>
          <w:top w:val="nil"/>
          <w:left w:val="nil"/>
          <w:bottom w:val="nil"/>
          <w:right w:val="nil"/>
          <w:insideH w:val="nil"/>
          <w:insideV w:val="nil"/>
        </w:tcBorders>
        <w:shd w:val="clear" w:color="auto" w:fill="EB8900" w:themeFill="accent2" w:themeFillShade="BF"/>
      </w:tcPr>
    </w:tblStylePr>
    <w:tblStylePr w:type="band1Horz">
      <w:rPr>
        <w:rFonts w:cs="Times New Roman"/>
      </w:rPr>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A5A5A5" w:themeFill="accent3"/>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rPr>
        <w:rFonts w:cs="Times New Roman"/>
      </w:rPr>
      <w:tblPr/>
      <w:tcPr>
        <w:tcBorders>
          <w:top w:val="nil"/>
          <w:left w:val="nil"/>
          <w:bottom w:val="nil"/>
          <w:right w:val="nil"/>
          <w:insideH w:val="nil"/>
          <w:insideV w:val="nil"/>
        </w:tcBorders>
        <w:shd w:val="clear" w:color="auto" w:fill="7B7B7B" w:themeFill="accent3" w:themeFillShade="BF"/>
      </w:tcPr>
    </w:tblStylePr>
    <w:tblStylePr w:type="band1Horz">
      <w:rPr>
        <w:rFonts w:cs="Times New Roman"/>
      </w:rPr>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B689C1" w:themeFill="accent4"/>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rPr>
        <w:rFonts w:cs="Times New Roman"/>
      </w:rPr>
      <w:tblPr/>
      <w:tcPr>
        <w:tcBorders>
          <w:top w:val="nil"/>
          <w:left w:val="nil"/>
          <w:bottom w:val="nil"/>
          <w:right w:val="nil"/>
          <w:insideH w:val="nil"/>
          <w:insideV w:val="nil"/>
        </w:tcBorders>
        <w:shd w:val="clear" w:color="auto" w:fill="9255A1" w:themeFill="accent4" w:themeFillShade="BF"/>
      </w:tcPr>
    </w:tblStylePr>
    <w:tblStylePr w:type="band1Horz">
      <w:rPr>
        <w:rFonts w:cs="Times New Roman"/>
      </w:rPr>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EA8B00" w:themeFill="accent5"/>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rPr>
        <w:rFonts w:cs="Times New Roman"/>
      </w:rPr>
      <w:tblPr/>
      <w:tcPr>
        <w:tcBorders>
          <w:top w:val="nil"/>
          <w:left w:val="nil"/>
          <w:bottom w:val="nil"/>
          <w:right w:val="nil"/>
          <w:insideH w:val="nil"/>
          <w:insideV w:val="nil"/>
        </w:tcBorders>
        <w:shd w:val="clear" w:color="auto" w:fill="AF6700" w:themeFill="accent5" w:themeFillShade="BF"/>
      </w:tcPr>
    </w:tblStylePr>
    <w:tblStylePr w:type="band1Horz">
      <w:rPr>
        <w:rFonts w:cs="Times New Roman"/>
      </w:rPr>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BFBFBF" w:themeFill="accent6"/>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rPr>
        <w:rFonts w:cs="Times New Roman"/>
      </w:rPr>
      <w:tblPr/>
      <w:tcPr>
        <w:tcBorders>
          <w:top w:val="nil"/>
          <w:left w:val="nil"/>
          <w:bottom w:val="nil"/>
          <w:right w:val="nil"/>
          <w:insideH w:val="nil"/>
          <w:insideV w:val="nil"/>
        </w:tcBorders>
        <w:shd w:val="clear" w:color="auto" w:fill="8F8F8F" w:themeFill="accent6" w:themeFillShade="BF"/>
      </w:tcPr>
    </w:tblStylePr>
    <w:tblStylePr w:type="band1Horz">
      <w:rPr>
        <w:rFonts w:cs="Times New Roman"/>
      </w:rPr>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locked/>
    <w:rsid w:val="000E5CC4"/>
    <w:rPr>
      <w:rFonts w:ascii="HelveticaNeueLT Std Lt Cn" w:hAnsi="HelveticaNeueLT Std Lt Cn" w:cs="Times New Roma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locked/>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locked/>
    <w:rsid w:val="000E5CC4"/>
    <w:rPr>
      <w:rFonts w:ascii="HelveticaNeueLT Std Lt Cn" w:hAnsi="HelveticaNeueLT Std Lt Cn" w:cs="Times New Roman"/>
      <w:sz w:val="20"/>
    </w:rPr>
  </w:style>
  <w:style w:type="character" w:styleId="Emphasis">
    <w:name w:val="Emphasis"/>
    <w:basedOn w:val="DefaultParagraphFont"/>
    <w:uiPriority w:val="20"/>
    <w:qFormat/>
    <w:rsid w:val="000E5CC4"/>
    <w:rPr>
      <w:rFonts w:cs="Times New Roman"/>
      <w:i/>
      <w:iCs/>
    </w:rPr>
  </w:style>
  <w:style w:type="character" w:styleId="EndnoteReference">
    <w:name w:val="endnote reference"/>
    <w:basedOn w:val="DefaultParagraphFont"/>
    <w:uiPriority w:val="99"/>
    <w:semiHidden/>
    <w:unhideWhenUsed/>
    <w:rsid w:val="000E5CC4"/>
    <w:rPr>
      <w:rFonts w:cs="Times New Roman"/>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locked/>
    <w:rsid w:val="000E5CC4"/>
    <w:rPr>
      <w:rFonts w:ascii="HelveticaNeueLT Std Lt Cn" w:hAnsi="HelveticaNeueLT Std Lt Cn" w:cs="Times New Roma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szCs w:val="20"/>
    </w:rPr>
  </w:style>
  <w:style w:type="character" w:styleId="FollowedHyperlink">
    <w:name w:val="FollowedHyperlink"/>
    <w:basedOn w:val="DefaultParagraphFont"/>
    <w:uiPriority w:val="99"/>
    <w:semiHidden/>
    <w:unhideWhenUsed/>
    <w:rsid w:val="000E5CC4"/>
    <w:rPr>
      <w:rFonts w:cs="Times New Roman"/>
      <w:color w:val="D490C5" w:themeColor="followedHyperlink"/>
      <w:u w:val="single"/>
    </w:rPr>
  </w:style>
  <w:style w:type="character" w:styleId="FootnoteReference">
    <w:name w:val="footnote reference"/>
    <w:basedOn w:val="DefaultParagraphFont"/>
    <w:uiPriority w:val="99"/>
    <w:rsid w:val="000E5CC4"/>
    <w:rPr>
      <w:rFonts w:cs="Times New Roman"/>
      <w:vertAlign w:val="superscript"/>
    </w:rPr>
  </w:style>
  <w:style w:type="paragraph" w:styleId="FootnoteText">
    <w:name w:val="footnote text"/>
    <w:aliases w:val="Footnote Text Char Char"/>
    <w:basedOn w:val="Normal"/>
    <w:link w:val="FootnoteTextChar"/>
    <w:uiPriority w:val="99"/>
    <w:rsid w:val="001F3497"/>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9"/>
    <w:locked/>
    <w:rsid w:val="001F3497"/>
    <w:rPr>
      <w:rFonts w:ascii="HelveticaNeueLT Std Lt Cn" w:hAnsi="HelveticaNeueLT Std Lt Cn" w:cs="Times New Roman"/>
      <w:sz w:val="20"/>
      <w:szCs w:val="20"/>
    </w:rPr>
  </w:style>
  <w:style w:type="table" w:customStyle="1" w:styleId="GridTable1Light1">
    <w:name w:val="Grid Table 1 Light1"/>
    <w:basedOn w:val="TableNormal"/>
    <w:uiPriority w:val="46"/>
    <w:rsid w:val="000E5CC4"/>
    <w:pPr>
      <w:spacing w:after="0"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GridTable1Light-Accent11">
    <w:name w:val="Grid Table 1 Light - Accent 11"/>
    <w:basedOn w:val="TableNormal"/>
    <w:uiPriority w:val="46"/>
    <w:rsid w:val="000E5CC4"/>
    <w:pPr>
      <w:spacing w:after="0" w:line="240" w:lineRule="auto"/>
    </w:pPr>
    <w:rPr>
      <w:rFonts w:cs="Times New Roman"/>
    </w:r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rFonts w:cs="Times New Roman"/>
        <w:b/>
        <w:bCs/>
      </w:rPr>
      <w:tblPr/>
      <w:tcPr>
        <w:tcBorders>
          <w:bottom w:val="single" w:sz="12" w:space="0" w:color="C099CA" w:themeColor="accent1" w:themeTint="99"/>
        </w:tcBorders>
      </w:tcPr>
    </w:tblStylePr>
    <w:tblStylePr w:type="lastRow">
      <w:rPr>
        <w:rFonts w:cs="Times New Roman"/>
        <w:b/>
        <w:bCs/>
      </w:rPr>
      <w:tblPr/>
      <w:tcPr>
        <w:tcBorders>
          <w:top w:val="double" w:sz="2" w:space="0" w:color="C099CA"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1Light-Accent21">
    <w:name w:val="Grid Table 1 Light - Accent 21"/>
    <w:basedOn w:val="TableNormal"/>
    <w:uiPriority w:val="46"/>
    <w:rsid w:val="000E5CC4"/>
    <w:pPr>
      <w:spacing w:after="0" w:line="240" w:lineRule="auto"/>
    </w:pPr>
    <w:rPr>
      <w:rFonts w:cs="Times New Roman"/>
    </w:r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rFonts w:cs="Times New Roman"/>
        <w:b/>
        <w:bCs/>
      </w:rPr>
      <w:tblPr/>
      <w:tcPr>
        <w:tcBorders>
          <w:bottom w:val="single" w:sz="12" w:space="0" w:color="FFCE89" w:themeColor="accent2" w:themeTint="99"/>
        </w:tcBorders>
      </w:tcPr>
    </w:tblStylePr>
    <w:tblStylePr w:type="lastRow">
      <w:rPr>
        <w:rFonts w:cs="Times New Roman"/>
        <w:b/>
        <w:bCs/>
      </w:rPr>
      <w:tblPr/>
      <w:tcPr>
        <w:tcBorders>
          <w:top w:val="double" w:sz="2" w:space="0" w:color="FFCE89" w:themeColor="accent2" w:themeTint="99"/>
        </w:tcBorders>
      </w:tcPr>
    </w:tblStylePr>
    <w:tblStylePr w:type="firstCol">
      <w:rPr>
        <w:rFonts w:cs="Times New Roman"/>
        <w:b/>
        <w:bCs/>
      </w:rPr>
    </w:tblStylePr>
    <w:tblStylePr w:type="lastCol">
      <w:rPr>
        <w:rFonts w:cs="Times New Roman"/>
        <w:b/>
        <w:bCs/>
      </w:rPr>
    </w:tblStylePr>
  </w:style>
  <w:style w:type="table" w:customStyle="1" w:styleId="GridTable1Light-Accent31">
    <w:name w:val="Grid Table 1 Light - Accent 31"/>
    <w:basedOn w:val="TableNormal"/>
    <w:uiPriority w:val="46"/>
    <w:rsid w:val="000E5CC4"/>
    <w:pPr>
      <w:spacing w:after="0" w:line="240" w:lineRule="auto"/>
    </w:pPr>
    <w:rPr>
      <w:rFonts w:cs="Times New Roma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GridTable1Light-Accent41">
    <w:name w:val="Grid Table 1 Light - Accent 41"/>
    <w:basedOn w:val="TableNormal"/>
    <w:uiPriority w:val="46"/>
    <w:rsid w:val="000E5CC4"/>
    <w:pPr>
      <w:spacing w:after="0" w:line="240" w:lineRule="auto"/>
    </w:pPr>
    <w:rPr>
      <w:rFonts w:cs="Times New Roman"/>
    </w:r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rFonts w:cs="Times New Roman"/>
        <w:b/>
        <w:bCs/>
      </w:rPr>
      <w:tblPr/>
      <w:tcPr>
        <w:tcBorders>
          <w:bottom w:val="single" w:sz="12" w:space="0" w:color="D3B8D9" w:themeColor="accent4" w:themeTint="99"/>
        </w:tcBorders>
      </w:tcPr>
    </w:tblStylePr>
    <w:tblStylePr w:type="lastRow">
      <w:rPr>
        <w:rFonts w:cs="Times New Roman"/>
        <w:b/>
        <w:bCs/>
      </w:rPr>
      <w:tblPr/>
      <w:tcPr>
        <w:tcBorders>
          <w:top w:val="double" w:sz="2" w:space="0" w:color="D3B8D9" w:themeColor="accent4" w:themeTint="99"/>
        </w:tcBorders>
      </w:tcPr>
    </w:tblStylePr>
    <w:tblStylePr w:type="firstCol">
      <w:rPr>
        <w:rFonts w:cs="Times New Roman"/>
        <w:b/>
        <w:bCs/>
      </w:rPr>
    </w:tblStylePr>
    <w:tblStylePr w:type="lastCol">
      <w:rPr>
        <w:rFonts w:cs="Times New Roman"/>
        <w:b/>
        <w:bCs/>
      </w:rPr>
    </w:tblStylePr>
  </w:style>
  <w:style w:type="table" w:customStyle="1" w:styleId="GridTable1Light-Accent51">
    <w:name w:val="Grid Table 1 Light - Accent 51"/>
    <w:basedOn w:val="TableNormal"/>
    <w:uiPriority w:val="46"/>
    <w:rsid w:val="000E5CC4"/>
    <w:pPr>
      <w:spacing w:after="0" w:line="240" w:lineRule="auto"/>
    </w:pPr>
    <w:rPr>
      <w:rFonts w:cs="Times New Roman"/>
    </w:r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rFonts w:cs="Times New Roman"/>
        <w:b/>
        <w:bCs/>
      </w:rPr>
      <w:tblPr/>
      <w:tcPr>
        <w:tcBorders>
          <w:bottom w:val="single" w:sz="12" w:space="0" w:color="FFBB59" w:themeColor="accent5" w:themeTint="99"/>
        </w:tcBorders>
      </w:tcPr>
    </w:tblStylePr>
    <w:tblStylePr w:type="lastRow">
      <w:rPr>
        <w:rFonts w:cs="Times New Roman"/>
        <w:b/>
        <w:bCs/>
      </w:rPr>
      <w:tblPr/>
      <w:tcPr>
        <w:tcBorders>
          <w:top w:val="double" w:sz="2" w:space="0" w:color="FFBB59" w:themeColor="accent5" w:themeTint="99"/>
        </w:tcBorders>
      </w:tcPr>
    </w:tblStylePr>
    <w:tblStylePr w:type="firstCol">
      <w:rPr>
        <w:rFonts w:cs="Times New Roman"/>
        <w:b/>
        <w:bCs/>
      </w:rPr>
    </w:tblStylePr>
    <w:tblStylePr w:type="lastCol">
      <w:rPr>
        <w:rFonts w:cs="Times New Roman"/>
        <w:b/>
        <w:bCs/>
      </w:rPr>
    </w:tblStylePr>
  </w:style>
  <w:style w:type="table" w:customStyle="1" w:styleId="GridTable1Light-Accent61">
    <w:name w:val="Grid Table 1 Light - Accent 61"/>
    <w:basedOn w:val="TableNormal"/>
    <w:uiPriority w:val="46"/>
    <w:rsid w:val="000E5CC4"/>
    <w:pPr>
      <w:spacing w:after="0" w:line="240" w:lineRule="auto"/>
    </w:pPr>
    <w:rPr>
      <w:rFonts w:cs="Times New Roman"/>
    </w:r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rFonts w:cs="Times New Roman"/>
        <w:b/>
        <w:bCs/>
      </w:rPr>
      <w:tblPr/>
      <w:tcPr>
        <w:tcBorders>
          <w:bottom w:val="single" w:sz="12" w:space="0" w:color="D8D8D8" w:themeColor="accent6" w:themeTint="99"/>
        </w:tcBorders>
      </w:tcPr>
    </w:tblStylePr>
    <w:tblStylePr w:type="lastRow">
      <w:rPr>
        <w:rFonts w:cs="Times New Roman"/>
        <w:b/>
        <w:bCs/>
      </w:rPr>
      <w:tblPr/>
      <w:tcPr>
        <w:tcBorders>
          <w:top w:val="double" w:sz="2" w:space="0" w:color="D8D8D8" w:themeColor="accent6" w:themeTint="99"/>
        </w:tcBorders>
      </w:tcPr>
    </w:tblStylePr>
    <w:tblStylePr w:type="firstCol">
      <w:rPr>
        <w:rFonts w:cs="Times New Roman"/>
        <w:b/>
        <w:bCs/>
      </w:rPr>
    </w:tblStylePr>
    <w:tblStylePr w:type="lastCol">
      <w:rPr>
        <w:rFonts w:cs="Times New Roman"/>
        <w:b/>
        <w:bCs/>
      </w:rPr>
    </w:tblStylePr>
  </w:style>
  <w:style w:type="table" w:customStyle="1" w:styleId="GridTable21">
    <w:name w:val="Grid Table 21"/>
    <w:basedOn w:val="TableNormal"/>
    <w:uiPriority w:val="47"/>
    <w:rsid w:val="000E5CC4"/>
    <w:pPr>
      <w:spacing w:after="0" w:line="240" w:lineRule="auto"/>
    </w:pPr>
    <w:rPr>
      <w:rFonts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2-Accent11">
    <w:name w:val="Grid Table 2 - Accent 11"/>
    <w:basedOn w:val="TableNormal"/>
    <w:uiPriority w:val="47"/>
    <w:rsid w:val="000E5CC4"/>
    <w:pPr>
      <w:spacing w:after="0" w:line="240" w:lineRule="auto"/>
    </w:pPr>
    <w:rPr>
      <w:rFonts w:cs="Times New Roman"/>
    </w:r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rFonts w:cs="Times New Roman"/>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2-Accent21">
    <w:name w:val="Grid Table 2 - Accent 21"/>
    <w:basedOn w:val="TableNormal"/>
    <w:uiPriority w:val="47"/>
    <w:rsid w:val="000E5CC4"/>
    <w:pPr>
      <w:spacing w:after="0" w:line="240" w:lineRule="auto"/>
    </w:pPr>
    <w:rPr>
      <w:rFonts w:cs="Times New Roman"/>
    </w:r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rFonts w:cs="Times New Roman"/>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rFonts w:cs="Times New Roman"/>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2-Accent31">
    <w:name w:val="Grid Table 2 - Accent 31"/>
    <w:basedOn w:val="TableNormal"/>
    <w:uiPriority w:val="47"/>
    <w:rsid w:val="000E5CC4"/>
    <w:pPr>
      <w:spacing w:after="0" w:line="240" w:lineRule="auto"/>
    </w:pPr>
    <w:rPr>
      <w:rFonts w:cs="Times New Roma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rFonts w:cs="Times New Roman"/>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2-Accent41">
    <w:name w:val="Grid Table 2 - Accent 41"/>
    <w:basedOn w:val="TableNormal"/>
    <w:uiPriority w:val="47"/>
    <w:rsid w:val="000E5CC4"/>
    <w:pPr>
      <w:spacing w:after="0" w:line="240" w:lineRule="auto"/>
    </w:pPr>
    <w:rPr>
      <w:rFonts w:cs="Times New Roman"/>
    </w:r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rFonts w:cs="Times New Roman"/>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rFonts w:cs="Times New Roman"/>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2-Accent51">
    <w:name w:val="Grid Table 2 - Accent 51"/>
    <w:basedOn w:val="TableNormal"/>
    <w:uiPriority w:val="47"/>
    <w:rsid w:val="000E5CC4"/>
    <w:pPr>
      <w:spacing w:after="0" w:line="240" w:lineRule="auto"/>
    </w:pPr>
    <w:rPr>
      <w:rFonts w:cs="Times New Roman"/>
    </w:r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rFonts w:cs="Times New Roman"/>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rFonts w:cs="Times New Roman"/>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2-Accent61">
    <w:name w:val="Grid Table 2 - Accent 61"/>
    <w:basedOn w:val="TableNormal"/>
    <w:uiPriority w:val="47"/>
    <w:rsid w:val="000E5CC4"/>
    <w:pPr>
      <w:spacing w:after="0" w:line="240" w:lineRule="auto"/>
    </w:pPr>
    <w:rPr>
      <w:rFonts w:cs="Times New Roman"/>
    </w:r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rFonts w:cs="Times New Roman"/>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rFonts w:cs="Times New Roman"/>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31">
    <w:name w:val="Grid Table 31"/>
    <w:basedOn w:val="TableNormal"/>
    <w:uiPriority w:val="48"/>
    <w:rsid w:val="000E5CC4"/>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E5CC4"/>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bottom w:val="single" w:sz="4" w:space="0" w:color="C099CA" w:themeColor="accent1" w:themeTint="99"/>
        </w:tcBorders>
      </w:tcPr>
    </w:tblStylePr>
    <w:tblStylePr w:type="nwCell">
      <w:rPr>
        <w:rFonts w:cs="Times New Roman"/>
      </w:rPr>
      <w:tblPr/>
      <w:tcPr>
        <w:tcBorders>
          <w:bottom w:val="single" w:sz="4" w:space="0" w:color="C099CA" w:themeColor="accent1" w:themeTint="99"/>
        </w:tcBorders>
      </w:tcPr>
    </w:tblStylePr>
    <w:tblStylePr w:type="seCell">
      <w:rPr>
        <w:rFonts w:cs="Times New Roman"/>
      </w:rPr>
      <w:tblPr/>
      <w:tcPr>
        <w:tcBorders>
          <w:top w:val="single" w:sz="4" w:space="0" w:color="C099CA" w:themeColor="accent1" w:themeTint="99"/>
        </w:tcBorders>
      </w:tcPr>
    </w:tblStylePr>
    <w:tblStylePr w:type="swCell">
      <w:rPr>
        <w:rFonts w:cs="Times New Roman"/>
      </w:rPr>
      <w:tblPr/>
      <w:tcPr>
        <w:tcBorders>
          <w:top w:val="single" w:sz="4" w:space="0" w:color="C099CA" w:themeColor="accent1" w:themeTint="99"/>
        </w:tcBorders>
      </w:tcPr>
    </w:tblStylePr>
  </w:style>
  <w:style w:type="table" w:customStyle="1" w:styleId="GridTable3-Accent21">
    <w:name w:val="Grid Table 3 - Accent 21"/>
    <w:basedOn w:val="TableNormal"/>
    <w:uiPriority w:val="48"/>
    <w:rsid w:val="000E5CC4"/>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bottom w:val="single" w:sz="4" w:space="0" w:color="FFCE89" w:themeColor="accent2" w:themeTint="99"/>
        </w:tcBorders>
      </w:tcPr>
    </w:tblStylePr>
    <w:tblStylePr w:type="nwCell">
      <w:rPr>
        <w:rFonts w:cs="Times New Roman"/>
      </w:rPr>
      <w:tblPr/>
      <w:tcPr>
        <w:tcBorders>
          <w:bottom w:val="single" w:sz="4" w:space="0" w:color="FFCE89" w:themeColor="accent2" w:themeTint="99"/>
        </w:tcBorders>
      </w:tcPr>
    </w:tblStylePr>
    <w:tblStylePr w:type="seCell">
      <w:rPr>
        <w:rFonts w:cs="Times New Roman"/>
      </w:rPr>
      <w:tblPr/>
      <w:tcPr>
        <w:tcBorders>
          <w:top w:val="single" w:sz="4" w:space="0" w:color="FFCE89" w:themeColor="accent2" w:themeTint="99"/>
        </w:tcBorders>
      </w:tcPr>
    </w:tblStylePr>
    <w:tblStylePr w:type="swCell">
      <w:rPr>
        <w:rFonts w:cs="Times New Roman"/>
      </w:rPr>
      <w:tblPr/>
      <w:tcPr>
        <w:tcBorders>
          <w:top w:val="single" w:sz="4" w:space="0" w:color="FFCE89" w:themeColor="accent2" w:themeTint="99"/>
        </w:tcBorders>
      </w:tcPr>
    </w:tblStylePr>
  </w:style>
  <w:style w:type="table" w:customStyle="1" w:styleId="GridTable3-Accent31">
    <w:name w:val="Grid Table 3 - Accent 31"/>
    <w:basedOn w:val="TableNormal"/>
    <w:uiPriority w:val="48"/>
    <w:rsid w:val="000E5CC4"/>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bottom w:val="single" w:sz="4" w:space="0" w:color="C9C9C9" w:themeColor="accent3" w:themeTint="99"/>
        </w:tcBorders>
      </w:tcPr>
    </w:tblStylePr>
    <w:tblStylePr w:type="nwCell">
      <w:rPr>
        <w:rFonts w:cs="Times New Roman"/>
      </w:rPr>
      <w:tblPr/>
      <w:tcPr>
        <w:tcBorders>
          <w:bottom w:val="single" w:sz="4" w:space="0" w:color="C9C9C9" w:themeColor="accent3" w:themeTint="99"/>
        </w:tcBorders>
      </w:tcPr>
    </w:tblStylePr>
    <w:tblStylePr w:type="seCell">
      <w:rPr>
        <w:rFonts w:cs="Times New Roman"/>
      </w:rPr>
      <w:tblPr/>
      <w:tcPr>
        <w:tcBorders>
          <w:top w:val="single" w:sz="4" w:space="0" w:color="C9C9C9" w:themeColor="accent3" w:themeTint="99"/>
        </w:tcBorders>
      </w:tcPr>
    </w:tblStylePr>
    <w:tblStylePr w:type="swCell">
      <w:rPr>
        <w:rFonts w:cs="Times New Roman"/>
      </w:rPr>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0E5CC4"/>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bottom w:val="single" w:sz="4" w:space="0" w:color="D3B8D9" w:themeColor="accent4" w:themeTint="99"/>
        </w:tcBorders>
      </w:tcPr>
    </w:tblStylePr>
    <w:tblStylePr w:type="nwCell">
      <w:rPr>
        <w:rFonts w:cs="Times New Roman"/>
      </w:rPr>
      <w:tblPr/>
      <w:tcPr>
        <w:tcBorders>
          <w:bottom w:val="single" w:sz="4" w:space="0" w:color="D3B8D9" w:themeColor="accent4" w:themeTint="99"/>
        </w:tcBorders>
      </w:tcPr>
    </w:tblStylePr>
    <w:tblStylePr w:type="seCell">
      <w:rPr>
        <w:rFonts w:cs="Times New Roman"/>
      </w:rPr>
      <w:tblPr/>
      <w:tcPr>
        <w:tcBorders>
          <w:top w:val="single" w:sz="4" w:space="0" w:color="D3B8D9" w:themeColor="accent4" w:themeTint="99"/>
        </w:tcBorders>
      </w:tcPr>
    </w:tblStylePr>
    <w:tblStylePr w:type="swCell">
      <w:rPr>
        <w:rFonts w:cs="Times New Roman"/>
      </w:rPr>
      <w:tblPr/>
      <w:tcPr>
        <w:tcBorders>
          <w:top w:val="single" w:sz="4" w:space="0" w:color="D3B8D9" w:themeColor="accent4" w:themeTint="99"/>
        </w:tcBorders>
      </w:tcPr>
    </w:tblStylePr>
  </w:style>
  <w:style w:type="table" w:customStyle="1" w:styleId="GridTable3-Accent51">
    <w:name w:val="Grid Table 3 - Accent 51"/>
    <w:basedOn w:val="TableNormal"/>
    <w:uiPriority w:val="48"/>
    <w:rsid w:val="000E5CC4"/>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bottom w:val="single" w:sz="4" w:space="0" w:color="FFBB59" w:themeColor="accent5" w:themeTint="99"/>
        </w:tcBorders>
      </w:tcPr>
    </w:tblStylePr>
    <w:tblStylePr w:type="nwCell">
      <w:rPr>
        <w:rFonts w:cs="Times New Roman"/>
      </w:rPr>
      <w:tblPr/>
      <w:tcPr>
        <w:tcBorders>
          <w:bottom w:val="single" w:sz="4" w:space="0" w:color="FFBB59" w:themeColor="accent5" w:themeTint="99"/>
        </w:tcBorders>
      </w:tcPr>
    </w:tblStylePr>
    <w:tblStylePr w:type="seCell">
      <w:rPr>
        <w:rFonts w:cs="Times New Roman"/>
      </w:rPr>
      <w:tblPr/>
      <w:tcPr>
        <w:tcBorders>
          <w:top w:val="single" w:sz="4" w:space="0" w:color="FFBB59" w:themeColor="accent5" w:themeTint="99"/>
        </w:tcBorders>
      </w:tcPr>
    </w:tblStylePr>
    <w:tblStylePr w:type="swCell">
      <w:rPr>
        <w:rFonts w:cs="Times New Roman"/>
      </w:rPr>
      <w:tblPr/>
      <w:tcPr>
        <w:tcBorders>
          <w:top w:val="single" w:sz="4" w:space="0" w:color="FFBB59" w:themeColor="accent5" w:themeTint="99"/>
        </w:tcBorders>
      </w:tcPr>
    </w:tblStylePr>
  </w:style>
  <w:style w:type="table" w:customStyle="1" w:styleId="GridTable3-Accent61">
    <w:name w:val="Grid Table 3 - Accent 61"/>
    <w:basedOn w:val="TableNormal"/>
    <w:uiPriority w:val="48"/>
    <w:rsid w:val="000E5CC4"/>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bottom w:val="single" w:sz="4" w:space="0" w:color="D8D8D8" w:themeColor="accent6" w:themeTint="99"/>
        </w:tcBorders>
      </w:tcPr>
    </w:tblStylePr>
    <w:tblStylePr w:type="nwCell">
      <w:rPr>
        <w:rFonts w:cs="Times New Roman"/>
      </w:rPr>
      <w:tblPr/>
      <w:tcPr>
        <w:tcBorders>
          <w:bottom w:val="single" w:sz="4" w:space="0" w:color="D8D8D8" w:themeColor="accent6" w:themeTint="99"/>
        </w:tcBorders>
      </w:tcPr>
    </w:tblStylePr>
    <w:tblStylePr w:type="seCell">
      <w:rPr>
        <w:rFonts w:cs="Times New Roman"/>
      </w:rPr>
      <w:tblPr/>
      <w:tcPr>
        <w:tcBorders>
          <w:top w:val="single" w:sz="4" w:space="0" w:color="D8D8D8" w:themeColor="accent6" w:themeTint="99"/>
        </w:tcBorders>
      </w:tcPr>
    </w:tblStylePr>
    <w:tblStylePr w:type="swCell">
      <w:rPr>
        <w:rFonts w:cs="Times New Roman"/>
      </w:rPr>
      <w:tblPr/>
      <w:tcPr>
        <w:tcBorders>
          <w:top w:val="single" w:sz="4" w:space="0" w:color="D8D8D8" w:themeColor="accent6" w:themeTint="99"/>
        </w:tcBorders>
      </w:tcPr>
    </w:tblStylePr>
  </w:style>
  <w:style w:type="table" w:customStyle="1" w:styleId="GridTable41">
    <w:name w:val="Grid Table 41"/>
    <w:basedOn w:val="TableNormal"/>
    <w:uiPriority w:val="49"/>
    <w:rsid w:val="000E5CC4"/>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4-Accent11">
    <w:name w:val="Grid Table 4 - Accent 11"/>
    <w:basedOn w:val="TableNormal"/>
    <w:uiPriority w:val="49"/>
    <w:rsid w:val="000E5CC4"/>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rFonts w:cs="Times New Roman"/>
        <w:b/>
        <w:bCs/>
      </w:rPr>
      <w:tblPr/>
      <w:tcPr>
        <w:tcBorders>
          <w:top w:val="double" w:sz="4"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4-Accent21">
    <w:name w:val="Grid Table 4 - Accent 21"/>
    <w:basedOn w:val="TableNormal"/>
    <w:uiPriority w:val="49"/>
    <w:rsid w:val="000E5CC4"/>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rFonts w:cs="Times New Roman"/>
        <w:b/>
        <w:bCs/>
      </w:rPr>
      <w:tblPr/>
      <w:tcPr>
        <w:tcBorders>
          <w:top w:val="double" w:sz="4"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4-Accent31">
    <w:name w:val="Grid Table 4 - Accent 31"/>
    <w:basedOn w:val="TableNormal"/>
    <w:uiPriority w:val="49"/>
    <w:rsid w:val="000E5CC4"/>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4-Accent41">
    <w:name w:val="Grid Table 4 - Accent 41"/>
    <w:basedOn w:val="TableNormal"/>
    <w:uiPriority w:val="49"/>
    <w:rsid w:val="000E5CC4"/>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rFonts w:cs="Times New Roman"/>
        <w:b/>
        <w:bCs/>
      </w:rPr>
      <w:tblPr/>
      <w:tcPr>
        <w:tcBorders>
          <w:top w:val="double" w:sz="4"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4-Accent51">
    <w:name w:val="Grid Table 4 - Accent 51"/>
    <w:basedOn w:val="TableNormal"/>
    <w:uiPriority w:val="49"/>
    <w:rsid w:val="000E5CC4"/>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rFonts w:cs="Times New Roman"/>
        <w:b/>
        <w:bCs/>
      </w:rPr>
      <w:tblPr/>
      <w:tcPr>
        <w:tcBorders>
          <w:top w:val="double" w:sz="4"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4-Accent61">
    <w:name w:val="Grid Table 4 - Accent 61"/>
    <w:basedOn w:val="TableNormal"/>
    <w:uiPriority w:val="49"/>
    <w:rsid w:val="000E5CC4"/>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rFonts w:cs="Times New Roman"/>
        <w:b/>
        <w:bCs/>
      </w:rPr>
      <w:tblPr/>
      <w:tcPr>
        <w:tcBorders>
          <w:top w:val="double" w:sz="4"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5Dark1">
    <w:name w:val="Grid Table 5 Dark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customStyle="1" w:styleId="GridTable5Dark-Accent11">
    <w:name w:val="Grid Table 5 Dark - Accent 1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rPr>
        <w:rFonts w:cs="Times New Roman"/>
      </w:rPr>
      <w:tblPr/>
      <w:tcPr>
        <w:shd w:val="clear" w:color="auto" w:fill="D5BBDB" w:themeFill="accent1" w:themeFillTint="66"/>
      </w:tcPr>
    </w:tblStylePr>
    <w:tblStylePr w:type="band1Horz">
      <w:rPr>
        <w:rFonts w:cs="Times New Roman"/>
      </w:rPr>
      <w:tblPr/>
      <w:tcPr>
        <w:shd w:val="clear" w:color="auto" w:fill="D5BBDB" w:themeFill="accent1" w:themeFillTint="66"/>
      </w:tcPr>
    </w:tblStylePr>
  </w:style>
  <w:style w:type="table" w:customStyle="1" w:styleId="GridTable5Dark-Accent21">
    <w:name w:val="Grid Table 5 Dark - Accent 2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rPr>
        <w:rFonts w:cs="Times New Roman"/>
      </w:rPr>
      <w:tblPr/>
      <w:tcPr>
        <w:shd w:val="clear" w:color="auto" w:fill="FFDEB0" w:themeFill="accent2" w:themeFillTint="66"/>
      </w:tcPr>
    </w:tblStylePr>
    <w:tblStylePr w:type="band1Horz">
      <w:rPr>
        <w:rFonts w:cs="Times New Roman"/>
      </w:rPr>
      <w:tblPr/>
      <w:tcPr>
        <w:shd w:val="clear" w:color="auto" w:fill="FFDEB0" w:themeFill="accent2" w:themeFillTint="66"/>
      </w:tcPr>
    </w:tblStylePr>
  </w:style>
  <w:style w:type="table" w:customStyle="1" w:styleId="GridTable5Dark-Accent31">
    <w:name w:val="Grid Table 5 Dark - Accent 3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rPr>
        <w:rFonts w:cs="Times New Roman"/>
      </w:rPr>
      <w:tblPr/>
      <w:tcPr>
        <w:shd w:val="clear" w:color="auto" w:fill="DBDBDB" w:themeFill="accent3" w:themeFillTint="66"/>
      </w:tcPr>
    </w:tblStylePr>
    <w:tblStylePr w:type="band1Horz">
      <w:rPr>
        <w:rFonts w:cs="Times New Roman"/>
      </w:rPr>
      <w:tblPr/>
      <w:tcPr>
        <w:shd w:val="clear" w:color="auto" w:fill="DBDBDB" w:themeFill="accent3" w:themeFillTint="66"/>
      </w:tcPr>
    </w:tblStylePr>
  </w:style>
  <w:style w:type="table" w:customStyle="1" w:styleId="GridTable5Dark-Accent41">
    <w:name w:val="Grid Table 5 Dark - Accent 4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rPr>
        <w:rFonts w:cs="Times New Roman"/>
      </w:rPr>
      <w:tblPr/>
      <w:tcPr>
        <w:shd w:val="clear" w:color="auto" w:fill="E1CFE6" w:themeFill="accent4" w:themeFillTint="66"/>
      </w:tcPr>
    </w:tblStylePr>
    <w:tblStylePr w:type="band1Horz">
      <w:rPr>
        <w:rFonts w:cs="Times New Roman"/>
      </w:rPr>
      <w:tblPr/>
      <w:tcPr>
        <w:shd w:val="clear" w:color="auto" w:fill="E1CFE6" w:themeFill="accent4" w:themeFillTint="66"/>
      </w:tcPr>
    </w:tblStylePr>
  </w:style>
  <w:style w:type="table" w:customStyle="1" w:styleId="GridTable5Dark-Accent51">
    <w:name w:val="Grid Table 5 Dark - Accent 5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rPr>
        <w:rFonts w:cs="Times New Roman"/>
      </w:rPr>
      <w:tblPr/>
      <w:tcPr>
        <w:shd w:val="clear" w:color="auto" w:fill="FFD190" w:themeFill="accent5" w:themeFillTint="66"/>
      </w:tcPr>
    </w:tblStylePr>
    <w:tblStylePr w:type="band1Horz">
      <w:rPr>
        <w:rFonts w:cs="Times New Roman"/>
      </w:rPr>
      <w:tblPr/>
      <w:tcPr>
        <w:shd w:val="clear" w:color="auto" w:fill="FFD190" w:themeFill="accent5" w:themeFillTint="66"/>
      </w:tcPr>
    </w:tblStylePr>
  </w:style>
  <w:style w:type="table" w:customStyle="1" w:styleId="GridTable5Dark-Accent61">
    <w:name w:val="Grid Table 5 Dark - Accent 6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rPr>
        <w:rFonts w:cs="Times New Roman"/>
      </w:rPr>
      <w:tblPr/>
      <w:tcPr>
        <w:shd w:val="clear" w:color="auto" w:fill="E5E5E5" w:themeFill="accent6" w:themeFillTint="66"/>
      </w:tcPr>
    </w:tblStylePr>
    <w:tblStylePr w:type="band1Horz">
      <w:rPr>
        <w:rFonts w:cs="Times New Roman"/>
      </w:rPr>
      <w:tblPr/>
      <w:tcPr>
        <w:shd w:val="clear" w:color="auto" w:fill="E5E5E5" w:themeFill="accent6" w:themeFillTint="66"/>
      </w:tcPr>
    </w:tblStylePr>
  </w:style>
  <w:style w:type="table" w:customStyle="1" w:styleId="GridTable6Colorful1">
    <w:name w:val="Grid Table 6 Colorful1"/>
    <w:basedOn w:val="TableNormal"/>
    <w:uiPriority w:val="51"/>
    <w:rsid w:val="000E5CC4"/>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6Colorful-Accent11">
    <w:name w:val="Grid Table 6 Colorful - Accent 11"/>
    <w:basedOn w:val="TableNormal"/>
    <w:uiPriority w:val="51"/>
    <w:rsid w:val="000E5CC4"/>
    <w:pPr>
      <w:spacing w:after="0" w:line="240" w:lineRule="auto"/>
    </w:pPr>
    <w:rPr>
      <w:rFonts w:cs="Times New Roman"/>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bottom w:val="single" w:sz="12" w:space="0" w:color="C099CA" w:themeColor="accent1" w:themeTint="99"/>
        </w:tcBorders>
      </w:tcPr>
    </w:tblStylePr>
    <w:tblStylePr w:type="lastRow">
      <w:rPr>
        <w:rFonts w:cs="Times New Roman"/>
        <w:b/>
        <w:bCs/>
      </w:rPr>
      <w:tblPr/>
      <w:tcPr>
        <w:tcBorders>
          <w:top w:val="doub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6Colorful-Accent21">
    <w:name w:val="Grid Table 6 Colorful - Accent 21"/>
    <w:basedOn w:val="TableNormal"/>
    <w:uiPriority w:val="51"/>
    <w:rsid w:val="000E5CC4"/>
    <w:pPr>
      <w:spacing w:after="0" w:line="240" w:lineRule="auto"/>
    </w:pPr>
    <w:rPr>
      <w:rFonts w:cs="Times New Roman"/>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bottom w:val="single" w:sz="12" w:space="0" w:color="FFCE89" w:themeColor="accent2" w:themeTint="99"/>
        </w:tcBorders>
      </w:tcPr>
    </w:tblStylePr>
    <w:tblStylePr w:type="lastRow">
      <w:rPr>
        <w:rFonts w:cs="Times New Roman"/>
        <w:b/>
        <w:bCs/>
      </w:rPr>
      <w:tblPr/>
      <w:tcPr>
        <w:tcBorders>
          <w:top w:val="doub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6Colorful-Accent31">
    <w:name w:val="Grid Table 6 Colorful - Accent 31"/>
    <w:basedOn w:val="TableNormal"/>
    <w:uiPriority w:val="51"/>
    <w:rsid w:val="000E5CC4"/>
    <w:pPr>
      <w:spacing w:after="0" w:line="240" w:lineRule="auto"/>
    </w:pPr>
    <w:rPr>
      <w:rFonts w:cs="Times New Roman"/>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6Colorful-Accent41">
    <w:name w:val="Grid Table 6 Colorful - Accent 41"/>
    <w:basedOn w:val="TableNormal"/>
    <w:uiPriority w:val="51"/>
    <w:rsid w:val="000E5CC4"/>
    <w:pPr>
      <w:spacing w:after="0" w:line="240" w:lineRule="auto"/>
    </w:pPr>
    <w:rPr>
      <w:rFonts w:cs="Times New Roman"/>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bottom w:val="single" w:sz="12" w:space="0" w:color="D3B8D9" w:themeColor="accent4" w:themeTint="99"/>
        </w:tcBorders>
      </w:tcPr>
    </w:tblStylePr>
    <w:tblStylePr w:type="lastRow">
      <w:rPr>
        <w:rFonts w:cs="Times New Roman"/>
        <w:b/>
        <w:bCs/>
      </w:rPr>
      <w:tblPr/>
      <w:tcPr>
        <w:tcBorders>
          <w:top w:val="doub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6Colorful-Accent51">
    <w:name w:val="Grid Table 6 Colorful - Accent 51"/>
    <w:basedOn w:val="TableNormal"/>
    <w:uiPriority w:val="51"/>
    <w:rsid w:val="000E5CC4"/>
    <w:pPr>
      <w:spacing w:after="0" w:line="240" w:lineRule="auto"/>
    </w:pPr>
    <w:rPr>
      <w:rFonts w:cs="Times New Roman"/>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bottom w:val="single" w:sz="12" w:space="0" w:color="FFBB59" w:themeColor="accent5" w:themeTint="99"/>
        </w:tcBorders>
      </w:tcPr>
    </w:tblStylePr>
    <w:tblStylePr w:type="lastRow">
      <w:rPr>
        <w:rFonts w:cs="Times New Roman"/>
        <w:b/>
        <w:bCs/>
      </w:rPr>
      <w:tblPr/>
      <w:tcPr>
        <w:tcBorders>
          <w:top w:val="doub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6Colorful-Accent61">
    <w:name w:val="Grid Table 6 Colorful - Accent 61"/>
    <w:basedOn w:val="TableNormal"/>
    <w:uiPriority w:val="51"/>
    <w:rsid w:val="000E5CC4"/>
    <w:pPr>
      <w:spacing w:after="0" w:line="240" w:lineRule="auto"/>
    </w:pPr>
    <w:rPr>
      <w:rFonts w:cs="Times New Roman"/>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bottom w:val="single" w:sz="12" w:space="0" w:color="D8D8D8" w:themeColor="accent6" w:themeTint="99"/>
        </w:tcBorders>
      </w:tcPr>
    </w:tblStylePr>
    <w:tblStylePr w:type="lastRow">
      <w:rPr>
        <w:rFonts w:cs="Times New Roman"/>
        <w:b/>
        <w:bCs/>
      </w:rPr>
      <w:tblPr/>
      <w:tcPr>
        <w:tcBorders>
          <w:top w:val="doub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7Colorful1">
    <w:name w:val="Grid Table 7 Colorful1"/>
    <w:basedOn w:val="TableNormal"/>
    <w:uiPriority w:val="52"/>
    <w:rsid w:val="000E5CC4"/>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E5CC4"/>
    <w:pPr>
      <w:spacing w:after="0" w:line="240" w:lineRule="auto"/>
    </w:pPr>
    <w:rPr>
      <w:rFonts w:cs="Times New Roman"/>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bottom w:val="single" w:sz="4" w:space="0" w:color="C099CA" w:themeColor="accent1" w:themeTint="99"/>
        </w:tcBorders>
      </w:tcPr>
    </w:tblStylePr>
    <w:tblStylePr w:type="nwCell">
      <w:rPr>
        <w:rFonts w:cs="Times New Roman"/>
      </w:rPr>
      <w:tblPr/>
      <w:tcPr>
        <w:tcBorders>
          <w:bottom w:val="single" w:sz="4" w:space="0" w:color="C099CA" w:themeColor="accent1" w:themeTint="99"/>
        </w:tcBorders>
      </w:tcPr>
    </w:tblStylePr>
    <w:tblStylePr w:type="seCell">
      <w:rPr>
        <w:rFonts w:cs="Times New Roman"/>
      </w:rPr>
      <w:tblPr/>
      <w:tcPr>
        <w:tcBorders>
          <w:top w:val="single" w:sz="4" w:space="0" w:color="C099CA" w:themeColor="accent1" w:themeTint="99"/>
        </w:tcBorders>
      </w:tcPr>
    </w:tblStylePr>
    <w:tblStylePr w:type="swCell">
      <w:rPr>
        <w:rFonts w:cs="Times New Roman"/>
      </w:rPr>
      <w:tblPr/>
      <w:tcPr>
        <w:tcBorders>
          <w:top w:val="single" w:sz="4" w:space="0" w:color="C099CA" w:themeColor="accent1" w:themeTint="99"/>
        </w:tcBorders>
      </w:tcPr>
    </w:tblStylePr>
  </w:style>
  <w:style w:type="table" w:customStyle="1" w:styleId="GridTable7Colorful-Accent21">
    <w:name w:val="Grid Table 7 Colorful - Accent 21"/>
    <w:basedOn w:val="TableNormal"/>
    <w:uiPriority w:val="52"/>
    <w:rsid w:val="000E5CC4"/>
    <w:pPr>
      <w:spacing w:after="0" w:line="240" w:lineRule="auto"/>
    </w:pPr>
    <w:rPr>
      <w:rFonts w:cs="Times New Roman"/>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bottom w:val="single" w:sz="4" w:space="0" w:color="FFCE89" w:themeColor="accent2" w:themeTint="99"/>
        </w:tcBorders>
      </w:tcPr>
    </w:tblStylePr>
    <w:tblStylePr w:type="nwCell">
      <w:rPr>
        <w:rFonts w:cs="Times New Roman"/>
      </w:rPr>
      <w:tblPr/>
      <w:tcPr>
        <w:tcBorders>
          <w:bottom w:val="single" w:sz="4" w:space="0" w:color="FFCE89" w:themeColor="accent2" w:themeTint="99"/>
        </w:tcBorders>
      </w:tcPr>
    </w:tblStylePr>
    <w:tblStylePr w:type="seCell">
      <w:rPr>
        <w:rFonts w:cs="Times New Roman"/>
      </w:rPr>
      <w:tblPr/>
      <w:tcPr>
        <w:tcBorders>
          <w:top w:val="single" w:sz="4" w:space="0" w:color="FFCE89" w:themeColor="accent2" w:themeTint="99"/>
        </w:tcBorders>
      </w:tcPr>
    </w:tblStylePr>
    <w:tblStylePr w:type="swCell">
      <w:rPr>
        <w:rFonts w:cs="Times New Roman"/>
      </w:rPr>
      <w:tblPr/>
      <w:tcPr>
        <w:tcBorders>
          <w:top w:val="single" w:sz="4" w:space="0" w:color="FFCE89" w:themeColor="accent2" w:themeTint="99"/>
        </w:tcBorders>
      </w:tcPr>
    </w:tblStylePr>
  </w:style>
  <w:style w:type="table" w:customStyle="1" w:styleId="GridTable7Colorful-Accent31">
    <w:name w:val="Grid Table 7 Colorful - Accent 31"/>
    <w:basedOn w:val="TableNormal"/>
    <w:uiPriority w:val="52"/>
    <w:rsid w:val="000E5CC4"/>
    <w:pPr>
      <w:spacing w:after="0" w:line="240" w:lineRule="auto"/>
    </w:pPr>
    <w:rPr>
      <w:rFonts w:cs="Times New Roman"/>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bottom w:val="single" w:sz="4" w:space="0" w:color="C9C9C9" w:themeColor="accent3" w:themeTint="99"/>
        </w:tcBorders>
      </w:tcPr>
    </w:tblStylePr>
    <w:tblStylePr w:type="nwCell">
      <w:rPr>
        <w:rFonts w:cs="Times New Roman"/>
      </w:rPr>
      <w:tblPr/>
      <w:tcPr>
        <w:tcBorders>
          <w:bottom w:val="single" w:sz="4" w:space="0" w:color="C9C9C9" w:themeColor="accent3" w:themeTint="99"/>
        </w:tcBorders>
      </w:tcPr>
    </w:tblStylePr>
    <w:tblStylePr w:type="seCell">
      <w:rPr>
        <w:rFonts w:cs="Times New Roman"/>
      </w:rPr>
      <w:tblPr/>
      <w:tcPr>
        <w:tcBorders>
          <w:top w:val="single" w:sz="4" w:space="0" w:color="C9C9C9" w:themeColor="accent3" w:themeTint="99"/>
        </w:tcBorders>
      </w:tcPr>
    </w:tblStylePr>
    <w:tblStylePr w:type="swCell">
      <w:rPr>
        <w:rFonts w:cs="Times New Roman"/>
      </w:rPr>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0E5CC4"/>
    <w:pPr>
      <w:spacing w:after="0" w:line="240" w:lineRule="auto"/>
    </w:pPr>
    <w:rPr>
      <w:rFonts w:cs="Times New Roman"/>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bottom w:val="single" w:sz="4" w:space="0" w:color="D3B8D9" w:themeColor="accent4" w:themeTint="99"/>
        </w:tcBorders>
      </w:tcPr>
    </w:tblStylePr>
    <w:tblStylePr w:type="nwCell">
      <w:rPr>
        <w:rFonts w:cs="Times New Roman"/>
      </w:rPr>
      <w:tblPr/>
      <w:tcPr>
        <w:tcBorders>
          <w:bottom w:val="single" w:sz="4" w:space="0" w:color="D3B8D9" w:themeColor="accent4" w:themeTint="99"/>
        </w:tcBorders>
      </w:tcPr>
    </w:tblStylePr>
    <w:tblStylePr w:type="seCell">
      <w:rPr>
        <w:rFonts w:cs="Times New Roman"/>
      </w:rPr>
      <w:tblPr/>
      <w:tcPr>
        <w:tcBorders>
          <w:top w:val="single" w:sz="4" w:space="0" w:color="D3B8D9" w:themeColor="accent4" w:themeTint="99"/>
        </w:tcBorders>
      </w:tcPr>
    </w:tblStylePr>
    <w:tblStylePr w:type="swCell">
      <w:rPr>
        <w:rFonts w:cs="Times New Roman"/>
      </w:rPr>
      <w:tblPr/>
      <w:tcPr>
        <w:tcBorders>
          <w:top w:val="single" w:sz="4" w:space="0" w:color="D3B8D9" w:themeColor="accent4" w:themeTint="99"/>
        </w:tcBorders>
      </w:tcPr>
    </w:tblStylePr>
  </w:style>
  <w:style w:type="table" w:customStyle="1" w:styleId="GridTable7Colorful-Accent51">
    <w:name w:val="Grid Table 7 Colorful - Accent 51"/>
    <w:basedOn w:val="TableNormal"/>
    <w:uiPriority w:val="52"/>
    <w:rsid w:val="000E5CC4"/>
    <w:pPr>
      <w:spacing w:after="0" w:line="240" w:lineRule="auto"/>
    </w:pPr>
    <w:rPr>
      <w:rFonts w:cs="Times New Roman"/>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bottom w:val="single" w:sz="4" w:space="0" w:color="FFBB59" w:themeColor="accent5" w:themeTint="99"/>
        </w:tcBorders>
      </w:tcPr>
    </w:tblStylePr>
    <w:tblStylePr w:type="nwCell">
      <w:rPr>
        <w:rFonts w:cs="Times New Roman"/>
      </w:rPr>
      <w:tblPr/>
      <w:tcPr>
        <w:tcBorders>
          <w:bottom w:val="single" w:sz="4" w:space="0" w:color="FFBB59" w:themeColor="accent5" w:themeTint="99"/>
        </w:tcBorders>
      </w:tcPr>
    </w:tblStylePr>
    <w:tblStylePr w:type="seCell">
      <w:rPr>
        <w:rFonts w:cs="Times New Roman"/>
      </w:rPr>
      <w:tblPr/>
      <w:tcPr>
        <w:tcBorders>
          <w:top w:val="single" w:sz="4" w:space="0" w:color="FFBB59" w:themeColor="accent5" w:themeTint="99"/>
        </w:tcBorders>
      </w:tcPr>
    </w:tblStylePr>
    <w:tblStylePr w:type="swCell">
      <w:rPr>
        <w:rFonts w:cs="Times New Roman"/>
      </w:rPr>
      <w:tblPr/>
      <w:tcPr>
        <w:tcBorders>
          <w:top w:val="single" w:sz="4" w:space="0" w:color="FFBB59" w:themeColor="accent5" w:themeTint="99"/>
        </w:tcBorders>
      </w:tcPr>
    </w:tblStylePr>
  </w:style>
  <w:style w:type="table" w:customStyle="1" w:styleId="GridTable7Colorful-Accent61">
    <w:name w:val="Grid Table 7 Colorful - Accent 61"/>
    <w:basedOn w:val="TableNormal"/>
    <w:uiPriority w:val="52"/>
    <w:rsid w:val="000E5CC4"/>
    <w:pPr>
      <w:spacing w:after="0" w:line="240" w:lineRule="auto"/>
    </w:pPr>
    <w:rPr>
      <w:rFonts w:cs="Times New Roman"/>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bottom w:val="single" w:sz="4" w:space="0" w:color="D8D8D8" w:themeColor="accent6" w:themeTint="99"/>
        </w:tcBorders>
      </w:tcPr>
    </w:tblStylePr>
    <w:tblStylePr w:type="nwCell">
      <w:rPr>
        <w:rFonts w:cs="Times New Roman"/>
      </w:rPr>
      <w:tblPr/>
      <w:tcPr>
        <w:tcBorders>
          <w:bottom w:val="single" w:sz="4" w:space="0" w:color="D8D8D8" w:themeColor="accent6" w:themeTint="99"/>
        </w:tcBorders>
      </w:tcPr>
    </w:tblStylePr>
    <w:tblStylePr w:type="seCell">
      <w:rPr>
        <w:rFonts w:cs="Times New Roman"/>
      </w:rPr>
      <w:tblPr/>
      <w:tcPr>
        <w:tcBorders>
          <w:top w:val="single" w:sz="4" w:space="0" w:color="D8D8D8" w:themeColor="accent6" w:themeTint="99"/>
        </w:tcBorders>
      </w:tcPr>
    </w:tblStylePr>
    <w:tblStylePr w:type="swCell">
      <w:rPr>
        <w:rFonts w:cs="Times New Roman"/>
      </w:rPr>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rPr>
      <w:rFonts w:cs="Times New Roman"/>
    </w:rPr>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locked/>
    <w:rsid w:val="000E5CC4"/>
    <w:rPr>
      <w:rFonts w:ascii="HelveticaNeueLT Std Lt Cn" w:hAnsi="HelveticaNeueLT Std Lt Cn" w:cs="Times New Roman"/>
      <w:i/>
      <w:iCs/>
      <w:sz w:val="20"/>
    </w:rPr>
  </w:style>
  <w:style w:type="character" w:styleId="HTMLCite">
    <w:name w:val="HTML Cite"/>
    <w:basedOn w:val="DefaultParagraphFont"/>
    <w:uiPriority w:val="99"/>
    <w:semiHidden/>
    <w:unhideWhenUsed/>
    <w:rsid w:val="000E5CC4"/>
    <w:rPr>
      <w:rFonts w:cs="Times New Roman"/>
      <w:i/>
      <w:iCs/>
    </w:rPr>
  </w:style>
  <w:style w:type="character" w:styleId="HTMLCode">
    <w:name w:val="HTML Code"/>
    <w:basedOn w:val="DefaultParagraphFont"/>
    <w:uiPriority w:val="99"/>
    <w:semiHidden/>
    <w:unhideWhenUsed/>
    <w:rsid w:val="000E5CC4"/>
    <w:rPr>
      <w:rFonts w:ascii="Consolas" w:hAnsi="Consolas" w:cs="Times New Roman"/>
      <w:sz w:val="20"/>
      <w:szCs w:val="20"/>
    </w:rPr>
  </w:style>
  <w:style w:type="character" w:styleId="HTMLDefinition">
    <w:name w:val="HTML Definition"/>
    <w:basedOn w:val="DefaultParagraphFont"/>
    <w:uiPriority w:val="99"/>
    <w:semiHidden/>
    <w:unhideWhenUsed/>
    <w:rsid w:val="000E5CC4"/>
    <w:rPr>
      <w:rFonts w:cs="Times New Roman"/>
      <w:i/>
      <w:iCs/>
    </w:rPr>
  </w:style>
  <w:style w:type="character" w:styleId="HTMLKeyboard">
    <w:name w:val="HTML Keyboard"/>
    <w:basedOn w:val="DefaultParagraphFont"/>
    <w:uiPriority w:val="99"/>
    <w:semiHidden/>
    <w:unhideWhenUsed/>
    <w:rsid w:val="000E5CC4"/>
    <w:rPr>
      <w:rFonts w:ascii="Consolas" w:hAnsi="Consolas" w:cs="Times New Roman"/>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0E5CC4"/>
    <w:rPr>
      <w:rFonts w:ascii="Consolas" w:hAnsi="Consolas" w:cs="Times New Roman"/>
      <w:sz w:val="20"/>
      <w:szCs w:val="20"/>
    </w:rPr>
  </w:style>
  <w:style w:type="character" w:styleId="HTMLSample">
    <w:name w:val="HTML Sample"/>
    <w:basedOn w:val="DefaultParagraphFont"/>
    <w:uiPriority w:val="99"/>
    <w:semiHidden/>
    <w:unhideWhenUsed/>
    <w:rsid w:val="000E5CC4"/>
    <w:rPr>
      <w:rFonts w:ascii="Consolas" w:hAnsi="Consolas" w:cs="Times New Roman"/>
      <w:sz w:val="24"/>
      <w:szCs w:val="24"/>
    </w:rPr>
  </w:style>
  <w:style w:type="character" w:styleId="HTMLTypewriter">
    <w:name w:val="HTML Typewriter"/>
    <w:basedOn w:val="DefaultParagraphFont"/>
    <w:uiPriority w:val="99"/>
    <w:semiHidden/>
    <w:unhideWhenUsed/>
    <w:rsid w:val="000E5CC4"/>
    <w:rPr>
      <w:rFonts w:ascii="Consolas" w:hAnsi="Consolas" w:cs="Times New Roman"/>
      <w:sz w:val="20"/>
      <w:szCs w:val="20"/>
    </w:rPr>
  </w:style>
  <w:style w:type="character" w:styleId="HTMLVariable">
    <w:name w:val="HTML Variable"/>
    <w:basedOn w:val="DefaultParagraphFont"/>
    <w:uiPriority w:val="99"/>
    <w:semiHidden/>
    <w:unhideWhenUsed/>
    <w:rsid w:val="000E5CC4"/>
    <w:rPr>
      <w:rFonts w:cs="Times New Roman"/>
      <w:i/>
      <w:iCs/>
    </w:rPr>
  </w:style>
  <w:style w:type="character" w:styleId="Hyperlink">
    <w:name w:val="Hyperlink"/>
    <w:basedOn w:val="DefaultParagraphFont"/>
    <w:uiPriority w:val="99"/>
    <w:unhideWhenUsed/>
    <w:rsid w:val="00754EFE"/>
    <w:rPr>
      <w:rFonts w:cs="Times New Roman"/>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b/>
      <w:bCs/>
    </w:rPr>
  </w:style>
  <w:style w:type="character" w:styleId="IntenseEmphasis">
    <w:name w:val="Intense Emphasis"/>
    <w:basedOn w:val="DefaultParagraphFont"/>
    <w:uiPriority w:val="21"/>
    <w:qFormat/>
    <w:rsid w:val="000E5CC4"/>
    <w:rPr>
      <w:rFonts w:cs="Times New Roman"/>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locked/>
    <w:rsid w:val="000E5CC4"/>
    <w:rPr>
      <w:rFonts w:ascii="HelveticaNeueLT Std Lt Cn" w:hAnsi="HelveticaNeueLT Std Lt Cn" w:cs="Times New Roman"/>
      <w:i/>
      <w:iCs/>
      <w:color w:val="9757A6" w:themeColor="accent1"/>
      <w:sz w:val="20"/>
    </w:rPr>
  </w:style>
  <w:style w:type="character" w:styleId="IntenseReference">
    <w:name w:val="Intense Reference"/>
    <w:basedOn w:val="DefaultParagraphFont"/>
    <w:uiPriority w:val="32"/>
    <w:qFormat/>
    <w:rsid w:val="000E5CC4"/>
    <w:rPr>
      <w:rFonts w:cs="Times New Roman"/>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pPr>
      <w:rPr>
        <w:rFonts w:asciiTheme="majorHAnsi" w:eastAsiaTheme="majorEastAsia" w:hAnsiTheme="majorHAnsi" w:cs="Times New Roman"/>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pPr>
      <w:rPr>
        <w:rFonts w:asciiTheme="majorHAnsi" w:eastAsiaTheme="majorEastAsia" w:hAnsiTheme="majorHAnsi" w:cs="Times New Roman"/>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pPr>
      <w:rPr>
        <w:rFonts w:asciiTheme="majorHAnsi" w:eastAsiaTheme="majorEastAsia" w:hAnsiTheme="majorHAnsi" w:cs="Times New Roman"/>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pPr>
      <w:rPr>
        <w:rFonts w:asciiTheme="majorHAnsi" w:eastAsiaTheme="majorEastAsia" w:hAnsiTheme="majorHAnsi" w:cs="Times New Roman"/>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pPr>
      <w:rPr>
        <w:rFonts w:asciiTheme="majorHAnsi" w:eastAsiaTheme="majorEastAsia" w:hAnsiTheme="majorHAnsi" w:cs="Times New Roman"/>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pPr>
      <w:rPr>
        <w:rFonts w:asciiTheme="majorHAnsi" w:eastAsiaTheme="majorEastAsia" w:hAnsiTheme="majorHAnsi" w:cs="Times New Roman"/>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pPr>
      <w:rPr>
        <w:rFonts w:asciiTheme="majorHAnsi" w:eastAsiaTheme="majorEastAsia" w:hAnsiTheme="majorHAnsi" w:cs="Times New Roman"/>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pPr>
      <w:rPr>
        <w:rFonts w:asciiTheme="majorHAnsi" w:eastAsiaTheme="majorEastAsia" w:hAnsiTheme="majorHAnsi" w:cs="Times New Roman"/>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pPr>
      <w:rPr>
        <w:rFonts w:cs="Times New Roman"/>
        <w:b/>
        <w:bCs/>
        <w:color w:val="FFFFFF" w:themeColor="background1"/>
      </w:rPr>
      <w:tblPr/>
      <w:tcPr>
        <w:shd w:val="clear" w:color="auto" w:fill="9757A6" w:themeFill="accent1"/>
      </w:tcPr>
    </w:tblStylePr>
    <w:tblStylePr w:type="lastRow">
      <w:pPr>
        <w:spacing w:before="0" w:after="0"/>
      </w:pPr>
      <w:rPr>
        <w:rFonts w:cs="Times New Roman"/>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pPr>
      <w:rPr>
        <w:rFonts w:cs="Times New Roman"/>
        <w:b/>
        <w:bCs/>
        <w:color w:val="FFFFFF" w:themeColor="background1"/>
      </w:rPr>
      <w:tblPr/>
      <w:tcPr>
        <w:shd w:val="clear" w:color="auto" w:fill="FFAE3B" w:themeFill="accent2"/>
      </w:tcPr>
    </w:tblStylePr>
    <w:tblStylePr w:type="lastRow">
      <w:pPr>
        <w:spacing w:before="0" w:after="0"/>
      </w:pPr>
      <w:rPr>
        <w:rFonts w:cs="Times New Roman"/>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pPr>
      <w:rPr>
        <w:rFonts w:cs="Times New Roman"/>
        <w:b/>
        <w:bCs/>
        <w:color w:val="FFFFFF" w:themeColor="background1"/>
      </w:rPr>
      <w:tblPr/>
      <w:tcPr>
        <w:shd w:val="clear" w:color="auto" w:fill="A5A5A5" w:themeFill="accent3"/>
      </w:tcPr>
    </w:tblStylePr>
    <w:tblStylePr w:type="lastRow">
      <w:pPr>
        <w:spacing w:before="0" w:after="0"/>
      </w:pPr>
      <w:rPr>
        <w:rFonts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pPr>
      <w:rPr>
        <w:rFonts w:cs="Times New Roman"/>
        <w:b/>
        <w:bCs/>
        <w:color w:val="FFFFFF" w:themeColor="background1"/>
      </w:rPr>
      <w:tblPr/>
      <w:tcPr>
        <w:shd w:val="clear" w:color="auto" w:fill="B689C1" w:themeFill="accent4"/>
      </w:tcPr>
    </w:tblStylePr>
    <w:tblStylePr w:type="lastRow">
      <w:pPr>
        <w:spacing w:before="0" w:after="0"/>
      </w:pPr>
      <w:rPr>
        <w:rFonts w:cs="Times New Roman"/>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pPr>
      <w:rPr>
        <w:rFonts w:cs="Times New Roman"/>
        <w:b/>
        <w:bCs/>
        <w:color w:val="FFFFFF" w:themeColor="background1"/>
      </w:rPr>
      <w:tblPr/>
      <w:tcPr>
        <w:shd w:val="clear" w:color="auto" w:fill="EA8B00" w:themeFill="accent5"/>
      </w:tcPr>
    </w:tblStylePr>
    <w:tblStylePr w:type="lastRow">
      <w:pPr>
        <w:spacing w:before="0" w:after="0"/>
      </w:pPr>
      <w:rPr>
        <w:rFonts w:cs="Times New Roman"/>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pPr>
      <w:rPr>
        <w:rFonts w:cs="Times New Roman"/>
        <w:b/>
        <w:bCs/>
        <w:color w:val="FFFFFF" w:themeColor="background1"/>
      </w:rPr>
      <w:tblPr/>
      <w:tcPr>
        <w:shd w:val="clear" w:color="auto" w:fill="BFBFBF" w:themeFill="accent6"/>
      </w:tcPr>
    </w:tblStylePr>
    <w:tblStylePr w:type="lastRow">
      <w:pPr>
        <w:spacing w:before="0" w:after="0"/>
      </w:pPr>
      <w:rPr>
        <w:rFonts w:cs="Times New Roman"/>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rFonts w:cs="Times New Roman"/>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pPr>
      <w:rPr>
        <w:rFonts w:cs="Times New Roman"/>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pPr>
      <w:rPr>
        <w:rFonts w:cs="Times New Roman"/>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D5E9" w:themeFill="accent1" w:themeFillTint="3F"/>
      </w:tcPr>
    </w:tblStylePr>
    <w:tblStylePr w:type="band1Horz">
      <w:rPr>
        <w:rFonts w:cs="Times New Roman"/>
      </w:rPr>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rFonts w:cs="Times New Roman"/>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pPr>
      <w:rPr>
        <w:rFonts w:cs="Times New Roman"/>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pPr>
      <w:rPr>
        <w:rFonts w:cs="Times New Roman"/>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ACE" w:themeFill="accent2" w:themeFillTint="3F"/>
      </w:tcPr>
    </w:tblStylePr>
    <w:tblStylePr w:type="band1Horz">
      <w:rPr>
        <w:rFonts w:cs="Times New Roman"/>
      </w:rPr>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rFonts w:cs="Times New Roman"/>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pPr>
      <w:rPr>
        <w:rFonts w:cs="Times New Roman"/>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pPr>
      <w:rPr>
        <w:rFonts w:cs="Times New Roman"/>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rFonts w:cs="Times New Roman"/>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pPr>
      <w:rPr>
        <w:rFonts w:cs="Times New Roman"/>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pPr>
      <w:rPr>
        <w:rFonts w:cs="Times New Roman"/>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CE1EF" w:themeFill="accent4" w:themeFillTint="3F"/>
      </w:tcPr>
    </w:tblStylePr>
    <w:tblStylePr w:type="band1Horz">
      <w:rPr>
        <w:rFonts w:cs="Times New Roman"/>
      </w:rPr>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rFonts w:cs="Times New Roman"/>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pPr>
      <w:rPr>
        <w:rFonts w:cs="Times New Roman"/>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pPr>
      <w:rPr>
        <w:rFonts w:cs="Times New Roman"/>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3BA" w:themeFill="accent5" w:themeFillTint="3F"/>
      </w:tcPr>
    </w:tblStylePr>
    <w:tblStylePr w:type="band1Horz">
      <w:rPr>
        <w:rFonts w:cs="Times New Roman"/>
      </w:rPr>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rFonts w:cs="Times New Roman"/>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pPr>
      <w:rPr>
        <w:rFonts w:cs="Times New Roman"/>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pPr>
      <w:rPr>
        <w:rFonts w:cs="Times New Roman"/>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EFEF" w:themeFill="accent6" w:themeFillTint="3F"/>
      </w:tcPr>
    </w:tblStylePr>
    <w:tblStylePr w:type="band1Horz">
      <w:rPr>
        <w:rFonts w:cs="Times New Roman"/>
      </w:rPr>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rPr>
      <w:rFonts w:cs="Times New Roman"/>
    </w:rPr>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rsid w:val="000659A4"/>
    <w:pPr>
      <w:numPr>
        <w:ilvl w:val="2"/>
        <w:numId w:val="37"/>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9005D5"/>
    <w:pPr>
      <w:numPr>
        <w:numId w:val="30"/>
      </w:numPr>
      <w:spacing w:before="60" w:after="60"/>
    </w:pPr>
  </w:style>
  <w:style w:type="paragraph" w:styleId="ListNumber2">
    <w:name w:val="List Number 2"/>
    <w:basedOn w:val="Normal"/>
    <w:uiPriority w:val="99"/>
    <w:rsid w:val="009005D5"/>
    <w:pPr>
      <w:numPr>
        <w:ilvl w:val="1"/>
        <w:numId w:val="30"/>
      </w:numPr>
      <w:spacing w:after="60"/>
    </w:pPr>
  </w:style>
  <w:style w:type="paragraph" w:styleId="ListNumber3">
    <w:name w:val="List Number 3"/>
    <w:basedOn w:val="Normal"/>
    <w:uiPriority w:val="99"/>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link w:val="ListParagraphChar"/>
    <w:uiPriority w:val="34"/>
    <w:qFormat/>
    <w:rsid w:val="000E5CC4"/>
    <w:pPr>
      <w:ind w:left="720"/>
      <w:contextualSpacing/>
    </w:pPr>
  </w:style>
  <w:style w:type="table" w:customStyle="1" w:styleId="ListTable1Light1">
    <w:name w:val="List Table 1 Light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1Light-Accent11">
    <w:name w:val="List Table 1 Light - Accent 1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C099CA" w:themeColor="accent1" w:themeTint="99"/>
        </w:tcBorders>
      </w:tcPr>
    </w:tblStylePr>
    <w:tblStylePr w:type="lastRow">
      <w:rPr>
        <w:rFonts w:cs="Times New Roman"/>
        <w:b/>
        <w:bCs/>
      </w:rPr>
      <w:tblPr/>
      <w:tcPr>
        <w:tcBorders>
          <w:top w:val="sing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1Light-Accent21">
    <w:name w:val="List Table 1 Light - Accent 2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FFCE89" w:themeColor="accent2" w:themeTint="99"/>
        </w:tcBorders>
      </w:tcPr>
    </w:tblStylePr>
    <w:tblStylePr w:type="lastRow">
      <w:rPr>
        <w:rFonts w:cs="Times New Roman"/>
        <w:b/>
        <w:bCs/>
      </w:rPr>
      <w:tblPr/>
      <w:tcPr>
        <w:tcBorders>
          <w:top w:val="sing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1Light-Accent31">
    <w:name w:val="List Table 1 Light - Accent 3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C9C9C9" w:themeColor="accent3" w:themeTint="99"/>
        </w:tcBorders>
      </w:tcPr>
    </w:tblStylePr>
    <w:tblStylePr w:type="lastRow">
      <w:rPr>
        <w:rFonts w:cs="Times New Roman"/>
        <w:b/>
        <w:bCs/>
      </w:rPr>
      <w:tblPr/>
      <w:tcPr>
        <w:tcBorders>
          <w:top w:val="sing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1Light-Accent41">
    <w:name w:val="List Table 1 Light - Accent 4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D3B8D9" w:themeColor="accent4" w:themeTint="99"/>
        </w:tcBorders>
      </w:tcPr>
    </w:tblStylePr>
    <w:tblStylePr w:type="lastRow">
      <w:rPr>
        <w:rFonts w:cs="Times New Roman"/>
        <w:b/>
        <w:bCs/>
      </w:rPr>
      <w:tblPr/>
      <w:tcPr>
        <w:tcBorders>
          <w:top w:val="sing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1Light-Accent51">
    <w:name w:val="List Table 1 Light - Accent 5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FFBB59" w:themeColor="accent5" w:themeTint="99"/>
        </w:tcBorders>
      </w:tcPr>
    </w:tblStylePr>
    <w:tblStylePr w:type="lastRow">
      <w:rPr>
        <w:rFonts w:cs="Times New Roman"/>
        <w:b/>
        <w:bCs/>
      </w:rPr>
      <w:tblPr/>
      <w:tcPr>
        <w:tcBorders>
          <w:top w:val="sing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1Light-Accent61">
    <w:name w:val="List Table 1 Light - Accent 6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D8D8D8" w:themeColor="accent6" w:themeTint="99"/>
        </w:tcBorders>
      </w:tcPr>
    </w:tblStylePr>
    <w:tblStylePr w:type="lastRow">
      <w:rPr>
        <w:rFonts w:cs="Times New Roman"/>
        <w:b/>
        <w:bCs/>
      </w:rPr>
      <w:tblPr/>
      <w:tcPr>
        <w:tcBorders>
          <w:top w:val="sing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21">
    <w:name w:val="List Table 21"/>
    <w:basedOn w:val="TableNormal"/>
    <w:uiPriority w:val="47"/>
    <w:rsid w:val="000E5CC4"/>
    <w:pPr>
      <w:spacing w:after="0" w:line="240" w:lineRule="auto"/>
    </w:pPr>
    <w:rPr>
      <w:rFonts w:cs="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2-Accent11">
    <w:name w:val="List Table 2 - Accent 11"/>
    <w:basedOn w:val="TableNormal"/>
    <w:uiPriority w:val="47"/>
    <w:rsid w:val="000E5CC4"/>
    <w:pPr>
      <w:spacing w:after="0" w:line="240" w:lineRule="auto"/>
    </w:pPr>
    <w:rPr>
      <w:rFonts w:cs="Times New Roman"/>
    </w:r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2-Accent21">
    <w:name w:val="List Table 2 - Accent 21"/>
    <w:basedOn w:val="TableNormal"/>
    <w:uiPriority w:val="47"/>
    <w:rsid w:val="000E5CC4"/>
    <w:pPr>
      <w:spacing w:after="0" w:line="240" w:lineRule="auto"/>
    </w:pPr>
    <w:rPr>
      <w:rFonts w:cs="Times New Roman"/>
    </w:r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2-Accent31">
    <w:name w:val="List Table 2 - Accent 31"/>
    <w:basedOn w:val="TableNormal"/>
    <w:uiPriority w:val="47"/>
    <w:rsid w:val="000E5CC4"/>
    <w:pPr>
      <w:spacing w:after="0" w:line="240" w:lineRule="auto"/>
    </w:pPr>
    <w:rPr>
      <w:rFonts w:cs="Times New Roman"/>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2-Accent41">
    <w:name w:val="List Table 2 - Accent 41"/>
    <w:basedOn w:val="TableNormal"/>
    <w:uiPriority w:val="47"/>
    <w:rsid w:val="000E5CC4"/>
    <w:pPr>
      <w:spacing w:after="0" w:line="240" w:lineRule="auto"/>
    </w:pPr>
    <w:rPr>
      <w:rFonts w:cs="Times New Roman"/>
    </w:r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2-Accent51">
    <w:name w:val="List Table 2 - Accent 51"/>
    <w:basedOn w:val="TableNormal"/>
    <w:uiPriority w:val="47"/>
    <w:rsid w:val="000E5CC4"/>
    <w:pPr>
      <w:spacing w:after="0" w:line="240" w:lineRule="auto"/>
    </w:pPr>
    <w:rPr>
      <w:rFonts w:cs="Times New Roman"/>
    </w:r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2-Accent61">
    <w:name w:val="List Table 2 - Accent 61"/>
    <w:basedOn w:val="TableNormal"/>
    <w:uiPriority w:val="47"/>
    <w:rsid w:val="000E5CC4"/>
    <w:pPr>
      <w:spacing w:after="0" w:line="240" w:lineRule="auto"/>
    </w:pPr>
    <w:rPr>
      <w:rFonts w:cs="Times New Roman"/>
    </w:r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31">
    <w:name w:val="List Table 31"/>
    <w:basedOn w:val="TableNormal"/>
    <w:uiPriority w:val="48"/>
    <w:rsid w:val="000E5CC4"/>
    <w:pPr>
      <w:spacing w:after="0" w:line="240" w:lineRule="auto"/>
    </w:pPr>
    <w:rPr>
      <w:rFonts w:cs="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E5CC4"/>
    <w:pPr>
      <w:spacing w:after="0" w:line="240" w:lineRule="auto"/>
    </w:pPr>
    <w:rPr>
      <w:rFonts w:cs="Times New Roman"/>
    </w:r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rFonts w:cs="Times New Roman"/>
        <w:b/>
        <w:bCs/>
        <w:color w:val="FFFFFF" w:themeColor="background1"/>
      </w:rPr>
      <w:tblPr/>
      <w:tcPr>
        <w:shd w:val="clear" w:color="auto" w:fill="9757A6" w:themeFill="accent1"/>
      </w:tcPr>
    </w:tblStylePr>
    <w:tblStylePr w:type="lastRow">
      <w:rPr>
        <w:rFonts w:cs="Times New Roman"/>
        <w:b/>
        <w:bCs/>
      </w:rPr>
      <w:tblPr/>
      <w:tcPr>
        <w:tcBorders>
          <w:top w:val="double" w:sz="4" w:space="0" w:color="9757A6"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9757A6" w:themeColor="accent1"/>
          <w:right w:val="single" w:sz="4" w:space="0" w:color="9757A6" w:themeColor="accent1"/>
        </w:tcBorders>
      </w:tcPr>
    </w:tblStylePr>
    <w:tblStylePr w:type="band1Horz">
      <w:rPr>
        <w:rFonts w:cs="Times New Roman"/>
      </w:rPr>
      <w:tblPr/>
      <w:tcPr>
        <w:tcBorders>
          <w:top w:val="single" w:sz="4" w:space="0" w:color="9757A6" w:themeColor="accent1"/>
          <w:bottom w:val="single" w:sz="4" w:space="0" w:color="9757A6"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9757A6" w:themeColor="accent1"/>
          <w:left w:val="nil"/>
        </w:tcBorders>
      </w:tcPr>
    </w:tblStylePr>
    <w:tblStylePr w:type="swCell">
      <w:rPr>
        <w:rFonts w:cs="Times New Roman"/>
      </w:rPr>
      <w:tblPr/>
      <w:tcPr>
        <w:tcBorders>
          <w:top w:val="double" w:sz="4" w:space="0" w:color="9757A6" w:themeColor="accent1"/>
          <w:right w:val="nil"/>
        </w:tcBorders>
      </w:tcPr>
    </w:tblStylePr>
  </w:style>
  <w:style w:type="table" w:customStyle="1" w:styleId="ListTable3-Accent21">
    <w:name w:val="List Table 3 - Accent 21"/>
    <w:basedOn w:val="TableNormal"/>
    <w:uiPriority w:val="48"/>
    <w:rsid w:val="000E5CC4"/>
    <w:pPr>
      <w:spacing w:after="0" w:line="240" w:lineRule="auto"/>
    </w:pPr>
    <w:rPr>
      <w:rFonts w:cs="Times New Roman"/>
    </w:r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rFonts w:cs="Times New Roman"/>
        <w:b/>
        <w:bCs/>
        <w:color w:val="FFFFFF" w:themeColor="background1"/>
      </w:rPr>
      <w:tblPr/>
      <w:tcPr>
        <w:shd w:val="clear" w:color="auto" w:fill="FFAE3B" w:themeFill="accent2"/>
      </w:tcPr>
    </w:tblStylePr>
    <w:tblStylePr w:type="lastRow">
      <w:rPr>
        <w:rFonts w:cs="Times New Roman"/>
        <w:b/>
        <w:bCs/>
      </w:rPr>
      <w:tblPr/>
      <w:tcPr>
        <w:tcBorders>
          <w:top w:val="double" w:sz="4" w:space="0" w:color="FFAE3B"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FFAE3B" w:themeColor="accent2"/>
          <w:right w:val="single" w:sz="4" w:space="0" w:color="FFAE3B" w:themeColor="accent2"/>
        </w:tcBorders>
      </w:tcPr>
    </w:tblStylePr>
    <w:tblStylePr w:type="band1Horz">
      <w:rPr>
        <w:rFonts w:cs="Times New Roman"/>
      </w:rPr>
      <w:tblPr/>
      <w:tcPr>
        <w:tcBorders>
          <w:top w:val="single" w:sz="4" w:space="0" w:color="FFAE3B" w:themeColor="accent2"/>
          <w:bottom w:val="single" w:sz="4" w:space="0" w:color="FFAE3B"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FFAE3B" w:themeColor="accent2"/>
          <w:left w:val="nil"/>
        </w:tcBorders>
      </w:tcPr>
    </w:tblStylePr>
    <w:tblStylePr w:type="swCell">
      <w:rPr>
        <w:rFonts w:cs="Times New Roman"/>
      </w:rPr>
      <w:tblPr/>
      <w:tcPr>
        <w:tcBorders>
          <w:top w:val="double" w:sz="4" w:space="0" w:color="FFAE3B" w:themeColor="accent2"/>
          <w:right w:val="nil"/>
        </w:tcBorders>
      </w:tcPr>
    </w:tblStylePr>
  </w:style>
  <w:style w:type="table" w:customStyle="1" w:styleId="ListTable3-Accent31">
    <w:name w:val="List Table 3 - Accent 31"/>
    <w:basedOn w:val="TableNormal"/>
    <w:uiPriority w:val="48"/>
    <w:rsid w:val="000E5CC4"/>
    <w:pPr>
      <w:spacing w:after="0" w:line="240" w:lineRule="auto"/>
    </w:pPr>
    <w:rPr>
      <w:rFonts w:cs="Times New Roman"/>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rFonts w:cs="Times New Roman"/>
        <w:b/>
        <w:bCs/>
        <w:color w:val="FFFFFF" w:themeColor="background1"/>
      </w:rPr>
      <w:tblPr/>
      <w:tcPr>
        <w:shd w:val="clear" w:color="auto" w:fill="A5A5A5" w:themeFill="accent3"/>
      </w:tcPr>
    </w:tblStylePr>
    <w:tblStylePr w:type="lastRow">
      <w:rPr>
        <w:rFonts w:cs="Times New Roman"/>
        <w:b/>
        <w:bCs/>
      </w:rPr>
      <w:tblPr/>
      <w:tcPr>
        <w:tcBorders>
          <w:top w:val="double" w:sz="4" w:space="0" w:color="A5A5A5" w:themeColor="accent3"/>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A5A5A5" w:themeColor="accent3"/>
          <w:right w:val="single" w:sz="4" w:space="0" w:color="A5A5A5" w:themeColor="accent3"/>
        </w:tcBorders>
      </w:tcPr>
    </w:tblStylePr>
    <w:tblStylePr w:type="band1Horz">
      <w:rPr>
        <w:rFonts w:cs="Times New Roman"/>
      </w:rPr>
      <w:tblPr/>
      <w:tcPr>
        <w:tcBorders>
          <w:top w:val="single" w:sz="4" w:space="0" w:color="A5A5A5" w:themeColor="accent3"/>
          <w:bottom w:val="single" w:sz="4" w:space="0" w:color="A5A5A5" w:themeColor="accent3"/>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A5A5A5" w:themeColor="accent3"/>
          <w:left w:val="nil"/>
        </w:tcBorders>
      </w:tcPr>
    </w:tblStylePr>
    <w:tblStylePr w:type="swCell">
      <w:rPr>
        <w:rFonts w:cs="Times New Roman"/>
      </w:rPr>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0E5CC4"/>
    <w:pPr>
      <w:spacing w:after="0" w:line="240" w:lineRule="auto"/>
    </w:pPr>
    <w:rPr>
      <w:rFonts w:cs="Times New Roman"/>
    </w:r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rFonts w:cs="Times New Roman"/>
        <w:b/>
        <w:bCs/>
        <w:color w:val="FFFFFF" w:themeColor="background1"/>
      </w:rPr>
      <w:tblPr/>
      <w:tcPr>
        <w:shd w:val="clear" w:color="auto" w:fill="B689C1" w:themeFill="accent4"/>
      </w:tcPr>
    </w:tblStylePr>
    <w:tblStylePr w:type="lastRow">
      <w:rPr>
        <w:rFonts w:cs="Times New Roman"/>
        <w:b/>
        <w:bCs/>
      </w:rPr>
      <w:tblPr/>
      <w:tcPr>
        <w:tcBorders>
          <w:top w:val="double" w:sz="4" w:space="0" w:color="B689C1" w:themeColor="accent4"/>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B689C1" w:themeColor="accent4"/>
          <w:right w:val="single" w:sz="4" w:space="0" w:color="B689C1" w:themeColor="accent4"/>
        </w:tcBorders>
      </w:tcPr>
    </w:tblStylePr>
    <w:tblStylePr w:type="band1Horz">
      <w:rPr>
        <w:rFonts w:cs="Times New Roman"/>
      </w:rPr>
      <w:tblPr/>
      <w:tcPr>
        <w:tcBorders>
          <w:top w:val="single" w:sz="4" w:space="0" w:color="B689C1" w:themeColor="accent4"/>
          <w:bottom w:val="single" w:sz="4" w:space="0" w:color="B689C1" w:themeColor="accent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B689C1" w:themeColor="accent4"/>
          <w:left w:val="nil"/>
        </w:tcBorders>
      </w:tcPr>
    </w:tblStylePr>
    <w:tblStylePr w:type="swCell">
      <w:rPr>
        <w:rFonts w:cs="Times New Roman"/>
      </w:rPr>
      <w:tblPr/>
      <w:tcPr>
        <w:tcBorders>
          <w:top w:val="double" w:sz="4" w:space="0" w:color="B689C1" w:themeColor="accent4"/>
          <w:right w:val="nil"/>
        </w:tcBorders>
      </w:tcPr>
    </w:tblStylePr>
  </w:style>
  <w:style w:type="table" w:customStyle="1" w:styleId="ListTable3-Accent51">
    <w:name w:val="List Table 3 - Accent 51"/>
    <w:basedOn w:val="TableNormal"/>
    <w:uiPriority w:val="48"/>
    <w:rsid w:val="000E5CC4"/>
    <w:pPr>
      <w:spacing w:after="0" w:line="240" w:lineRule="auto"/>
    </w:pPr>
    <w:rPr>
      <w:rFonts w:cs="Times New Roman"/>
    </w:r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rFonts w:cs="Times New Roman"/>
        <w:b/>
        <w:bCs/>
        <w:color w:val="FFFFFF" w:themeColor="background1"/>
      </w:rPr>
      <w:tblPr/>
      <w:tcPr>
        <w:shd w:val="clear" w:color="auto" w:fill="EA8B00" w:themeFill="accent5"/>
      </w:tcPr>
    </w:tblStylePr>
    <w:tblStylePr w:type="lastRow">
      <w:rPr>
        <w:rFonts w:cs="Times New Roman"/>
        <w:b/>
        <w:bCs/>
      </w:rPr>
      <w:tblPr/>
      <w:tcPr>
        <w:tcBorders>
          <w:top w:val="double" w:sz="4" w:space="0" w:color="EA8B00" w:themeColor="accent5"/>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A8B00" w:themeColor="accent5"/>
          <w:right w:val="single" w:sz="4" w:space="0" w:color="EA8B00" w:themeColor="accent5"/>
        </w:tcBorders>
      </w:tcPr>
    </w:tblStylePr>
    <w:tblStylePr w:type="band1Horz">
      <w:rPr>
        <w:rFonts w:cs="Times New Roman"/>
      </w:rPr>
      <w:tblPr/>
      <w:tcPr>
        <w:tcBorders>
          <w:top w:val="single" w:sz="4" w:space="0" w:color="EA8B00" w:themeColor="accent5"/>
          <w:bottom w:val="single" w:sz="4" w:space="0" w:color="EA8B00" w:themeColor="accent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A8B00" w:themeColor="accent5"/>
          <w:left w:val="nil"/>
        </w:tcBorders>
      </w:tcPr>
    </w:tblStylePr>
    <w:tblStylePr w:type="swCell">
      <w:rPr>
        <w:rFonts w:cs="Times New Roman"/>
      </w:rPr>
      <w:tblPr/>
      <w:tcPr>
        <w:tcBorders>
          <w:top w:val="double" w:sz="4" w:space="0" w:color="EA8B00" w:themeColor="accent5"/>
          <w:right w:val="nil"/>
        </w:tcBorders>
      </w:tcPr>
    </w:tblStylePr>
  </w:style>
  <w:style w:type="table" w:customStyle="1" w:styleId="ListTable3-Accent61">
    <w:name w:val="List Table 3 - Accent 61"/>
    <w:basedOn w:val="TableNormal"/>
    <w:uiPriority w:val="48"/>
    <w:rsid w:val="000E5CC4"/>
    <w:pPr>
      <w:spacing w:after="0" w:line="240" w:lineRule="auto"/>
    </w:pPr>
    <w:rPr>
      <w:rFonts w:cs="Times New Roman"/>
    </w:r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rFonts w:cs="Times New Roman"/>
        <w:b/>
        <w:bCs/>
        <w:color w:val="FFFFFF" w:themeColor="background1"/>
      </w:rPr>
      <w:tblPr/>
      <w:tcPr>
        <w:shd w:val="clear" w:color="auto" w:fill="BFBFBF" w:themeFill="accent6"/>
      </w:tcPr>
    </w:tblStylePr>
    <w:tblStylePr w:type="lastRow">
      <w:rPr>
        <w:rFonts w:cs="Times New Roman"/>
        <w:b/>
        <w:bCs/>
      </w:rPr>
      <w:tblPr/>
      <w:tcPr>
        <w:tcBorders>
          <w:top w:val="double" w:sz="4" w:space="0" w:color="BFBFBF"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BFBFBF" w:themeColor="accent6"/>
          <w:right w:val="single" w:sz="4" w:space="0" w:color="BFBFBF" w:themeColor="accent6"/>
        </w:tcBorders>
      </w:tcPr>
    </w:tblStylePr>
    <w:tblStylePr w:type="band1Horz">
      <w:rPr>
        <w:rFonts w:cs="Times New Roman"/>
      </w:rPr>
      <w:tblPr/>
      <w:tcPr>
        <w:tcBorders>
          <w:top w:val="single" w:sz="4" w:space="0" w:color="BFBFBF" w:themeColor="accent6"/>
          <w:bottom w:val="single" w:sz="4" w:space="0" w:color="BFBFBF"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BFBFBF" w:themeColor="accent6"/>
          <w:left w:val="nil"/>
        </w:tcBorders>
      </w:tcPr>
    </w:tblStylePr>
    <w:tblStylePr w:type="swCell">
      <w:rPr>
        <w:rFonts w:cs="Times New Roman"/>
      </w:rPr>
      <w:tblPr/>
      <w:tcPr>
        <w:tcBorders>
          <w:top w:val="double" w:sz="4" w:space="0" w:color="BFBFBF" w:themeColor="accent6"/>
          <w:right w:val="nil"/>
        </w:tcBorders>
      </w:tcPr>
    </w:tblStylePr>
  </w:style>
  <w:style w:type="table" w:customStyle="1" w:styleId="ListTable41">
    <w:name w:val="List Table 41"/>
    <w:basedOn w:val="TableNormal"/>
    <w:uiPriority w:val="49"/>
    <w:rsid w:val="000E5CC4"/>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4-Accent11">
    <w:name w:val="List Table 4 - Accent 11"/>
    <w:basedOn w:val="TableNormal"/>
    <w:uiPriority w:val="49"/>
    <w:rsid w:val="000E5CC4"/>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rFonts w:cs="Times New Roman"/>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rFonts w:cs="Times New Roman"/>
        <w:b/>
        <w:bCs/>
      </w:rPr>
      <w:tblPr/>
      <w:tcPr>
        <w:tcBorders>
          <w:top w:val="doub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4-Accent21">
    <w:name w:val="List Table 4 - Accent 21"/>
    <w:basedOn w:val="TableNormal"/>
    <w:uiPriority w:val="49"/>
    <w:rsid w:val="000E5CC4"/>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rFonts w:cs="Times New Roman"/>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rFonts w:cs="Times New Roman"/>
        <w:b/>
        <w:bCs/>
      </w:rPr>
      <w:tblPr/>
      <w:tcPr>
        <w:tcBorders>
          <w:top w:val="doub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4-Accent31">
    <w:name w:val="List Table 4 - Accent 31"/>
    <w:basedOn w:val="TableNormal"/>
    <w:uiPriority w:val="49"/>
    <w:rsid w:val="000E5CC4"/>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4-Accent41">
    <w:name w:val="List Table 4 - Accent 41"/>
    <w:basedOn w:val="TableNormal"/>
    <w:uiPriority w:val="49"/>
    <w:rsid w:val="000E5CC4"/>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rFonts w:cs="Times New Roman"/>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rFonts w:cs="Times New Roman"/>
        <w:b/>
        <w:bCs/>
      </w:rPr>
      <w:tblPr/>
      <w:tcPr>
        <w:tcBorders>
          <w:top w:val="doub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4-Accent51">
    <w:name w:val="List Table 4 - Accent 51"/>
    <w:basedOn w:val="TableNormal"/>
    <w:uiPriority w:val="49"/>
    <w:rsid w:val="000E5CC4"/>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rFonts w:cs="Times New Roman"/>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rFonts w:cs="Times New Roman"/>
        <w:b/>
        <w:bCs/>
      </w:rPr>
      <w:tblPr/>
      <w:tcPr>
        <w:tcBorders>
          <w:top w:val="doub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4-Accent61">
    <w:name w:val="List Table 4 - Accent 61"/>
    <w:basedOn w:val="TableNormal"/>
    <w:uiPriority w:val="49"/>
    <w:rsid w:val="000E5CC4"/>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rFonts w:cs="Times New Roman"/>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rFonts w:cs="Times New Roman"/>
        <w:b/>
        <w:bCs/>
      </w:rPr>
      <w:tblPr/>
      <w:tcPr>
        <w:tcBorders>
          <w:top w:val="doub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5Dark1">
    <w:name w:val="List Table 5 Dark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11">
    <w:name w:val="List Table 5 Dark - Accent 1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21">
    <w:name w:val="List Table 5 Dark - Accent 2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31">
    <w:name w:val="List Table 5 Dark - Accent 3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41">
    <w:name w:val="List Table 5 Dark - Accent 4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51">
    <w:name w:val="List Table 5 Dark - Accent 5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61">
    <w:name w:val="List Table 5 Dark - Accent 6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6Colorful1">
    <w:name w:val="List Table 6 Colorful1"/>
    <w:basedOn w:val="TableNormal"/>
    <w:uiPriority w:val="51"/>
    <w:rsid w:val="000E5CC4"/>
    <w:pPr>
      <w:spacing w:after="0" w:line="240" w:lineRule="auto"/>
    </w:pPr>
    <w:rPr>
      <w:rFonts w:cs="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6Colorful-Accent11">
    <w:name w:val="List Table 6 Colorful - Accent 11"/>
    <w:basedOn w:val="TableNormal"/>
    <w:uiPriority w:val="51"/>
    <w:rsid w:val="000E5CC4"/>
    <w:pPr>
      <w:spacing w:after="0" w:line="240" w:lineRule="auto"/>
    </w:pPr>
    <w:rPr>
      <w:rFonts w:cs="Times New Roman"/>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rFonts w:cs="Times New Roman"/>
        <w:b/>
        <w:bCs/>
      </w:rPr>
      <w:tblPr/>
      <w:tcPr>
        <w:tcBorders>
          <w:bottom w:val="single" w:sz="4" w:space="0" w:color="9757A6" w:themeColor="accent1"/>
        </w:tcBorders>
      </w:tcPr>
    </w:tblStylePr>
    <w:tblStylePr w:type="lastRow">
      <w:rPr>
        <w:rFonts w:cs="Times New Roman"/>
        <w:b/>
        <w:bCs/>
      </w:rPr>
      <w:tblPr/>
      <w:tcPr>
        <w:tcBorders>
          <w:top w:val="double" w:sz="4"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6Colorful-Accent21">
    <w:name w:val="List Table 6 Colorful - Accent 21"/>
    <w:basedOn w:val="TableNormal"/>
    <w:uiPriority w:val="51"/>
    <w:rsid w:val="000E5CC4"/>
    <w:pPr>
      <w:spacing w:after="0" w:line="240" w:lineRule="auto"/>
    </w:pPr>
    <w:rPr>
      <w:rFonts w:cs="Times New Roman"/>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rFonts w:cs="Times New Roman"/>
        <w:b/>
        <w:bCs/>
      </w:rPr>
      <w:tblPr/>
      <w:tcPr>
        <w:tcBorders>
          <w:bottom w:val="single" w:sz="4" w:space="0" w:color="FFAE3B" w:themeColor="accent2"/>
        </w:tcBorders>
      </w:tcPr>
    </w:tblStylePr>
    <w:tblStylePr w:type="lastRow">
      <w:rPr>
        <w:rFonts w:cs="Times New Roman"/>
        <w:b/>
        <w:bCs/>
      </w:rPr>
      <w:tblPr/>
      <w:tcPr>
        <w:tcBorders>
          <w:top w:val="double" w:sz="4"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6Colorful-Accent31">
    <w:name w:val="List Table 6 Colorful - Accent 31"/>
    <w:basedOn w:val="TableNormal"/>
    <w:uiPriority w:val="51"/>
    <w:rsid w:val="000E5CC4"/>
    <w:pPr>
      <w:spacing w:after="0" w:line="240" w:lineRule="auto"/>
    </w:pPr>
    <w:rPr>
      <w:rFonts w:cs="Times New Roman"/>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rFonts w:cs="Times New Roman"/>
        <w:b/>
        <w:bCs/>
      </w:rPr>
      <w:tblPr/>
      <w:tcPr>
        <w:tcBorders>
          <w:bottom w:val="single" w:sz="4" w:space="0" w:color="A5A5A5" w:themeColor="accent3"/>
        </w:tcBorders>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6Colorful-Accent41">
    <w:name w:val="List Table 6 Colorful - Accent 41"/>
    <w:basedOn w:val="TableNormal"/>
    <w:uiPriority w:val="51"/>
    <w:rsid w:val="000E5CC4"/>
    <w:pPr>
      <w:spacing w:after="0" w:line="240" w:lineRule="auto"/>
    </w:pPr>
    <w:rPr>
      <w:rFonts w:cs="Times New Roman"/>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rFonts w:cs="Times New Roman"/>
        <w:b/>
        <w:bCs/>
      </w:rPr>
      <w:tblPr/>
      <w:tcPr>
        <w:tcBorders>
          <w:bottom w:val="single" w:sz="4" w:space="0" w:color="B689C1" w:themeColor="accent4"/>
        </w:tcBorders>
      </w:tcPr>
    </w:tblStylePr>
    <w:tblStylePr w:type="lastRow">
      <w:rPr>
        <w:rFonts w:cs="Times New Roman"/>
        <w:b/>
        <w:bCs/>
      </w:rPr>
      <w:tblPr/>
      <w:tcPr>
        <w:tcBorders>
          <w:top w:val="double" w:sz="4"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6Colorful-Accent51">
    <w:name w:val="List Table 6 Colorful - Accent 51"/>
    <w:basedOn w:val="TableNormal"/>
    <w:uiPriority w:val="51"/>
    <w:rsid w:val="000E5CC4"/>
    <w:pPr>
      <w:spacing w:after="0" w:line="240" w:lineRule="auto"/>
    </w:pPr>
    <w:rPr>
      <w:rFonts w:cs="Times New Roman"/>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rFonts w:cs="Times New Roman"/>
        <w:b/>
        <w:bCs/>
      </w:rPr>
      <w:tblPr/>
      <w:tcPr>
        <w:tcBorders>
          <w:bottom w:val="single" w:sz="4" w:space="0" w:color="EA8B00" w:themeColor="accent5"/>
        </w:tcBorders>
      </w:tcPr>
    </w:tblStylePr>
    <w:tblStylePr w:type="lastRow">
      <w:rPr>
        <w:rFonts w:cs="Times New Roman"/>
        <w:b/>
        <w:bCs/>
      </w:rPr>
      <w:tblPr/>
      <w:tcPr>
        <w:tcBorders>
          <w:top w:val="double" w:sz="4"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6Colorful-Accent61">
    <w:name w:val="List Table 6 Colorful - Accent 61"/>
    <w:basedOn w:val="TableNormal"/>
    <w:uiPriority w:val="51"/>
    <w:rsid w:val="000E5CC4"/>
    <w:pPr>
      <w:spacing w:after="0" w:line="240" w:lineRule="auto"/>
    </w:pPr>
    <w:rPr>
      <w:rFonts w:cs="Times New Roman"/>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rFonts w:cs="Times New Roman"/>
        <w:b/>
        <w:bCs/>
      </w:rPr>
      <w:tblPr/>
      <w:tcPr>
        <w:tcBorders>
          <w:bottom w:val="single" w:sz="4" w:space="0" w:color="BFBFBF" w:themeColor="accent6"/>
        </w:tcBorders>
      </w:tcPr>
    </w:tblStylePr>
    <w:tblStylePr w:type="lastRow">
      <w:rPr>
        <w:rFonts w:cs="Times New Roman"/>
        <w:b/>
        <w:bCs/>
      </w:rPr>
      <w:tblPr/>
      <w:tcPr>
        <w:tcBorders>
          <w:top w:val="double" w:sz="4"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7Colorful1">
    <w:name w:val="List Table 7 Colorful1"/>
    <w:basedOn w:val="TableNormal"/>
    <w:uiPriority w:val="52"/>
    <w:rsid w:val="000E5CC4"/>
    <w:pPr>
      <w:spacing w:after="0" w:line="240" w:lineRule="auto"/>
    </w:pPr>
    <w:rPr>
      <w:rFonts w:cs="Times New Roman"/>
      <w:color w:val="000000" w:themeColor="text1"/>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11">
    <w:name w:val="List Table 7 Colorful - Accent 11"/>
    <w:basedOn w:val="TableNormal"/>
    <w:uiPriority w:val="52"/>
    <w:rsid w:val="000E5CC4"/>
    <w:pPr>
      <w:spacing w:after="0" w:line="240" w:lineRule="auto"/>
    </w:pPr>
    <w:rPr>
      <w:rFonts w:cs="Times New Roman"/>
      <w:color w:val="70417C" w:themeColor="accent1"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9757A6" w:themeColor="accent1"/>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21">
    <w:name w:val="List Table 7 Colorful - Accent 21"/>
    <w:basedOn w:val="TableNormal"/>
    <w:uiPriority w:val="52"/>
    <w:rsid w:val="000E5CC4"/>
    <w:pPr>
      <w:spacing w:after="0" w:line="240" w:lineRule="auto"/>
    </w:pPr>
    <w:rPr>
      <w:rFonts w:cs="Times New Roman"/>
      <w:color w:val="EB8900" w:themeColor="accent2"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FFAE3B" w:themeColor="accent2"/>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31">
    <w:name w:val="List Table 7 Colorful - Accent 31"/>
    <w:basedOn w:val="TableNormal"/>
    <w:uiPriority w:val="52"/>
    <w:rsid w:val="000E5CC4"/>
    <w:pPr>
      <w:spacing w:after="0" w:line="240" w:lineRule="auto"/>
    </w:pPr>
    <w:rPr>
      <w:rFonts w:cs="Times New Roman"/>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41">
    <w:name w:val="List Table 7 Colorful - Accent 41"/>
    <w:basedOn w:val="TableNormal"/>
    <w:uiPriority w:val="52"/>
    <w:rsid w:val="000E5CC4"/>
    <w:pPr>
      <w:spacing w:after="0" w:line="240" w:lineRule="auto"/>
    </w:pPr>
    <w:rPr>
      <w:rFonts w:cs="Times New Roman"/>
      <w:color w:val="9255A1" w:themeColor="accent4"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B689C1" w:themeColor="accent4"/>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51">
    <w:name w:val="List Table 7 Colorful - Accent 51"/>
    <w:basedOn w:val="TableNormal"/>
    <w:uiPriority w:val="52"/>
    <w:rsid w:val="000E5CC4"/>
    <w:pPr>
      <w:spacing w:after="0" w:line="240" w:lineRule="auto"/>
    </w:pPr>
    <w:rPr>
      <w:rFonts w:cs="Times New Roman"/>
      <w:color w:val="AF6700" w:themeColor="accent5"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EA8B00" w:themeColor="accent5"/>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61">
    <w:name w:val="List Table 7 Colorful - Accent 61"/>
    <w:basedOn w:val="TableNormal"/>
    <w:uiPriority w:val="52"/>
    <w:rsid w:val="000E5CC4"/>
    <w:pPr>
      <w:spacing w:after="0" w:line="240" w:lineRule="auto"/>
    </w:pPr>
    <w:rPr>
      <w:rFonts w:cs="Times New Roman"/>
      <w:color w:val="8F8F8F" w:themeColor="accent6"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BFBFBF" w:themeColor="accent6"/>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Times New Roman"/>
      <w:sz w:val="20"/>
      <w:szCs w:val="20"/>
    </w:rPr>
  </w:style>
  <w:style w:type="character" w:customStyle="1" w:styleId="MacroTextChar">
    <w:name w:val="Macro Text Char"/>
    <w:basedOn w:val="DefaultParagraphFont"/>
    <w:link w:val="MacroText"/>
    <w:uiPriority w:val="99"/>
    <w:semiHidden/>
    <w:locked/>
    <w:rsid w:val="000E5CC4"/>
    <w:rPr>
      <w:rFonts w:ascii="Consolas" w:hAnsi="Consolas" w:cs="Times New Roman"/>
      <w:sz w:val="20"/>
      <w:szCs w:val="20"/>
    </w:rPr>
  </w:style>
  <w:style w:type="table" w:styleId="MediumGrid1">
    <w:name w:val="Medium Grid 1"/>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rFonts w:cs="Times New Roman"/>
        <w:b/>
        <w:bCs/>
      </w:rPr>
    </w:tblStylePr>
    <w:tblStylePr w:type="lastRow">
      <w:rPr>
        <w:rFonts w:cs="Times New Roman"/>
        <w:b/>
        <w:bCs/>
      </w:rPr>
      <w:tblPr/>
      <w:tcPr>
        <w:tcBorders>
          <w:top w:val="single" w:sz="18" w:space="0" w:color="404040" w:themeColor="tex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hemeFill="text1" w:themeFillTint="7F"/>
      </w:tcPr>
    </w:tblStylePr>
    <w:tblStylePr w:type="band1Horz">
      <w:rPr>
        <w:rFonts w:cs="Times New Roman"/>
      </w:rPr>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rFonts w:cs="Times New Roman"/>
        <w:b/>
        <w:bCs/>
      </w:rPr>
    </w:tblStylePr>
    <w:tblStylePr w:type="lastRow">
      <w:rPr>
        <w:rFonts w:cs="Times New Roman"/>
        <w:b/>
        <w:bCs/>
      </w:rPr>
      <w:tblPr/>
      <w:tcPr>
        <w:tcBorders>
          <w:top w:val="single" w:sz="18" w:space="0" w:color="B180BC" w:themeColor="accen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ABD3" w:themeFill="accent1" w:themeFillTint="7F"/>
      </w:tcPr>
    </w:tblStylePr>
    <w:tblStylePr w:type="band1Horz">
      <w:rPr>
        <w:rFonts w:cs="Times New Roman"/>
      </w:rPr>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rFonts w:cs="Times New Roman"/>
        <w:b/>
        <w:bCs/>
      </w:rPr>
    </w:tblStylePr>
    <w:tblStylePr w:type="lastRow">
      <w:rPr>
        <w:rFonts w:cs="Times New Roman"/>
        <w:b/>
        <w:bCs/>
      </w:rPr>
      <w:tblPr/>
      <w:tcPr>
        <w:tcBorders>
          <w:top w:val="single" w:sz="18" w:space="0" w:color="FFC16C"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69D" w:themeFill="accent2" w:themeFillTint="7F"/>
      </w:tcPr>
    </w:tblStylePr>
    <w:tblStylePr w:type="band1Horz">
      <w:rPr>
        <w:rFonts w:cs="Times New Roman"/>
      </w:rPr>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rFonts w:cs="Times New Roman"/>
        <w:b/>
        <w:bCs/>
      </w:rPr>
    </w:tblStylePr>
    <w:tblStylePr w:type="lastRow">
      <w:rPr>
        <w:rFonts w:cs="Times New Roman"/>
        <w:b/>
        <w:bCs/>
      </w:rPr>
      <w:tblPr/>
      <w:tcPr>
        <w:tcBorders>
          <w:top w:val="single" w:sz="18" w:space="0" w:color="BBBBBB"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rFonts w:cs="Times New Roman"/>
        <w:b/>
        <w:bCs/>
      </w:rPr>
    </w:tblStylePr>
    <w:tblStylePr w:type="lastRow">
      <w:rPr>
        <w:rFonts w:cs="Times New Roman"/>
        <w:b/>
        <w:bCs/>
      </w:rPr>
      <w:tblPr/>
      <w:tcPr>
        <w:tcBorders>
          <w:top w:val="single" w:sz="18" w:space="0" w:color="C8A6D0" w:themeColor="accent4"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C4E0" w:themeFill="accent4" w:themeFillTint="7F"/>
      </w:tcPr>
    </w:tblStylePr>
    <w:tblStylePr w:type="band1Horz">
      <w:rPr>
        <w:rFonts w:cs="Times New Roman"/>
      </w:rPr>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rFonts w:cs="Times New Roman"/>
        <w:b/>
        <w:bCs/>
      </w:rPr>
    </w:tblStylePr>
    <w:tblStylePr w:type="lastRow">
      <w:rPr>
        <w:rFonts w:cs="Times New Roman"/>
        <w:b/>
        <w:bCs/>
      </w:rPr>
      <w:tblPr/>
      <w:tcPr>
        <w:tcBorders>
          <w:top w:val="single" w:sz="18" w:space="0" w:color="FFAA30" w:themeColor="accent5"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C675" w:themeFill="accent5" w:themeFillTint="7F"/>
      </w:tcPr>
    </w:tblStylePr>
    <w:tblStylePr w:type="band1Horz">
      <w:rPr>
        <w:rFonts w:cs="Times New Roman"/>
      </w:rPr>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rFonts w:cs="Times New Roman"/>
        <w:b/>
        <w:bCs/>
      </w:rPr>
    </w:tblStylePr>
    <w:tblStylePr w:type="lastRow">
      <w:rPr>
        <w:rFonts w:cs="Times New Roman"/>
        <w:b/>
        <w:bCs/>
      </w:rPr>
      <w:tblPr/>
      <w:tcPr>
        <w:tcBorders>
          <w:top w:val="single" w:sz="18" w:space="0" w:color="CFCFCF" w:themeColor="accent6"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FDF" w:themeFill="accent6" w:themeFillTint="7F"/>
      </w:tcPr>
    </w:tblStylePr>
    <w:tblStylePr w:type="band1Horz">
      <w:rPr>
        <w:rFonts w:cs="Times New Roman"/>
      </w:rPr>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rFonts w:cs="Times New Roman"/>
        <w:b/>
        <w:bCs/>
        <w:color w:val="000000" w:themeColor="text1"/>
      </w:rPr>
      <w:tblPr/>
      <w:tcPr>
        <w:shd w:val="clear" w:color="auto" w:fill="E6E6E6" w:themeFill="tex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rPr>
        <w:rFonts w:cs="Times New Roman"/>
      </w:rPr>
      <w:tblPr/>
      <w:tcPr>
        <w:shd w:val="clear" w:color="auto" w:fill="808080" w:themeFill="text1" w:themeFillTint="7F"/>
      </w:tcPr>
    </w:tblStylePr>
    <w:tblStylePr w:type="band1Horz">
      <w:rPr>
        <w:rFonts w:cs="Times New Roman"/>
      </w:rPr>
      <w:tblPr/>
      <w:tcPr>
        <w:tcBorders>
          <w:insideH w:val="single" w:sz="6" w:space="0" w:color="000000" w:themeColor="text1"/>
          <w:insideV w:val="single" w:sz="6" w:space="0" w:color="000000" w:themeColor="text1"/>
        </w:tcBorders>
        <w:shd w:val="clear" w:color="auto" w:fill="808080" w:themeFill="text1" w:themeFillTint="7F"/>
      </w:tcPr>
    </w:tblStylePr>
    <w:tblStylePr w:type="nwCell">
      <w:rPr>
        <w:rFonts w:cs="Times New Roman"/>
      </w:rPr>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rFonts w:cs="Times New Roman"/>
        <w:b/>
        <w:bCs/>
        <w:color w:val="000000" w:themeColor="text1"/>
      </w:rPr>
      <w:tblPr/>
      <w:tcPr>
        <w:shd w:val="clear" w:color="auto" w:fill="F4EEF6" w:themeFill="accen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rPr>
        <w:rFonts w:cs="Times New Roman"/>
      </w:rPr>
      <w:tblPr/>
      <w:tcPr>
        <w:shd w:val="clear" w:color="auto" w:fill="CBABD3" w:themeFill="accent1" w:themeFillTint="7F"/>
      </w:tcPr>
    </w:tblStylePr>
    <w:tblStylePr w:type="band1Horz">
      <w:rPr>
        <w:rFonts w:cs="Times New Roman"/>
      </w:rPr>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rPr>
        <w:rFonts w:cs="Times New Roman"/>
      </w:rPr>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rFonts w:cs="Times New Roman"/>
        <w:b/>
        <w:bCs/>
        <w:color w:val="000000" w:themeColor="text1"/>
      </w:rPr>
      <w:tblPr/>
      <w:tcPr>
        <w:shd w:val="clear" w:color="auto" w:fill="FFF6EB" w:themeFill="accent2"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rPr>
        <w:rFonts w:cs="Times New Roman"/>
      </w:rPr>
      <w:tblPr/>
      <w:tcPr>
        <w:shd w:val="clear" w:color="auto" w:fill="FFD69D" w:themeFill="accent2" w:themeFillTint="7F"/>
      </w:tcPr>
    </w:tblStylePr>
    <w:tblStylePr w:type="band1Horz">
      <w:rPr>
        <w:rFonts w:cs="Times New Roman"/>
      </w:rPr>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rPr>
        <w:rFonts w:cs="Times New Roman"/>
      </w:rPr>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rFonts w:cs="Times New Roman"/>
        <w:b/>
        <w:bCs/>
        <w:color w:val="000000" w:themeColor="text1"/>
      </w:rPr>
      <w:tblPr/>
      <w:tcPr>
        <w:shd w:val="clear" w:color="auto" w:fill="F6F6F6" w:themeFill="accent3"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rPr>
        <w:rFonts w:cs="Times New Roman"/>
      </w:rPr>
      <w:tblPr/>
      <w:tcPr>
        <w:shd w:val="clear" w:color="auto" w:fill="D2D2D2" w:themeFill="accent3" w:themeFillTint="7F"/>
      </w:tcPr>
    </w:tblStylePr>
    <w:tblStylePr w:type="band1Horz">
      <w:rPr>
        <w:rFonts w:cs="Times New Roman"/>
      </w:rPr>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rPr>
        <w:rFonts w:cs="Times New Roman"/>
      </w:rPr>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rFonts w:cs="Times New Roman"/>
        <w:b/>
        <w:bCs/>
        <w:color w:val="000000" w:themeColor="text1"/>
      </w:rPr>
      <w:tblPr/>
      <w:tcPr>
        <w:shd w:val="clear" w:color="auto" w:fill="F7F3F9" w:themeFill="accent4"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rPr>
        <w:rFonts w:cs="Times New Roman"/>
      </w:rPr>
      <w:tblPr/>
      <w:tcPr>
        <w:shd w:val="clear" w:color="auto" w:fill="DAC4E0" w:themeFill="accent4" w:themeFillTint="7F"/>
      </w:tcPr>
    </w:tblStylePr>
    <w:tblStylePr w:type="band1Horz">
      <w:rPr>
        <w:rFonts w:cs="Times New Roman"/>
      </w:rPr>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rPr>
        <w:rFonts w:cs="Times New Roman"/>
      </w:rPr>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rFonts w:cs="Times New Roman"/>
        <w:b/>
        <w:bCs/>
        <w:color w:val="000000" w:themeColor="text1"/>
      </w:rPr>
      <w:tblPr/>
      <w:tcPr>
        <w:shd w:val="clear" w:color="auto" w:fill="FFF3E3" w:themeFill="accent5"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rPr>
        <w:rFonts w:cs="Times New Roman"/>
      </w:rPr>
      <w:tblPr/>
      <w:tcPr>
        <w:shd w:val="clear" w:color="auto" w:fill="FFC675" w:themeFill="accent5" w:themeFillTint="7F"/>
      </w:tcPr>
    </w:tblStylePr>
    <w:tblStylePr w:type="band1Horz">
      <w:rPr>
        <w:rFonts w:cs="Times New Roman"/>
      </w:rPr>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rPr>
        <w:rFonts w:cs="Times New Roman"/>
      </w:rPr>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rFonts w:cs="Times New Roman"/>
        <w:b/>
        <w:bCs/>
        <w:color w:val="000000" w:themeColor="text1"/>
      </w:rPr>
      <w:tblPr/>
      <w:tcPr>
        <w:shd w:val="clear" w:color="auto" w:fill="F8F8F8" w:themeFill="accent6"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rPr>
        <w:rFonts w:cs="Times New Roman"/>
      </w:rPr>
      <w:tblPr/>
      <w:tcPr>
        <w:shd w:val="clear" w:color="auto" w:fill="DFDFDF" w:themeFill="accent6" w:themeFillTint="7F"/>
      </w:tcPr>
    </w:tblStylePr>
    <w:tblStylePr w:type="band1Horz">
      <w:rPr>
        <w:rFonts w:cs="Times New Roman"/>
      </w:rPr>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rPr>
        <w:rFonts w:cs="Times New Roman"/>
      </w:rPr>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9757A6"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imes New Roman"/>
      </w:rPr>
      <w:tblPr/>
      <w:tcPr>
        <w:tcBorders>
          <w:top w:val="nil"/>
          <w:bottom w:val="single" w:sz="8" w:space="0" w:color="9757A6" w:themeColor="accent1"/>
        </w:tcBorders>
      </w:tcPr>
    </w:tblStylePr>
    <w:tblStylePr w:type="lastRow">
      <w:rPr>
        <w:rFonts w:cs="Times New Roman"/>
        <w:b/>
        <w:bCs/>
        <w:color w:val="9757A6" w:themeColor="text2"/>
      </w:rPr>
      <w:tblPr/>
      <w:tcPr>
        <w:tcBorders>
          <w:top w:val="single" w:sz="8" w:space="0" w:color="9757A6" w:themeColor="accent1"/>
          <w:bottom w:val="single" w:sz="8" w:space="0" w:color="9757A6" w:themeColor="accent1"/>
        </w:tcBorders>
      </w:tcPr>
    </w:tblStylePr>
    <w:tblStylePr w:type="firstCol">
      <w:rPr>
        <w:rFonts w:cs="Times New Roman"/>
        <w:b/>
        <w:bCs/>
      </w:rPr>
    </w:tblStylePr>
    <w:tblStylePr w:type="lastCol">
      <w:rPr>
        <w:rFonts w:cs="Times New Roman"/>
        <w:b/>
        <w:bCs/>
      </w:rPr>
      <w:tblPr/>
      <w:tcPr>
        <w:tcBorders>
          <w:top w:val="single" w:sz="8" w:space="0" w:color="9757A6" w:themeColor="accent1"/>
          <w:bottom w:val="single" w:sz="8" w:space="0" w:color="9757A6" w:themeColor="accent1"/>
        </w:tcBorders>
      </w:tcPr>
    </w:tblStylePr>
    <w:tblStylePr w:type="band1Vert">
      <w:rPr>
        <w:rFonts w:cs="Times New Roman"/>
      </w:rPr>
      <w:tblPr/>
      <w:tcPr>
        <w:shd w:val="clear" w:color="auto" w:fill="E5D5E9" w:themeFill="accent1" w:themeFillTint="3F"/>
      </w:tcPr>
    </w:tblStylePr>
    <w:tblStylePr w:type="band1Horz">
      <w:rPr>
        <w:rFonts w:cs="Times New Roman"/>
      </w:rPr>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imes New Roman"/>
      </w:rPr>
      <w:tblPr/>
      <w:tcPr>
        <w:tcBorders>
          <w:top w:val="nil"/>
          <w:bottom w:val="single" w:sz="8" w:space="0" w:color="FFAE3B" w:themeColor="accent2"/>
        </w:tcBorders>
      </w:tcPr>
    </w:tblStylePr>
    <w:tblStylePr w:type="lastRow">
      <w:rPr>
        <w:rFonts w:cs="Times New Roman"/>
        <w:b/>
        <w:bCs/>
        <w:color w:val="9757A6" w:themeColor="text2"/>
      </w:rPr>
      <w:tblPr/>
      <w:tcPr>
        <w:tcBorders>
          <w:top w:val="single" w:sz="8" w:space="0" w:color="FFAE3B" w:themeColor="accent2"/>
          <w:bottom w:val="single" w:sz="8" w:space="0" w:color="FFAE3B" w:themeColor="accent2"/>
        </w:tcBorders>
      </w:tcPr>
    </w:tblStylePr>
    <w:tblStylePr w:type="firstCol">
      <w:rPr>
        <w:rFonts w:cs="Times New Roman"/>
        <w:b/>
        <w:bCs/>
      </w:rPr>
    </w:tblStylePr>
    <w:tblStylePr w:type="lastCol">
      <w:rPr>
        <w:rFonts w:cs="Times New Roman"/>
        <w:b/>
        <w:bCs/>
      </w:rPr>
      <w:tblPr/>
      <w:tcPr>
        <w:tcBorders>
          <w:top w:val="single" w:sz="8" w:space="0" w:color="FFAE3B" w:themeColor="accent2"/>
          <w:bottom w:val="single" w:sz="8" w:space="0" w:color="FFAE3B" w:themeColor="accent2"/>
        </w:tcBorders>
      </w:tcPr>
    </w:tblStylePr>
    <w:tblStylePr w:type="band1Vert">
      <w:rPr>
        <w:rFonts w:cs="Times New Roman"/>
      </w:rPr>
      <w:tblPr/>
      <w:tcPr>
        <w:shd w:val="clear" w:color="auto" w:fill="FFEACE" w:themeFill="accent2" w:themeFillTint="3F"/>
      </w:tcPr>
    </w:tblStylePr>
    <w:tblStylePr w:type="band1Horz">
      <w:rPr>
        <w:rFonts w:cs="Times New Roman"/>
      </w:rPr>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imes New Roman"/>
      </w:rPr>
      <w:tblPr/>
      <w:tcPr>
        <w:tcBorders>
          <w:top w:val="nil"/>
          <w:bottom w:val="single" w:sz="8" w:space="0" w:color="A5A5A5" w:themeColor="accent3"/>
        </w:tcBorders>
      </w:tcPr>
    </w:tblStylePr>
    <w:tblStylePr w:type="lastRow">
      <w:rPr>
        <w:rFonts w:cs="Times New Roman"/>
        <w:b/>
        <w:bCs/>
        <w:color w:val="9757A6" w:themeColor="text2"/>
      </w:rPr>
      <w:tblPr/>
      <w:tcPr>
        <w:tcBorders>
          <w:top w:val="single" w:sz="8" w:space="0" w:color="A5A5A5" w:themeColor="accent3"/>
          <w:bottom w:val="single" w:sz="8" w:space="0" w:color="A5A5A5" w:themeColor="accent3"/>
        </w:tcBorders>
      </w:tcPr>
    </w:tblStylePr>
    <w:tblStylePr w:type="firstCol">
      <w:rPr>
        <w:rFonts w:cs="Times New Roman"/>
        <w:b/>
        <w:bCs/>
      </w:rPr>
    </w:tblStylePr>
    <w:tblStylePr w:type="lastCol">
      <w:rPr>
        <w:rFonts w:cs="Times New Roman"/>
        <w:b/>
        <w:bCs/>
      </w:rPr>
      <w:tblPr/>
      <w:tcPr>
        <w:tcBorders>
          <w:top w:val="single" w:sz="8" w:space="0" w:color="A5A5A5" w:themeColor="accent3"/>
          <w:bottom w:val="single" w:sz="8" w:space="0" w:color="A5A5A5" w:themeColor="accent3"/>
        </w:tcBorders>
      </w:tcPr>
    </w:tblStylePr>
    <w:tblStylePr w:type="band1Vert">
      <w:rPr>
        <w:rFonts w:cs="Times New Roman"/>
      </w:rPr>
      <w:tblPr/>
      <w:tcPr>
        <w:shd w:val="clear" w:color="auto" w:fill="E8E8E8" w:themeFill="accent3" w:themeFillTint="3F"/>
      </w:tcPr>
    </w:tblStylePr>
    <w:tblStylePr w:type="band1Horz">
      <w:rPr>
        <w:rFonts w:cs="Times New Roman"/>
      </w:rPr>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imes New Roman"/>
      </w:rPr>
      <w:tblPr/>
      <w:tcPr>
        <w:tcBorders>
          <w:top w:val="nil"/>
          <w:bottom w:val="single" w:sz="8" w:space="0" w:color="B689C1" w:themeColor="accent4"/>
        </w:tcBorders>
      </w:tcPr>
    </w:tblStylePr>
    <w:tblStylePr w:type="lastRow">
      <w:rPr>
        <w:rFonts w:cs="Times New Roman"/>
        <w:b/>
        <w:bCs/>
        <w:color w:val="9757A6" w:themeColor="text2"/>
      </w:rPr>
      <w:tblPr/>
      <w:tcPr>
        <w:tcBorders>
          <w:top w:val="single" w:sz="8" w:space="0" w:color="B689C1" w:themeColor="accent4"/>
          <w:bottom w:val="single" w:sz="8" w:space="0" w:color="B689C1" w:themeColor="accent4"/>
        </w:tcBorders>
      </w:tcPr>
    </w:tblStylePr>
    <w:tblStylePr w:type="firstCol">
      <w:rPr>
        <w:rFonts w:cs="Times New Roman"/>
        <w:b/>
        <w:bCs/>
      </w:rPr>
    </w:tblStylePr>
    <w:tblStylePr w:type="lastCol">
      <w:rPr>
        <w:rFonts w:cs="Times New Roman"/>
        <w:b/>
        <w:bCs/>
      </w:rPr>
      <w:tblPr/>
      <w:tcPr>
        <w:tcBorders>
          <w:top w:val="single" w:sz="8" w:space="0" w:color="B689C1" w:themeColor="accent4"/>
          <w:bottom w:val="single" w:sz="8" w:space="0" w:color="B689C1" w:themeColor="accent4"/>
        </w:tcBorders>
      </w:tcPr>
    </w:tblStylePr>
    <w:tblStylePr w:type="band1Vert">
      <w:rPr>
        <w:rFonts w:cs="Times New Roman"/>
      </w:rPr>
      <w:tblPr/>
      <w:tcPr>
        <w:shd w:val="clear" w:color="auto" w:fill="ECE1EF" w:themeFill="accent4" w:themeFillTint="3F"/>
      </w:tcPr>
    </w:tblStylePr>
    <w:tblStylePr w:type="band1Horz">
      <w:rPr>
        <w:rFonts w:cs="Times New Roman"/>
      </w:rPr>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imes New Roman"/>
      </w:rPr>
      <w:tblPr/>
      <w:tcPr>
        <w:tcBorders>
          <w:top w:val="nil"/>
          <w:bottom w:val="single" w:sz="8" w:space="0" w:color="EA8B00" w:themeColor="accent5"/>
        </w:tcBorders>
      </w:tcPr>
    </w:tblStylePr>
    <w:tblStylePr w:type="lastRow">
      <w:rPr>
        <w:rFonts w:cs="Times New Roman"/>
        <w:b/>
        <w:bCs/>
        <w:color w:val="9757A6" w:themeColor="text2"/>
      </w:rPr>
      <w:tblPr/>
      <w:tcPr>
        <w:tcBorders>
          <w:top w:val="single" w:sz="8" w:space="0" w:color="EA8B00" w:themeColor="accent5"/>
          <w:bottom w:val="single" w:sz="8" w:space="0" w:color="EA8B00" w:themeColor="accent5"/>
        </w:tcBorders>
      </w:tcPr>
    </w:tblStylePr>
    <w:tblStylePr w:type="firstCol">
      <w:rPr>
        <w:rFonts w:cs="Times New Roman"/>
        <w:b/>
        <w:bCs/>
      </w:rPr>
    </w:tblStylePr>
    <w:tblStylePr w:type="lastCol">
      <w:rPr>
        <w:rFonts w:cs="Times New Roman"/>
        <w:b/>
        <w:bCs/>
      </w:rPr>
      <w:tblPr/>
      <w:tcPr>
        <w:tcBorders>
          <w:top w:val="single" w:sz="8" w:space="0" w:color="EA8B00" w:themeColor="accent5"/>
          <w:bottom w:val="single" w:sz="8" w:space="0" w:color="EA8B00" w:themeColor="accent5"/>
        </w:tcBorders>
      </w:tcPr>
    </w:tblStylePr>
    <w:tblStylePr w:type="band1Vert">
      <w:rPr>
        <w:rFonts w:cs="Times New Roman"/>
      </w:rPr>
      <w:tblPr/>
      <w:tcPr>
        <w:shd w:val="clear" w:color="auto" w:fill="FFE3BA" w:themeFill="accent5" w:themeFillTint="3F"/>
      </w:tcPr>
    </w:tblStylePr>
    <w:tblStylePr w:type="band1Horz">
      <w:rPr>
        <w:rFonts w:cs="Times New Roman"/>
      </w:rPr>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imes New Roman"/>
      </w:rPr>
      <w:tblPr/>
      <w:tcPr>
        <w:tcBorders>
          <w:top w:val="nil"/>
          <w:bottom w:val="single" w:sz="8" w:space="0" w:color="BFBFBF" w:themeColor="accent6"/>
        </w:tcBorders>
      </w:tcPr>
    </w:tblStylePr>
    <w:tblStylePr w:type="lastRow">
      <w:rPr>
        <w:rFonts w:cs="Times New Roman"/>
        <w:b/>
        <w:bCs/>
        <w:color w:val="9757A6" w:themeColor="text2"/>
      </w:rPr>
      <w:tblPr/>
      <w:tcPr>
        <w:tcBorders>
          <w:top w:val="single" w:sz="8" w:space="0" w:color="BFBFBF" w:themeColor="accent6"/>
          <w:bottom w:val="single" w:sz="8" w:space="0" w:color="BFBFBF" w:themeColor="accent6"/>
        </w:tcBorders>
      </w:tcPr>
    </w:tblStylePr>
    <w:tblStylePr w:type="firstCol">
      <w:rPr>
        <w:rFonts w:cs="Times New Roman"/>
        <w:b/>
        <w:bCs/>
      </w:rPr>
    </w:tblStylePr>
    <w:tblStylePr w:type="lastCol">
      <w:rPr>
        <w:rFonts w:cs="Times New Roman"/>
        <w:b/>
        <w:bCs/>
      </w:rPr>
      <w:tblPr/>
      <w:tcPr>
        <w:tcBorders>
          <w:top w:val="single" w:sz="8" w:space="0" w:color="BFBFBF" w:themeColor="accent6"/>
          <w:bottom w:val="single" w:sz="8" w:space="0" w:color="BFBFBF" w:themeColor="accent6"/>
        </w:tcBorders>
      </w:tcPr>
    </w:tblStylePr>
    <w:tblStylePr w:type="band1Vert">
      <w:rPr>
        <w:rFonts w:cs="Times New Roman"/>
      </w:rPr>
      <w:tblPr/>
      <w:tcPr>
        <w:shd w:val="clear" w:color="auto" w:fill="EFEFEF" w:themeFill="accent6" w:themeFillTint="3F"/>
      </w:tcPr>
    </w:tblStylePr>
    <w:tblStylePr w:type="band1Horz">
      <w:rPr>
        <w:rFonts w:cs="Times New Roman"/>
      </w:rPr>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rFonts w:cs="Times New Roman"/>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rPr>
        <w:rFonts w:cs="Times New Roman"/>
      </w:rPr>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rPr>
        <w:rFonts w:cs="Times New Roman"/>
      </w:rPr>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5D5E9" w:themeFill="accent1" w:themeFillTint="3F"/>
      </w:tcPr>
    </w:tblStylePr>
    <w:tblStylePr w:type="band1Horz">
      <w:rPr>
        <w:rFonts w:cs="Times New Roman"/>
      </w:rPr>
      <w:tblPr/>
      <w:tcPr>
        <w:tcBorders>
          <w:top w:val="nil"/>
          <w:bottom w:val="nil"/>
          <w:insideH w:val="nil"/>
          <w:insideV w:val="nil"/>
        </w:tcBorders>
        <w:shd w:val="clear" w:color="auto" w:fill="E5D5E9"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rFonts w:cs="Times New Roman"/>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rFonts w:cs="Times New Roman"/>
      </w:rPr>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rPr>
        <w:rFonts w:cs="Times New Roman"/>
      </w:rPr>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FFEACE" w:themeFill="accent2" w:themeFillTint="3F"/>
      </w:tcPr>
    </w:tblStylePr>
    <w:tblStylePr w:type="band1Horz">
      <w:rPr>
        <w:rFonts w:cs="Times New Roman"/>
      </w:rPr>
      <w:tblPr/>
      <w:tcPr>
        <w:tcBorders>
          <w:top w:val="nil"/>
          <w:bottom w:val="nil"/>
          <w:insideH w:val="nil"/>
          <w:insideV w:val="nil"/>
        </w:tcBorders>
        <w:shd w:val="clear" w:color="auto" w:fill="FFEACE" w:themeFill="accent2"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rFonts w:cs="Times New Roman"/>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rFonts w:cs="Times New Roman"/>
      </w:rPr>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rPr>
        <w:rFonts w:cs="Times New Roman"/>
      </w:rPr>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top w:val="nil"/>
          <w:bottom w:val="nil"/>
          <w:insideH w:val="nil"/>
          <w:insideV w:val="nil"/>
        </w:tcBorders>
        <w:shd w:val="clear" w:color="auto" w:fill="E8E8E8"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rFonts w:cs="Times New Roman"/>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rFonts w:cs="Times New Roman"/>
      </w:rPr>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rPr>
        <w:rFonts w:cs="Times New Roman"/>
      </w:rPr>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CE1EF" w:themeFill="accent4" w:themeFillTint="3F"/>
      </w:tcPr>
    </w:tblStylePr>
    <w:tblStylePr w:type="band1Horz">
      <w:rPr>
        <w:rFonts w:cs="Times New Roman"/>
      </w:rPr>
      <w:tblPr/>
      <w:tcPr>
        <w:tcBorders>
          <w:top w:val="nil"/>
          <w:bottom w:val="nil"/>
          <w:insideH w:val="nil"/>
          <w:insideV w:val="nil"/>
        </w:tcBorders>
        <w:shd w:val="clear" w:color="auto" w:fill="ECE1EF" w:themeFill="accent4"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rFonts w:cs="Times New Roman"/>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rFonts w:cs="Times New Roman"/>
      </w:rPr>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rPr>
        <w:rFonts w:cs="Times New Roman"/>
      </w:rPr>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FFE3BA" w:themeFill="accent5" w:themeFillTint="3F"/>
      </w:tcPr>
    </w:tblStylePr>
    <w:tblStylePr w:type="band1Horz">
      <w:rPr>
        <w:rFonts w:cs="Times New Roman"/>
      </w:rPr>
      <w:tblPr/>
      <w:tcPr>
        <w:tcBorders>
          <w:top w:val="nil"/>
          <w:bottom w:val="nil"/>
          <w:insideH w:val="nil"/>
          <w:insideV w:val="nil"/>
        </w:tcBorders>
        <w:shd w:val="clear" w:color="auto" w:fill="FFE3BA" w:themeFill="accent5"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rFonts w:cs="Times New Roman"/>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rFonts w:cs="Times New Roman"/>
      </w:rPr>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rPr>
        <w:rFonts w:cs="Times New Roman"/>
      </w:rPr>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FEFEF" w:themeFill="accent6" w:themeFillTint="3F"/>
      </w:tcPr>
    </w:tblStylePr>
    <w:tblStylePr w:type="band1Horz">
      <w:rPr>
        <w:rFonts w:cs="Times New Roman"/>
      </w:rPr>
      <w:tblPr/>
      <w:tcPr>
        <w:tcBorders>
          <w:top w:val="nil"/>
          <w:bottom w:val="nil"/>
          <w:insideH w:val="nil"/>
          <w:insideV w:val="nil"/>
        </w:tcBorders>
        <w:shd w:val="clear" w:color="auto" w:fill="EFEFEF" w:themeFill="accent6"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pPr>
      <w:rPr>
        <w:rFonts w:cs="Times New Roman"/>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pPr>
      <w:rPr>
        <w:rFonts w:cs="Times New Roman"/>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hemeFill="text1" w:themeFillTint="3F"/>
      </w:tcPr>
    </w:tblStylePr>
    <w:tblStylePr w:type="band1Horz">
      <w:rPr>
        <w:rFonts w:cs="Times New Roman"/>
      </w:rPr>
      <w:tblPr/>
      <w:tcPr>
        <w:tcBorders>
          <w:insideH w:val="nil"/>
          <w:insideV w:val="nil"/>
        </w:tcBorders>
        <w:shd w:val="clear" w:color="auto" w:fill="C0C0C0" w:themeFill="text1" w:themeFillTint="3F"/>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pPr>
      <w:rPr>
        <w:rFonts w:cs="Times New Roman"/>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pPr>
      <w:rPr>
        <w:rFonts w:cs="Times New Roman"/>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D5E9" w:themeFill="accent1" w:themeFillTint="3F"/>
      </w:tcPr>
    </w:tblStylePr>
    <w:tblStylePr w:type="band1Horz">
      <w:rPr>
        <w:rFonts w:cs="Times New Roman"/>
      </w:rPr>
      <w:tblPr/>
      <w:tcPr>
        <w:tcBorders>
          <w:insideH w:val="nil"/>
          <w:insideV w:val="nil"/>
        </w:tcBorders>
        <w:shd w:val="clear" w:color="auto" w:fill="E5D5E9" w:themeFill="accent1" w:themeFillTint="3F"/>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pPr>
      <w:rPr>
        <w:rFonts w:cs="Times New Roman"/>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pPr>
      <w:rPr>
        <w:rFonts w:cs="Times New Roman"/>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ACE" w:themeFill="accent2" w:themeFillTint="3F"/>
      </w:tcPr>
    </w:tblStylePr>
    <w:tblStylePr w:type="band1Horz">
      <w:rPr>
        <w:rFonts w:cs="Times New Roman"/>
      </w:rPr>
      <w:tblPr/>
      <w:tcPr>
        <w:tcBorders>
          <w:insideH w:val="nil"/>
          <w:insideV w:val="nil"/>
        </w:tcBorders>
        <w:shd w:val="clear" w:color="auto" w:fill="FFEACE" w:themeFill="accent2" w:themeFillTint="3F"/>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pPr>
      <w:rPr>
        <w:rFonts w:cs="Times New Roman"/>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pPr>
      <w:rPr>
        <w:rFonts w:cs="Times New Roman"/>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hemeFill="accent3" w:themeFillTint="3F"/>
      </w:tcPr>
    </w:tblStylePr>
    <w:tblStylePr w:type="band1Horz">
      <w:rPr>
        <w:rFonts w:cs="Times New Roman"/>
      </w:rPr>
      <w:tblPr/>
      <w:tcPr>
        <w:tcBorders>
          <w:insideH w:val="nil"/>
          <w:insideV w:val="nil"/>
        </w:tcBorders>
        <w:shd w:val="clear" w:color="auto" w:fill="E8E8E8" w:themeFill="accent3" w:themeFillTint="3F"/>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pPr>
      <w:rPr>
        <w:rFonts w:cs="Times New Roman"/>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pPr>
      <w:rPr>
        <w:rFonts w:cs="Times New Roman"/>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CE1EF" w:themeFill="accent4" w:themeFillTint="3F"/>
      </w:tcPr>
    </w:tblStylePr>
    <w:tblStylePr w:type="band1Horz">
      <w:rPr>
        <w:rFonts w:cs="Times New Roman"/>
      </w:rPr>
      <w:tblPr/>
      <w:tcPr>
        <w:tcBorders>
          <w:insideH w:val="nil"/>
          <w:insideV w:val="nil"/>
        </w:tcBorders>
        <w:shd w:val="clear" w:color="auto" w:fill="ECE1EF" w:themeFill="accent4" w:themeFillTint="3F"/>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pPr>
      <w:rPr>
        <w:rFonts w:cs="Times New Roman"/>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pPr>
      <w:rPr>
        <w:rFonts w:cs="Times New Roman"/>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3BA" w:themeFill="accent5" w:themeFillTint="3F"/>
      </w:tcPr>
    </w:tblStylePr>
    <w:tblStylePr w:type="band1Horz">
      <w:rPr>
        <w:rFonts w:cs="Times New Roman"/>
      </w:rPr>
      <w:tblPr/>
      <w:tcPr>
        <w:tcBorders>
          <w:insideH w:val="nil"/>
          <w:insideV w:val="nil"/>
        </w:tcBorders>
        <w:shd w:val="clear" w:color="auto" w:fill="FFE3BA" w:themeFill="accent5" w:themeFillTint="3F"/>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pPr>
      <w:rPr>
        <w:rFonts w:cs="Times New Roman"/>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pPr>
      <w:rPr>
        <w:rFonts w:cs="Times New Roman"/>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EFEF" w:themeFill="accent6" w:themeFillTint="3F"/>
      </w:tcPr>
    </w:tblStylePr>
    <w:tblStylePr w:type="band1Horz">
      <w:rPr>
        <w:rFonts w:cs="Times New Roman"/>
      </w:rPr>
      <w:tblPr/>
      <w:tcPr>
        <w:tcBorders>
          <w:insideH w:val="nil"/>
          <w:insideV w:val="nil"/>
        </w:tcBorders>
        <w:shd w:val="clear" w:color="auto" w:fill="EFEFEF" w:themeFill="accent6" w:themeFillTint="3F"/>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rFonts w:cs="Times New Roman"/>
        <w:b/>
        <w:bCs/>
        <w:color w:val="FFFFFF" w:themeColor="background1"/>
      </w:rPr>
      <w:tblPr/>
      <w:tcPr>
        <w:tcBorders>
          <w:left w:val="nil"/>
          <w:right w:val="nil"/>
          <w:insideH w:val="nil"/>
          <w:insideV w:val="nil"/>
        </w:tcBorders>
        <w:shd w:val="clear" w:color="auto" w:fill="9757A6"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rFonts w:cs="Times New Roman"/>
        <w:b/>
        <w:bCs/>
        <w:color w:val="FFFFFF" w:themeColor="background1"/>
      </w:rPr>
      <w:tblPr/>
      <w:tcPr>
        <w:tcBorders>
          <w:left w:val="nil"/>
          <w:right w:val="nil"/>
          <w:insideH w:val="nil"/>
          <w:insideV w:val="nil"/>
        </w:tcBorders>
        <w:shd w:val="clear" w:color="auto" w:fill="FFAE3B" w:themeFill="accent2"/>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rFonts w:cs="Times New Roman"/>
        <w:b/>
        <w:bCs/>
        <w:color w:val="FFFFFF" w:themeColor="background1"/>
      </w:rPr>
      <w:tblPr/>
      <w:tcPr>
        <w:tcBorders>
          <w:left w:val="nil"/>
          <w:right w:val="nil"/>
          <w:insideH w:val="nil"/>
          <w:insideV w:val="nil"/>
        </w:tcBorders>
        <w:shd w:val="clear" w:color="auto" w:fill="A5A5A5"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rFonts w:cs="Times New Roman"/>
        <w:b/>
        <w:bCs/>
        <w:color w:val="FFFFFF" w:themeColor="background1"/>
      </w:rPr>
      <w:tblPr/>
      <w:tcPr>
        <w:tcBorders>
          <w:left w:val="nil"/>
          <w:right w:val="nil"/>
          <w:insideH w:val="nil"/>
          <w:insideV w:val="nil"/>
        </w:tcBorders>
        <w:shd w:val="clear" w:color="auto" w:fill="B689C1" w:themeFill="accent4"/>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rFonts w:cs="Times New Roman"/>
        <w:b/>
        <w:bCs/>
        <w:color w:val="FFFFFF" w:themeColor="background1"/>
      </w:rPr>
      <w:tblPr/>
      <w:tcPr>
        <w:tcBorders>
          <w:left w:val="nil"/>
          <w:right w:val="nil"/>
          <w:insideH w:val="nil"/>
          <w:insideV w:val="nil"/>
        </w:tcBorders>
        <w:shd w:val="clear" w:color="auto" w:fill="EA8B00"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rFonts w:cs="Times New Roman"/>
        <w:b/>
        <w:bCs/>
        <w:color w:val="FFFFFF" w:themeColor="background1"/>
      </w:rPr>
      <w:tblPr/>
      <w:tcPr>
        <w:tcBorders>
          <w:left w:val="nil"/>
          <w:right w:val="nil"/>
          <w:insideH w:val="nil"/>
          <w:insideV w:val="nil"/>
        </w:tcBorders>
        <w:shd w:val="clear" w:color="auto" w:fill="BFBFBF" w:themeFill="accent6"/>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sz w:val="24"/>
      <w:szCs w:val="24"/>
    </w:rPr>
  </w:style>
  <w:style w:type="character" w:customStyle="1" w:styleId="MessageHeaderChar">
    <w:name w:val="Message Header Char"/>
    <w:basedOn w:val="DefaultParagraphFont"/>
    <w:link w:val="MessageHeader"/>
    <w:uiPriority w:val="99"/>
    <w:semiHidden/>
    <w:locked/>
    <w:rsid w:val="000E5CC4"/>
    <w:rPr>
      <w:rFonts w:asciiTheme="majorHAnsi" w:eastAsiaTheme="majorEastAsia" w:hAnsiTheme="majorHAnsi" w:cs="Times New Roman"/>
      <w:sz w:val="24"/>
      <w:szCs w:val="24"/>
      <w:shd w:val="pct20" w:color="auto" w:fill="auto"/>
    </w:rPr>
  </w:style>
  <w:style w:type="paragraph" w:styleId="NoSpacing">
    <w:name w:val="No Spacing"/>
    <w:uiPriority w:val="1"/>
    <w:qFormat/>
    <w:rsid w:val="000E5CC4"/>
    <w:pPr>
      <w:spacing w:after="0" w:line="240" w:lineRule="auto"/>
    </w:pPr>
    <w:rPr>
      <w:rFonts w:ascii="HelveticaNeueLT Std Lt Cn" w:hAnsi="HelveticaNeueLT Std Lt Cn" w:cs="Times New Roman"/>
      <w:sz w:val="20"/>
    </w:rPr>
  </w:style>
  <w:style w:type="paragraph" w:styleId="NormalWeb">
    <w:name w:val="Normal (Web)"/>
    <w:basedOn w:val="Normal"/>
    <w:uiPriority w:val="99"/>
    <w:semiHidden/>
    <w:unhideWhenUsed/>
    <w:rsid w:val="000E5CC4"/>
    <w:rPr>
      <w:rFonts w:ascii="Times New Roman" w:hAnsi="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locked/>
    <w:rsid w:val="000E5CC4"/>
    <w:rPr>
      <w:rFonts w:ascii="HelveticaNeueLT Std Lt Cn" w:hAnsi="HelveticaNeueLT Std Lt Cn" w:cs="Times New Roman"/>
      <w:sz w:val="20"/>
    </w:rPr>
  </w:style>
  <w:style w:type="character" w:styleId="PageNumber0">
    <w:name w:val="page number"/>
    <w:basedOn w:val="DefaultParagraphFont"/>
    <w:uiPriority w:val="99"/>
    <w:semiHidden/>
    <w:unhideWhenUsed/>
    <w:rsid w:val="000E5CC4"/>
    <w:rPr>
      <w:rFonts w:cs="Times New Roman"/>
    </w:rPr>
  </w:style>
  <w:style w:type="character" w:styleId="PlaceholderText">
    <w:name w:val="Placeholder Text"/>
    <w:basedOn w:val="DefaultParagraphFont"/>
    <w:uiPriority w:val="99"/>
    <w:semiHidden/>
    <w:rsid w:val="000E5CC4"/>
    <w:rPr>
      <w:rFonts w:cs="Times New Roman"/>
      <w:color w:val="808080"/>
    </w:rPr>
  </w:style>
  <w:style w:type="table" w:customStyle="1" w:styleId="PlainTable11">
    <w:name w:val="Plain Table 11"/>
    <w:basedOn w:val="TableNormal"/>
    <w:uiPriority w:val="41"/>
    <w:rsid w:val="000E5CC4"/>
    <w:pPr>
      <w:spacing w:after="0" w:line="240" w:lineRule="auto"/>
    </w:pPr>
    <w:rPr>
      <w:rFont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
    <w:name w:val="Plain Table 21"/>
    <w:basedOn w:val="TableNormal"/>
    <w:uiPriority w:val="42"/>
    <w:rsid w:val="000E5CC4"/>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E5CC4"/>
    <w:pPr>
      <w:spacing w:after="0" w:line="240" w:lineRule="auto"/>
    </w:pPr>
    <w:rPr>
      <w:rFonts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
    <w:name w:val="Plain Table 41"/>
    <w:basedOn w:val="TableNormal"/>
    <w:uiPriority w:val="44"/>
    <w:rsid w:val="000E5CC4"/>
    <w:pPr>
      <w:spacing w:after="0" w:line="240" w:lineRule="auto"/>
    </w:pPr>
    <w:rPr>
      <w:rFonts w:cs="Times New Roman"/>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
    <w:name w:val="Plain Table 51"/>
    <w:basedOn w:val="TableNormal"/>
    <w:uiPriority w:val="45"/>
    <w:rsid w:val="000E5CC4"/>
    <w:pPr>
      <w:spacing w:after="0" w:line="240" w:lineRule="auto"/>
    </w:pPr>
    <w:rPr>
      <w:rFonts w:cs="Times New Roman"/>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locked/>
    <w:rsid w:val="000E5CC4"/>
    <w:rPr>
      <w:rFonts w:ascii="Consolas" w:hAnsi="Consolas" w:cs="Times New Roman"/>
      <w:sz w:val="21"/>
      <w:szCs w:val="21"/>
    </w:rPr>
  </w:style>
  <w:style w:type="paragraph" w:styleId="Quote">
    <w:name w:val="Quote"/>
    <w:basedOn w:val="Normal"/>
    <w:next w:val="QuoteListBullet"/>
    <w:link w:val="QuoteChar"/>
    <w:uiPriority w:val="29"/>
    <w:qFormat/>
    <w:rsid w:val="00DA5DC2"/>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29"/>
    <w:locked/>
    <w:rsid w:val="00DA5DC2"/>
    <w:rPr>
      <w:rFonts w:ascii="Arial Narrow" w:hAnsi="Arial Narrow" w:cs="Times New Roman"/>
      <w:i/>
      <w:iCs/>
      <w:color w:val="404040" w:themeColor="text1" w:themeTint="BF"/>
      <w:sz w:val="20"/>
      <w:lang w:val="en-AU" w:eastAsia="x-none"/>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locked/>
    <w:rsid w:val="000E5CC4"/>
    <w:rPr>
      <w:rFonts w:ascii="HelveticaNeueLT Std Lt Cn" w:hAnsi="HelveticaNeueLT Std Lt Cn" w:cs="Times New Roma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locked/>
    <w:rsid w:val="000E5CC4"/>
    <w:rPr>
      <w:rFonts w:ascii="HelveticaNeueLT Std Lt Cn" w:hAnsi="HelveticaNeueLT Std Lt Cn" w:cs="Times New Roman"/>
      <w:sz w:val="20"/>
    </w:rPr>
  </w:style>
  <w:style w:type="character" w:styleId="Strong">
    <w:name w:val="Strong"/>
    <w:basedOn w:val="DefaultParagraphFont"/>
    <w:uiPriority w:val="22"/>
    <w:qFormat/>
    <w:rsid w:val="000E5CC4"/>
    <w:rPr>
      <w:rFonts w:cs="Times New Roman"/>
      <w:b/>
      <w:bCs/>
    </w:rPr>
  </w:style>
  <w:style w:type="paragraph" w:styleId="Subtitle">
    <w:name w:val="Subtitle"/>
    <w:basedOn w:val="Normal"/>
    <w:next w:val="Normal"/>
    <w:link w:val="SubtitleChar"/>
    <w:uiPriority w:val="11"/>
    <w:qFormat/>
    <w:rsid w:val="000E5CC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locked/>
    <w:rsid w:val="000E5CC4"/>
    <w:rPr>
      <w:rFonts w:eastAsiaTheme="minorEastAsia" w:cs="Times New Roman"/>
      <w:color w:val="5A5A5A" w:themeColor="text1" w:themeTint="A5"/>
      <w:spacing w:val="15"/>
    </w:rPr>
  </w:style>
  <w:style w:type="character" w:styleId="SubtleEmphasis">
    <w:name w:val="Subtle Emphasis"/>
    <w:basedOn w:val="DefaultParagraphFont"/>
    <w:uiPriority w:val="19"/>
    <w:qFormat/>
    <w:rsid w:val="000E5CC4"/>
    <w:rPr>
      <w:rFonts w:cs="Times New Roman"/>
      <w:i/>
      <w:iCs/>
      <w:color w:val="404040" w:themeColor="text1" w:themeTint="BF"/>
    </w:rPr>
  </w:style>
  <w:style w:type="character" w:styleId="SubtleReference">
    <w:name w:val="Subtle Reference"/>
    <w:basedOn w:val="DefaultParagraphFont"/>
    <w:uiPriority w:val="31"/>
    <w:qFormat/>
    <w:rsid w:val="000E5CC4"/>
    <w:rPr>
      <w:rFonts w:cs="Times New Roman"/>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0E5CC4"/>
    <w:pPr>
      <w:spacing w:after="113" w:line="240" w:lineRule="atLeast"/>
    </w:pPr>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0E5CC4"/>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0E5CC4"/>
    <w:rPr>
      <w:rFonts w:asciiTheme="majorHAnsi" w:eastAsiaTheme="majorEastAsia" w:hAnsiTheme="majorHAnsi" w:cs="Times New Roman"/>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b/>
      <w:bCs/>
      <w:sz w:val="24"/>
      <w:szCs w:val="24"/>
    </w:rPr>
  </w:style>
  <w:style w:type="paragraph" w:customStyle="1" w:styleId="LetterName">
    <w:name w:val="LetterName"/>
    <w:basedOn w:val="LetterBodyCopy"/>
    <w:uiPriority w:val="99"/>
    <w:rsid w:val="00CA3916"/>
    <w:pPr>
      <w:spacing w:before="0" w:after="0"/>
    </w:pPr>
    <w:rPr>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caps/>
      <w:sz w:val="14"/>
      <w:szCs w:val="20"/>
    </w:rPr>
  </w:style>
  <w:style w:type="paragraph" w:customStyle="1" w:styleId="HeaderAddress">
    <w:name w:val="HeaderAddress"/>
    <w:basedOn w:val="Normal"/>
    <w:rsid w:val="00FA378F"/>
    <w:pPr>
      <w:spacing w:after="0" w:line="240" w:lineRule="auto"/>
    </w:pPr>
    <w:rPr>
      <w:rFonts w:asciiTheme="minorHAnsi" w:hAnsiTheme="minorHAnsi"/>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ind w:left="248"/>
    </w:pPr>
    <w:rPr>
      <w:caps/>
      <w:color w:val="FFFEFF"/>
      <w:spacing w:val="110"/>
      <w:sz w:val="38"/>
    </w:rPr>
  </w:style>
  <w:style w:type="paragraph" w:customStyle="1" w:styleId="Exec-SubHeadBanner">
    <w:name w:val="Exec - SubHead (Banner)"/>
    <w:basedOn w:val="Exec-HeadingBanner"/>
    <w:qFormat/>
    <w:rsid w:val="00341438"/>
    <w:pPr>
      <w:numPr>
        <w:numId w:val="20"/>
      </w:numPr>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FB0F16"/>
    <w:pPr>
      <w:keepNext/>
      <w:spacing w:before="40" w:after="40"/>
      <w:ind w:right="120"/>
    </w:pPr>
    <w:rPr>
      <w:b/>
      <w:color w:val="FFFEFF"/>
      <w:sz w:val="20"/>
    </w:rPr>
  </w:style>
  <w:style w:type="paragraph" w:customStyle="1" w:styleId="Tabletext">
    <w:name w:val="Table text"/>
    <w:basedOn w:val="Normal"/>
    <w:qFormat/>
    <w:rsid w:val="00FB0F16"/>
    <w:pPr>
      <w:spacing w:before="60" w:after="0"/>
      <w:ind w:right="120"/>
    </w:pPr>
    <w:rPr>
      <w:color w:val="000100"/>
      <w:sz w:val="2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hAnsi="Novecento Book"/>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5F68B2"/>
    <w:pPr>
      <w:keepNext/>
      <w:numPr>
        <w:ilvl w:val="1"/>
        <w:numId w:val="23"/>
      </w:numPr>
      <w:spacing w:after="0"/>
      <w:contextualSpacing/>
    </w:pPr>
    <w:rPr>
      <w:sz w:val="20"/>
    </w:rPr>
  </w:style>
  <w:style w:type="paragraph" w:customStyle="1" w:styleId="BoxListBullet3">
    <w:name w:val="Box List Bullet 3"/>
    <w:basedOn w:val="Normal"/>
    <w:qFormat/>
    <w:rsid w:val="005F68B2"/>
    <w:pPr>
      <w:keepNext/>
      <w:numPr>
        <w:ilvl w:val="2"/>
        <w:numId w:val="23"/>
      </w:numPr>
      <w:spacing w:after="60"/>
      <w:contextualSpacing/>
    </w:pPr>
    <w:rPr>
      <w:sz w:val="20"/>
    </w:r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5F68B2"/>
    <w:pPr>
      <w:keepNext/>
      <w:numPr>
        <w:numId w:val="33"/>
      </w:numPr>
      <w:spacing w:before="60" w:after="60"/>
      <w:contextualSpacing/>
    </w:pPr>
    <w:rPr>
      <w:sz w:val="20"/>
    </w:rPr>
  </w:style>
  <w:style w:type="paragraph" w:customStyle="1" w:styleId="BoxListNumber2">
    <w:name w:val="Box List Number 2"/>
    <w:basedOn w:val="BoxText"/>
    <w:qFormat/>
    <w:rsid w:val="008D2B4E"/>
    <w:pPr>
      <w:numPr>
        <w:ilvl w:val="1"/>
        <w:numId w:val="33"/>
      </w:numPr>
      <w:spacing w:after="0"/>
      <w:contextualSpacing/>
    </w:pPr>
  </w:style>
  <w:style w:type="paragraph" w:customStyle="1" w:styleId="BoxListNumber3">
    <w:name w:val="Box List Number 3"/>
    <w:basedOn w:val="BoxText"/>
    <w:qFormat/>
    <w:rsid w:val="000A05D0"/>
    <w:pPr>
      <w:numPr>
        <w:ilvl w:val="2"/>
        <w:numId w:val="33"/>
      </w:numPr>
      <w:spacing w:before="0"/>
      <w:contextualSpacing/>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FA774D"/>
    <w:pPr>
      <w:keepNext/>
      <w:keepLines/>
      <w:spacing w:before="40" w:after="0" w:line="180" w:lineRule="exact"/>
    </w:pPr>
    <w:rPr>
      <w:rFonts w:ascii="Arial Narrow" w:hAnsi="Arial Narrow" w:cs="Times New Roman"/>
      <w:sz w:val="14"/>
      <w:szCs w:val="24"/>
      <w:lang w:val="en-AU"/>
    </w:rPr>
  </w:style>
  <w:style w:type="character" w:customStyle="1" w:styleId="Notelabel">
    <w:name w:val="Note label"/>
    <w:basedOn w:val="DefaultParagraphFont"/>
    <w:rsid w:val="00F92CF4"/>
    <w:rPr>
      <w:rFonts w:ascii="Arial" w:hAnsi="Arial" w:cs="Times New Roman"/>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tabs>
        <w:tab w:val="num" w:pos="0"/>
      </w:tabs>
      <w:spacing w:before="0"/>
    </w:pPr>
  </w:style>
  <w:style w:type="paragraph" w:customStyle="1" w:styleId="Tablelistbullet3">
    <w:name w:val="Table list bullet 3"/>
    <w:basedOn w:val="Tabletext"/>
    <w:qFormat/>
    <w:rsid w:val="00CD10AE"/>
    <w:pPr>
      <w:numPr>
        <w:ilvl w:val="2"/>
        <w:numId w:val="32"/>
      </w:numPr>
      <w:spacing w:before="0"/>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cs="Times New Roma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spacing w:beforeLines="0" w:before="0" w:beforeAutospacing="0" w:afterLines="0" w:after="0" w:afterAutospacing="0" w:line="240" w:lineRule="atLeast"/>
        <w:ind w:leftChars="0" w:left="0" w:rightChars="0" w:right="0" w:firstLineChars="0" w:firstLine="0"/>
        <w:contextualSpacing/>
        <w:mirrorIndents/>
        <w:jc w:val="left"/>
      </w:pPr>
      <w:rPr>
        <w:rFonts w:ascii="Marigold" w:hAnsi="Marigold" w:cs="Times New Roman"/>
        <w:color w:val="FFFEFF"/>
      </w:rPr>
      <w:tblPr/>
      <w:tcPr>
        <w:tcBorders>
          <w:top w:val="nil"/>
          <w:left w:val="nil"/>
          <w:bottom w:val="nil"/>
          <w:right w:val="nil"/>
          <w:insideH w:val="nil"/>
          <w:insideV w:val="nil"/>
          <w:tl2br w:val="nil"/>
          <w:tr2bl w:val="nil"/>
        </w:tcBorders>
        <w:shd w:val="clear" w:color="auto" w:fill="9757A6"/>
      </w:tcPr>
    </w:tblStylePr>
    <w:tblStylePr w:type="lastRow">
      <w:pPr>
        <w:spacing w:beforeLines="0" w:before="0" w:beforeAutospacing="0" w:afterLines="0" w:after="0" w:afterAutospacing="0" w:line="240" w:lineRule="atLeast"/>
      </w:pPr>
      <w:rPr>
        <w:rFonts w:ascii="Arial Narrow" w:hAnsi="Arial Narrow" w:cs="Times New Roman"/>
        <w:sz w:val="20"/>
      </w:rPr>
    </w:tblStylePr>
  </w:style>
  <w:style w:type="paragraph" w:customStyle="1" w:styleId="Headingglossary">
    <w:name w:val="Heading (glossary)"/>
    <w:basedOn w:val="Chpt-HeadingBanner"/>
    <w:qFormat/>
    <w:rsid w:val="00E16C89"/>
    <w:pPr>
      <w:ind w:left="248"/>
    </w:pPr>
    <w:rPr>
      <w:rFonts w:ascii="Arial Narrow" w:hAnsi="Arial Narrow"/>
      <w:caps/>
      <w:sz w:val="3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before="240" w:after="48"/>
      <w:outlineLvl w:val="2"/>
    </w:pPr>
    <w:rPr>
      <w:b/>
    </w:r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6"/>
      </w:numPr>
    </w:pPr>
  </w:style>
  <w:style w:type="paragraph" w:customStyle="1" w:styleId="SideNoteBullet">
    <w:name w:val="SideNote Bullet"/>
    <w:basedOn w:val="SideNoteRegularLeft"/>
    <w:rsid w:val="00755631"/>
    <w:pPr>
      <w:numPr>
        <w:ilvl w:val="1"/>
        <w:numId w:val="36"/>
      </w:numPr>
      <w:spacing w:before="0" w:after="64"/>
    </w:pPr>
  </w:style>
  <w:style w:type="paragraph" w:customStyle="1" w:styleId="HeadingChapter">
    <w:name w:val="Heading (Chapter)"/>
    <w:basedOn w:val="Normal-nospace"/>
    <w:qFormat/>
    <w:rsid w:val="00C05BFC"/>
    <w:pPr>
      <w:spacing w:line="3200" w:lineRule="exact"/>
      <w:ind w:left="216"/>
      <w:jc w:val="right"/>
    </w:pPr>
    <w:rPr>
      <w:rFonts w:ascii="Bodoni MT" w:hAnsi="Bodoni MT"/>
      <w:noProof/>
      <w:color w:val="FFFEFF"/>
      <w:spacing w:val="-240"/>
      <w:sz w:val="330"/>
    </w:rPr>
  </w:style>
  <w:style w:type="paragraph" w:customStyle="1" w:styleId="HeadingAppendix">
    <w:name w:val="Heading (Appendix)"/>
    <w:basedOn w:val="BodyText"/>
    <w:qFormat/>
    <w:rsid w:val="00B30D11"/>
    <w:pPr>
      <w:spacing w:line="3200" w:lineRule="exact"/>
      <w:ind w:left="216" w:firstLine="72"/>
      <w:jc w:val="right"/>
    </w:pPr>
    <w:rPr>
      <w:rFonts w:ascii="Bodoni MT" w:hAnsi="Bodoni MT"/>
      <w:noProof/>
      <w:color w:val="FFFEFF"/>
      <w:spacing w:val="-160"/>
      <w:sz w:val="330"/>
    </w:rPr>
  </w:style>
  <w:style w:type="paragraph" w:customStyle="1" w:styleId="Heading4nonumber">
    <w:name w:val="Heading 4 (no number)"/>
    <w:basedOn w:val="Normal"/>
    <w:next w:val="BodyText"/>
    <w:qFormat/>
    <w:rsid w:val="004F0A14"/>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rFonts w:ascii="Arial Narrow" w:hAnsi="Arial Narrow"/>
      <w:caps/>
      <w:sz w:val="3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5"/>
      </w:numPr>
      <w:spacing w:before="60" w:after="60"/>
    </w:pPr>
  </w:style>
  <w:style w:type="paragraph" w:customStyle="1" w:styleId="ListDash2">
    <w:name w:val="List Dash 2"/>
    <w:basedOn w:val="Normal"/>
    <w:qFormat/>
    <w:rsid w:val="009005D5"/>
    <w:pPr>
      <w:numPr>
        <w:ilvl w:val="1"/>
        <w:numId w:val="35"/>
      </w:numPr>
      <w:spacing w:after="60"/>
      <w:contextualSpacing/>
    </w:pPr>
  </w:style>
  <w:style w:type="paragraph" w:customStyle="1" w:styleId="ListDash3">
    <w:name w:val="List Dash 3"/>
    <w:basedOn w:val="Normal"/>
    <w:qFormat/>
    <w:rsid w:val="009005D5"/>
    <w:pPr>
      <w:numPr>
        <w:ilvl w:val="2"/>
        <w:numId w:val="35"/>
      </w:numPr>
      <w:spacing w:after="60"/>
      <w:contextualSpacing/>
    </w:pPr>
  </w:style>
  <w:style w:type="character" w:customStyle="1" w:styleId="SourceChar">
    <w:name w:val="Source Char"/>
    <w:basedOn w:val="DefaultParagraphFont"/>
    <w:link w:val="Source"/>
    <w:locked/>
    <w:rsid w:val="00806152"/>
    <w:rPr>
      <w:rFonts w:ascii="Arial Narrow" w:hAnsi="Arial Narrow" w:cs="Times New Roman"/>
      <w:i/>
      <w:caps/>
      <w:spacing w:val="-3"/>
      <w:sz w:val="14"/>
      <w:lang w:val="en-AU" w:eastAsia="x-none"/>
    </w:r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 w:type="table" w:customStyle="1" w:styleId="TableGrid20">
    <w:name w:val="Table Grid2"/>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Label">
    <w:name w:val="StationeryLabel"/>
    <w:basedOn w:val="Normal"/>
    <w:qFormat/>
    <w:rsid w:val="00D60BA9"/>
    <w:pPr>
      <w:spacing w:before="20" w:after="0" w:line="240" w:lineRule="auto"/>
    </w:pPr>
    <w:rPr>
      <w:rFonts w:eastAsia="PMingLiU"/>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Type">
    <w:name w:val="StationeryType"/>
    <w:basedOn w:val="Normal"/>
    <w:qFormat/>
    <w:rsid w:val="006F5038"/>
    <w:pPr>
      <w:spacing w:after="104" w:line="240" w:lineRule="auto"/>
      <w:contextualSpacing/>
    </w:pPr>
    <w:rPr>
      <w:rFonts w:eastAsia="PMingLiU"/>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sz w:val="20"/>
      <w:szCs w:val="20"/>
      <w:lang w:eastAsia="zh-TW"/>
    </w:rPr>
  </w:style>
  <w:style w:type="table" w:customStyle="1" w:styleId="GridTable1Light10">
    <w:name w:val="Grid Table 1 Light1"/>
    <w:basedOn w:val="TableNormal"/>
    <w:uiPriority w:val="46"/>
    <w:rsid w:val="00316B0A"/>
    <w:pPr>
      <w:spacing w:after="0"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GridTable1Light-Accent110">
    <w:name w:val="Grid Table 1 Light - Accent 11"/>
    <w:basedOn w:val="TableNormal"/>
    <w:uiPriority w:val="46"/>
    <w:rsid w:val="00316B0A"/>
    <w:pPr>
      <w:spacing w:after="0" w:line="240" w:lineRule="auto"/>
    </w:pPr>
    <w:rPr>
      <w:rFonts w:cs="Times New Roman"/>
    </w:r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rFonts w:cs="Times New Roman"/>
        <w:b/>
        <w:bCs/>
      </w:rPr>
      <w:tblPr/>
      <w:tcPr>
        <w:tcBorders>
          <w:bottom w:val="single" w:sz="12" w:space="0" w:color="C099CA" w:themeColor="accent1" w:themeTint="99"/>
        </w:tcBorders>
      </w:tcPr>
    </w:tblStylePr>
    <w:tblStylePr w:type="lastRow">
      <w:rPr>
        <w:rFonts w:cs="Times New Roman"/>
        <w:b/>
        <w:bCs/>
      </w:rPr>
      <w:tblPr/>
      <w:tcPr>
        <w:tcBorders>
          <w:top w:val="double" w:sz="2" w:space="0" w:color="C099CA"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1Light-Accent210">
    <w:name w:val="Grid Table 1 Light - Accent 21"/>
    <w:basedOn w:val="TableNormal"/>
    <w:uiPriority w:val="46"/>
    <w:rsid w:val="00316B0A"/>
    <w:pPr>
      <w:spacing w:after="0" w:line="240" w:lineRule="auto"/>
    </w:pPr>
    <w:rPr>
      <w:rFonts w:cs="Times New Roman"/>
    </w:r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rFonts w:cs="Times New Roman"/>
        <w:b/>
        <w:bCs/>
      </w:rPr>
      <w:tblPr/>
      <w:tcPr>
        <w:tcBorders>
          <w:bottom w:val="single" w:sz="12" w:space="0" w:color="FFCE89" w:themeColor="accent2" w:themeTint="99"/>
        </w:tcBorders>
      </w:tcPr>
    </w:tblStylePr>
    <w:tblStylePr w:type="lastRow">
      <w:rPr>
        <w:rFonts w:cs="Times New Roman"/>
        <w:b/>
        <w:bCs/>
      </w:rPr>
      <w:tblPr/>
      <w:tcPr>
        <w:tcBorders>
          <w:top w:val="double" w:sz="2" w:space="0" w:color="FFCE89" w:themeColor="accent2" w:themeTint="99"/>
        </w:tcBorders>
      </w:tcPr>
    </w:tblStylePr>
    <w:tblStylePr w:type="firstCol">
      <w:rPr>
        <w:rFonts w:cs="Times New Roman"/>
        <w:b/>
        <w:bCs/>
      </w:rPr>
    </w:tblStylePr>
    <w:tblStylePr w:type="lastCol">
      <w:rPr>
        <w:rFonts w:cs="Times New Roman"/>
        <w:b/>
        <w:bCs/>
      </w:rPr>
    </w:tblStylePr>
  </w:style>
  <w:style w:type="table" w:customStyle="1" w:styleId="GridTable1Light-Accent310">
    <w:name w:val="Grid Table 1 Light - Accent 31"/>
    <w:basedOn w:val="TableNormal"/>
    <w:uiPriority w:val="46"/>
    <w:rsid w:val="00316B0A"/>
    <w:pPr>
      <w:spacing w:after="0" w:line="240" w:lineRule="auto"/>
    </w:pPr>
    <w:rPr>
      <w:rFonts w:cs="Times New Roma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GridTable1Light-Accent410">
    <w:name w:val="Grid Table 1 Light - Accent 41"/>
    <w:basedOn w:val="TableNormal"/>
    <w:uiPriority w:val="46"/>
    <w:rsid w:val="00316B0A"/>
    <w:pPr>
      <w:spacing w:after="0" w:line="240" w:lineRule="auto"/>
    </w:pPr>
    <w:rPr>
      <w:rFonts w:cs="Times New Roman"/>
    </w:r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rFonts w:cs="Times New Roman"/>
        <w:b/>
        <w:bCs/>
      </w:rPr>
      <w:tblPr/>
      <w:tcPr>
        <w:tcBorders>
          <w:bottom w:val="single" w:sz="12" w:space="0" w:color="D3B8D9" w:themeColor="accent4" w:themeTint="99"/>
        </w:tcBorders>
      </w:tcPr>
    </w:tblStylePr>
    <w:tblStylePr w:type="lastRow">
      <w:rPr>
        <w:rFonts w:cs="Times New Roman"/>
        <w:b/>
        <w:bCs/>
      </w:rPr>
      <w:tblPr/>
      <w:tcPr>
        <w:tcBorders>
          <w:top w:val="double" w:sz="2" w:space="0" w:color="D3B8D9" w:themeColor="accent4" w:themeTint="99"/>
        </w:tcBorders>
      </w:tcPr>
    </w:tblStylePr>
    <w:tblStylePr w:type="firstCol">
      <w:rPr>
        <w:rFonts w:cs="Times New Roman"/>
        <w:b/>
        <w:bCs/>
      </w:rPr>
    </w:tblStylePr>
    <w:tblStylePr w:type="lastCol">
      <w:rPr>
        <w:rFonts w:cs="Times New Roman"/>
        <w:b/>
        <w:bCs/>
      </w:rPr>
    </w:tblStylePr>
  </w:style>
  <w:style w:type="table" w:customStyle="1" w:styleId="GridTable1Light-Accent510">
    <w:name w:val="Grid Table 1 Light - Accent 51"/>
    <w:basedOn w:val="TableNormal"/>
    <w:uiPriority w:val="46"/>
    <w:rsid w:val="00316B0A"/>
    <w:pPr>
      <w:spacing w:after="0" w:line="240" w:lineRule="auto"/>
    </w:pPr>
    <w:rPr>
      <w:rFonts w:cs="Times New Roman"/>
    </w:r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rFonts w:cs="Times New Roman"/>
        <w:b/>
        <w:bCs/>
      </w:rPr>
      <w:tblPr/>
      <w:tcPr>
        <w:tcBorders>
          <w:bottom w:val="single" w:sz="12" w:space="0" w:color="FFBB59" w:themeColor="accent5" w:themeTint="99"/>
        </w:tcBorders>
      </w:tcPr>
    </w:tblStylePr>
    <w:tblStylePr w:type="lastRow">
      <w:rPr>
        <w:rFonts w:cs="Times New Roman"/>
        <w:b/>
        <w:bCs/>
      </w:rPr>
      <w:tblPr/>
      <w:tcPr>
        <w:tcBorders>
          <w:top w:val="double" w:sz="2" w:space="0" w:color="FFBB59" w:themeColor="accent5" w:themeTint="99"/>
        </w:tcBorders>
      </w:tcPr>
    </w:tblStylePr>
    <w:tblStylePr w:type="firstCol">
      <w:rPr>
        <w:rFonts w:cs="Times New Roman"/>
        <w:b/>
        <w:bCs/>
      </w:rPr>
    </w:tblStylePr>
    <w:tblStylePr w:type="lastCol">
      <w:rPr>
        <w:rFonts w:cs="Times New Roman"/>
        <w:b/>
        <w:bCs/>
      </w:rPr>
    </w:tblStylePr>
  </w:style>
  <w:style w:type="table" w:customStyle="1" w:styleId="GridTable1Light-Accent610">
    <w:name w:val="Grid Table 1 Light - Accent 61"/>
    <w:basedOn w:val="TableNormal"/>
    <w:uiPriority w:val="46"/>
    <w:rsid w:val="00316B0A"/>
    <w:pPr>
      <w:spacing w:after="0" w:line="240" w:lineRule="auto"/>
    </w:pPr>
    <w:rPr>
      <w:rFonts w:cs="Times New Roman"/>
    </w:r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rFonts w:cs="Times New Roman"/>
        <w:b/>
        <w:bCs/>
      </w:rPr>
      <w:tblPr/>
      <w:tcPr>
        <w:tcBorders>
          <w:bottom w:val="single" w:sz="12" w:space="0" w:color="D8D8D8" w:themeColor="accent6" w:themeTint="99"/>
        </w:tcBorders>
      </w:tcPr>
    </w:tblStylePr>
    <w:tblStylePr w:type="lastRow">
      <w:rPr>
        <w:rFonts w:cs="Times New Roman"/>
        <w:b/>
        <w:bCs/>
      </w:rPr>
      <w:tblPr/>
      <w:tcPr>
        <w:tcBorders>
          <w:top w:val="double" w:sz="2" w:space="0" w:color="D8D8D8" w:themeColor="accent6" w:themeTint="99"/>
        </w:tcBorders>
      </w:tcPr>
    </w:tblStylePr>
    <w:tblStylePr w:type="firstCol">
      <w:rPr>
        <w:rFonts w:cs="Times New Roman"/>
        <w:b/>
        <w:bCs/>
      </w:rPr>
    </w:tblStylePr>
    <w:tblStylePr w:type="lastCol">
      <w:rPr>
        <w:rFonts w:cs="Times New Roman"/>
        <w:b/>
        <w:bCs/>
      </w:rPr>
    </w:tblStylePr>
  </w:style>
  <w:style w:type="table" w:customStyle="1" w:styleId="GridTable210">
    <w:name w:val="Grid Table 21"/>
    <w:basedOn w:val="TableNormal"/>
    <w:uiPriority w:val="47"/>
    <w:rsid w:val="00316B0A"/>
    <w:pPr>
      <w:spacing w:after="0" w:line="240" w:lineRule="auto"/>
    </w:pPr>
    <w:rPr>
      <w:rFonts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2-Accent110">
    <w:name w:val="Grid Table 2 - Accent 11"/>
    <w:basedOn w:val="TableNormal"/>
    <w:uiPriority w:val="47"/>
    <w:rsid w:val="00316B0A"/>
    <w:pPr>
      <w:spacing w:after="0" w:line="240" w:lineRule="auto"/>
    </w:pPr>
    <w:rPr>
      <w:rFonts w:cs="Times New Roman"/>
    </w:r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rFonts w:cs="Times New Roman"/>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2-Accent210">
    <w:name w:val="Grid Table 2 - Accent 21"/>
    <w:basedOn w:val="TableNormal"/>
    <w:uiPriority w:val="47"/>
    <w:rsid w:val="00316B0A"/>
    <w:pPr>
      <w:spacing w:after="0" w:line="240" w:lineRule="auto"/>
    </w:pPr>
    <w:rPr>
      <w:rFonts w:cs="Times New Roman"/>
    </w:r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rFonts w:cs="Times New Roman"/>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rFonts w:cs="Times New Roman"/>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2-Accent310">
    <w:name w:val="Grid Table 2 - Accent 31"/>
    <w:basedOn w:val="TableNormal"/>
    <w:uiPriority w:val="47"/>
    <w:rsid w:val="00316B0A"/>
    <w:pPr>
      <w:spacing w:after="0" w:line="240" w:lineRule="auto"/>
    </w:pPr>
    <w:rPr>
      <w:rFonts w:cs="Times New Roma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rFonts w:cs="Times New Roman"/>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2-Accent410">
    <w:name w:val="Grid Table 2 - Accent 41"/>
    <w:basedOn w:val="TableNormal"/>
    <w:uiPriority w:val="47"/>
    <w:rsid w:val="00316B0A"/>
    <w:pPr>
      <w:spacing w:after="0" w:line="240" w:lineRule="auto"/>
    </w:pPr>
    <w:rPr>
      <w:rFonts w:cs="Times New Roman"/>
    </w:r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rFonts w:cs="Times New Roman"/>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rFonts w:cs="Times New Roman"/>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2-Accent510">
    <w:name w:val="Grid Table 2 - Accent 51"/>
    <w:basedOn w:val="TableNormal"/>
    <w:uiPriority w:val="47"/>
    <w:rsid w:val="00316B0A"/>
    <w:pPr>
      <w:spacing w:after="0" w:line="240" w:lineRule="auto"/>
    </w:pPr>
    <w:rPr>
      <w:rFonts w:cs="Times New Roman"/>
    </w:r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rFonts w:cs="Times New Roman"/>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rFonts w:cs="Times New Roman"/>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2-Accent610">
    <w:name w:val="Grid Table 2 - Accent 61"/>
    <w:basedOn w:val="TableNormal"/>
    <w:uiPriority w:val="47"/>
    <w:rsid w:val="00316B0A"/>
    <w:pPr>
      <w:spacing w:after="0" w:line="240" w:lineRule="auto"/>
    </w:pPr>
    <w:rPr>
      <w:rFonts w:cs="Times New Roman"/>
    </w:r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rFonts w:cs="Times New Roman"/>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rFonts w:cs="Times New Roman"/>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310">
    <w:name w:val="Grid Table 31"/>
    <w:basedOn w:val="TableNormal"/>
    <w:uiPriority w:val="48"/>
    <w:rsid w:val="00316B0A"/>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GridTable3-Accent110">
    <w:name w:val="Grid Table 3 - Accent 11"/>
    <w:basedOn w:val="TableNormal"/>
    <w:uiPriority w:val="48"/>
    <w:rsid w:val="00316B0A"/>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bottom w:val="single" w:sz="4" w:space="0" w:color="C099CA" w:themeColor="accent1" w:themeTint="99"/>
        </w:tcBorders>
      </w:tcPr>
    </w:tblStylePr>
    <w:tblStylePr w:type="nwCell">
      <w:rPr>
        <w:rFonts w:cs="Times New Roman"/>
      </w:rPr>
      <w:tblPr/>
      <w:tcPr>
        <w:tcBorders>
          <w:bottom w:val="single" w:sz="4" w:space="0" w:color="C099CA" w:themeColor="accent1" w:themeTint="99"/>
        </w:tcBorders>
      </w:tcPr>
    </w:tblStylePr>
    <w:tblStylePr w:type="seCell">
      <w:rPr>
        <w:rFonts w:cs="Times New Roman"/>
      </w:rPr>
      <w:tblPr/>
      <w:tcPr>
        <w:tcBorders>
          <w:top w:val="single" w:sz="4" w:space="0" w:color="C099CA" w:themeColor="accent1" w:themeTint="99"/>
        </w:tcBorders>
      </w:tcPr>
    </w:tblStylePr>
    <w:tblStylePr w:type="swCell">
      <w:rPr>
        <w:rFonts w:cs="Times New Roman"/>
      </w:rPr>
      <w:tblPr/>
      <w:tcPr>
        <w:tcBorders>
          <w:top w:val="single" w:sz="4" w:space="0" w:color="C099CA" w:themeColor="accent1" w:themeTint="99"/>
        </w:tcBorders>
      </w:tcPr>
    </w:tblStylePr>
  </w:style>
  <w:style w:type="table" w:customStyle="1" w:styleId="GridTable3-Accent210">
    <w:name w:val="Grid Table 3 - Accent 21"/>
    <w:basedOn w:val="TableNormal"/>
    <w:uiPriority w:val="48"/>
    <w:rsid w:val="00316B0A"/>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bottom w:val="single" w:sz="4" w:space="0" w:color="FFCE89" w:themeColor="accent2" w:themeTint="99"/>
        </w:tcBorders>
      </w:tcPr>
    </w:tblStylePr>
    <w:tblStylePr w:type="nwCell">
      <w:rPr>
        <w:rFonts w:cs="Times New Roman"/>
      </w:rPr>
      <w:tblPr/>
      <w:tcPr>
        <w:tcBorders>
          <w:bottom w:val="single" w:sz="4" w:space="0" w:color="FFCE89" w:themeColor="accent2" w:themeTint="99"/>
        </w:tcBorders>
      </w:tcPr>
    </w:tblStylePr>
    <w:tblStylePr w:type="seCell">
      <w:rPr>
        <w:rFonts w:cs="Times New Roman"/>
      </w:rPr>
      <w:tblPr/>
      <w:tcPr>
        <w:tcBorders>
          <w:top w:val="single" w:sz="4" w:space="0" w:color="FFCE89" w:themeColor="accent2" w:themeTint="99"/>
        </w:tcBorders>
      </w:tcPr>
    </w:tblStylePr>
    <w:tblStylePr w:type="swCell">
      <w:rPr>
        <w:rFonts w:cs="Times New Roman"/>
      </w:rPr>
      <w:tblPr/>
      <w:tcPr>
        <w:tcBorders>
          <w:top w:val="single" w:sz="4" w:space="0" w:color="FFCE89" w:themeColor="accent2" w:themeTint="99"/>
        </w:tcBorders>
      </w:tcPr>
    </w:tblStylePr>
  </w:style>
  <w:style w:type="table" w:customStyle="1" w:styleId="GridTable3-Accent310">
    <w:name w:val="Grid Table 3 - Accent 31"/>
    <w:basedOn w:val="TableNormal"/>
    <w:uiPriority w:val="48"/>
    <w:rsid w:val="00316B0A"/>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bottom w:val="single" w:sz="4" w:space="0" w:color="C9C9C9" w:themeColor="accent3" w:themeTint="99"/>
        </w:tcBorders>
      </w:tcPr>
    </w:tblStylePr>
    <w:tblStylePr w:type="nwCell">
      <w:rPr>
        <w:rFonts w:cs="Times New Roman"/>
      </w:rPr>
      <w:tblPr/>
      <w:tcPr>
        <w:tcBorders>
          <w:bottom w:val="single" w:sz="4" w:space="0" w:color="C9C9C9" w:themeColor="accent3" w:themeTint="99"/>
        </w:tcBorders>
      </w:tcPr>
    </w:tblStylePr>
    <w:tblStylePr w:type="seCell">
      <w:rPr>
        <w:rFonts w:cs="Times New Roman"/>
      </w:rPr>
      <w:tblPr/>
      <w:tcPr>
        <w:tcBorders>
          <w:top w:val="single" w:sz="4" w:space="0" w:color="C9C9C9" w:themeColor="accent3" w:themeTint="99"/>
        </w:tcBorders>
      </w:tcPr>
    </w:tblStylePr>
    <w:tblStylePr w:type="swCell">
      <w:rPr>
        <w:rFonts w:cs="Times New Roman"/>
      </w:rPr>
      <w:tblPr/>
      <w:tcPr>
        <w:tcBorders>
          <w:top w:val="single" w:sz="4" w:space="0" w:color="C9C9C9" w:themeColor="accent3" w:themeTint="99"/>
        </w:tcBorders>
      </w:tcPr>
    </w:tblStylePr>
  </w:style>
  <w:style w:type="table" w:customStyle="1" w:styleId="GridTable3-Accent410">
    <w:name w:val="Grid Table 3 - Accent 41"/>
    <w:basedOn w:val="TableNormal"/>
    <w:uiPriority w:val="48"/>
    <w:rsid w:val="00316B0A"/>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bottom w:val="single" w:sz="4" w:space="0" w:color="D3B8D9" w:themeColor="accent4" w:themeTint="99"/>
        </w:tcBorders>
      </w:tcPr>
    </w:tblStylePr>
    <w:tblStylePr w:type="nwCell">
      <w:rPr>
        <w:rFonts w:cs="Times New Roman"/>
      </w:rPr>
      <w:tblPr/>
      <w:tcPr>
        <w:tcBorders>
          <w:bottom w:val="single" w:sz="4" w:space="0" w:color="D3B8D9" w:themeColor="accent4" w:themeTint="99"/>
        </w:tcBorders>
      </w:tcPr>
    </w:tblStylePr>
    <w:tblStylePr w:type="seCell">
      <w:rPr>
        <w:rFonts w:cs="Times New Roman"/>
      </w:rPr>
      <w:tblPr/>
      <w:tcPr>
        <w:tcBorders>
          <w:top w:val="single" w:sz="4" w:space="0" w:color="D3B8D9" w:themeColor="accent4" w:themeTint="99"/>
        </w:tcBorders>
      </w:tcPr>
    </w:tblStylePr>
    <w:tblStylePr w:type="swCell">
      <w:rPr>
        <w:rFonts w:cs="Times New Roman"/>
      </w:rPr>
      <w:tblPr/>
      <w:tcPr>
        <w:tcBorders>
          <w:top w:val="single" w:sz="4" w:space="0" w:color="D3B8D9" w:themeColor="accent4" w:themeTint="99"/>
        </w:tcBorders>
      </w:tcPr>
    </w:tblStylePr>
  </w:style>
  <w:style w:type="table" w:customStyle="1" w:styleId="GridTable3-Accent510">
    <w:name w:val="Grid Table 3 - Accent 51"/>
    <w:basedOn w:val="TableNormal"/>
    <w:uiPriority w:val="48"/>
    <w:rsid w:val="00316B0A"/>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bottom w:val="single" w:sz="4" w:space="0" w:color="FFBB59" w:themeColor="accent5" w:themeTint="99"/>
        </w:tcBorders>
      </w:tcPr>
    </w:tblStylePr>
    <w:tblStylePr w:type="nwCell">
      <w:rPr>
        <w:rFonts w:cs="Times New Roman"/>
      </w:rPr>
      <w:tblPr/>
      <w:tcPr>
        <w:tcBorders>
          <w:bottom w:val="single" w:sz="4" w:space="0" w:color="FFBB59" w:themeColor="accent5" w:themeTint="99"/>
        </w:tcBorders>
      </w:tcPr>
    </w:tblStylePr>
    <w:tblStylePr w:type="seCell">
      <w:rPr>
        <w:rFonts w:cs="Times New Roman"/>
      </w:rPr>
      <w:tblPr/>
      <w:tcPr>
        <w:tcBorders>
          <w:top w:val="single" w:sz="4" w:space="0" w:color="FFBB59" w:themeColor="accent5" w:themeTint="99"/>
        </w:tcBorders>
      </w:tcPr>
    </w:tblStylePr>
    <w:tblStylePr w:type="swCell">
      <w:rPr>
        <w:rFonts w:cs="Times New Roman"/>
      </w:rPr>
      <w:tblPr/>
      <w:tcPr>
        <w:tcBorders>
          <w:top w:val="single" w:sz="4" w:space="0" w:color="FFBB59" w:themeColor="accent5" w:themeTint="99"/>
        </w:tcBorders>
      </w:tcPr>
    </w:tblStylePr>
  </w:style>
  <w:style w:type="table" w:customStyle="1" w:styleId="GridTable3-Accent610">
    <w:name w:val="Grid Table 3 - Accent 61"/>
    <w:basedOn w:val="TableNormal"/>
    <w:uiPriority w:val="48"/>
    <w:rsid w:val="00316B0A"/>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bottom w:val="single" w:sz="4" w:space="0" w:color="D8D8D8" w:themeColor="accent6" w:themeTint="99"/>
        </w:tcBorders>
      </w:tcPr>
    </w:tblStylePr>
    <w:tblStylePr w:type="nwCell">
      <w:rPr>
        <w:rFonts w:cs="Times New Roman"/>
      </w:rPr>
      <w:tblPr/>
      <w:tcPr>
        <w:tcBorders>
          <w:bottom w:val="single" w:sz="4" w:space="0" w:color="D8D8D8" w:themeColor="accent6" w:themeTint="99"/>
        </w:tcBorders>
      </w:tcPr>
    </w:tblStylePr>
    <w:tblStylePr w:type="seCell">
      <w:rPr>
        <w:rFonts w:cs="Times New Roman"/>
      </w:rPr>
      <w:tblPr/>
      <w:tcPr>
        <w:tcBorders>
          <w:top w:val="single" w:sz="4" w:space="0" w:color="D8D8D8" w:themeColor="accent6" w:themeTint="99"/>
        </w:tcBorders>
      </w:tcPr>
    </w:tblStylePr>
    <w:tblStylePr w:type="swCell">
      <w:rPr>
        <w:rFonts w:cs="Times New Roman"/>
      </w:rPr>
      <w:tblPr/>
      <w:tcPr>
        <w:tcBorders>
          <w:top w:val="single" w:sz="4" w:space="0" w:color="D8D8D8" w:themeColor="accent6" w:themeTint="99"/>
        </w:tcBorders>
      </w:tcPr>
    </w:tblStylePr>
  </w:style>
  <w:style w:type="table" w:customStyle="1" w:styleId="GridTable410">
    <w:name w:val="Grid Table 41"/>
    <w:basedOn w:val="TableNormal"/>
    <w:uiPriority w:val="49"/>
    <w:rsid w:val="00316B0A"/>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4-Accent110">
    <w:name w:val="Grid Table 4 - Accent 11"/>
    <w:basedOn w:val="TableNormal"/>
    <w:uiPriority w:val="49"/>
    <w:rsid w:val="00316B0A"/>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rFonts w:cs="Times New Roman"/>
        <w:b/>
        <w:bCs/>
      </w:rPr>
      <w:tblPr/>
      <w:tcPr>
        <w:tcBorders>
          <w:top w:val="double" w:sz="4"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4-Accent210">
    <w:name w:val="Grid Table 4 - Accent 21"/>
    <w:basedOn w:val="TableNormal"/>
    <w:uiPriority w:val="49"/>
    <w:rsid w:val="00316B0A"/>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rFonts w:cs="Times New Roman"/>
        <w:b/>
        <w:bCs/>
      </w:rPr>
      <w:tblPr/>
      <w:tcPr>
        <w:tcBorders>
          <w:top w:val="double" w:sz="4"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4-Accent310">
    <w:name w:val="Grid Table 4 - Accent 31"/>
    <w:basedOn w:val="TableNormal"/>
    <w:uiPriority w:val="49"/>
    <w:rsid w:val="00316B0A"/>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4-Accent410">
    <w:name w:val="Grid Table 4 - Accent 41"/>
    <w:basedOn w:val="TableNormal"/>
    <w:uiPriority w:val="49"/>
    <w:rsid w:val="00316B0A"/>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rFonts w:cs="Times New Roman"/>
        <w:b/>
        <w:bCs/>
      </w:rPr>
      <w:tblPr/>
      <w:tcPr>
        <w:tcBorders>
          <w:top w:val="double" w:sz="4"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4-Accent510">
    <w:name w:val="Grid Table 4 - Accent 51"/>
    <w:basedOn w:val="TableNormal"/>
    <w:uiPriority w:val="49"/>
    <w:rsid w:val="00316B0A"/>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rFonts w:cs="Times New Roman"/>
        <w:b/>
        <w:bCs/>
      </w:rPr>
      <w:tblPr/>
      <w:tcPr>
        <w:tcBorders>
          <w:top w:val="double" w:sz="4"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4-Accent610">
    <w:name w:val="Grid Table 4 - Accent 61"/>
    <w:basedOn w:val="TableNormal"/>
    <w:uiPriority w:val="49"/>
    <w:rsid w:val="00316B0A"/>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rFonts w:cs="Times New Roman"/>
        <w:b/>
        <w:bCs/>
      </w:rPr>
      <w:tblPr/>
      <w:tcPr>
        <w:tcBorders>
          <w:top w:val="double" w:sz="4"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5Dark10">
    <w:name w:val="Grid Table 5 Dark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customStyle="1" w:styleId="GridTable5Dark-Accent110">
    <w:name w:val="Grid Table 5 Dark - Accent 1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rPr>
        <w:rFonts w:cs="Times New Roman"/>
      </w:rPr>
      <w:tblPr/>
      <w:tcPr>
        <w:shd w:val="clear" w:color="auto" w:fill="D5BBDB" w:themeFill="accent1" w:themeFillTint="66"/>
      </w:tcPr>
    </w:tblStylePr>
    <w:tblStylePr w:type="band1Horz">
      <w:rPr>
        <w:rFonts w:cs="Times New Roman"/>
      </w:rPr>
      <w:tblPr/>
      <w:tcPr>
        <w:shd w:val="clear" w:color="auto" w:fill="D5BBDB" w:themeFill="accent1" w:themeFillTint="66"/>
      </w:tcPr>
    </w:tblStylePr>
  </w:style>
  <w:style w:type="table" w:customStyle="1" w:styleId="GridTable5Dark-Accent210">
    <w:name w:val="Grid Table 5 Dark - Accent 2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rPr>
        <w:rFonts w:cs="Times New Roman"/>
      </w:rPr>
      <w:tblPr/>
      <w:tcPr>
        <w:shd w:val="clear" w:color="auto" w:fill="FFDEB0" w:themeFill="accent2" w:themeFillTint="66"/>
      </w:tcPr>
    </w:tblStylePr>
    <w:tblStylePr w:type="band1Horz">
      <w:rPr>
        <w:rFonts w:cs="Times New Roman"/>
      </w:rPr>
      <w:tblPr/>
      <w:tcPr>
        <w:shd w:val="clear" w:color="auto" w:fill="FFDEB0" w:themeFill="accent2" w:themeFillTint="66"/>
      </w:tcPr>
    </w:tblStylePr>
  </w:style>
  <w:style w:type="table" w:customStyle="1" w:styleId="GridTable5Dark-Accent310">
    <w:name w:val="Grid Table 5 Dark - Accent 3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rPr>
        <w:rFonts w:cs="Times New Roman"/>
      </w:rPr>
      <w:tblPr/>
      <w:tcPr>
        <w:shd w:val="clear" w:color="auto" w:fill="DBDBDB" w:themeFill="accent3" w:themeFillTint="66"/>
      </w:tcPr>
    </w:tblStylePr>
    <w:tblStylePr w:type="band1Horz">
      <w:rPr>
        <w:rFonts w:cs="Times New Roman"/>
      </w:rPr>
      <w:tblPr/>
      <w:tcPr>
        <w:shd w:val="clear" w:color="auto" w:fill="DBDBDB" w:themeFill="accent3" w:themeFillTint="66"/>
      </w:tcPr>
    </w:tblStylePr>
  </w:style>
  <w:style w:type="table" w:customStyle="1" w:styleId="GridTable5Dark-Accent410">
    <w:name w:val="Grid Table 5 Dark - Accent 4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rPr>
        <w:rFonts w:cs="Times New Roman"/>
      </w:rPr>
      <w:tblPr/>
      <w:tcPr>
        <w:shd w:val="clear" w:color="auto" w:fill="E1CFE6" w:themeFill="accent4" w:themeFillTint="66"/>
      </w:tcPr>
    </w:tblStylePr>
    <w:tblStylePr w:type="band1Horz">
      <w:rPr>
        <w:rFonts w:cs="Times New Roman"/>
      </w:rPr>
      <w:tblPr/>
      <w:tcPr>
        <w:shd w:val="clear" w:color="auto" w:fill="E1CFE6" w:themeFill="accent4" w:themeFillTint="66"/>
      </w:tcPr>
    </w:tblStylePr>
  </w:style>
  <w:style w:type="table" w:customStyle="1" w:styleId="GridTable5Dark-Accent510">
    <w:name w:val="Grid Table 5 Dark - Accent 5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rPr>
        <w:rFonts w:cs="Times New Roman"/>
      </w:rPr>
      <w:tblPr/>
      <w:tcPr>
        <w:shd w:val="clear" w:color="auto" w:fill="FFD190" w:themeFill="accent5" w:themeFillTint="66"/>
      </w:tcPr>
    </w:tblStylePr>
    <w:tblStylePr w:type="band1Horz">
      <w:rPr>
        <w:rFonts w:cs="Times New Roman"/>
      </w:rPr>
      <w:tblPr/>
      <w:tcPr>
        <w:shd w:val="clear" w:color="auto" w:fill="FFD190" w:themeFill="accent5" w:themeFillTint="66"/>
      </w:tcPr>
    </w:tblStylePr>
  </w:style>
  <w:style w:type="table" w:customStyle="1" w:styleId="GridTable5Dark-Accent610">
    <w:name w:val="Grid Table 5 Dark - Accent 6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rPr>
        <w:rFonts w:cs="Times New Roman"/>
      </w:rPr>
      <w:tblPr/>
      <w:tcPr>
        <w:shd w:val="clear" w:color="auto" w:fill="E5E5E5" w:themeFill="accent6" w:themeFillTint="66"/>
      </w:tcPr>
    </w:tblStylePr>
    <w:tblStylePr w:type="band1Horz">
      <w:rPr>
        <w:rFonts w:cs="Times New Roman"/>
      </w:rPr>
      <w:tblPr/>
      <w:tcPr>
        <w:shd w:val="clear" w:color="auto" w:fill="E5E5E5" w:themeFill="accent6" w:themeFillTint="66"/>
      </w:tcPr>
    </w:tblStylePr>
  </w:style>
  <w:style w:type="table" w:customStyle="1" w:styleId="GridTable6Colorful10">
    <w:name w:val="Grid Table 6 Colorful1"/>
    <w:basedOn w:val="TableNormal"/>
    <w:uiPriority w:val="51"/>
    <w:rsid w:val="00316B0A"/>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6Colorful-Accent110">
    <w:name w:val="Grid Table 6 Colorful - Accent 11"/>
    <w:basedOn w:val="TableNormal"/>
    <w:uiPriority w:val="51"/>
    <w:rsid w:val="00316B0A"/>
    <w:pPr>
      <w:spacing w:after="0" w:line="240" w:lineRule="auto"/>
    </w:pPr>
    <w:rPr>
      <w:rFonts w:cs="Times New Roman"/>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bottom w:val="single" w:sz="12" w:space="0" w:color="C099CA" w:themeColor="accent1" w:themeTint="99"/>
        </w:tcBorders>
      </w:tcPr>
    </w:tblStylePr>
    <w:tblStylePr w:type="lastRow">
      <w:rPr>
        <w:rFonts w:cs="Times New Roman"/>
        <w:b/>
        <w:bCs/>
      </w:rPr>
      <w:tblPr/>
      <w:tcPr>
        <w:tcBorders>
          <w:top w:val="doub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6Colorful-Accent210">
    <w:name w:val="Grid Table 6 Colorful - Accent 21"/>
    <w:basedOn w:val="TableNormal"/>
    <w:uiPriority w:val="51"/>
    <w:rsid w:val="00316B0A"/>
    <w:pPr>
      <w:spacing w:after="0" w:line="240" w:lineRule="auto"/>
    </w:pPr>
    <w:rPr>
      <w:rFonts w:cs="Times New Roman"/>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bottom w:val="single" w:sz="12" w:space="0" w:color="FFCE89" w:themeColor="accent2" w:themeTint="99"/>
        </w:tcBorders>
      </w:tcPr>
    </w:tblStylePr>
    <w:tblStylePr w:type="lastRow">
      <w:rPr>
        <w:rFonts w:cs="Times New Roman"/>
        <w:b/>
        <w:bCs/>
      </w:rPr>
      <w:tblPr/>
      <w:tcPr>
        <w:tcBorders>
          <w:top w:val="doub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6Colorful-Accent310">
    <w:name w:val="Grid Table 6 Colorful - Accent 31"/>
    <w:basedOn w:val="TableNormal"/>
    <w:uiPriority w:val="51"/>
    <w:rsid w:val="00316B0A"/>
    <w:pPr>
      <w:spacing w:after="0" w:line="240" w:lineRule="auto"/>
    </w:pPr>
    <w:rPr>
      <w:rFonts w:cs="Times New Roman"/>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6Colorful-Accent410">
    <w:name w:val="Grid Table 6 Colorful - Accent 41"/>
    <w:basedOn w:val="TableNormal"/>
    <w:uiPriority w:val="51"/>
    <w:rsid w:val="00316B0A"/>
    <w:pPr>
      <w:spacing w:after="0" w:line="240" w:lineRule="auto"/>
    </w:pPr>
    <w:rPr>
      <w:rFonts w:cs="Times New Roman"/>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bottom w:val="single" w:sz="12" w:space="0" w:color="D3B8D9" w:themeColor="accent4" w:themeTint="99"/>
        </w:tcBorders>
      </w:tcPr>
    </w:tblStylePr>
    <w:tblStylePr w:type="lastRow">
      <w:rPr>
        <w:rFonts w:cs="Times New Roman"/>
        <w:b/>
        <w:bCs/>
      </w:rPr>
      <w:tblPr/>
      <w:tcPr>
        <w:tcBorders>
          <w:top w:val="doub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6Colorful-Accent510">
    <w:name w:val="Grid Table 6 Colorful - Accent 51"/>
    <w:basedOn w:val="TableNormal"/>
    <w:uiPriority w:val="51"/>
    <w:rsid w:val="00316B0A"/>
    <w:pPr>
      <w:spacing w:after="0" w:line="240" w:lineRule="auto"/>
    </w:pPr>
    <w:rPr>
      <w:rFonts w:cs="Times New Roman"/>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bottom w:val="single" w:sz="12" w:space="0" w:color="FFBB59" w:themeColor="accent5" w:themeTint="99"/>
        </w:tcBorders>
      </w:tcPr>
    </w:tblStylePr>
    <w:tblStylePr w:type="lastRow">
      <w:rPr>
        <w:rFonts w:cs="Times New Roman"/>
        <w:b/>
        <w:bCs/>
      </w:rPr>
      <w:tblPr/>
      <w:tcPr>
        <w:tcBorders>
          <w:top w:val="doub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6Colorful-Accent610">
    <w:name w:val="Grid Table 6 Colorful - Accent 61"/>
    <w:basedOn w:val="TableNormal"/>
    <w:uiPriority w:val="51"/>
    <w:rsid w:val="00316B0A"/>
    <w:pPr>
      <w:spacing w:after="0" w:line="240" w:lineRule="auto"/>
    </w:pPr>
    <w:rPr>
      <w:rFonts w:cs="Times New Roman"/>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bottom w:val="single" w:sz="12" w:space="0" w:color="D8D8D8" w:themeColor="accent6" w:themeTint="99"/>
        </w:tcBorders>
      </w:tcPr>
    </w:tblStylePr>
    <w:tblStylePr w:type="lastRow">
      <w:rPr>
        <w:rFonts w:cs="Times New Roman"/>
        <w:b/>
        <w:bCs/>
      </w:rPr>
      <w:tblPr/>
      <w:tcPr>
        <w:tcBorders>
          <w:top w:val="doub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7Colorful10">
    <w:name w:val="Grid Table 7 Colorful1"/>
    <w:basedOn w:val="TableNormal"/>
    <w:uiPriority w:val="52"/>
    <w:rsid w:val="00316B0A"/>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GridTable7Colorful-Accent110">
    <w:name w:val="Grid Table 7 Colorful - Accent 11"/>
    <w:basedOn w:val="TableNormal"/>
    <w:uiPriority w:val="52"/>
    <w:rsid w:val="00316B0A"/>
    <w:pPr>
      <w:spacing w:after="0" w:line="240" w:lineRule="auto"/>
    </w:pPr>
    <w:rPr>
      <w:rFonts w:cs="Times New Roman"/>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bottom w:val="single" w:sz="4" w:space="0" w:color="C099CA" w:themeColor="accent1" w:themeTint="99"/>
        </w:tcBorders>
      </w:tcPr>
    </w:tblStylePr>
    <w:tblStylePr w:type="nwCell">
      <w:rPr>
        <w:rFonts w:cs="Times New Roman"/>
      </w:rPr>
      <w:tblPr/>
      <w:tcPr>
        <w:tcBorders>
          <w:bottom w:val="single" w:sz="4" w:space="0" w:color="C099CA" w:themeColor="accent1" w:themeTint="99"/>
        </w:tcBorders>
      </w:tcPr>
    </w:tblStylePr>
    <w:tblStylePr w:type="seCell">
      <w:rPr>
        <w:rFonts w:cs="Times New Roman"/>
      </w:rPr>
      <w:tblPr/>
      <w:tcPr>
        <w:tcBorders>
          <w:top w:val="single" w:sz="4" w:space="0" w:color="C099CA" w:themeColor="accent1" w:themeTint="99"/>
        </w:tcBorders>
      </w:tcPr>
    </w:tblStylePr>
    <w:tblStylePr w:type="swCell">
      <w:rPr>
        <w:rFonts w:cs="Times New Roman"/>
      </w:rPr>
      <w:tblPr/>
      <w:tcPr>
        <w:tcBorders>
          <w:top w:val="single" w:sz="4" w:space="0" w:color="C099CA" w:themeColor="accent1" w:themeTint="99"/>
        </w:tcBorders>
      </w:tcPr>
    </w:tblStylePr>
  </w:style>
  <w:style w:type="table" w:customStyle="1" w:styleId="GridTable7Colorful-Accent210">
    <w:name w:val="Grid Table 7 Colorful - Accent 21"/>
    <w:basedOn w:val="TableNormal"/>
    <w:uiPriority w:val="52"/>
    <w:rsid w:val="00316B0A"/>
    <w:pPr>
      <w:spacing w:after="0" w:line="240" w:lineRule="auto"/>
    </w:pPr>
    <w:rPr>
      <w:rFonts w:cs="Times New Roman"/>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bottom w:val="single" w:sz="4" w:space="0" w:color="FFCE89" w:themeColor="accent2" w:themeTint="99"/>
        </w:tcBorders>
      </w:tcPr>
    </w:tblStylePr>
    <w:tblStylePr w:type="nwCell">
      <w:rPr>
        <w:rFonts w:cs="Times New Roman"/>
      </w:rPr>
      <w:tblPr/>
      <w:tcPr>
        <w:tcBorders>
          <w:bottom w:val="single" w:sz="4" w:space="0" w:color="FFCE89" w:themeColor="accent2" w:themeTint="99"/>
        </w:tcBorders>
      </w:tcPr>
    </w:tblStylePr>
    <w:tblStylePr w:type="seCell">
      <w:rPr>
        <w:rFonts w:cs="Times New Roman"/>
      </w:rPr>
      <w:tblPr/>
      <w:tcPr>
        <w:tcBorders>
          <w:top w:val="single" w:sz="4" w:space="0" w:color="FFCE89" w:themeColor="accent2" w:themeTint="99"/>
        </w:tcBorders>
      </w:tcPr>
    </w:tblStylePr>
    <w:tblStylePr w:type="swCell">
      <w:rPr>
        <w:rFonts w:cs="Times New Roman"/>
      </w:rPr>
      <w:tblPr/>
      <w:tcPr>
        <w:tcBorders>
          <w:top w:val="single" w:sz="4" w:space="0" w:color="FFCE89" w:themeColor="accent2" w:themeTint="99"/>
        </w:tcBorders>
      </w:tcPr>
    </w:tblStylePr>
  </w:style>
  <w:style w:type="table" w:customStyle="1" w:styleId="GridTable7Colorful-Accent310">
    <w:name w:val="Grid Table 7 Colorful - Accent 31"/>
    <w:basedOn w:val="TableNormal"/>
    <w:uiPriority w:val="52"/>
    <w:rsid w:val="00316B0A"/>
    <w:pPr>
      <w:spacing w:after="0" w:line="240" w:lineRule="auto"/>
    </w:pPr>
    <w:rPr>
      <w:rFonts w:cs="Times New Roman"/>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bottom w:val="single" w:sz="4" w:space="0" w:color="C9C9C9" w:themeColor="accent3" w:themeTint="99"/>
        </w:tcBorders>
      </w:tcPr>
    </w:tblStylePr>
    <w:tblStylePr w:type="nwCell">
      <w:rPr>
        <w:rFonts w:cs="Times New Roman"/>
      </w:rPr>
      <w:tblPr/>
      <w:tcPr>
        <w:tcBorders>
          <w:bottom w:val="single" w:sz="4" w:space="0" w:color="C9C9C9" w:themeColor="accent3" w:themeTint="99"/>
        </w:tcBorders>
      </w:tcPr>
    </w:tblStylePr>
    <w:tblStylePr w:type="seCell">
      <w:rPr>
        <w:rFonts w:cs="Times New Roman"/>
      </w:rPr>
      <w:tblPr/>
      <w:tcPr>
        <w:tcBorders>
          <w:top w:val="single" w:sz="4" w:space="0" w:color="C9C9C9" w:themeColor="accent3" w:themeTint="99"/>
        </w:tcBorders>
      </w:tcPr>
    </w:tblStylePr>
    <w:tblStylePr w:type="swCell">
      <w:rPr>
        <w:rFonts w:cs="Times New Roman"/>
      </w:rPr>
      <w:tblPr/>
      <w:tcPr>
        <w:tcBorders>
          <w:top w:val="single" w:sz="4" w:space="0" w:color="C9C9C9" w:themeColor="accent3" w:themeTint="99"/>
        </w:tcBorders>
      </w:tcPr>
    </w:tblStylePr>
  </w:style>
  <w:style w:type="table" w:customStyle="1" w:styleId="GridTable7Colorful-Accent410">
    <w:name w:val="Grid Table 7 Colorful - Accent 41"/>
    <w:basedOn w:val="TableNormal"/>
    <w:uiPriority w:val="52"/>
    <w:rsid w:val="00316B0A"/>
    <w:pPr>
      <w:spacing w:after="0" w:line="240" w:lineRule="auto"/>
    </w:pPr>
    <w:rPr>
      <w:rFonts w:cs="Times New Roman"/>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bottom w:val="single" w:sz="4" w:space="0" w:color="D3B8D9" w:themeColor="accent4" w:themeTint="99"/>
        </w:tcBorders>
      </w:tcPr>
    </w:tblStylePr>
    <w:tblStylePr w:type="nwCell">
      <w:rPr>
        <w:rFonts w:cs="Times New Roman"/>
      </w:rPr>
      <w:tblPr/>
      <w:tcPr>
        <w:tcBorders>
          <w:bottom w:val="single" w:sz="4" w:space="0" w:color="D3B8D9" w:themeColor="accent4" w:themeTint="99"/>
        </w:tcBorders>
      </w:tcPr>
    </w:tblStylePr>
    <w:tblStylePr w:type="seCell">
      <w:rPr>
        <w:rFonts w:cs="Times New Roman"/>
      </w:rPr>
      <w:tblPr/>
      <w:tcPr>
        <w:tcBorders>
          <w:top w:val="single" w:sz="4" w:space="0" w:color="D3B8D9" w:themeColor="accent4" w:themeTint="99"/>
        </w:tcBorders>
      </w:tcPr>
    </w:tblStylePr>
    <w:tblStylePr w:type="swCell">
      <w:rPr>
        <w:rFonts w:cs="Times New Roman"/>
      </w:rPr>
      <w:tblPr/>
      <w:tcPr>
        <w:tcBorders>
          <w:top w:val="single" w:sz="4" w:space="0" w:color="D3B8D9" w:themeColor="accent4" w:themeTint="99"/>
        </w:tcBorders>
      </w:tcPr>
    </w:tblStylePr>
  </w:style>
  <w:style w:type="table" w:customStyle="1" w:styleId="GridTable7Colorful-Accent510">
    <w:name w:val="Grid Table 7 Colorful - Accent 51"/>
    <w:basedOn w:val="TableNormal"/>
    <w:uiPriority w:val="52"/>
    <w:rsid w:val="00316B0A"/>
    <w:pPr>
      <w:spacing w:after="0" w:line="240" w:lineRule="auto"/>
    </w:pPr>
    <w:rPr>
      <w:rFonts w:cs="Times New Roman"/>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bottom w:val="single" w:sz="4" w:space="0" w:color="FFBB59" w:themeColor="accent5" w:themeTint="99"/>
        </w:tcBorders>
      </w:tcPr>
    </w:tblStylePr>
    <w:tblStylePr w:type="nwCell">
      <w:rPr>
        <w:rFonts w:cs="Times New Roman"/>
      </w:rPr>
      <w:tblPr/>
      <w:tcPr>
        <w:tcBorders>
          <w:bottom w:val="single" w:sz="4" w:space="0" w:color="FFBB59" w:themeColor="accent5" w:themeTint="99"/>
        </w:tcBorders>
      </w:tcPr>
    </w:tblStylePr>
    <w:tblStylePr w:type="seCell">
      <w:rPr>
        <w:rFonts w:cs="Times New Roman"/>
      </w:rPr>
      <w:tblPr/>
      <w:tcPr>
        <w:tcBorders>
          <w:top w:val="single" w:sz="4" w:space="0" w:color="FFBB59" w:themeColor="accent5" w:themeTint="99"/>
        </w:tcBorders>
      </w:tcPr>
    </w:tblStylePr>
    <w:tblStylePr w:type="swCell">
      <w:rPr>
        <w:rFonts w:cs="Times New Roman"/>
      </w:rPr>
      <w:tblPr/>
      <w:tcPr>
        <w:tcBorders>
          <w:top w:val="single" w:sz="4" w:space="0" w:color="FFBB59" w:themeColor="accent5" w:themeTint="99"/>
        </w:tcBorders>
      </w:tcPr>
    </w:tblStylePr>
  </w:style>
  <w:style w:type="table" w:customStyle="1" w:styleId="GridTable7Colorful-Accent610">
    <w:name w:val="Grid Table 7 Colorful - Accent 61"/>
    <w:basedOn w:val="TableNormal"/>
    <w:uiPriority w:val="52"/>
    <w:rsid w:val="00316B0A"/>
    <w:pPr>
      <w:spacing w:after="0" w:line="240" w:lineRule="auto"/>
    </w:pPr>
    <w:rPr>
      <w:rFonts w:cs="Times New Roman"/>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bottom w:val="single" w:sz="4" w:space="0" w:color="D8D8D8" w:themeColor="accent6" w:themeTint="99"/>
        </w:tcBorders>
      </w:tcPr>
    </w:tblStylePr>
    <w:tblStylePr w:type="nwCell">
      <w:rPr>
        <w:rFonts w:cs="Times New Roman"/>
      </w:rPr>
      <w:tblPr/>
      <w:tcPr>
        <w:tcBorders>
          <w:bottom w:val="single" w:sz="4" w:space="0" w:color="D8D8D8" w:themeColor="accent6" w:themeTint="99"/>
        </w:tcBorders>
      </w:tcPr>
    </w:tblStylePr>
    <w:tblStylePr w:type="seCell">
      <w:rPr>
        <w:rFonts w:cs="Times New Roman"/>
      </w:rPr>
      <w:tblPr/>
      <w:tcPr>
        <w:tcBorders>
          <w:top w:val="single" w:sz="4" w:space="0" w:color="D8D8D8" w:themeColor="accent6" w:themeTint="99"/>
        </w:tcBorders>
      </w:tcPr>
    </w:tblStylePr>
    <w:tblStylePr w:type="swCell">
      <w:rPr>
        <w:rFonts w:cs="Times New Roman"/>
      </w:rPr>
      <w:tblPr/>
      <w:tcPr>
        <w:tcBorders>
          <w:top w:val="single" w:sz="4" w:space="0" w:color="D8D8D8" w:themeColor="accent6" w:themeTint="99"/>
        </w:tcBorders>
      </w:tcPr>
    </w:tblStylePr>
  </w:style>
  <w:style w:type="table" w:customStyle="1" w:styleId="ListTable1Light10">
    <w:name w:val="List Table 1 Light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1Light-Accent110">
    <w:name w:val="List Table 1 Light - Accent 1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C099CA" w:themeColor="accent1" w:themeTint="99"/>
        </w:tcBorders>
      </w:tcPr>
    </w:tblStylePr>
    <w:tblStylePr w:type="lastRow">
      <w:rPr>
        <w:rFonts w:cs="Times New Roman"/>
        <w:b/>
        <w:bCs/>
      </w:rPr>
      <w:tblPr/>
      <w:tcPr>
        <w:tcBorders>
          <w:top w:val="sing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1Light-Accent210">
    <w:name w:val="List Table 1 Light - Accent 2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FFCE89" w:themeColor="accent2" w:themeTint="99"/>
        </w:tcBorders>
      </w:tcPr>
    </w:tblStylePr>
    <w:tblStylePr w:type="lastRow">
      <w:rPr>
        <w:rFonts w:cs="Times New Roman"/>
        <w:b/>
        <w:bCs/>
      </w:rPr>
      <w:tblPr/>
      <w:tcPr>
        <w:tcBorders>
          <w:top w:val="sing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1Light-Accent310">
    <w:name w:val="List Table 1 Light - Accent 3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C9C9C9" w:themeColor="accent3" w:themeTint="99"/>
        </w:tcBorders>
      </w:tcPr>
    </w:tblStylePr>
    <w:tblStylePr w:type="lastRow">
      <w:rPr>
        <w:rFonts w:cs="Times New Roman"/>
        <w:b/>
        <w:bCs/>
      </w:rPr>
      <w:tblPr/>
      <w:tcPr>
        <w:tcBorders>
          <w:top w:val="sing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1Light-Accent410">
    <w:name w:val="List Table 1 Light - Accent 4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D3B8D9" w:themeColor="accent4" w:themeTint="99"/>
        </w:tcBorders>
      </w:tcPr>
    </w:tblStylePr>
    <w:tblStylePr w:type="lastRow">
      <w:rPr>
        <w:rFonts w:cs="Times New Roman"/>
        <w:b/>
        <w:bCs/>
      </w:rPr>
      <w:tblPr/>
      <w:tcPr>
        <w:tcBorders>
          <w:top w:val="sing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1Light-Accent510">
    <w:name w:val="List Table 1 Light - Accent 5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FFBB59" w:themeColor="accent5" w:themeTint="99"/>
        </w:tcBorders>
      </w:tcPr>
    </w:tblStylePr>
    <w:tblStylePr w:type="lastRow">
      <w:rPr>
        <w:rFonts w:cs="Times New Roman"/>
        <w:b/>
        <w:bCs/>
      </w:rPr>
      <w:tblPr/>
      <w:tcPr>
        <w:tcBorders>
          <w:top w:val="sing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1Light-Accent610">
    <w:name w:val="List Table 1 Light - Accent 6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D8D8D8" w:themeColor="accent6" w:themeTint="99"/>
        </w:tcBorders>
      </w:tcPr>
    </w:tblStylePr>
    <w:tblStylePr w:type="lastRow">
      <w:rPr>
        <w:rFonts w:cs="Times New Roman"/>
        <w:b/>
        <w:bCs/>
      </w:rPr>
      <w:tblPr/>
      <w:tcPr>
        <w:tcBorders>
          <w:top w:val="sing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210">
    <w:name w:val="List Table 21"/>
    <w:basedOn w:val="TableNormal"/>
    <w:uiPriority w:val="47"/>
    <w:rsid w:val="00316B0A"/>
    <w:pPr>
      <w:spacing w:after="0" w:line="240" w:lineRule="auto"/>
    </w:pPr>
    <w:rPr>
      <w:rFonts w:cs="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2-Accent110">
    <w:name w:val="List Table 2 - Accent 11"/>
    <w:basedOn w:val="TableNormal"/>
    <w:uiPriority w:val="47"/>
    <w:rsid w:val="00316B0A"/>
    <w:pPr>
      <w:spacing w:after="0" w:line="240" w:lineRule="auto"/>
    </w:pPr>
    <w:rPr>
      <w:rFonts w:cs="Times New Roman"/>
    </w:r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2-Accent210">
    <w:name w:val="List Table 2 - Accent 21"/>
    <w:basedOn w:val="TableNormal"/>
    <w:uiPriority w:val="47"/>
    <w:rsid w:val="00316B0A"/>
    <w:pPr>
      <w:spacing w:after="0" w:line="240" w:lineRule="auto"/>
    </w:pPr>
    <w:rPr>
      <w:rFonts w:cs="Times New Roman"/>
    </w:r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2-Accent310">
    <w:name w:val="List Table 2 - Accent 31"/>
    <w:basedOn w:val="TableNormal"/>
    <w:uiPriority w:val="47"/>
    <w:rsid w:val="00316B0A"/>
    <w:pPr>
      <w:spacing w:after="0" w:line="240" w:lineRule="auto"/>
    </w:pPr>
    <w:rPr>
      <w:rFonts w:cs="Times New Roman"/>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2-Accent410">
    <w:name w:val="List Table 2 - Accent 41"/>
    <w:basedOn w:val="TableNormal"/>
    <w:uiPriority w:val="47"/>
    <w:rsid w:val="00316B0A"/>
    <w:pPr>
      <w:spacing w:after="0" w:line="240" w:lineRule="auto"/>
    </w:pPr>
    <w:rPr>
      <w:rFonts w:cs="Times New Roman"/>
    </w:r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2-Accent510">
    <w:name w:val="List Table 2 - Accent 51"/>
    <w:basedOn w:val="TableNormal"/>
    <w:uiPriority w:val="47"/>
    <w:rsid w:val="00316B0A"/>
    <w:pPr>
      <w:spacing w:after="0" w:line="240" w:lineRule="auto"/>
    </w:pPr>
    <w:rPr>
      <w:rFonts w:cs="Times New Roman"/>
    </w:r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2-Accent610">
    <w:name w:val="List Table 2 - Accent 61"/>
    <w:basedOn w:val="TableNormal"/>
    <w:uiPriority w:val="47"/>
    <w:rsid w:val="00316B0A"/>
    <w:pPr>
      <w:spacing w:after="0" w:line="240" w:lineRule="auto"/>
    </w:pPr>
    <w:rPr>
      <w:rFonts w:cs="Times New Roman"/>
    </w:r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310">
    <w:name w:val="List Table 31"/>
    <w:basedOn w:val="TableNormal"/>
    <w:uiPriority w:val="48"/>
    <w:rsid w:val="00316B0A"/>
    <w:pPr>
      <w:spacing w:after="0" w:line="240" w:lineRule="auto"/>
    </w:pPr>
    <w:rPr>
      <w:rFonts w:cs="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customStyle="1" w:styleId="ListTable3-Accent110">
    <w:name w:val="List Table 3 - Accent 11"/>
    <w:basedOn w:val="TableNormal"/>
    <w:uiPriority w:val="48"/>
    <w:rsid w:val="00316B0A"/>
    <w:pPr>
      <w:spacing w:after="0" w:line="240" w:lineRule="auto"/>
    </w:pPr>
    <w:rPr>
      <w:rFonts w:cs="Times New Roman"/>
    </w:r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rFonts w:cs="Times New Roman"/>
        <w:b/>
        <w:bCs/>
        <w:color w:val="FFFFFF" w:themeColor="background1"/>
      </w:rPr>
      <w:tblPr/>
      <w:tcPr>
        <w:shd w:val="clear" w:color="auto" w:fill="9757A6" w:themeFill="accent1"/>
      </w:tcPr>
    </w:tblStylePr>
    <w:tblStylePr w:type="lastRow">
      <w:rPr>
        <w:rFonts w:cs="Times New Roman"/>
        <w:b/>
        <w:bCs/>
      </w:rPr>
      <w:tblPr/>
      <w:tcPr>
        <w:tcBorders>
          <w:top w:val="double" w:sz="4" w:space="0" w:color="9757A6"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9757A6" w:themeColor="accent1"/>
          <w:right w:val="single" w:sz="4" w:space="0" w:color="9757A6" w:themeColor="accent1"/>
        </w:tcBorders>
      </w:tcPr>
    </w:tblStylePr>
    <w:tblStylePr w:type="band1Horz">
      <w:rPr>
        <w:rFonts w:cs="Times New Roman"/>
      </w:rPr>
      <w:tblPr/>
      <w:tcPr>
        <w:tcBorders>
          <w:top w:val="single" w:sz="4" w:space="0" w:color="9757A6" w:themeColor="accent1"/>
          <w:bottom w:val="single" w:sz="4" w:space="0" w:color="9757A6"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9757A6" w:themeColor="accent1"/>
          <w:left w:val="nil"/>
        </w:tcBorders>
      </w:tcPr>
    </w:tblStylePr>
    <w:tblStylePr w:type="swCell">
      <w:rPr>
        <w:rFonts w:cs="Times New Roman"/>
      </w:rPr>
      <w:tblPr/>
      <w:tcPr>
        <w:tcBorders>
          <w:top w:val="double" w:sz="4" w:space="0" w:color="9757A6" w:themeColor="accent1"/>
          <w:right w:val="nil"/>
        </w:tcBorders>
      </w:tcPr>
    </w:tblStylePr>
  </w:style>
  <w:style w:type="table" w:customStyle="1" w:styleId="ListTable3-Accent210">
    <w:name w:val="List Table 3 - Accent 21"/>
    <w:basedOn w:val="TableNormal"/>
    <w:uiPriority w:val="48"/>
    <w:rsid w:val="00316B0A"/>
    <w:pPr>
      <w:spacing w:after="0" w:line="240" w:lineRule="auto"/>
    </w:pPr>
    <w:rPr>
      <w:rFonts w:cs="Times New Roman"/>
    </w:r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rFonts w:cs="Times New Roman"/>
        <w:b/>
        <w:bCs/>
        <w:color w:val="FFFFFF" w:themeColor="background1"/>
      </w:rPr>
      <w:tblPr/>
      <w:tcPr>
        <w:shd w:val="clear" w:color="auto" w:fill="FFAE3B" w:themeFill="accent2"/>
      </w:tcPr>
    </w:tblStylePr>
    <w:tblStylePr w:type="lastRow">
      <w:rPr>
        <w:rFonts w:cs="Times New Roman"/>
        <w:b/>
        <w:bCs/>
      </w:rPr>
      <w:tblPr/>
      <w:tcPr>
        <w:tcBorders>
          <w:top w:val="double" w:sz="4" w:space="0" w:color="FFAE3B"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FFAE3B" w:themeColor="accent2"/>
          <w:right w:val="single" w:sz="4" w:space="0" w:color="FFAE3B" w:themeColor="accent2"/>
        </w:tcBorders>
      </w:tcPr>
    </w:tblStylePr>
    <w:tblStylePr w:type="band1Horz">
      <w:rPr>
        <w:rFonts w:cs="Times New Roman"/>
      </w:rPr>
      <w:tblPr/>
      <w:tcPr>
        <w:tcBorders>
          <w:top w:val="single" w:sz="4" w:space="0" w:color="FFAE3B" w:themeColor="accent2"/>
          <w:bottom w:val="single" w:sz="4" w:space="0" w:color="FFAE3B"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FFAE3B" w:themeColor="accent2"/>
          <w:left w:val="nil"/>
        </w:tcBorders>
      </w:tcPr>
    </w:tblStylePr>
    <w:tblStylePr w:type="swCell">
      <w:rPr>
        <w:rFonts w:cs="Times New Roman"/>
      </w:rPr>
      <w:tblPr/>
      <w:tcPr>
        <w:tcBorders>
          <w:top w:val="double" w:sz="4" w:space="0" w:color="FFAE3B" w:themeColor="accent2"/>
          <w:right w:val="nil"/>
        </w:tcBorders>
      </w:tcPr>
    </w:tblStylePr>
  </w:style>
  <w:style w:type="table" w:customStyle="1" w:styleId="ListTable3-Accent310">
    <w:name w:val="List Table 3 - Accent 31"/>
    <w:basedOn w:val="TableNormal"/>
    <w:uiPriority w:val="48"/>
    <w:rsid w:val="00316B0A"/>
    <w:pPr>
      <w:spacing w:after="0" w:line="240" w:lineRule="auto"/>
    </w:pPr>
    <w:rPr>
      <w:rFonts w:cs="Times New Roman"/>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rFonts w:cs="Times New Roman"/>
        <w:b/>
        <w:bCs/>
        <w:color w:val="FFFFFF" w:themeColor="background1"/>
      </w:rPr>
      <w:tblPr/>
      <w:tcPr>
        <w:shd w:val="clear" w:color="auto" w:fill="A5A5A5" w:themeFill="accent3"/>
      </w:tcPr>
    </w:tblStylePr>
    <w:tblStylePr w:type="lastRow">
      <w:rPr>
        <w:rFonts w:cs="Times New Roman"/>
        <w:b/>
        <w:bCs/>
      </w:rPr>
      <w:tblPr/>
      <w:tcPr>
        <w:tcBorders>
          <w:top w:val="double" w:sz="4" w:space="0" w:color="A5A5A5" w:themeColor="accent3"/>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A5A5A5" w:themeColor="accent3"/>
          <w:right w:val="single" w:sz="4" w:space="0" w:color="A5A5A5" w:themeColor="accent3"/>
        </w:tcBorders>
      </w:tcPr>
    </w:tblStylePr>
    <w:tblStylePr w:type="band1Horz">
      <w:rPr>
        <w:rFonts w:cs="Times New Roman"/>
      </w:rPr>
      <w:tblPr/>
      <w:tcPr>
        <w:tcBorders>
          <w:top w:val="single" w:sz="4" w:space="0" w:color="A5A5A5" w:themeColor="accent3"/>
          <w:bottom w:val="single" w:sz="4" w:space="0" w:color="A5A5A5" w:themeColor="accent3"/>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A5A5A5" w:themeColor="accent3"/>
          <w:left w:val="nil"/>
        </w:tcBorders>
      </w:tcPr>
    </w:tblStylePr>
    <w:tblStylePr w:type="swCell">
      <w:rPr>
        <w:rFonts w:cs="Times New Roman"/>
      </w:rPr>
      <w:tblPr/>
      <w:tcPr>
        <w:tcBorders>
          <w:top w:val="double" w:sz="4" w:space="0" w:color="A5A5A5" w:themeColor="accent3"/>
          <w:right w:val="nil"/>
        </w:tcBorders>
      </w:tcPr>
    </w:tblStylePr>
  </w:style>
  <w:style w:type="table" w:customStyle="1" w:styleId="ListTable3-Accent410">
    <w:name w:val="List Table 3 - Accent 41"/>
    <w:basedOn w:val="TableNormal"/>
    <w:uiPriority w:val="48"/>
    <w:rsid w:val="00316B0A"/>
    <w:pPr>
      <w:spacing w:after="0" w:line="240" w:lineRule="auto"/>
    </w:pPr>
    <w:rPr>
      <w:rFonts w:cs="Times New Roman"/>
    </w:r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rFonts w:cs="Times New Roman"/>
        <w:b/>
        <w:bCs/>
        <w:color w:val="FFFFFF" w:themeColor="background1"/>
      </w:rPr>
      <w:tblPr/>
      <w:tcPr>
        <w:shd w:val="clear" w:color="auto" w:fill="B689C1" w:themeFill="accent4"/>
      </w:tcPr>
    </w:tblStylePr>
    <w:tblStylePr w:type="lastRow">
      <w:rPr>
        <w:rFonts w:cs="Times New Roman"/>
        <w:b/>
        <w:bCs/>
      </w:rPr>
      <w:tblPr/>
      <w:tcPr>
        <w:tcBorders>
          <w:top w:val="double" w:sz="4" w:space="0" w:color="B689C1" w:themeColor="accent4"/>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B689C1" w:themeColor="accent4"/>
          <w:right w:val="single" w:sz="4" w:space="0" w:color="B689C1" w:themeColor="accent4"/>
        </w:tcBorders>
      </w:tcPr>
    </w:tblStylePr>
    <w:tblStylePr w:type="band1Horz">
      <w:rPr>
        <w:rFonts w:cs="Times New Roman"/>
      </w:rPr>
      <w:tblPr/>
      <w:tcPr>
        <w:tcBorders>
          <w:top w:val="single" w:sz="4" w:space="0" w:color="B689C1" w:themeColor="accent4"/>
          <w:bottom w:val="single" w:sz="4" w:space="0" w:color="B689C1" w:themeColor="accent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B689C1" w:themeColor="accent4"/>
          <w:left w:val="nil"/>
        </w:tcBorders>
      </w:tcPr>
    </w:tblStylePr>
    <w:tblStylePr w:type="swCell">
      <w:rPr>
        <w:rFonts w:cs="Times New Roman"/>
      </w:rPr>
      <w:tblPr/>
      <w:tcPr>
        <w:tcBorders>
          <w:top w:val="double" w:sz="4" w:space="0" w:color="B689C1" w:themeColor="accent4"/>
          <w:right w:val="nil"/>
        </w:tcBorders>
      </w:tcPr>
    </w:tblStylePr>
  </w:style>
  <w:style w:type="table" w:customStyle="1" w:styleId="ListTable3-Accent510">
    <w:name w:val="List Table 3 - Accent 51"/>
    <w:basedOn w:val="TableNormal"/>
    <w:uiPriority w:val="48"/>
    <w:rsid w:val="00316B0A"/>
    <w:pPr>
      <w:spacing w:after="0" w:line="240" w:lineRule="auto"/>
    </w:pPr>
    <w:rPr>
      <w:rFonts w:cs="Times New Roman"/>
    </w:r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rFonts w:cs="Times New Roman"/>
        <w:b/>
        <w:bCs/>
        <w:color w:val="FFFFFF" w:themeColor="background1"/>
      </w:rPr>
      <w:tblPr/>
      <w:tcPr>
        <w:shd w:val="clear" w:color="auto" w:fill="EA8B00" w:themeFill="accent5"/>
      </w:tcPr>
    </w:tblStylePr>
    <w:tblStylePr w:type="lastRow">
      <w:rPr>
        <w:rFonts w:cs="Times New Roman"/>
        <w:b/>
        <w:bCs/>
      </w:rPr>
      <w:tblPr/>
      <w:tcPr>
        <w:tcBorders>
          <w:top w:val="double" w:sz="4" w:space="0" w:color="EA8B00" w:themeColor="accent5"/>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A8B00" w:themeColor="accent5"/>
          <w:right w:val="single" w:sz="4" w:space="0" w:color="EA8B00" w:themeColor="accent5"/>
        </w:tcBorders>
      </w:tcPr>
    </w:tblStylePr>
    <w:tblStylePr w:type="band1Horz">
      <w:rPr>
        <w:rFonts w:cs="Times New Roman"/>
      </w:rPr>
      <w:tblPr/>
      <w:tcPr>
        <w:tcBorders>
          <w:top w:val="single" w:sz="4" w:space="0" w:color="EA8B00" w:themeColor="accent5"/>
          <w:bottom w:val="single" w:sz="4" w:space="0" w:color="EA8B00" w:themeColor="accent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A8B00" w:themeColor="accent5"/>
          <w:left w:val="nil"/>
        </w:tcBorders>
      </w:tcPr>
    </w:tblStylePr>
    <w:tblStylePr w:type="swCell">
      <w:rPr>
        <w:rFonts w:cs="Times New Roman"/>
      </w:rPr>
      <w:tblPr/>
      <w:tcPr>
        <w:tcBorders>
          <w:top w:val="double" w:sz="4" w:space="0" w:color="EA8B00" w:themeColor="accent5"/>
          <w:right w:val="nil"/>
        </w:tcBorders>
      </w:tcPr>
    </w:tblStylePr>
  </w:style>
  <w:style w:type="table" w:customStyle="1" w:styleId="ListTable3-Accent610">
    <w:name w:val="List Table 3 - Accent 61"/>
    <w:basedOn w:val="TableNormal"/>
    <w:uiPriority w:val="48"/>
    <w:rsid w:val="00316B0A"/>
    <w:pPr>
      <w:spacing w:after="0" w:line="240" w:lineRule="auto"/>
    </w:pPr>
    <w:rPr>
      <w:rFonts w:cs="Times New Roman"/>
    </w:r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rFonts w:cs="Times New Roman"/>
        <w:b/>
        <w:bCs/>
        <w:color w:val="FFFFFF" w:themeColor="background1"/>
      </w:rPr>
      <w:tblPr/>
      <w:tcPr>
        <w:shd w:val="clear" w:color="auto" w:fill="BFBFBF" w:themeFill="accent6"/>
      </w:tcPr>
    </w:tblStylePr>
    <w:tblStylePr w:type="lastRow">
      <w:rPr>
        <w:rFonts w:cs="Times New Roman"/>
        <w:b/>
        <w:bCs/>
      </w:rPr>
      <w:tblPr/>
      <w:tcPr>
        <w:tcBorders>
          <w:top w:val="double" w:sz="4" w:space="0" w:color="BFBFBF"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BFBFBF" w:themeColor="accent6"/>
          <w:right w:val="single" w:sz="4" w:space="0" w:color="BFBFBF" w:themeColor="accent6"/>
        </w:tcBorders>
      </w:tcPr>
    </w:tblStylePr>
    <w:tblStylePr w:type="band1Horz">
      <w:rPr>
        <w:rFonts w:cs="Times New Roman"/>
      </w:rPr>
      <w:tblPr/>
      <w:tcPr>
        <w:tcBorders>
          <w:top w:val="single" w:sz="4" w:space="0" w:color="BFBFBF" w:themeColor="accent6"/>
          <w:bottom w:val="single" w:sz="4" w:space="0" w:color="BFBFBF"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BFBFBF" w:themeColor="accent6"/>
          <w:left w:val="nil"/>
        </w:tcBorders>
      </w:tcPr>
    </w:tblStylePr>
    <w:tblStylePr w:type="swCell">
      <w:rPr>
        <w:rFonts w:cs="Times New Roman"/>
      </w:rPr>
      <w:tblPr/>
      <w:tcPr>
        <w:tcBorders>
          <w:top w:val="double" w:sz="4" w:space="0" w:color="BFBFBF" w:themeColor="accent6"/>
          <w:right w:val="nil"/>
        </w:tcBorders>
      </w:tcPr>
    </w:tblStylePr>
  </w:style>
  <w:style w:type="table" w:customStyle="1" w:styleId="ListTable410">
    <w:name w:val="List Table 41"/>
    <w:basedOn w:val="TableNormal"/>
    <w:uiPriority w:val="49"/>
    <w:rsid w:val="00316B0A"/>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4-Accent110">
    <w:name w:val="List Table 4 - Accent 11"/>
    <w:basedOn w:val="TableNormal"/>
    <w:uiPriority w:val="49"/>
    <w:rsid w:val="00316B0A"/>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rFonts w:cs="Times New Roman"/>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rFonts w:cs="Times New Roman"/>
        <w:b/>
        <w:bCs/>
      </w:rPr>
      <w:tblPr/>
      <w:tcPr>
        <w:tcBorders>
          <w:top w:val="doub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4-Accent210">
    <w:name w:val="List Table 4 - Accent 21"/>
    <w:basedOn w:val="TableNormal"/>
    <w:uiPriority w:val="49"/>
    <w:rsid w:val="00316B0A"/>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rFonts w:cs="Times New Roman"/>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rFonts w:cs="Times New Roman"/>
        <w:b/>
        <w:bCs/>
      </w:rPr>
      <w:tblPr/>
      <w:tcPr>
        <w:tcBorders>
          <w:top w:val="doub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4-Accent310">
    <w:name w:val="List Table 4 - Accent 31"/>
    <w:basedOn w:val="TableNormal"/>
    <w:uiPriority w:val="49"/>
    <w:rsid w:val="00316B0A"/>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4-Accent410">
    <w:name w:val="List Table 4 - Accent 41"/>
    <w:basedOn w:val="TableNormal"/>
    <w:uiPriority w:val="49"/>
    <w:rsid w:val="00316B0A"/>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rFonts w:cs="Times New Roman"/>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rFonts w:cs="Times New Roman"/>
        <w:b/>
        <w:bCs/>
      </w:rPr>
      <w:tblPr/>
      <w:tcPr>
        <w:tcBorders>
          <w:top w:val="doub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4-Accent510">
    <w:name w:val="List Table 4 - Accent 51"/>
    <w:basedOn w:val="TableNormal"/>
    <w:uiPriority w:val="49"/>
    <w:rsid w:val="00316B0A"/>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rFonts w:cs="Times New Roman"/>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rFonts w:cs="Times New Roman"/>
        <w:b/>
        <w:bCs/>
      </w:rPr>
      <w:tblPr/>
      <w:tcPr>
        <w:tcBorders>
          <w:top w:val="doub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4-Accent610">
    <w:name w:val="List Table 4 - Accent 61"/>
    <w:basedOn w:val="TableNormal"/>
    <w:uiPriority w:val="49"/>
    <w:rsid w:val="00316B0A"/>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rFonts w:cs="Times New Roman"/>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rFonts w:cs="Times New Roman"/>
        <w:b/>
        <w:bCs/>
      </w:rPr>
      <w:tblPr/>
      <w:tcPr>
        <w:tcBorders>
          <w:top w:val="doub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5Dark10">
    <w:name w:val="List Table 5 Dark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110">
    <w:name w:val="List Table 5 Dark - Accent 1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210">
    <w:name w:val="List Table 5 Dark - Accent 2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310">
    <w:name w:val="List Table 5 Dark - Accent 3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410">
    <w:name w:val="List Table 5 Dark - Accent 4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510">
    <w:name w:val="List Table 5 Dark - Accent 5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610">
    <w:name w:val="List Table 5 Dark - Accent 6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6Colorful10">
    <w:name w:val="List Table 6 Colorful1"/>
    <w:basedOn w:val="TableNormal"/>
    <w:uiPriority w:val="51"/>
    <w:rsid w:val="00316B0A"/>
    <w:pPr>
      <w:spacing w:after="0" w:line="240" w:lineRule="auto"/>
    </w:pPr>
    <w:rPr>
      <w:rFonts w:cs="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6Colorful-Accent110">
    <w:name w:val="List Table 6 Colorful - Accent 11"/>
    <w:basedOn w:val="TableNormal"/>
    <w:uiPriority w:val="51"/>
    <w:rsid w:val="00316B0A"/>
    <w:pPr>
      <w:spacing w:after="0" w:line="240" w:lineRule="auto"/>
    </w:pPr>
    <w:rPr>
      <w:rFonts w:cs="Times New Roman"/>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rFonts w:cs="Times New Roman"/>
        <w:b/>
        <w:bCs/>
      </w:rPr>
      <w:tblPr/>
      <w:tcPr>
        <w:tcBorders>
          <w:bottom w:val="single" w:sz="4" w:space="0" w:color="9757A6" w:themeColor="accent1"/>
        </w:tcBorders>
      </w:tcPr>
    </w:tblStylePr>
    <w:tblStylePr w:type="lastRow">
      <w:rPr>
        <w:rFonts w:cs="Times New Roman"/>
        <w:b/>
        <w:bCs/>
      </w:rPr>
      <w:tblPr/>
      <w:tcPr>
        <w:tcBorders>
          <w:top w:val="double" w:sz="4"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6Colorful-Accent210">
    <w:name w:val="List Table 6 Colorful - Accent 21"/>
    <w:basedOn w:val="TableNormal"/>
    <w:uiPriority w:val="51"/>
    <w:rsid w:val="00316B0A"/>
    <w:pPr>
      <w:spacing w:after="0" w:line="240" w:lineRule="auto"/>
    </w:pPr>
    <w:rPr>
      <w:rFonts w:cs="Times New Roman"/>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rFonts w:cs="Times New Roman"/>
        <w:b/>
        <w:bCs/>
      </w:rPr>
      <w:tblPr/>
      <w:tcPr>
        <w:tcBorders>
          <w:bottom w:val="single" w:sz="4" w:space="0" w:color="FFAE3B" w:themeColor="accent2"/>
        </w:tcBorders>
      </w:tcPr>
    </w:tblStylePr>
    <w:tblStylePr w:type="lastRow">
      <w:rPr>
        <w:rFonts w:cs="Times New Roman"/>
        <w:b/>
        <w:bCs/>
      </w:rPr>
      <w:tblPr/>
      <w:tcPr>
        <w:tcBorders>
          <w:top w:val="double" w:sz="4"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6Colorful-Accent310">
    <w:name w:val="List Table 6 Colorful - Accent 31"/>
    <w:basedOn w:val="TableNormal"/>
    <w:uiPriority w:val="51"/>
    <w:rsid w:val="00316B0A"/>
    <w:pPr>
      <w:spacing w:after="0" w:line="240" w:lineRule="auto"/>
    </w:pPr>
    <w:rPr>
      <w:rFonts w:cs="Times New Roman"/>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rFonts w:cs="Times New Roman"/>
        <w:b/>
        <w:bCs/>
      </w:rPr>
      <w:tblPr/>
      <w:tcPr>
        <w:tcBorders>
          <w:bottom w:val="single" w:sz="4" w:space="0" w:color="A5A5A5" w:themeColor="accent3"/>
        </w:tcBorders>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6Colorful-Accent410">
    <w:name w:val="List Table 6 Colorful - Accent 41"/>
    <w:basedOn w:val="TableNormal"/>
    <w:uiPriority w:val="51"/>
    <w:rsid w:val="00316B0A"/>
    <w:pPr>
      <w:spacing w:after="0" w:line="240" w:lineRule="auto"/>
    </w:pPr>
    <w:rPr>
      <w:rFonts w:cs="Times New Roman"/>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rFonts w:cs="Times New Roman"/>
        <w:b/>
        <w:bCs/>
      </w:rPr>
      <w:tblPr/>
      <w:tcPr>
        <w:tcBorders>
          <w:bottom w:val="single" w:sz="4" w:space="0" w:color="B689C1" w:themeColor="accent4"/>
        </w:tcBorders>
      </w:tcPr>
    </w:tblStylePr>
    <w:tblStylePr w:type="lastRow">
      <w:rPr>
        <w:rFonts w:cs="Times New Roman"/>
        <w:b/>
        <w:bCs/>
      </w:rPr>
      <w:tblPr/>
      <w:tcPr>
        <w:tcBorders>
          <w:top w:val="double" w:sz="4"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6Colorful-Accent510">
    <w:name w:val="List Table 6 Colorful - Accent 51"/>
    <w:basedOn w:val="TableNormal"/>
    <w:uiPriority w:val="51"/>
    <w:rsid w:val="00316B0A"/>
    <w:pPr>
      <w:spacing w:after="0" w:line="240" w:lineRule="auto"/>
    </w:pPr>
    <w:rPr>
      <w:rFonts w:cs="Times New Roman"/>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rFonts w:cs="Times New Roman"/>
        <w:b/>
        <w:bCs/>
      </w:rPr>
      <w:tblPr/>
      <w:tcPr>
        <w:tcBorders>
          <w:bottom w:val="single" w:sz="4" w:space="0" w:color="EA8B00" w:themeColor="accent5"/>
        </w:tcBorders>
      </w:tcPr>
    </w:tblStylePr>
    <w:tblStylePr w:type="lastRow">
      <w:rPr>
        <w:rFonts w:cs="Times New Roman"/>
        <w:b/>
        <w:bCs/>
      </w:rPr>
      <w:tblPr/>
      <w:tcPr>
        <w:tcBorders>
          <w:top w:val="double" w:sz="4"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6Colorful-Accent610">
    <w:name w:val="List Table 6 Colorful - Accent 61"/>
    <w:basedOn w:val="TableNormal"/>
    <w:uiPriority w:val="51"/>
    <w:rsid w:val="00316B0A"/>
    <w:pPr>
      <w:spacing w:after="0" w:line="240" w:lineRule="auto"/>
    </w:pPr>
    <w:rPr>
      <w:rFonts w:cs="Times New Roman"/>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rFonts w:cs="Times New Roman"/>
        <w:b/>
        <w:bCs/>
      </w:rPr>
      <w:tblPr/>
      <w:tcPr>
        <w:tcBorders>
          <w:bottom w:val="single" w:sz="4" w:space="0" w:color="BFBFBF" w:themeColor="accent6"/>
        </w:tcBorders>
      </w:tcPr>
    </w:tblStylePr>
    <w:tblStylePr w:type="lastRow">
      <w:rPr>
        <w:rFonts w:cs="Times New Roman"/>
        <w:b/>
        <w:bCs/>
      </w:rPr>
      <w:tblPr/>
      <w:tcPr>
        <w:tcBorders>
          <w:top w:val="double" w:sz="4"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7Colorful10">
    <w:name w:val="List Table 7 Colorful1"/>
    <w:basedOn w:val="TableNormal"/>
    <w:uiPriority w:val="52"/>
    <w:rsid w:val="00316B0A"/>
    <w:pPr>
      <w:spacing w:after="0" w:line="240" w:lineRule="auto"/>
    </w:pPr>
    <w:rPr>
      <w:rFonts w:cs="Times New Roman"/>
      <w:color w:val="000000" w:themeColor="text1"/>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110">
    <w:name w:val="List Table 7 Colorful - Accent 11"/>
    <w:basedOn w:val="TableNormal"/>
    <w:uiPriority w:val="52"/>
    <w:rsid w:val="00316B0A"/>
    <w:pPr>
      <w:spacing w:after="0" w:line="240" w:lineRule="auto"/>
    </w:pPr>
    <w:rPr>
      <w:rFonts w:cs="Times New Roman"/>
      <w:color w:val="70417C" w:themeColor="accent1"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9757A6" w:themeColor="accent1"/>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210">
    <w:name w:val="List Table 7 Colorful - Accent 21"/>
    <w:basedOn w:val="TableNormal"/>
    <w:uiPriority w:val="52"/>
    <w:rsid w:val="00316B0A"/>
    <w:pPr>
      <w:spacing w:after="0" w:line="240" w:lineRule="auto"/>
    </w:pPr>
    <w:rPr>
      <w:rFonts w:cs="Times New Roman"/>
      <w:color w:val="EB8900" w:themeColor="accent2"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FFAE3B" w:themeColor="accent2"/>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310">
    <w:name w:val="List Table 7 Colorful - Accent 31"/>
    <w:basedOn w:val="TableNormal"/>
    <w:uiPriority w:val="52"/>
    <w:rsid w:val="00316B0A"/>
    <w:pPr>
      <w:spacing w:after="0" w:line="240" w:lineRule="auto"/>
    </w:pPr>
    <w:rPr>
      <w:rFonts w:cs="Times New Roman"/>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410">
    <w:name w:val="List Table 7 Colorful - Accent 41"/>
    <w:basedOn w:val="TableNormal"/>
    <w:uiPriority w:val="52"/>
    <w:rsid w:val="00316B0A"/>
    <w:pPr>
      <w:spacing w:after="0" w:line="240" w:lineRule="auto"/>
    </w:pPr>
    <w:rPr>
      <w:rFonts w:cs="Times New Roman"/>
      <w:color w:val="9255A1" w:themeColor="accent4"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B689C1" w:themeColor="accent4"/>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510">
    <w:name w:val="List Table 7 Colorful - Accent 51"/>
    <w:basedOn w:val="TableNormal"/>
    <w:uiPriority w:val="52"/>
    <w:rsid w:val="00316B0A"/>
    <w:pPr>
      <w:spacing w:after="0" w:line="240" w:lineRule="auto"/>
    </w:pPr>
    <w:rPr>
      <w:rFonts w:cs="Times New Roman"/>
      <w:color w:val="AF6700" w:themeColor="accent5"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EA8B00" w:themeColor="accent5"/>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610">
    <w:name w:val="List Table 7 Colorful - Accent 61"/>
    <w:basedOn w:val="TableNormal"/>
    <w:uiPriority w:val="52"/>
    <w:rsid w:val="00316B0A"/>
    <w:pPr>
      <w:spacing w:after="0" w:line="240" w:lineRule="auto"/>
    </w:pPr>
    <w:rPr>
      <w:rFonts w:cs="Times New Roman"/>
      <w:color w:val="8F8F8F" w:themeColor="accent6"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BFBFBF" w:themeColor="accent6"/>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PlainTable110">
    <w:name w:val="Plain Table 11"/>
    <w:basedOn w:val="TableNormal"/>
    <w:uiPriority w:val="41"/>
    <w:rsid w:val="00316B0A"/>
    <w:pPr>
      <w:spacing w:after="0" w:line="240" w:lineRule="auto"/>
    </w:pPr>
    <w:rPr>
      <w:rFont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0">
    <w:name w:val="Plain Table 21"/>
    <w:basedOn w:val="TableNormal"/>
    <w:uiPriority w:val="42"/>
    <w:rsid w:val="00316B0A"/>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0">
    <w:name w:val="Plain Table 31"/>
    <w:basedOn w:val="TableNormal"/>
    <w:uiPriority w:val="43"/>
    <w:rsid w:val="00316B0A"/>
    <w:pPr>
      <w:spacing w:after="0" w:line="240" w:lineRule="auto"/>
    </w:pPr>
    <w:rPr>
      <w:rFonts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0">
    <w:name w:val="Plain Table 41"/>
    <w:basedOn w:val="TableNormal"/>
    <w:uiPriority w:val="44"/>
    <w:rsid w:val="00316B0A"/>
    <w:pPr>
      <w:spacing w:after="0" w:line="240" w:lineRule="auto"/>
    </w:pPr>
    <w:rPr>
      <w:rFonts w:cs="Times New Roman"/>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0">
    <w:name w:val="Plain Table 51"/>
    <w:basedOn w:val="TableNormal"/>
    <w:uiPriority w:val="45"/>
    <w:rsid w:val="00316B0A"/>
    <w:pPr>
      <w:spacing w:after="0" w:line="240" w:lineRule="auto"/>
    </w:pPr>
    <w:rPr>
      <w:rFonts w:cs="Times New Roman"/>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leGridLight10">
    <w:name w:val="Table Grid Light1"/>
    <w:basedOn w:val="TableNormal"/>
    <w:uiPriority w:val="40"/>
    <w:rsid w:val="00316B0A"/>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Bold">
    <w:name w:val="Table text (Bold))"/>
    <w:basedOn w:val="Tabletext"/>
    <w:next w:val="Tabletext"/>
    <w:qFormat/>
    <w:rsid w:val="00316B0A"/>
    <w:pPr>
      <w:ind w:right="60"/>
    </w:pPr>
    <w:rPr>
      <w:b/>
      <w:spacing w:val="3"/>
    </w:rPr>
  </w:style>
  <w:style w:type="character" w:customStyle="1" w:styleId="apple-converted-space">
    <w:name w:val="apple-converted-space"/>
    <w:basedOn w:val="DefaultParagraphFont"/>
    <w:rsid w:val="00316B0A"/>
    <w:rPr>
      <w:rFonts w:cs="Times New Roman"/>
    </w:rPr>
  </w:style>
  <w:style w:type="character" w:customStyle="1" w:styleId="lexicon-term">
    <w:name w:val="lexicon-term"/>
    <w:basedOn w:val="DefaultParagraphFont"/>
    <w:rsid w:val="00316B0A"/>
    <w:rPr>
      <w:rFonts w:cs="Times New Roman"/>
    </w:rPr>
  </w:style>
  <w:style w:type="paragraph" w:styleId="Revision">
    <w:name w:val="Revision"/>
    <w:hidden/>
    <w:uiPriority w:val="99"/>
    <w:semiHidden/>
    <w:rsid w:val="00C32160"/>
    <w:pPr>
      <w:spacing w:after="0" w:line="240" w:lineRule="auto"/>
    </w:pPr>
    <w:rPr>
      <w:rFonts w:ascii="Arial Narrow" w:hAnsi="Arial Narrow" w:cs="Times New Roman"/>
      <w:lang w:val="en-AU"/>
    </w:rPr>
  </w:style>
  <w:style w:type="character" w:customStyle="1" w:styleId="ListParagraphChar">
    <w:name w:val="List Paragraph Char"/>
    <w:basedOn w:val="DefaultParagraphFont"/>
    <w:link w:val="ListParagraph"/>
    <w:uiPriority w:val="34"/>
    <w:locked/>
    <w:rsid w:val="00835D10"/>
    <w:rPr>
      <w:rFonts w:ascii="Arial Narrow" w:hAnsi="Arial Narrow" w:cs="Times New Roman"/>
      <w:lang w:val="en-AU" w:eastAsia="x-none"/>
    </w:rPr>
  </w:style>
  <w:style w:type="paragraph" w:customStyle="1" w:styleId="Default">
    <w:name w:val="Default"/>
    <w:rsid w:val="003907BB"/>
    <w:pPr>
      <w:autoSpaceDE w:val="0"/>
      <w:autoSpaceDN w:val="0"/>
      <w:adjustRightInd w:val="0"/>
      <w:spacing w:after="0" w:line="240" w:lineRule="auto"/>
    </w:pPr>
    <w:rPr>
      <w:rFonts w:ascii="Arial" w:hAnsi="Arial" w:cs="Arial"/>
      <w:color w:val="000000"/>
      <w:sz w:val="24"/>
      <w:szCs w:val="24"/>
    </w:rPr>
  </w:style>
  <w:style w:type="character" w:customStyle="1" w:styleId="FootnoteTextChar1">
    <w:name w:val="Footnote Text Char1"/>
    <w:aliases w:val="Footnote Text Char Char Char1"/>
    <w:basedOn w:val="DefaultParagraphFont"/>
    <w:uiPriority w:val="99"/>
    <w:semiHidden/>
    <w:rsid w:val="004D175A"/>
    <w:rPr>
      <w:rFonts w:ascii="Arial Narrow" w:hAnsi="Arial Narrow" w:cs="Times New Roman"/>
      <w:sz w:val="20"/>
      <w:szCs w:val="20"/>
      <w:lang w:val="en-AU" w:eastAsia="x-none"/>
    </w:rPr>
  </w:style>
  <w:style w:type="paragraph" w:customStyle="1" w:styleId="acthead4">
    <w:name w:val="acthead4"/>
    <w:basedOn w:val="Normal"/>
    <w:rsid w:val="007A4407"/>
    <w:pPr>
      <w:spacing w:before="100" w:beforeAutospacing="1" w:after="100" w:afterAutospacing="1" w:line="240" w:lineRule="auto"/>
    </w:pPr>
    <w:rPr>
      <w:rFonts w:ascii="Times New Roman" w:hAnsi="Times New Roman"/>
      <w:sz w:val="24"/>
      <w:szCs w:val="24"/>
      <w:lang w:eastAsia="en-AU"/>
    </w:rPr>
  </w:style>
  <w:style w:type="character" w:customStyle="1" w:styleId="charsubdno">
    <w:name w:val="charsubdno"/>
    <w:basedOn w:val="DefaultParagraphFont"/>
    <w:rsid w:val="007A4407"/>
    <w:rPr>
      <w:rFonts w:cs="Times New Roman"/>
    </w:rPr>
  </w:style>
  <w:style w:type="character" w:customStyle="1" w:styleId="charsubdtext">
    <w:name w:val="charsubdtext"/>
    <w:basedOn w:val="DefaultParagraphFont"/>
    <w:rsid w:val="007A4407"/>
    <w:rPr>
      <w:rFonts w:cs="Times New Roman"/>
    </w:rPr>
  </w:style>
  <w:style w:type="paragraph" w:customStyle="1" w:styleId="acthead5">
    <w:name w:val="acthead5"/>
    <w:basedOn w:val="Normal"/>
    <w:rsid w:val="007A4407"/>
    <w:pPr>
      <w:spacing w:before="100" w:beforeAutospacing="1" w:after="100" w:afterAutospacing="1" w:line="240" w:lineRule="auto"/>
    </w:pPr>
    <w:rPr>
      <w:rFonts w:ascii="Times New Roman" w:hAnsi="Times New Roman"/>
      <w:sz w:val="24"/>
      <w:szCs w:val="24"/>
      <w:lang w:eastAsia="en-AU"/>
    </w:rPr>
  </w:style>
  <w:style w:type="character" w:customStyle="1" w:styleId="charsectno">
    <w:name w:val="charsectno"/>
    <w:basedOn w:val="DefaultParagraphFont"/>
    <w:rsid w:val="007A4407"/>
    <w:rPr>
      <w:rFonts w:cs="Times New Roman"/>
    </w:rPr>
  </w:style>
  <w:style w:type="table" w:customStyle="1" w:styleId="TableGrid40">
    <w:name w:val="Table Grid4"/>
    <w:basedOn w:val="TableNormal"/>
    <w:next w:val="TableGrid"/>
    <w:uiPriority w:val="39"/>
    <w:rsid w:val="007A4407"/>
    <w:pPr>
      <w:spacing w:after="0" w:line="240" w:lineRule="auto"/>
    </w:pPr>
    <w:rPr>
      <w:rFonts w:ascii="HelveticaNeueLT Std Lt Cn" w:hAnsi="HelveticaNeueLT Std Lt C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aaHeadingnonumberList">
    <w:name w:val="aa Heading (no number) List"/>
    <w:pPr>
      <w:numPr>
        <w:numId w:val="19"/>
      </w:numPr>
    </w:pPr>
  </w:style>
  <w:style w:type="numbering" w:customStyle="1" w:styleId="aaAppendixNumbering">
    <w:name w:val="aa Appendix Numbering"/>
    <w:uiPriority w:val="99"/>
    <w:pPr>
      <w:numPr>
        <w:numId w:val="18"/>
      </w:numPr>
    </w:pPr>
  </w:style>
  <w:style w:type="numbering" w:styleId="111111">
    <w:name w:val="Outline List 2"/>
    <w:basedOn w:val="NoList"/>
    <w:uiPriority w:val="99"/>
    <w:semiHidden/>
    <w:unhideWhenUsed/>
    <w:pPr>
      <w:numPr>
        <w:numId w:val="2"/>
      </w:numPr>
    </w:pPr>
  </w:style>
  <w:style w:type="numbering" w:customStyle="1" w:styleId="ACILAllenDashedList">
    <w:name w:val="ACIL Allen Dashed List"/>
    <w:pPr>
      <w:numPr>
        <w:numId w:val="27"/>
      </w:numPr>
    </w:pPr>
  </w:style>
  <w:style w:type="numbering" w:customStyle="1" w:styleId="BoxListBullets">
    <w:name w:val="Box List Bullets"/>
    <w:pPr>
      <w:numPr>
        <w:numId w:val="12"/>
      </w:numPr>
    </w:pPr>
  </w:style>
  <w:style w:type="numbering" w:customStyle="1" w:styleId="aaReportListDash">
    <w:name w:val="aa Report List Dash"/>
    <w:pPr>
      <w:numPr>
        <w:numId w:val="28"/>
      </w:numPr>
    </w:pPr>
  </w:style>
  <w:style w:type="numbering" w:customStyle="1" w:styleId="aaSideNotesBullets">
    <w:name w:val="aa SideNotes Bullets"/>
    <w:pPr>
      <w:numPr>
        <w:numId w:val="15"/>
      </w:numPr>
    </w:pPr>
  </w:style>
  <w:style w:type="numbering" w:customStyle="1" w:styleId="aaTableListNumbers">
    <w:name w:val="aa Table List Numbers"/>
    <w:pPr>
      <w:numPr>
        <w:numId w:val="11"/>
      </w:numPr>
    </w:pPr>
  </w:style>
  <w:style w:type="numbering" w:customStyle="1" w:styleId="aaReportListBullets">
    <w:name w:val="aa Report List Bullets"/>
    <w:pPr>
      <w:numPr>
        <w:numId w:val="13"/>
      </w:numPr>
    </w:pPr>
  </w:style>
  <w:style w:type="numbering" w:customStyle="1" w:styleId="aaTableListBullets">
    <w:name w:val="aa Table List Bullets"/>
    <w:pPr>
      <w:numPr>
        <w:numId w:val="10"/>
      </w:numPr>
    </w:pPr>
  </w:style>
  <w:style w:type="numbering" w:customStyle="1" w:styleId="aaTOCList">
    <w:name w:val="aa TOC List"/>
    <w:uiPriority w:val="99"/>
    <w:pPr>
      <w:numPr>
        <w:numId w:val="1"/>
      </w:numPr>
    </w:pPr>
  </w:style>
  <w:style w:type="numbering" w:customStyle="1" w:styleId="TOCList">
    <w:name w:val="TOC List"/>
    <w:pPr>
      <w:numPr>
        <w:numId w:val="17"/>
      </w:numPr>
    </w:pPr>
  </w:style>
  <w:style w:type="numbering" w:customStyle="1" w:styleId="BoxList">
    <w:name w:val="Box List"/>
    <w:pPr>
      <w:numPr>
        <w:numId w:val="9"/>
      </w:numPr>
    </w:pPr>
  </w:style>
  <w:style w:type="numbering" w:customStyle="1" w:styleId="aaReportHeadings">
    <w:name w:val="aa Report Headings"/>
    <w:pPr>
      <w:numPr>
        <w:numId w:val="16"/>
      </w:numPr>
    </w:pPr>
  </w:style>
  <w:style w:type="numbering" w:styleId="1ai">
    <w:name w:val="Outline List 1"/>
    <w:aliases w:val="List for Box List Number"/>
    <w:basedOn w:val="NoList"/>
    <w:uiPriority w:val="99"/>
    <w:semiHidden/>
    <w:unhideWhenUsed/>
    <w:pPr>
      <w:numPr>
        <w:numId w:val="3"/>
      </w:numPr>
    </w:pPr>
  </w:style>
  <w:style w:type="numbering" w:styleId="ArticleSection">
    <w:name w:val="Outline List 3"/>
    <w:basedOn w:val="NoList"/>
    <w:uiPriority w:val="99"/>
    <w:semiHidden/>
    <w:unhideWhenUsed/>
    <w:pPr>
      <w:numPr>
        <w:numId w:val="31"/>
      </w:numPr>
    </w:pPr>
  </w:style>
  <w:style w:type="numbering" w:customStyle="1" w:styleId="aaReportListNumber">
    <w:name w:val="aa Report List Number"/>
    <w:uiPriority w:val="99"/>
    <w:pPr>
      <w:numPr>
        <w:numId w:val="14"/>
      </w:numPr>
    </w:pPr>
  </w:style>
  <w:style w:type="table" w:customStyle="1" w:styleId="TableGrid50">
    <w:name w:val="Table Grid5"/>
    <w:basedOn w:val="TableNormal"/>
    <w:next w:val="TableGrid"/>
    <w:uiPriority w:val="39"/>
    <w:rsid w:val="00CE17FE"/>
    <w:pPr>
      <w:spacing w:after="0" w:line="240" w:lineRule="auto"/>
    </w:pPr>
    <w:rPr>
      <w:rFonts w:ascii="HelveticaNeueLT Std Lt Cn" w:eastAsiaTheme="minorHAnsi" w:hAnsi="HelveticaNeueLT Std Lt Cn" w:cstheme="minorBid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aaReportListDash1">
    <w:name w:val="aa Report List Dash1"/>
    <w:uiPriority w:val="99"/>
    <w:rsid w:val="00CE17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List Bullet" w:semiHidden="0"/>
    <w:lsdException w:name="List Number" w:unhideWhenUsed="0"/>
    <w:lsdException w:name="List 4" w:unhideWhenUsed="0"/>
    <w:lsdException w:name="List 5" w:unhideWhenUsed="0"/>
    <w:lsdException w:name="List Bullet 2" w:semiHidden="0"/>
    <w:lsdException w:name="Title" w:semiHidden="0" w:uiPriority="10" w:unhideWhenUsed="0" w:qFormat="1"/>
    <w:lsdException w:name="Default Paragraph Font" w:uiPriority="1"/>
    <w:lsdException w:name="Body Text" w:semiHidden="0" w:unhideWhenUsed="0"/>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B24"/>
    <w:pPr>
      <w:spacing w:after="113" w:line="240" w:lineRule="atLeast"/>
    </w:pPr>
    <w:rPr>
      <w:rFonts w:ascii="Arial Narrow" w:hAnsi="Arial Narrow" w:cs="Times New Roman"/>
      <w:lang w:val="en-AU"/>
    </w:rPr>
  </w:style>
  <w:style w:type="paragraph" w:styleId="Heading1">
    <w:name w:val="heading 1"/>
    <w:basedOn w:val="Normal"/>
    <w:next w:val="BodyText"/>
    <w:link w:val="Heading1Char"/>
    <w:uiPriority w:val="9"/>
    <w:qFormat/>
    <w:rsid w:val="00D4697B"/>
    <w:pPr>
      <w:keepNext/>
      <w:keepLines/>
      <w:numPr>
        <w:numId w:val="21"/>
      </w:numPr>
      <w:spacing w:after="0"/>
      <w:outlineLvl w:val="0"/>
    </w:pPr>
    <w:rPr>
      <w:rFonts w:eastAsiaTheme="majorEastAsia"/>
      <w:bCs/>
      <w:caps/>
      <w:color w:val="FFFEFF"/>
      <w:spacing w:val="110"/>
      <w:sz w:val="38"/>
      <w:szCs w:val="28"/>
    </w:rPr>
  </w:style>
  <w:style w:type="paragraph" w:styleId="Heading2">
    <w:name w:val="heading 2"/>
    <w:basedOn w:val="Normal"/>
    <w:next w:val="BodyText"/>
    <w:link w:val="Heading2Char"/>
    <w:uiPriority w:val="9"/>
    <w:qFormat/>
    <w:rsid w:val="00A93E8B"/>
    <w:pPr>
      <w:keepNext/>
      <w:keepLines/>
      <w:numPr>
        <w:ilvl w:val="1"/>
        <w:numId w:val="21"/>
      </w:numPr>
      <w:pBdr>
        <w:bottom w:val="single" w:sz="4" w:space="1" w:color="auto"/>
        <w:between w:val="single" w:sz="4" w:space="1" w:color="auto"/>
      </w:pBdr>
      <w:spacing w:before="240" w:after="216" w:line="280" w:lineRule="atLeast"/>
      <w:ind w:right="6"/>
      <w:outlineLvl w:val="1"/>
    </w:pPr>
    <w:rPr>
      <w:rFonts w:eastAsiaTheme="majorEastAsia"/>
      <w:b/>
      <w:bCs/>
      <w:color w:val="000001"/>
      <w:sz w:val="28"/>
      <w:szCs w:val="26"/>
    </w:rPr>
  </w:style>
  <w:style w:type="paragraph" w:styleId="Heading3">
    <w:name w:val="heading 3"/>
    <w:basedOn w:val="Normal"/>
    <w:next w:val="BodyText"/>
    <w:link w:val="Heading3Char"/>
    <w:uiPriority w:val="9"/>
    <w:qFormat/>
    <w:rsid w:val="00A93E8B"/>
    <w:pPr>
      <w:keepNext/>
      <w:keepLines/>
      <w:numPr>
        <w:ilvl w:val="2"/>
        <w:numId w:val="21"/>
      </w:numPr>
      <w:pBdr>
        <w:bottom w:val="single" w:sz="4" w:space="1" w:color="auto"/>
      </w:pBdr>
      <w:spacing w:before="240" w:after="48"/>
      <w:ind w:left="720" w:hanging="720"/>
      <w:outlineLvl w:val="2"/>
    </w:pPr>
    <w:rPr>
      <w:rFonts w:eastAsiaTheme="majorEastAsia"/>
      <w:b/>
      <w:color w:val="000001"/>
      <w:szCs w:val="24"/>
    </w:rPr>
  </w:style>
  <w:style w:type="paragraph" w:styleId="Heading4">
    <w:name w:val="heading 4"/>
    <w:basedOn w:val="Normal"/>
    <w:next w:val="BodyText"/>
    <w:link w:val="Heading4Char"/>
    <w:uiPriority w:val="9"/>
    <w:qFormat/>
    <w:rsid w:val="00F87161"/>
    <w:pPr>
      <w:keepNext/>
      <w:keepLines/>
      <w:numPr>
        <w:ilvl w:val="3"/>
        <w:numId w:val="21"/>
      </w:numPr>
      <w:spacing w:before="240" w:after="64"/>
      <w:outlineLvl w:val="3"/>
    </w:pPr>
    <w:rPr>
      <w:rFonts w:eastAsiaTheme="majorEastAsia"/>
      <w:b/>
      <w:iCs/>
      <w:color w:val="000100"/>
      <w:spacing w:val="-1"/>
    </w:rPr>
  </w:style>
  <w:style w:type="paragraph" w:styleId="Heading5">
    <w:name w:val="heading 5"/>
    <w:basedOn w:val="Normal"/>
    <w:next w:val="BodyText"/>
    <w:link w:val="Heading5Char"/>
    <w:uiPriority w:val="9"/>
    <w:qFormat/>
    <w:rsid w:val="00F87161"/>
    <w:pPr>
      <w:keepNext/>
      <w:keepLines/>
      <w:numPr>
        <w:ilvl w:val="4"/>
        <w:numId w:val="21"/>
      </w:numPr>
      <w:spacing w:before="240" w:after="89"/>
      <w:outlineLvl w:val="4"/>
    </w:pPr>
    <w:rPr>
      <w:b/>
      <w:i/>
      <w:spacing w:val="3"/>
    </w:rPr>
  </w:style>
  <w:style w:type="paragraph" w:styleId="Heading6">
    <w:name w:val="heading 6"/>
    <w:basedOn w:val="Normal"/>
    <w:next w:val="BodyText"/>
    <w:link w:val="Heading6Char"/>
    <w:uiPriority w:val="9"/>
    <w:qFormat/>
    <w:rsid w:val="00F87161"/>
    <w:pPr>
      <w:keepNext/>
      <w:keepLines/>
      <w:numPr>
        <w:ilvl w:val="5"/>
        <w:numId w:val="21"/>
      </w:numPr>
      <w:pBdr>
        <w:between w:val="single" w:sz="4" w:space="1" w:color="auto"/>
      </w:pBdr>
      <w:spacing w:before="240" w:after="89"/>
      <w:outlineLvl w:val="5"/>
    </w:pPr>
    <w:rPr>
      <w:rFonts w:eastAsiaTheme="majorEastAsia"/>
      <w:b/>
      <w:i/>
      <w:color w:val="808080" w:themeColor="background1" w:themeShade="80"/>
      <w:spacing w:val="3"/>
    </w:rPr>
  </w:style>
  <w:style w:type="paragraph" w:styleId="Heading7">
    <w:name w:val="heading 7"/>
    <w:basedOn w:val="Normal"/>
    <w:link w:val="Heading7Char"/>
    <w:uiPriority w:val="9"/>
    <w:qFormat/>
    <w:rsid w:val="001E32CC"/>
    <w:pPr>
      <w:keepNext/>
      <w:keepLines/>
      <w:numPr>
        <w:numId w:val="22"/>
      </w:numPr>
      <w:spacing w:after="0"/>
      <w:outlineLvl w:val="6"/>
    </w:pPr>
    <w:rPr>
      <w:rFonts w:eastAsiaTheme="majorEastAsia"/>
      <w:iCs/>
      <w:caps/>
      <w:color w:val="FFFEFF"/>
      <w:spacing w:val="110"/>
      <w:sz w:val="38"/>
    </w:rPr>
  </w:style>
  <w:style w:type="paragraph" w:styleId="Heading8">
    <w:name w:val="heading 8"/>
    <w:basedOn w:val="Normal"/>
    <w:next w:val="BodyText"/>
    <w:link w:val="Heading8Char"/>
    <w:uiPriority w:val="9"/>
    <w:qFormat/>
    <w:rsid w:val="00A93E8B"/>
    <w:pPr>
      <w:keepNext/>
      <w:keepLines/>
      <w:numPr>
        <w:ilvl w:val="1"/>
        <w:numId w:val="22"/>
      </w:numPr>
      <w:pBdr>
        <w:bottom w:val="single" w:sz="4" w:space="1" w:color="000100"/>
      </w:pBdr>
      <w:spacing w:before="240" w:after="216" w:line="280" w:lineRule="atLeast"/>
      <w:outlineLvl w:val="7"/>
    </w:pPr>
    <w:rPr>
      <w:rFonts w:eastAsiaTheme="majorEastAsia"/>
      <w:b/>
      <w:color w:val="272727" w:themeColor="text1" w:themeTint="D8"/>
      <w:sz w:val="28"/>
      <w:szCs w:val="21"/>
    </w:rPr>
  </w:style>
  <w:style w:type="paragraph" w:styleId="Heading9">
    <w:name w:val="heading 9"/>
    <w:basedOn w:val="Normal"/>
    <w:next w:val="BodyText"/>
    <w:link w:val="Heading9Char"/>
    <w:uiPriority w:val="9"/>
    <w:qFormat/>
    <w:rsid w:val="00A93E8B"/>
    <w:pPr>
      <w:keepNext/>
      <w:keepLines/>
      <w:numPr>
        <w:ilvl w:val="2"/>
        <w:numId w:val="22"/>
      </w:numPr>
      <w:pBdr>
        <w:bottom w:val="single" w:sz="4" w:space="1" w:color="auto"/>
      </w:pBdr>
      <w:spacing w:before="240" w:after="48"/>
      <w:ind w:left="720" w:hanging="720"/>
      <w:outlineLvl w:val="8"/>
    </w:pPr>
    <w:rPr>
      <w:rFonts w:eastAsiaTheme="majorEastAsia"/>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4697B"/>
    <w:rPr>
      <w:rFonts w:ascii="Arial Narrow" w:eastAsiaTheme="majorEastAsia" w:hAnsi="Arial Narrow" w:cs="Times New Roman"/>
      <w:bCs/>
      <w:caps/>
      <w:color w:val="FFFEFF"/>
      <w:spacing w:val="110"/>
      <w:sz w:val="38"/>
      <w:szCs w:val="28"/>
      <w:lang w:val="en-AU"/>
    </w:rPr>
  </w:style>
  <w:style w:type="character" w:customStyle="1" w:styleId="Heading2Char">
    <w:name w:val="Heading 2 Char"/>
    <w:basedOn w:val="DefaultParagraphFont"/>
    <w:link w:val="Heading2"/>
    <w:uiPriority w:val="9"/>
    <w:locked/>
    <w:rsid w:val="00A93E8B"/>
    <w:rPr>
      <w:rFonts w:ascii="Arial Narrow" w:eastAsiaTheme="majorEastAsia" w:hAnsi="Arial Narrow" w:cs="Times New Roman"/>
      <w:b/>
      <w:bCs/>
      <w:color w:val="000001"/>
      <w:sz w:val="28"/>
      <w:szCs w:val="26"/>
      <w:lang w:val="en-AU"/>
    </w:rPr>
  </w:style>
  <w:style w:type="character" w:customStyle="1" w:styleId="Heading3Char">
    <w:name w:val="Heading 3 Char"/>
    <w:basedOn w:val="DefaultParagraphFont"/>
    <w:link w:val="Heading3"/>
    <w:uiPriority w:val="9"/>
    <w:locked/>
    <w:rsid w:val="00A93E8B"/>
    <w:rPr>
      <w:rFonts w:ascii="Arial Narrow" w:eastAsiaTheme="majorEastAsia" w:hAnsi="Arial Narrow" w:cs="Times New Roman"/>
      <w:b/>
      <w:color w:val="000001"/>
      <w:szCs w:val="24"/>
      <w:lang w:val="en-AU"/>
    </w:rPr>
  </w:style>
  <w:style w:type="character" w:customStyle="1" w:styleId="Heading4Char">
    <w:name w:val="Heading 4 Char"/>
    <w:basedOn w:val="DefaultParagraphFont"/>
    <w:link w:val="Heading4"/>
    <w:uiPriority w:val="9"/>
    <w:locked/>
    <w:rsid w:val="00F87161"/>
    <w:rPr>
      <w:rFonts w:ascii="Arial Narrow" w:eastAsiaTheme="majorEastAsia" w:hAnsi="Arial Narrow" w:cs="Times New Roman"/>
      <w:b/>
      <w:iCs/>
      <w:color w:val="000100"/>
      <w:spacing w:val="-1"/>
      <w:lang w:val="en-AU"/>
    </w:rPr>
  </w:style>
  <w:style w:type="character" w:customStyle="1" w:styleId="Heading5Char">
    <w:name w:val="Heading 5 Char"/>
    <w:basedOn w:val="DefaultParagraphFont"/>
    <w:link w:val="Heading5"/>
    <w:uiPriority w:val="9"/>
    <w:locked/>
    <w:rsid w:val="00F87161"/>
    <w:rPr>
      <w:rFonts w:ascii="Arial Narrow" w:hAnsi="Arial Narrow" w:cs="Times New Roman"/>
      <w:b/>
      <w:i/>
      <w:spacing w:val="3"/>
      <w:lang w:val="en-AU"/>
    </w:rPr>
  </w:style>
  <w:style w:type="character" w:customStyle="1" w:styleId="Heading6Char">
    <w:name w:val="Heading 6 Char"/>
    <w:basedOn w:val="DefaultParagraphFont"/>
    <w:link w:val="Heading6"/>
    <w:uiPriority w:val="9"/>
    <w:locked/>
    <w:rsid w:val="00F87161"/>
    <w:rPr>
      <w:rFonts w:ascii="Arial Narrow" w:eastAsiaTheme="majorEastAsia" w:hAnsi="Arial Narrow" w:cs="Times New Roman"/>
      <w:b/>
      <w:i/>
      <w:color w:val="808080" w:themeColor="background1" w:themeShade="80"/>
      <w:spacing w:val="3"/>
      <w:lang w:val="en-AU"/>
    </w:rPr>
  </w:style>
  <w:style w:type="character" w:customStyle="1" w:styleId="Heading7Char">
    <w:name w:val="Heading 7 Char"/>
    <w:basedOn w:val="DefaultParagraphFont"/>
    <w:link w:val="Heading7"/>
    <w:uiPriority w:val="9"/>
    <w:locked/>
    <w:rsid w:val="001E32CC"/>
    <w:rPr>
      <w:rFonts w:ascii="Arial Narrow" w:eastAsiaTheme="majorEastAsia" w:hAnsi="Arial Narrow" w:cs="Times New Roman"/>
      <w:iCs/>
      <w:caps/>
      <w:color w:val="FFFEFF"/>
      <w:spacing w:val="110"/>
      <w:sz w:val="38"/>
      <w:lang w:val="en-AU"/>
    </w:rPr>
  </w:style>
  <w:style w:type="character" w:customStyle="1" w:styleId="Heading8Char">
    <w:name w:val="Heading 8 Char"/>
    <w:basedOn w:val="DefaultParagraphFont"/>
    <w:link w:val="Heading8"/>
    <w:uiPriority w:val="9"/>
    <w:locked/>
    <w:rsid w:val="00A93E8B"/>
    <w:rPr>
      <w:rFonts w:ascii="Arial Narrow" w:eastAsiaTheme="majorEastAsia" w:hAnsi="Arial Narrow" w:cs="Times New Roman"/>
      <w:b/>
      <w:color w:val="272727" w:themeColor="text1" w:themeTint="D8"/>
      <w:sz w:val="28"/>
      <w:szCs w:val="21"/>
      <w:lang w:val="en-AU"/>
    </w:rPr>
  </w:style>
  <w:style w:type="character" w:customStyle="1" w:styleId="Heading9Char">
    <w:name w:val="Heading 9 Char"/>
    <w:basedOn w:val="DefaultParagraphFont"/>
    <w:link w:val="Heading9"/>
    <w:uiPriority w:val="9"/>
    <w:locked/>
    <w:rsid w:val="00A93E8B"/>
    <w:rPr>
      <w:rFonts w:ascii="Arial Narrow" w:eastAsiaTheme="majorEastAsia" w:hAnsi="Arial Narrow" w:cs="Times New Roman"/>
      <w:b/>
      <w:iCs/>
      <w:color w:val="272727" w:themeColor="text1" w:themeTint="D8"/>
      <w:spacing w:val="3"/>
      <w:szCs w:val="21"/>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locked/>
    <w:rsid w:val="00DB373A"/>
    <w:rPr>
      <w:rFonts w:ascii="HelveticaNeueLT Std Lt Cn" w:hAnsi="HelveticaNeueLT Std Lt Cn" w:cs="Times New Roma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locked/>
    <w:rsid w:val="002C3B4B"/>
    <w:rPr>
      <w:rFonts w:ascii="Arial" w:hAnsi="Arial" w:cs="Times New Roman"/>
      <w:caps/>
      <w:spacing w:val="6"/>
      <w:sz w:val="13"/>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basedOn w:val="Normal"/>
    <w:uiPriority w:val="99"/>
    <w:rsid w:val="000659A4"/>
    <w:pPr>
      <w:numPr>
        <w:numId w:val="37"/>
      </w:numPr>
      <w:spacing w:before="60" w:after="60"/>
    </w:pPr>
  </w:style>
  <w:style w:type="paragraph" w:styleId="ListBullet2">
    <w:name w:val="List Bullet 2"/>
    <w:basedOn w:val="Normal"/>
    <w:uiPriority w:val="99"/>
    <w:rsid w:val="000659A4"/>
    <w:pPr>
      <w:numPr>
        <w:ilvl w:val="1"/>
        <w:numId w:val="37"/>
      </w:numPr>
      <w:spacing w:after="60"/>
      <w:contextualSpacing/>
    </w:p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basedOn w:val="TableNormal"/>
    <w:uiPriority w:val="39"/>
    <w:rsid w:val="000F2200"/>
    <w:pPr>
      <w:spacing w:after="0" w:line="240" w:lineRule="auto"/>
    </w:pPr>
    <w:rPr>
      <w:rFonts w:ascii="HelveticaNeueLT Std Lt Cn" w:hAnsi="HelveticaNeueLT Std Lt C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EF5A90"/>
    <w:pPr>
      <w:spacing w:after="0" w:line="800" w:lineRule="exact"/>
    </w:pPr>
    <w:rPr>
      <w:rFonts w:ascii="Bodoni MT" w:hAnsi="Bodoni MT"/>
      <w:caps/>
      <w:color w:val="000100"/>
      <w:spacing w:val="-60"/>
      <w:sz w:val="92"/>
    </w:rPr>
  </w:style>
  <w:style w:type="paragraph" w:styleId="BodyText">
    <w:name w:val="Body Text"/>
    <w:basedOn w:val="Normal"/>
    <w:link w:val="BodyTextChar"/>
    <w:uiPriority w:val="99"/>
    <w:rsid w:val="0054071A"/>
    <w:pPr>
      <w:spacing w:before="113" w:after="60"/>
    </w:pPr>
  </w:style>
  <w:style w:type="character" w:customStyle="1" w:styleId="BodyTextChar">
    <w:name w:val="Body Text Char"/>
    <w:basedOn w:val="DefaultParagraphFont"/>
    <w:link w:val="BodyText"/>
    <w:uiPriority w:val="99"/>
    <w:locked/>
    <w:rsid w:val="0054071A"/>
    <w:rPr>
      <w:rFonts w:ascii="Arial Narrow" w:hAnsi="Arial Narrow" w:cs="Times New Roman"/>
      <w:lang w:val="en-AU" w:eastAsia="x-none"/>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B80AE2"/>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rFonts w:ascii="Bodoni MT" w:hAnsi="Bodoni MT"/>
      <w:caps/>
      <w:sz w:val="30"/>
    </w:rPr>
  </w:style>
  <w:style w:type="paragraph" w:styleId="TOC8">
    <w:name w:val="toc 8"/>
    <w:basedOn w:val="Normal"/>
    <w:next w:val="Normal"/>
    <w:uiPriority w:val="39"/>
    <w:semiHidden/>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paragraph" w:customStyle="1" w:styleId="BoxText">
    <w:name w:val="Box Text"/>
    <w:basedOn w:val="Normal"/>
    <w:qFormat/>
    <w:rsid w:val="005F68B2"/>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nospace"/>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rFonts w:cs="Times New Roman"/>
      <w:b/>
    </w:rPr>
  </w:style>
  <w:style w:type="paragraph" w:customStyle="1" w:styleId="Source">
    <w:name w:val="Source"/>
    <w:basedOn w:val="Normal"/>
    <w:link w:val="SourceChar"/>
    <w:qFormat/>
    <w:rsid w:val="00806152"/>
    <w:pPr>
      <w:keepNext/>
      <w:spacing w:before="52" w:after="0" w:line="240" w:lineRule="auto"/>
    </w:pPr>
    <w:rPr>
      <w:i/>
      <w:caps/>
      <w:spacing w:val="-3"/>
      <w:sz w:val="14"/>
    </w:rPr>
  </w:style>
  <w:style w:type="paragraph" w:customStyle="1" w:styleId="BoxListBullet">
    <w:name w:val="Box List Bullet"/>
    <w:basedOn w:val="Normal"/>
    <w:qFormat/>
    <w:rsid w:val="005F68B2"/>
    <w:pPr>
      <w:keepNext/>
      <w:numPr>
        <w:numId w:val="23"/>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E5CC4"/>
    <w:rPr>
      <w:rFonts w:ascii="Segoe UI" w:hAnsi="Segoe UI" w:cs="Segoe UI"/>
      <w:sz w:val="18"/>
      <w:szCs w:val="18"/>
    </w:rPr>
  </w:style>
  <w:style w:type="paragraph" w:styleId="Bibliography">
    <w:name w:val="Bibliography"/>
    <w:basedOn w:val="Normal"/>
    <w:next w:val="Normal"/>
    <w:uiPriority w:val="37"/>
    <w:semiHidden/>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locked/>
    <w:rsid w:val="000E5CC4"/>
    <w:rPr>
      <w:rFonts w:ascii="HelveticaNeueLT Std Lt Cn" w:hAnsi="HelveticaNeueLT Std Lt Cn" w:cs="Times New Roma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locked/>
    <w:rsid w:val="000E5CC4"/>
    <w:rPr>
      <w:rFonts w:ascii="HelveticaNeueLT Std Lt Cn" w:hAnsi="HelveticaNeueLT Std Lt Cn" w:cs="Times New Roma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locked/>
    <w:rsid w:val="000E5CC4"/>
    <w:rPr>
      <w:rFonts w:ascii="HelveticaNeueLT Std Lt Cn" w:hAnsi="HelveticaNeueLT Std Lt Cn" w:cs="Times New Roman"/>
      <w:sz w:val="20"/>
      <w:lang w:val="en-AU" w:eastAsia="x-none"/>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locked/>
    <w:rsid w:val="000E5CC4"/>
    <w:rPr>
      <w:rFonts w:ascii="HelveticaNeueLT Std Lt Cn" w:hAnsi="HelveticaNeueLT Std Lt Cn" w:cs="Times New Roma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locked/>
    <w:rsid w:val="000E5CC4"/>
    <w:rPr>
      <w:rFonts w:ascii="HelveticaNeueLT Std Lt Cn" w:hAnsi="HelveticaNeueLT Std Lt Cn" w:cs="Times New Roma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0E5CC4"/>
    <w:rPr>
      <w:rFonts w:ascii="HelveticaNeueLT Std Lt Cn" w:hAnsi="HelveticaNeueLT Std Lt Cn" w:cs="Times New Roma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0E5CC4"/>
    <w:rPr>
      <w:rFonts w:ascii="HelveticaNeueLT Std Lt Cn" w:hAnsi="HelveticaNeueLT Std Lt Cn" w:cs="Times New Roman"/>
      <w:sz w:val="16"/>
      <w:szCs w:val="16"/>
    </w:rPr>
  </w:style>
  <w:style w:type="character" w:styleId="BookTitle">
    <w:name w:val="Book Title"/>
    <w:basedOn w:val="DefaultParagraphFont"/>
    <w:uiPriority w:val="33"/>
    <w:qFormat/>
    <w:rsid w:val="000E5CC4"/>
    <w:rPr>
      <w:rFonts w:cs="Times New Roman"/>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locked/>
    <w:rsid w:val="000E5CC4"/>
    <w:rPr>
      <w:rFonts w:ascii="HelveticaNeueLT Std Lt Cn" w:hAnsi="HelveticaNeueLT Std Lt Cn" w:cs="Times New Roman"/>
      <w:sz w:val="20"/>
    </w:rPr>
  </w:style>
  <w:style w:type="table" w:styleId="ColorfulGrid">
    <w:name w:val="Colorful Grid"/>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rFonts w:cs="Times New Roman"/>
        <w:b/>
        <w:bCs/>
      </w:rPr>
      <w:tblPr/>
      <w:tcPr>
        <w:shd w:val="clear" w:color="auto" w:fill="999999" w:themeFill="text1" w:themeFillTint="66"/>
      </w:tcPr>
    </w:tblStylePr>
    <w:tblStylePr w:type="lastRow">
      <w:rPr>
        <w:rFonts w:cs="Times New Roman"/>
        <w:b/>
        <w:bCs/>
        <w:color w:val="000000" w:themeColor="text1"/>
      </w:rPr>
      <w:tblPr/>
      <w:tcPr>
        <w:shd w:val="clear" w:color="auto" w:fill="999999" w:themeFill="text1" w:themeFillTint="66"/>
      </w:tcPr>
    </w:tblStylePr>
    <w:tblStylePr w:type="firstCol">
      <w:rPr>
        <w:rFonts w:cs="Times New Roman"/>
        <w:color w:val="FFFFFF" w:themeColor="background1"/>
      </w:rPr>
      <w:tblPr/>
      <w:tcPr>
        <w:shd w:val="clear" w:color="auto" w:fill="000000" w:themeFill="text1" w:themeFillShade="BF"/>
      </w:tcPr>
    </w:tblStylePr>
    <w:tblStylePr w:type="lastCol">
      <w:rPr>
        <w:rFonts w:cs="Times New Roman"/>
        <w:color w:val="FFFFFF" w:themeColor="background1"/>
      </w:rPr>
      <w:tblPr/>
      <w:tcPr>
        <w:shd w:val="clear" w:color="auto" w:fill="000000" w:themeFill="text1" w:themeFillShade="BF"/>
      </w:tcPr>
    </w:tblStylePr>
    <w:tblStylePr w:type="band1Vert">
      <w:rPr>
        <w:rFonts w:cs="Times New Roman"/>
      </w:rPr>
      <w:tblPr/>
      <w:tcPr>
        <w:shd w:val="clear" w:color="auto" w:fill="808080" w:themeFill="text1" w:themeFillTint="7F"/>
      </w:tcPr>
    </w:tblStylePr>
    <w:tblStylePr w:type="band1Horz">
      <w:rPr>
        <w:rFonts w:cs="Times New Roman"/>
      </w:rPr>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rFonts w:cs="Times New Roman"/>
        <w:b/>
        <w:bCs/>
      </w:rPr>
      <w:tblPr/>
      <w:tcPr>
        <w:shd w:val="clear" w:color="auto" w:fill="D5BBDB" w:themeFill="accent1" w:themeFillTint="66"/>
      </w:tcPr>
    </w:tblStylePr>
    <w:tblStylePr w:type="lastRow">
      <w:rPr>
        <w:rFonts w:cs="Times New Roman"/>
        <w:b/>
        <w:bCs/>
        <w:color w:val="000000" w:themeColor="text1"/>
      </w:rPr>
      <w:tblPr/>
      <w:tcPr>
        <w:shd w:val="clear" w:color="auto" w:fill="D5BBDB" w:themeFill="accent1" w:themeFillTint="66"/>
      </w:tcPr>
    </w:tblStylePr>
    <w:tblStylePr w:type="firstCol">
      <w:rPr>
        <w:rFonts w:cs="Times New Roman"/>
        <w:color w:val="FFFFFF" w:themeColor="background1"/>
      </w:rPr>
      <w:tblPr/>
      <w:tcPr>
        <w:shd w:val="clear" w:color="auto" w:fill="70417C" w:themeFill="accent1" w:themeFillShade="BF"/>
      </w:tcPr>
    </w:tblStylePr>
    <w:tblStylePr w:type="lastCol">
      <w:rPr>
        <w:rFonts w:cs="Times New Roman"/>
        <w:color w:val="FFFFFF" w:themeColor="background1"/>
      </w:rPr>
      <w:tblPr/>
      <w:tcPr>
        <w:shd w:val="clear" w:color="auto" w:fill="70417C" w:themeFill="accent1" w:themeFillShade="BF"/>
      </w:tcPr>
    </w:tblStylePr>
    <w:tblStylePr w:type="band1Vert">
      <w:rPr>
        <w:rFonts w:cs="Times New Roman"/>
      </w:rPr>
      <w:tblPr/>
      <w:tcPr>
        <w:shd w:val="clear" w:color="auto" w:fill="CBABD3" w:themeFill="accent1" w:themeFillTint="7F"/>
      </w:tcPr>
    </w:tblStylePr>
    <w:tblStylePr w:type="band1Horz">
      <w:rPr>
        <w:rFonts w:cs="Times New Roman"/>
      </w:rPr>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rFonts w:cs="Times New Roman"/>
        <w:b/>
        <w:bCs/>
      </w:rPr>
      <w:tblPr/>
      <w:tcPr>
        <w:shd w:val="clear" w:color="auto" w:fill="FFDEB0" w:themeFill="accent2" w:themeFillTint="66"/>
      </w:tcPr>
    </w:tblStylePr>
    <w:tblStylePr w:type="lastRow">
      <w:rPr>
        <w:rFonts w:cs="Times New Roman"/>
        <w:b/>
        <w:bCs/>
        <w:color w:val="000000" w:themeColor="text1"/>
      </w:rPr>
      <w:tblPr/>
      <w:tcPr>
        <w:shd w:val="clear" w:color="auto" w:fill="FFDEB0" w:themeFill="accent2" w:themeFillTint="66"/>
      </w:tcPr>
    </w:tblStylePr>
    <w:tblStylePr w:type="firstCol">
      <w:rPr>
        <w:rFonts w:cs="Times New Roman"/>
        <w:color w:val="FFFFFF" w:themeColor="background1"/>
      </w:rPr>
      <w:tblPr/>
      <w:tcPr>
        <w:shd w:val="clear" w:color="auto" w:fill="EB8900" w:themeFill="accent2" w:themeFillShade="BF"/>
      </w:tcPr>
    </w:tblStylePr>
    <w:tblStylePr w:type="lastCol">
      <w:rPr>
        <w:rFonts w:cs="Times New Roman"/>
        <w:color w:val="FFFFFF" w:themeColor="background1"/>
      </w:rPr>
      <w:tblPr/>
      <w:tcPr>
        <w:shd w:val="clear" w:color="auto" w:fill="EB8900" w:themeFill="accent2" w:themeFillShade="BF"/>
      </w:tcPr>
    </w:tblStylePr>
    <w:tblStylePr w:type="band1Vert">
      <w:rPr>
        <w:rFonts w:cs="Times New Roman"/>
      </w:rPr>
      <w:tblPr/>
      <w:tcPr>
        <w:shd w:val="clear" w:color="auto" w:fill="FFD69D" w:themeFill="accent2" w:themeFillTint="7F"/>
      </w:tcPr>
    </w:tblStylePr>
    <w:tblStylePr w:type="band1Horz">
      <w:rPr>
        <w:rFonts w:cs="Times New Roman"/>
      </w:rPr>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rFonts w:cs="Times New Roman"/>
        <w:b/>
        <w:bCs/>
      </w:rPr>
      <w:tblPr/>
      <w:tcPr>
        <w:shd w:val="clear" w:color="auto" w:fill="DBDBDB" w:themeFill="accent3" w:themeFillTint="66"/>
      </w:tcPr>
    </w:tblStylePr>
    <w:tblStylePr w:type="lastRow">
      <w:rPr>
        <w:rFonts w:cs="Times New Roman"/>
        <w:b/>
        <w:bCs/>
        <w:color w:val="000000" w:themeColor="text1"/>
      </w:rPr>
      <w:tblPr/>
      <w:tcPr>
        <w:shd w:val="clear" w:color="auto" w:fill="DBDBDB" w:themeFill="accent3" w:themeFillTint="66"/>
      </w:tcPr>
    </w:tblStylePr>
    <w:tblStylePr w:type="firstCol">
      <w:rPr>
        <w:rFonts w:cs="Times New Roman"/>
        <w:color w:val="FFFFFF" w:themeColor="background1"/>
      </w:rPr>
      <w:tblPr/>
      <w:tcPr>
        <w:shd w:val="clear" w:color="auto" w:fill="7B7B7B" w:themeFill="accent3" w:themeFillShade="BF"/>
      </w:tcPr>
    </w:tblStylePr>
    <w:tblStylePr w:type="lastCol">
      <w:rPr>
        <w:rFonts w:cs="Times New Roman"/>
        <w:color w:val="FFFFFF" w:themeColor="background1"/>
      </w:rPr>
      <w:tblPr/>
      <w:tcPr>
        <w:shd w:val="clear" w:color="auto" w:fill="7B7B7B" w:themeFill="accent3" w:themeFillShade="BF"/>
      </w:tc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rFonts w:cs="Times New Roman"/>
        <w:b/>
        <w:bCs/>
      </w:rPr>
      <w:tblPr/>
      <w:tcPr>
        <w:shd w:val="clear" w:color="auto" w:fill="E1CFE6" w:themeFill="accent4" w:themeFillTint="66"/>
      </w:tcPr>
    </w:tblStylePr>
    <w:tblStylePr w:type="lastRow">
      <w:rPr>
        <w:rFonts w:cs="Times New Roman"/>
        <w:b/>
        <w:bCs/>
        <w:color w:val="000000" w:themeColor="text1"/>
      </w:rPr>
      <w:tblPr/>
      <w:tcPr>
        <w:shd w:val="clear" w:color="auto" w:fill="E1CFE6" w:themeFill="accent4" w:themeFillTint="66"/>
      </w:tcPr>
    </w:tblStylePr>
    <w:tblStylePr w:type="firstCol">
      <w:rPr>
        <w:rFonts w:cs="Times New Roman"/>
        <w:color w:val="FFFFFF" w:themeColor="background1"/>
      </w:rPr>
      <w:tblPr/>
      <w:tcPr>
        <w:shd w:val="clear" w:color="auto" w:fill="9255A1" w:themeFill="accent4" w:themeFillShade="BF"/>
      </w:tcPr>
    </w:tblStylePr>
    <w:tblStylePr w:type="lastCol">
      <w:rPr>
        <w:rFonts w:cs="Times New Roman"/>
        <w:color w:val="FFFFFF" w:themeColor="background1"/>
      </w:rPr>
      <w:tblPr/>
      <w:tcPr>
        <w:shd w:val="clear" w:color="auto" w:fill="9255A1" w:themeFill="accent4" w:themeFillShade="BF"/>
      </w:tcPr>
    </w:tblStylePr>
    <w:tblStylePr w:type="band1Vert">
      <w:rPr>
        <w:rFonts w:cs="Times New Roman"/>
      </w:rPr>
      <w:tblPr/>
      <w:tcPr>
        <w:shd w:val="clear" w:color="auto" w:fill="DAC4E0" w:themeFill="accent4" w:themeFillTint="7F"/>
      </w:tcPr>
    </w:tblStylePr>
    <w:tblStylePr w:type="band1Horz">
      <w:rPr>
        <w:rFonts w:cs="Times New Roman"/>
      </w:rPr>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rFonts w:cs="Times New Roman"/>
        <w:b/>
        <w:bCs/>
      </w:rPr>
      <w:tblPr/>
      <w:tcPr>
        <w:shd w:val="clear" w:color="auto" w:fill="FFD190" w:themeFill="accent5" w:themeFillTint="66"/>
      </w:tcPr>
    </w:tblStylePr>
    <w:tblStylePr w:type="lastRow">
      <w:rPr>
        <w:rFonts w:cs="Times New Roman"/>
        <w:b/>
        <w:bCs/>
        <w:color w:val="000000" w:themeColor="text1"/>
      </w:rPr>
      <w:tblPr/>
      <w:tcPr>
        <w:shd w:val="clear" w:color="auto" w:fill="FFD190" w:themeFill="accent5" w:themeFillTint="66"/>
      </w:tcPr>
    </w:tblStylePr>
    <w:tblStylePr w:type="firstCol">
      <w:rPr>
        <w:rFonts w:cs="Times New Roman"/>
        <w:color w:val="FFFFFF" w:themeColor="background1"/>
      </w:rPr>
      <w:tblPr/>
      <w:tcPr>
        <w:shd w:val="clear" w:color="auto" w:fill="AF6700" w:themeFill="accent5" w:themeFillShade="BF"/>
      </w:tcPr>
    </w:tblStylePr>
    <w:tblStylePr w:type="lastCol">
      <w:rPr>
        <w:rFonts w:cs="Times New Roman"/>
        <w:color w:val="FFFFFF" w:themeColor="background1"/>
      </w:rPr>
      <w:tblPr/>
      <w:tcPr>
        <w:shd w:val="clear" w:color="auto" w:fill="AF6700" w:themeFill="accent5" w:themeFillShade="BF"/>
      </w:tcPr>
    </w:tblStylePr>
    <w:tblStylePr w:type="band1Vert">
      <w:rPr>
        <w:rFonts w:cs="Times New Roman"/>
      </w:rPr>
      <w:tblPr/>
      <w:tcPr>
        <w:shd w:val="clear" w:color="auto" w:fill="FFC675" w:themeFill="accent5" w:themeFillTint="7F"/>
      </w:tcPr>
    </w:tblStylePr>
    <w:tblStylePr w:type="band1Horz">
      <w:rPr>
        <w:rFonts w:cs="Times New Roman"/>
      </w:rPr>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rFonts w:cs="Times New Roman"/>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rFonts w:cs="Times New Roman"/>
        <w:b/>
        <w:bCs/>
      </w:rPr>
      <w:tblPr/>
      <w:tcPr>
        <w:shd w:val="clear" w:color="auto" w:fill="E5E5E5" w:themeFill="accent6" w:themeFillTint="66"/>
      </w:tcPr>
    </w:tblStylePr>
    <w:tblStylePr w:type="lastRow">
      <w:rPr>
        <w:rFonts w:cs="Times New Roman"/>
        <w:b/>
        <w:bCs/>
        <w:color w:val="000000" w:themeColor="text1"/>
      </w:rPr>
      <w:tblPr/>
      <w:tcPr>
        <w:shd w:val="clear" w:color="auto" w:fill="E5E5E5" w:themeFill="accent6" w:themeFillTint="66"/>
      </w:tcPr>
    </w:tblStylePr>
    <w:tblStylePr w:type="firstCol">
      <w:rPr>
        <w:rFonts w:cs="Times New Roman"/>
        <w:color w:val="FFFFFF" w:themeColor="background1"/>
      </w:rPr>
      <w:tblPr/>
      <w:tcPr>
        <w:shd w:val="clear" w:color="auto" w:fill="8F8F8F" w:themeFill="accent6" w:themeFillShade="BF"/>
      </w:tcPr>
    </w:tblStylePr>
    <w:tblStylePr w:type="lastCol">
      <w:rPr>
        <w:rFonts w:cs="Times New Roman"/>
        <w:color w:val="FFFFFF" w:themeColor="background1"/>
      </w:rPr>
      <w:tblPr/>
      <w:tcPr>
        <w:shd w:val="clear" w:color="auto" w:fill="8F8F8F" w:themeFill="accent6" w:themeFillShade="BF"/>
      </w:tcPr>
    </w:tblStylePr>
    <w:tblStylePr w:type="band1Vert">
      <w:rPr>
        <w:rFonts w:cs="Times New Roman"/>
      </w:rPr>
      <w:tblPr/>
      <w:tcPr>
        <w:shd w:val="clear" w:color="auto" w:fill="DFDFDF" w:themeFill="accent6" w:themeFillTint="7F"/>
      </w:tcPr>
    </w:tblStylePr>
    <w:tblStylePr w:type="band1Horz">
      <w:rPr>
        <w:rFonts w:cs="Times New Roman"/>
      </w:rPr>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E6E6E6" w:themeFill="text1" w:themeFillTint="19"/>
    </w:tcPr>
    <w:tblStylePr w:type="firstRow">
      <w:rPr>
        <w:rFonts w:cs="Times New Roman"/>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rFonts w:cs="Times New Roman"/>
        <w:b/>
        <w:bCs/>
        <w:color w:val="FB9200"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hemeFill="text1" w:themeFillTint="3F"/>
      </w:tcPr>
    </w:tblStylePr>
    <w:tblStylePr w:type="band1Horz">
      <w:rPr>
        <w:rFonts w:cs="Times New Roman"/>
      </w:rPr>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4EEF6" w:themeFill="accent1" w:themeFillTint="19"/>
    </w:tcPr>
    <w:tblStylePr w:type="firstRow">
      <w:rPr>
        <w:rFonts w:cs="Times New Roman"/>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rFonts w:cs="Times New Roman"/>
        <w:b/>
        <w:bCs/>
        <w:color w:val="FB9200"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5D5E9" w:themeFill="accent1" w:themeFillTint="3F"/>
      </w:tcPr>
    </w:tblStylePr>
    <w:tblStylePr w:type="band1Horz">
      <w:rPr>
        <w:rFonts w:cs="Times New Roman"/>
      </w:rPr>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FF6EB" w:themeFill="accent2" w:themeFillTint="19"/>
    </w:tcPr>
    <w:tblStylePr w:type="firstRow">
      <w:rPr>
        <w:rFonts w:cs="Times New Roman"/>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rFonts w:cs="Times New Roman"/>
        <w:b/>
        <w:bCs/>
        <w:color w:val="FB9200"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ACE" w:themeFill="accent2" w:themeFillTint="3F"/>
      </w:tcPr>
    </w:tblStylePr>
    <w:tblStylePr w:type="band1Horz">
      <w:rPr>
        <w:rFonts w:cs="Times New Roman"/>
      </w:rPr>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6F6F6" w:themeFill="accent3" w:themeFillTint="19"/>
    </w:tcPr>
    <w:tblStylePr w:type="firstRow">
      <w:rPr>
        <w:rFonts w:cs="Times New Roman"/>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rFonts w:cs="Times New Roman"/>
        <w:b/>
        <w:bCs/>
        <w:color w:val="9B5DAA" w:themeColor="accent4"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hemeFill="accent3" w:themeFillTint="3F"/>
      </w:tcPr>
    </w:tblStylePr>
    <w:tblStylePr w:type="band1Horz">
      <w:rPr>
        <w:rFonts w:cs="Times New Roman"/>
      </w:rPr>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7F3F9" w:themeFill="accent4" w:themeFillTint="19"/>
    </w:tcPr>
    <w:tblStylePr w:type="firstRow">
      <w:rPr>
        <w:rFonts w:cs="Times New Roman"/>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rFonts w:cs="Times New Roman"/>
        <w:b/>
        <w:bCs/>
        <w:color w:val="848484" w:themeColor="accent3"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CE1EF" w:themeFill="accent4" w:themeFillTint="3F"/>
      </w:tcPr>
    </w:tblStylePr>
    <w:tblStylePr w:type="band1Horz">
      <w:rPr>
        <w:rFonts w:cs="Times New Roman"/>
      </w:rPr>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FF3E3" w:themeFill="accent5" w:themeFillTint="19"/>
    </w:tcPr>
    <w:tblStylePr w:type="firstRow">
      <w:rPr>
        <w:rFonts w:cs="Times New Roman"/>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rFonts w:cs="Times New Roman"/>
        <w:b/>
        <w:bCs/>
        <w:color w:val="989898" w:themeColor="accent6"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3BA" w:themeFill="accent5" w:themeFillTint="3F"/>
      </w:tcPr>
    </w:tblStylePr>
    <w:tblStylePr w:type="band1Horz">
      <w:rPr>
        <w:rFonts w:cs="Times New Roman"/>
      </w:rPr>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rFonts w:cs="Times New Roman"/>
      <w:color w:val="000000" w:themeColor="text1"/>
    </w:rPr>
    <w:tblPr>
      <w:tblStyleRowBandSize w:val="1"/>
      <w:tblStyleColBandSize w:val="1"/>
    </w:tblPr>
    <w:tcPr>
      <w:shd w:val="clear" w:color="auto" w:fill="F8F8F8" w:themeFill="accent6" w:themeFillTint="19"/>
    </w:tcPr>
    <w:tblStylePr w:type="firstRow">
      <w:rPr>
        <w:rFonts w:cs="Times New Roman"/>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rFonts w:cs="Times New Roman"/>
        <w:b/>
        <w:bCs/>
        <w:color w:val="BB6E00" w:themeColor="accent5"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EFEF" w:themeFill="accent6" w:themeFillTint="3F"/>
      </w:tcPr>
    </w:tblStylePr>
    <w:tblStylePr w:type="band1Horz">
      <w:rPr>
        <w:rFonts w:cs="Times New Roman"/>
      </w:rPr>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rFonts w:cs="Times New Roman"/>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cs="Times New Roman"/>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808080" w:themeFill="text1"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rFonts w:cs="Times New Roman"/>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5A3463" w:themeFill="accent1" w:themeFillShade="99"/>
      </w:tcPr>
    </w:tblStylePr>
    <w:tblStylePr w:type="firstCol">
      <w:rPr>
        <w:rFonts w:cs="Times New Roman"/>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rPr>
        <w:rFonts w:cs="Times New Roman"/>
      </w:rPr>
      <w:tblPr/>
      <w:tcPr>
        <w:shd w:val="clear" w:color="auto" w:fill="D5BBDB" w:themeFill="accent1" w:themeFillTint="66"/>
      </w:tcPr>
    </w:tblStylePr>
    <w:tblStylePr w:type="band1Horz">
      <w:rPr>
        <w:rFonts w:cs="Times New Roman"/>
      </w:rPr>
      <w:tblPr/>
      <w:tcPr>
        <w:shd w:val="clear" w:color="auto" w:fill="CBABD3" w:themeFill="accent1"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rFonts w:cs="Times New Roman"/>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BC6E00" w:themeFill="accent2" w:themeFillShade="99"/>
      </w:tcPr>
    </w:tblStylePr>
    <w:tblStylePr w:type="firstCol">
      <w:rPr>
        <w:rFonts w:cs="Times New Roman"/>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rPr>
        <w:rFonts w:cs="Times New Roman"/>
      </w:rPr>
      <w:tblPr/>
      <w:tcPr>
        <w:shd w:val="clear" w:color="auto" w:fill="FFDEB0" w:themeFill="accent2" w:themeFillTint="66"/>
      </w:tcPr>
    </w:tblStylePr>
    <w:tblStylePr w:type="band1Horz">
      <w:rPr>
        <w:rFonts w:cs="Times New Roman"/>
      </w:rPr>
      <w:tblPr/>
      <w:tcPr>
        <w:shd w:val="clear" w:color="auto" w:fill="FFD69D" w:themeFill="accent2"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rFonts w:cs="Times New Roman"/>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636363" w:themeFill="accent3" w:themeFillShade="99"/>
      </w:tcPr>
    </w:tblStylePr>
    <w:tblStylePr w:type="firstCol">
      <w:rPr>
        <w:rFonts w:cs="Times New Roman"/>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rPr>
        <w:rFonts w:cs="Times New Roman"/>
      </w:rPr>
      <w:tblPr/>
      <w:tcPr>
        <w:shd w:val="clear" w:color="auto" w:fill="DBDBDB" w:themeFill="accent3" w:themeFillTint="66"/>
      </w:tcPr>
    </w:tblStylePr>
    <w:tblStylePr w:type="band1Horz">
      <w:rPr>
        <w:rFonts w:cs="Times New Roman"/>
      </w:rPr>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rFonts w:cs="Times New Roman"/>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754481" w:themeFill="accent4" w:themeFillShade="99"/>
      </w:tcPr>
    </w:tblStylePr>
    <w:tblStylePr w:type="firstCol">
      <w:rPr>
        <w:rFonts w:cs="Times New Roman"/>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rPr>
        <w:rFonts w:cs="Times New Roman"/>
      </w:rPr>
      <w:tblPr/>
      <w:tcPr>
        <w:shd w:val="clear" w:color="auto" w:fill="E1CFE6" w:themeFill="accent4" w:themeFillTint="66"/>
      </w:tcPr>
    </w:tblStylePr>
    <w:tblStylePr w:type="band1Horz">
      <w:rPr>
        <w:rFonts w:cs="Times New Roman"/>
      </w:rPr>
      <w:tblPr/>
      <w:tcPr>
        <w:shd w:val="clear" w:color="auto" w:fill="DAC4E0" w:themeFill="accent4"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rFonts w:cs="Times New Roman"/>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8C5300" w:themeFill="accent5" w:themeFillShade="99"/>
      </w:tcPr>
    </w:tblStylePr>
    <w:tblStylePr w:type="firstCol">
      <w:rPr>
        <w:rFonts w:cs="Times New Roman"/>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rPr>
        <w:rFonts w:cs="Times New Roman"/>
      </w:rPr>
      <w:tblPr/>
      <w:tcPr>
        <w:shd w:val="clear" w:color="auto" w:fill="FFD190" w:themeFill="accent5" w:themeFillTint="66"/>
      </w:tcPr>
    </w:tblStylePr>
    <w:tblStylePr w:type="band1Horz">
      <w:rPr>
        <w:rFonts w:cs="Times New Roman"/>
      </w:rPr>
      <w:tblPr/>
      <w:tcPr>
        <w:shd w:val="clear" w:color="auto" w:fill="FFC675" w:themeFill="accent5" w:themeFillTint="7F"/>
      </w:tcPr>
    </w:tblStylePr>
    <w:tblStylePr w:type="neCell">
      <w:rPr>
        <w:rFonts w:cs="Times New Roman"/>
        <w:color w:val="000000" w:themeColor="text1"/>
      </w:rPr>
    </w:tblStylePr>
    <w:tblStylePr w:type="nwCell">
      <w:rPr>
        <w:rFonts w:cs="Times New Roman"/>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rFonts w:cs="Times New Roman"/>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rFonts w:cs="Times New Roman"/>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rFonts w:cs="Times New Roman"/>
        <w:b/>
        <w:bCs/>
        <w:color w:val="FFFFFF" w:themeColor="background1"/>
      </w:rPr>
      <w:tblPr/>
      <w:tcPr>
        <w:tcBorders>
          <w:top w:val="single" w:sz="6" w:space="0" w:color="FFFFFF" w:themeColor="background1"/>
        </w:tcBorders>
        <w:shd w:val="clear" w:color="auto" w:fill="727272" w:themeFill="accent6" w:themeFillShade="99"/>
      </w:tcPr>
    </w:tblStylePr>
    <w:tblStylePr w:type="firstCol">
      <w:rPr>
        <w:rFonts w:cs="Times New Roman"/>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rFonts w:cs="Times New Roman"/>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rPr>
        <w:rFonts w:cs="Times New Roman"/>
      </w:rPr>
      <w:tblPr/>
      <w:tcPr>
        <w:shd w:val="clear" w:color="auto" w:fill="E5E5E5" w:themeFill="accent6" w:themeFillTint="66"/>
      </w:tcPr>
    </w:tblStylePr>
    <w:tblStylePr w:type="band1Horz">
      <w:rPr>
        <w:rFonts w:cs="Times New Roman"/>
      </w:rPr>
      <w:tblPr/>
      <w:tcPr>
        <w:shd w:val="clear" w:color="auto" w:fill="DFDFDF" w:themeFill="accent6" w:themeFillTint="7F"/>
      </w:tcPr>
    </w:tblStylePr>
    <w:tblStylePr w:type="neCell">
      <w:rPr>
        <w:rFonts w:cs="Times New Roman"/>
        <w:color w:val="000000" w:themeColor="text1"/>
      </w:rPr>
    </w:tblStylePr>
    <w:tblStylePr w:type="nwCell">
      <w:rPr>
        <w:rFonts w:cs="Times New Roman"/>
        <w:color w:val="000000" w:themeColor="text1"/>
      </w:rPr>
    </w:tblStylePr>
  </w:style>
  <w:style w:type="character" w:styleId="CommentReference">
    <w:name w:val="annotation reference"/>
    <w:basedOn w:val="DefaultParagraphFont"/>
    <w:uiPriority w:val="99"/>
    <w:semiHidden/>
    <w:unhideWhenUsed/>
    <w:rsid w:val="000E5CC4"/>
    <w:rPr>
      <w:rFonts w:cs="Times New Roman"/>
      <w:sz w:val="16"/>
      <w:szCs w:val="16"/>
    </w:rPr>
  </w:style>
  <w:style w:type="paragraph" w:styleId="CommentText">
    <w:name w:val="annotation text"/>
    <w:basedOn w:val="Normal"/>
    <w:link w:val="CommentTextChar"/>
    <w:uiPriority w:val="99"/>
    <w:unhideWhenUsed/>
    <w:rsid w:val="000E5CC4"/>
    <w:pPr>
      <w:spacing w:line="240" w:lineRule="auto"/>
    </w:pPr>
    <w:rPr>
      <w:szCs w:val="20"/>
    </w:rPr>
  </w:style>
  <w:style w:type="character" w:customStyle="1" w:styleId="CommentTextChar">
    <w:name w:val="Comment Text Char"/>
    <w:basedOn w:val="DefaultParagraphFont"/>
    <w:link w:val="CommentText"/>
    <w:uiPriority w:val="99"/>
    <w:locked/>
    <w:rsid w:val="000E5CC4"/>
    <w:rPr>
      <w:rFonts w:ascii="HelveticaNeueLT Std Lt Cn" w:hAnsi="HelveticaNeueLT Std Lt Cn" w:cs="Times New Roma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locked/>
    <w:rsid w:val="000E5CC4"/>
    <w:rPr>
      <w:rFonts w:ascii="HelveticaNeueLT Std Lt Cn" w:hAnsi="HelveticaNeueLT Std Lt Cn" w:cs="Times New Roman"/>
      <w:b/>
      <w:bCs/>
      <w:sz w:val="20"/>
      <w:szCs w:val="20"/>
    </w:rPr>
  </w:style>
  <w:style w:type="table" w:styleId="DarkList">
    <w:name w:val="Dark List"/>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000000" w:themeFill="text1"/>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rPr>
        <w:rFonts w:cs="Times New Roman"/>
      </w:rPr>
      <w:tblPr/>
      <w:tcPr>
        <w:tcBorders>
          <w:top w:val="nil"/>
          <w:left w:val="nil"/>
          <w:bottom w:val="nil"/>
          <w:right w:val="nil"/>
          <w:insideH w:val="nil"/>
          <w:insideV w:val="nil"/>
        </w:tcBorders>
        <w:shd w:val="clear" w:color="auto" w:fill="000000" w:themeFill="text1" w:themeFillShade="BF"/>
      </w:tcPr>
    </w:tblStylePr>
    <w:tblStylePr w:type="band1Horz">
      <w:rPr>
        <w:rFonts w:cs="Times New Roman"/>
      </w:rPr>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9757A6" w:themeFill="accent1"/>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rPr>
        <w:rFonts w:cs="Times New Roman"/>
      </w:rPr>
      <w:tblPr/>
      <w:tcPr>
        <w:tcBorders>
          <w:top w:val="nil"/>
          <w:left w:val="nil"/>
          <w:bottom w:val="nil"/>
          <w:right w:val="nil"/>
          <w:insideH w:val="nil"/>
          <w:insideV w:val="nil"/>
        </w:tcBorders>
        <w:shd w:val="clear" w:color="auto" w:fill="70417C" w:themeFill="accent1" w:themeFillShade="BF"/>
      </w:tcPr>
    </w:tblStylePr>
    <w:tblStylePr w:type="band1Horz">
      <w:rPr>
        <w:rFonts w:cs="Times New Roman"/>
      </w:rPr>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FFAE3B" w:themeFill="accent2"/>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rPr>
        <w:rFonts w:cs="Times New Roman"/>
      </w:rPr>
      <w:tblPr/>
      <w:tcPr>
        <w:tcBorders>
          <w:top w:val="nil"/>
          <w:left w:val="nil"/>
          <w:bottom w:val="nil"/>
          <w:right w:val="nil"/>
          <w:insideH w:val="nil"/>
          <w:insideV w:val="nil"/>
        </w:tcBorders>
        <w:shd w:val="clear" w:color="auto" w:fill="EB8900" w:themeFill="accent2" w:themeFillShade="BF"/>
      </w:tcPr>
    </w:tblStylePr>
    <w:tblStylePr w:type="band1Horz">
      <w:rPr>
        <w:rFonts w:cs="Times New Roman"/>
      </w:rPr>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A5A5A5" w:themeFill="accent3"/>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rPr>
        <w:rFonts w:cs="Times New Roman"/>
      </w:rPr>
      <w:tblPr/>
      <w:tcPr>
        <w:tcBorders>
          <w:top w:val="nil"/>
          <w:left w:val="nil"/>
          <w:bottom w:val="nil"/>
          <w:right w:val="nil"/>
          <w:insideH w:val="nil"/>
          <w:insideV w:val="nil"/>
        </w:tcBorders>
        <w:shd w:val="clear" w:color="auto" w:fill="7B7B7B" w:themeFill="accent3" w:themeFillShade="BF"/>
      </w:tcPr>
    </w:tblStylePr>
    <w:tblStylePr w:type="band1Horz">
      <w:rPr>
        <w:rFonts w:cs="Times New Roman"/>
      </w:rPr>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B689C1" w:themeFill="accent4"/>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rPr>
        <w:rFonts w:cs="Times New Roman"/>
      </w:rPr>
      <w:tblPr/>
      <w:tcPr>
        <w:tcBorders>
          <w:top w:val="nil"/>
          <w:left w:val="nil"/>
          <w:bottom w:val="nil"/>
          <w:right w:val="nil"/>
          <w:insideH w:val="nil"/>
          <w:insideV w:val="nil"/>
        </w:tcBorders>
        <w:shd w:val="clear" w:color="auto" w:fill="9255A1" w:themeFill="accent4" w:themeFillShade="BF"/>
      </w:tcPr>
    </w:tblStylePr>
    <w:tblStylePr w:type="band1Horz">
      <w:rPr>
        <w:rFonts w:cs="Times New Roman"/>
      </w:rPr>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EA8B00" w:themeFill="accent5"/>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rPr>
        <w:rFonts w:cs="Times New Roman"/>
      </w:rPr>
      <w:tblPr/>
      <w:tcPr>
        <w:tcBorders>
          <w:top w:val="nil"/>
          <w:left w:val="nil"/>
          <w:bottom w:val="nil"/>
          <w:right w:val="nil"/>
          <w:insideH w:val="nil"/>
          <w:insideV w:val="nil"/>
        </w:tcBorders>
        <w:shd w:val="clear" w:color="auto" w:fill="AF6700" w:themeFill="accent5" w:themeFillShade="BF"/>
      </w:tcPr>
    </w:tblStylePr>
    <w:tblStylePr w:type="band1Horz">
      <w:rPr>
        <w:rFonts w:cs="Times New Roman"/>
      </w:rPr>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rFonts w:cs="Times New Roman"/>
      <w:color w:val="FFFFFF" w:themeColor="background1"/>
    </w:rPr>
    <w:tblPr>
      <w:tblStyleRowBandSize w:val="1"/>
      <w:tblStyleColBandSize w:val="1"/>
    </w:tblPr>
    <w:tcPr>
      <w:shd w:val="clear" w:color="auto" w:fill="BFBFBF" w:themeFill="accent6"/>
    </w:tcPr>
    <w:tblStylePr w:type="firstRow">
      <w:rPr>
        <w:rFonts w:cs="Times New Roman"/>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rFonts w:cs="Times New Roman"/>
      </w:rPr>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rPr>
        <w:rFonts w:cs="Times New Roman"/>
      </w:rPr>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rPr>
        <w:rFonts w:cs="Times New Roman"/>
      </w:rPr>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rPr>
        <w:rFonts w:cs="Times New Roman"/>
      </w:rPr>
      <w:tblPr/>
      <w:tcPr>
        <w:tcBorders>
          <w:top w:val="nil"/>
          <w:left w:val="nil"/>
          <w:bottom w:val="nil"/>
          <w:right w:val="nil"/>
          <w:insideH w:val="nil"/>
          <w:insideV w:val="nil"/>
        </w:tcBorders>
        <w:shd w:val="clear" w:color="auto" w:fill="8F8F8F" w:themeFill="accent6" w:themeFillShade="BF"/>
      </w:tcPr>
    </w:tblStylePr>
    <w:tblStylePr w:type="band1Horz">
      <w:rPr>
        <w:rFonts w:cs="Times New Roman"/>
      </w:rPr>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locked/>
    <w:rsid w:val="000E5CC4"/>
    <w:rPr>
      <w:rFonts w:ascii="HelveticaNeueLT Std Lt Cn" w:hAnsi="HelveticaNeueLT Std Lt Cn" w:cs="Times New Roma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locked/>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locked/>
    <w:rsid w:val="000E5CC4"/>
    <w:rPr>
      <w:rFonts w:ascii="HelveticaNeueLT Std Lt Cn" w:hAnsi="HelveticaNeueLT Std Lt Cn" w:cs="Times New Roman"/>
      <w:sz w:val="20"/>
    </w:rPr>
  </w:style>
  <w:style w:type="character" w:styleId="Emphasis">
    <w:name w:val="Emphasis"/>
    <w:basedOn w:val="DefaultParagraphFont"/>
    <w:uiPriority w:val="20"/>
    <w:qFormat/>
    <w:rsid w:val="000E5CC4"/>
    <w:rPr>
      <w:rFonts w:cs="Times New Roman"/>
      <w:i/>
      <w:iCs/>
    </w:rPr>
  </w:style>
  <w:style w:type="character" w:styleId="EndnoteReference">
    <w:name w:val="endnote reference"/>
    <w:basedOn w:val="DefaultParagraphFont"/>
    <w:uiPriority w:val="99"/>
    <w:semiHidden/>
    <w:unhideWhenUsed/>
    <w:rsid w:val="000E5CC4"/>
    <w:rPr>
      <w:rFonts w:cs="Times New Roman"/>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locked/>
    <w:rsid w:val="000E5CC4"/>
    <w:rPr>
      <w:rFonts w:ascii="HelveticaNeueLT Std Lt Cn" w:hAnsi="HelveticaNeueLT Std Lt Cn" w:cs="Times New Roma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szCs w:val="20"/>
    </w:rPr>
  </w:style>
  <w:style w:type="character" w:styleId="FollowedHyperlink">
    <w:name w:val="FollowedHyperlink"/>
    <w:basedOn w:val="DefaultParagraphFont"/>
    <w:uiPriority w:val="99"/>
    <w:semiHidden/>
    <w:unhideWhenUsed/>
    <w:rsid w:val="000E5CC4"/>
    <w:rPr>
      <w:rFonts w:cs="Times New Roman"/>
      <w:color w:val="D490C5" w:themeColor="followedHyperlink"/>
      <w:u w:val="single"/>
    </w:rPr>
  </w:style>
  <w:style w:type="character" w:styleId="FootnoteReference">
    <w:name w:val="footnote reference"/>
    <w:basedOn w:val="DefaultParagraphFont"/>
    <w:uiPriority w:val="99"/>
    <w:rsid w:val="000E5CC4"/>
    <w:rPr>
      <w:rFonts w:cs="Times New Roman"/>
      <w:vertAlign w:val="superscript"/>
    </w:rPr>
  </w:style>
  <w:style w:type="paragraph" w:styleId="FootnoteText">
    <w:name w:val="footnote text"/>
    <w:aliases w:val="Footnote Text Char Char"/>
    <w:basedOn w:val="Normal"/>
    <w:link w:val="FootnoteTextChar"/>
    <w:uiPriority w:val="99"/>
    <w:rsid w:val="001F3497"/>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9"/>
    <w:locked/>
    <w:rsid w:val="001F3497"/>
    <w:rPr>
      <w:rFonts w:ascii="HelveticaNeueLT Std Lt Cn" w:hAnsi="HelveticaNeueLT Std Lt Cn" w:cs="Times New Roman"/>
      <w:sz w:val="20"/>
      <w:szCs w:val="20"/>
    </w:rPr>
  </w:style>
  <w:style w:type="table" w:customStyle="1" w:styleId="GridTable1Light1">
    <w:name w:val="Grid Table 1 Light1"/>
    <w:basedOn w:val="TableNormal"/>
    <w:uiPriority w:val="46"/>
    <w:rsid w:val="000E5CC4"/>
    <w:pPr>
      <w:spacing w:after="0"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GridTable1Light-Accent11">
    <w:name w:val="Grid Table 1 Light - Accent 11"/>
    <w:basedOn w:val="TableNormal"/>
    <w:uiPriority w:val="46"/>
    <w:rsid w:val="000E5CC4"/>
    <w:pPr>
      <w:spacing w:after="0" w:line="240" w:lineRule="auto"/>
    </w:pPr>
    <w:rPr>
      <w:rFonts w:cs="Times New Roman"/>
    </w:r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rFonts w:cs="Times New Roman"/>
        <w:b/>
        <w:bCs/>
      </w:rPr>
      <w:tblPr/>
      <w:tcPr>
        <w:tcBorders>
          <w:bottom w:val="single" w:sz="12" w:space="0" w:color="C099CA" w:themeColor="accent1" w:themeTint="99"/>
        </w:tcBorders>
      </w:tcPr>
    </w:tblStylePr>
    <w:tblStylePr w:type="lastRow">
      <w:rPr>
        <w:rFonts w:cs="Times New Roman"/>
        <w:b/>
        <w:bCs/>
      </w:rPr>
      <w:tblPr/>
      <w:tcPr>
        <w:tcBorders>
          <w:top w:val="double" w:sz="2" w:space="0" w:color="C099CA"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1Light-Accent21">
    <w:name w:val="Grid Table 1 Light - Accent 21"/>
    <w:basedOn w:val="TableNormal"/>
    <w:uiPriority w:val="46"/>
    <w:rsid w:val="000E5CC4"/>
    <w:pPr>
      <w:spacing w:after="0" w:line="240" w:lineRule="auto"/>
    </w:pPr>
    <w:rPr>
      <w:rFonts w:cs="Times New Roman"/>
    </w:r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rFonts w:cs="Times New Roman"/>
        <w:b/>
        <w:bCs/>
      </w:rPr>
      <w:tblPr/>
      <w:tcPr>
        <w:tcBorders>
          <w:bottom w:val="single" w:sz="12" w:space="0" w:color="FFCE89" w:themeColor="accent2" w:themeTint="99"/>
        </w:tcBorders>
      </w:tcPr>
    </w:tblStylePr>
    <w:tblStylePr w:type="lastRow">
      <w:rPr>
        <w:rFonts w:cs="Times New Roman"/>
        <w:b/>
        <w:bCs/>
      </w:rPr>
      <w:tblPr/>
      <w:tcPr>
        <w:tcBorders>
          <w:top w:val="double" w:sz="2" w:space="0" w:color="FFCE89" w:themeColor="accent2" w:themeTint="99"/>
        </w:tcBorders>
      </w:tcPr>
    </w:tblStylePr>
    <w:tblStylePr w:type="firstCol">
      <w:rPr>
        <w:rFonts w:cs="Times New Roman"/>
        <w:b/>
        <w:bCs/>
      </w:rPr>
    </w:tblStylePr>
    <w:tblStylePr w:type="lastCol">
      <w:rPr>
        <w:rFonts w:cs="Times New Roman"/>
        <w:b/>
        <w:bCs/>
      </w:rPr>
    </w:tblStylePr>
  </w:style>
  <w:style w:type="table" w:customStyle="1" w:styleId="GridTable1Light-Accent31">
    <w:name w:val="Grid Table 1 Light - Accent 31"/>
    <w:basedOn w:val="TableNormal"/>
    <w:uiPriority w:val="46"/>
    <w:rsid w:val="000E5CC4"/>
    <w:pPr>
      <w:spacing w:after="0" w:line="240" w:lineRule="auto"/>
    </w:pPr>
    <w:rPr>
      <w:rFonts w:cs="Times New Roma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GridTable1Light-Accent41">
    <w:name w:val="Grid Table 1 Light - Accent 41"/>
    <w:basedOn w:val="TableNormal"/>
    <w:uiPriority w:val="46"/>
    <w:rsid w:val="000E5CC4"/>
    <w:pPr>
      <w:spacing w:after="0" w:line="240" w:lineRule="auto"/>
    </w:pPr>
    <w:rPr>
      <w:rFonts w:cs="Times New Roman"/>
    </w:r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rFonts w:cs="Times New Roman"/>
        <w:b/>
        <w:bCs/>
      </w:rPr>
      <w:tblPr/>
      <w:tcPr>
        <w:tcBorders>
          <w:bottom w:val="single" w:sz="12" w:space="0" w:color="D3B8D9" w:themeColor="accent4" w:themeTint="99"/>
        </w:tcBorders>
      </w:tcPr>
    </w:tblStylePr>
    <w:tblStylePr w:type="lastRow">
      <w:rPr>
        <w:rFonts w:cs="Times New Roman"/>
        <w:b/>
        <w:bCs/>
      </w:rPr>
      <w:tblPr/>
      <w:tcPr>
        <w:tcBorders>
          <w:top w:val="double" w:sz="2" w:space="0" w:color="D3B8D9" w:themeColor="accent4" w:themeTint="99"/>
        </w:tcBorders>
      </w:tcPr>
    </w:tblStylePr>
    <w:tblStylePr w:type="firstCol">
      <w:rPr>
        <w:rFonts w:cs="Times New Roman"/>
        <w:b/>
        <w:bCs/>
      </w:rPr>
    </w:tblStylePr>
    <w:tblStylePr w:type="lastCol">
      <w:rPr>
        <w:rFonts w:cs="Times New Roman"/>
        <w:b/>
        <w:bCs/>
      </w:rPr>
    </w:tblStylePr>
  </w:style>
  <w:style w:type="table" w:customStyle="1" w:styleId="GridTable1Light-Accent51">
    <w:name w:val="Grid Table 1 Light - Accent 51"/>
    <w:basedOn w:val="TableNormal"/>
    <w:uiPriority w:val="46"/>
    <w:rsid w:val="000E5CC4"/>
    <w:pPr>
      <w:spacing w:after="0" w:line="240" w:lineRule="auto"/>
    </w:pPr>
    <w:rPr>
      <w:rFonts w:cs="Times New Roman"/>
    </w:r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rFonts w:cs="Times New Roman"/>
        <w:b/>
        <w:bCs/>
      </w:rPr>
      <w:tblPr/>
      <w:tcPr>
        <w:tcBorders>
          <w:bottom w:val="single" w:sz="12" w:space="0" w:color="FFBB59" w:themeColor="accent5" w:themeTint="99"/>
        </w:tcBorders>
      </w:tcPr>
    </w:tblStylePr>
    <w:tblStylePr w:type="lastRow">
      <w:rPr>
        <w:rFonts w:cs="Times New Roman"/>
        <w:b/>
        <w:bCs/>
      </w:rPr>
      <w:tblPr/>
      <w:tcPr>
        <w:tcBorders>
          <w:top w:val="double" w:sz="2" w:space="0" w:color="FFBB59" w:themeColor="accent5" w:themeTint="99"/>
        </w:tcBorders>
      </w:tcPr>
    </w:tblStylePr>
    <w:tblStylePr w:type="firstCol">
      <w:rPr>
        <w:rFonts w:cs="Times New Roman"/>
        <w:b/>
        <w:bCs/>
      </w:rPr>
    </w:tblStylePr>
    <w:tblStylePr w:type="lastCol">
      <w:rPr>
        <w:rFonts w:cs="Times New Roman"/>
        <w:b/>
        <w:bCs/>
      </w:rPr>
    </w:tblStylePr>
  </w:style>
  <w:style w:type="table" w:customStyle="1" w:styleId="GridTable1Light-Accent61">
    <w:name w:val="Grid Table 1 Light - Accent 61"/>
    <w:basedOn w:val="TableNormal"/>
    <w:uiPriority w:val="46"/>
    <w:rsid w:val="000E5CC4"/>
    <w:pPr>
      <w:spacing w:after="0" w:line="240" w:lineRule="auto"/>
    </w:pPr>
    <w:rPr>
      <w:rFonts w:cs="Times New Roman"/>
    </w:r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rFonts w:cs="Times New Roman"/>
        <w:b/>
        <w:bCs/>
      </w:rPr>
      <w:tblPr/>
      <w:tcPr>
        <w:tcBorders>
          <w:bottom w:val="single" w:sz="12" w:space="0" w:color="D8D8D8" w:themeColor="accent6" w:themeTint="99"/>
        </w:tcBorders>
      </w:tcPr>
    </w:tblStylePr>
    <w:tblStylePr w:type="lastRow">
      <w:rPr>
        <w:rFonts w:cs="Times New Roman"/>
        <w:b/>
        <w:bCs/>
      </w:rPr>
      <w:tblPr/>
      <w:tcPr>
        <w:tcBorders>
          <w:top w:val="double" w:sz="2" w:space="0" w:color="D8D8D8" w:themeColor="accent6" w:themeTint="99"/>
        </w:tcBorders>
      </w:tcPr>
    </w:tblStylePr>
    <w:tblStylePr w:type="firstCol">
      <w:rPr>
        <w:rFonts w:cs="Times New Roman"/>
        <w:b/>
        <w:bCs/>
      </w:rPr>
    </w:tblStylePr>
    <w:tblStylePr w:type="lastCol">
      <w:rPr>
        <w:rFonts w:cs="Times New Roman"/>
        <w:b/>
        <w:bCs/>
      </w:rPr>
    </w:tblStylePr>
  </w:style>
  <w:style w:type="table" w:customStyle="1" w:styleId="GridTable21">
    <w:name w:val="Grid Table 21"/>
    <w:basedOn w:val="TableNormal"/>
    <w:uiPriority w:val="47"/>
    <w:rsid w:val="000E5CC4"/>
    <w:pPr>
      <w:spacing w:after="0" w:line="240" w:lineRule="auto"/>
    </w:pPr>
    <w:rPr>
      <w:rFonts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2-Accent11">
    <w:name w:val="Grid Table 2 - Accent 11"/>
    <w:basedOn w:val="TableNormal"/>
    <w:uiPriority w:val="47"/>
    <w:rsid w:val="000E5CC4"/>
    <w:pPr>
      <w:spacing w:after="0" w:line="240" w:lineRule="auto"/>
    </w:pPr>
    <w:rPr>
      <w:rFonts w:cs="Times New Roman"/>
    </w:r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rFonts w:cs="Times New Roman"/>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2-Accent21">
    <w:name w:val="Grid Table 2 - Accent 21"/>
    <w:basedOn w:val="TableNormal"/>
    <w:uiPriority w:val="47"/>
    <w:rsid w:val="000E5CC4"/>
    <w:pPr>
      <w:spacing w:after="0" w:line="240" w:lineRule="auto"/>
    </w:pPr>
    <w:rPr>
      <w:rFonts w:cs="Times New Roman"/>
    </w:r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rFonts w:cs="Times New Roman"/>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rFonts w:cs="Times New Roman"/>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2-Accent31">
    <w:name w:val="Grid Table 2 - Accent 31"/>
    <w:basedOn w:val="TableNormal"/>
    <w:uiPriority w:val="47"/>
    <w:rsid w:val="000E5CC4"/>
    <w:pPr>
      <w:spacing w:after="0" w:line="240" w:lineRule="auto"/>
    </w:pPr>
    <w:rPr>
      <w:rFonts w:cs="Times New Roma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rFonts w:cs="Times New Roman"/>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2-Accent41">
    <w:name w:val="Grid Table 2 - Accent 41"/>
    <w:basedOn w:val="TableNormal"/>
    <w:uiPriority w:val="47"/>
    <w:rsid w:val="000E5CC4"/>
    <w:pPr>
      <w:spacing w:after="0" w:line="240" w:lineRule="auto"/>
    </w:pPr>
    <w:rPr>
      <w:rFonts w:cs="Times New Roman"/>
    </w:r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rFonts w:cs="Times New Roman"/>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rFonts w:cs="Times New Roman"/>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2-Accent51">
    <w:name w:val="Grid Table 2 - Accent 51"/>
    <w:basedOn w:val="TableNormal"/>
    <w:uiPriority w:val="47"/>
    <w:rsid w:val="000E5CC4"/>
    <w:pPr>
      <w:spacing w:after="0" w:line="240" w:lineRule="auto"/>
    </w:pPr>
    <w:rPr>
      <w:rFonts w:cs="Times New Roman"/>
    </w:r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rFonts w:cs="Times New Roman"/>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rFonts w:cs="Times New Roman"/>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2-Accent61">
    <w:name w:val="Grid Table 2 - Accent 61"/>
    <w:basedOn w:val="TableNormal"/>
    <w:uiPriority w:val="47"/>
    <w:rsid w:val="000E5CC4"/>
    <w:pPr>
      <w:spacing w:after="0" w:line="240" w:lineRule="auto"/>
    </w:pPr>
    <w:rPr>
      <w:rFonts w:cs="Times New Roman"/>
    </w:r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rFonts w:cs="Times New Roman"/>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rFonts w:cs="Times New Roman"/>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31">
    <w:name w:val="Grid Table 31"/>
    <w:basedOn w:val="TableNormal"/>
    <w:uiPriority w:val="48"/>
    <w:rsid w:val="000E5CC4"/>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E5CC4"/>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bottom w:val="single" w:sz="4" w:space="0" w:color="C099CA" w:themeColor="accent1" w:themeTint="99"/>
        </w:tcBorders>
      </w:tcPr>
    </w:tblStylePr>
    <w:tblStylePr w:type="nwCell">
      <w:rPr>
        <w:rFonts w:cs="Times New Roman"/>
      </w:rPr>
      <w:tblPr/>
      <w:tcPr>
        <w:tcBorders>
          <w:bottom w:val="single" w:sz="4" w:space="0" w:color="C099CA" w:themeColor="accent1" w:themeTint="99"/>
        </w:tcBorders>
      </w:tcPr>
    </w:tblStylePr>
    <w:tblStylePr w:type="seCell">
      <w:rPr>
        <w:rFonts w:cs="Times New Roman"/>
      </w:rPr>
      <w:tblPr/>
      <w:tcPr>
        <w:tcBorders>
          <w:top w:val="single" w:sz="4" w:space="0" w:color="C099CA" w:themeColor="accent1" w:themeTint="99"/>
        </w:tcBorders>
      </w:tcPr>
    </w:tblStylePr>
    <w:tblStylePr w:type="swCell">
      <w:rPr>
        <w:rFonts w:cs="Times New Roman"/>
      </w:rPr>
      <w:tblPr/>
      <w:tcPr>
        <w:tcBorders>
          <w:top w:val="single" w:sz="4" w:space="0" w:color="C099CA" w:themeColor="accent1" w:themeTint="99"/>
        </w:tcBorders>
      </w:tcPr>
    </w:tblStylePr>
  </w:style>
  <w:style w:type="table" w:customStyle="1" w:styleId="GridTable3-Accent21">
    <w:name w:val="Grid Table 3 - Accent 21"/>
    <w:basedOn w:val="TableNormal"/>
    <w:uiPriority w:val="48"/>
    <w:rsid w:val="000E5CC4"/>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bottom w:val="single" w:sz="4" w:space="0" w:color="FFCE89" w:themeColor="accent2" w:themeTint="99"/>
        </w:tcBorders>
      </w:tcPr>
    </w:tblStylePr>
    <w:tblStylePr w:type="nwCell">
      <w:rPr>
        <w:rFonts w:cs="Times New Roman"/>
      </w:rPr>
      <w:tblPr/>
      <w:tcPr>
        <w:tcBorders>
          <w:bottom w:val="single" w:sz="4" w:space="0" w:color="FFCE89" w:themeColor="accent2" w:themeTint="99"/>
        </w:tcBorders>
      </w:tcPr>
    </w:tblStylePr>
    <w:tblStylePr w:type="seCell">
      <w:rPr>
        <w:rFonts w:cs="Times New Roman"/>
      </w:rPr>
      <w:tblPr/>
      <w:tcPr>
        <w:tcBorders>
          <w:top w:val="single" w:sz="4" w:space="0" w:color="FFCE89" w:themeColor="accent2" w:themeTint="99"/>
        </w:tcBorders>
      </w:tcPr>
    </w:tblStylePr>
    <w:tblStylePr w:type="swCell">
      <w:rPr>
        <w:rFonts w:cs="Times New Roman"/>
      </w:rPr>
      <w:tblPr/>
      <w:tcPr>
        <w:tcBorders>
          <w:top w:val="single" w:sz="4" w:space="0" w:color="FFCE89" w:themeColor="accent2" w:themeTint="99"/>
        </w:tcBorders>
      </w:tcPr>
    </w:tblStylePr>
  </w:style>
  <w:style w:type="table" w:customStyle="1" w:styleId="GridTable3-Accent31">
    <w:name w:val="Grid Table 3 - Accent 31"/>
    <w:basedOn w:val="TableNormal"/>
    <w:uiPriority w:val="48"/>
    <w:rsid w:val="000E5CC4"/>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bottom w:val="single" w:sz="4" w:space="0" w:color="C9C9C9" w:themeColor="accent3" w:themeTint="99"/>
        </w:tcBorders>
      </w:tcPr>
    </w:tblStylePr>
    <w:tblStylePr w:type="nwCell">
      <w:rPr>
        <w:rFonts w:cs="Times New Roman"/>
      </w:rPr>
      <w:tblPr/>
      <w:tcPr>
        <w:tcBorders>
          <w:bottom w:val="single" w:sz="4" w:space="0" w:color="C9C9C9" w:themeColor="accent3" w:themeTint="99"/>
        </w:tcBorders>
      </w:tcPr>
    </w:tblStylePr>
    <w:tblStylePr w:type="seCell">
      <w:rPr>
        <w:rFonts w:cs="Times New Roman"/>
      </w:rPr>
      <w:tblPr/>
      <w:tcPr>
        <w:tcBorders>
          <w:top w:val="single" w:sz="4" w:space="0" w:color="C9C9C9" w:themeColor="accent3" w:themeTint="99"/>
        </w:tcBorders>
      </w:tcPr>
    </w:tblStylePr>
    <w:tblStylePr w:type="swCell">
      <w:rPr>
        <w:rFonts w:cs="Times New Roman"/>
      </w:rPr>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0E5CC4"/>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bottom w:val="single" w:sz="4" w:space="0" w:color="D3B8D9" w:themeColor="accent4" w:themeTint="99"/>
        </w:tcBorders>
      </w:tcPr>
    </w:tblStylePr>
    <w:tblStylePr w:type="nwCell">
      <w:rPr>
        <w:rFonts w:cs="Times New Roman"/>
      </w:rPr>
      <w:tblPr/>
      <w:tcPr>
        <w:tcBorders>
          <w:bottom w:val="single" w:sz="4" w:space="0" w:color="D3B8D9" w:themeColor="accent4" w:themeTint="99"/>
        </w:tcBorders>
      </w:tcPr>
    </w:tblStylePr>
    <w:tblStylePr w:type="seCell">
      <w:rPr>
        <w:rFonts w:cs="Times New Roman"/>
      </w:rPr>
      <w:tblPr/>
      <w:tcPr>
        <w:tcBorders>
          <w:top w:val="single" w:sz="4" w:space="0" w:color="D3B8D9" w:themeColor="accent4" w:themeTint="99"/>
        </w:tcBorders>
      </w:tcPr>
    </w:tblStylePr>
    <w:tblStylePr w:type="swCell">
      <w:rPr>
        <w:rFonts w:cs="Times New Roman"/>
      </w:rPr>
      <w:tblPr/>
      <w:tcPr>
        <w:tcBorders>
          <w:top w:val="single" w:sz="4" w:space="0" w:color="D3B8D9" w:themeColor="accent4" w:themeTint="99"/>
        </w:tcBorders>
      </w:tcPr>
    </w:tblStylePr>
  </w:style>
  <w:style w:type="table" w:customStyle="1" w:styleId="GridTable3-Accent51">
    <w:name w:val="Grid Table 3 - Accent 51"/>
    <w:basedOn w:val="TableNormal"/>
    <w:uiPriority w:val="48"/>
    <w:rsid w:val="000E5CC4"/>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bottom w:val="single" w:sz="4" w:space="0" w:color="FFBB59" w:themeColor="accent5" w:themeTint="99"/>
        </w:tcBorders>
      </w:tcPr>
    </w:tblStylePr>
    <w:tblStylePr w:type="nwCell">
      <w:rPr>
        <w:rFonts w:cs="Times New Roman"/>
      </w:rPr>
      <w:tblPr/>
      <w:tcPr>
        <w:tcBorders>
          <w:bottom w:val="single" w:sz="4" w:space="0" w:color="FFBB59" w:themeColor="accent5" w:themeTint="99"/>
        </w:tcBorders>
      </w:tcPr>
    </w:tblStylePr>
    <w:tblStylePr w:type="seCell">
      <w:rPr>
        <w:rFonts w:cs="Times New Roman"/>
      </w:rPr>
      <w:tblPr/>
      <w:tcPr>
        <w:tcBorders>
          <w:top w:val="single" w:sz="4" w:space="0" w:color="FFBB59" w:themeColor="accent5" w:themeTint="99"/>
        </w:tcBorders>
      </w:tcPr>
    </w:tblStylePr>
    <w:tblStylePr w:type="swCell">
      <w:rPr>
        <w:rFonts w:cs="Times New Roman"/>
      </w:rPr>
      <w:tblPr/>
      <w:tcPr>
        <w:tcBorders>
          <w:top w:val="single" w:sz="4" w:space="0" w:color="FFBB59" w:themeColor="accent5" w:themeTint="99"/>
        </w:tcBorders>
      </w:tcPr>
    </w:tblStylePr>
  </w:style>
  <w:style w:type="table" w:customStyle="1" w:styleId="GridTable3-Accent61">
    <w:name w:val="Grid Table 3 - Accent 61"/>
    <w:basedOn w:val="TableNormal"/>
    <w:uiPriority w:val="48"/>
    <w:rsid w:val="000E5CC4"/>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bottom w:val="single" w:sz="4" w:space="0" w:color="D8D8D8" w:themeColor="accent6" w:themeTint="99"/>
        </w:tcBorders>
      </w:tcPr>
    </w:tblStylePr>
    <w:tblStylePr w:type="nwCell">
      <w:rPr>
        <w:rFonts w:cs="Times New Roman"/>
      </w:rPr>
      <w:tblPr/>
      <w:tcPr>
        <w:tcBorders>
          <w:bottom w:val="single" w:sz="4" w:space="0" w:color="D8D8D8" w:themeColor="accent6" w:themeTint="99"/>
        </w:tcBorders>
      </w:tcPr>
    </w:tblStylePr>
    <w:tblStylePr w:type="seCell">
      <w:rPr>
        <w:rFonts w:cs="Times New Roman"/>
      </w:rPr>
      <w:tblPr/>
      <w:tcPr>
        <w:tcBorders>
          <w:top w:val="single" w:sz="4" w:space="0" w:color="D8D8D8" w:themeColor="accent6" w:themeTint="99"/>
        </w:tcBorders>
      </w:tcPr>
    </w:tblStylePr>
    <w:tblStylePr w:type="swCell">
      <w:rPr>
        <w:rFonts w:cs="Times New Roman"/>
      </w:rPr>
      <w:tblPr/>
      <w:tcPr>
        <w:tcBorders>
          <w:top w:val="single" w:sz="4" w:space="0" w:color="D8D8D8" w:themeColor="accent6" w:themeTint="99"/>
        </w:tcBorders>
      </w:tcPr>
    </w:tblStylePr>
  </w:style>
  <w:style w:type="table" w:customStyle="1" w:styleId="GridTable41">
    <w:name w:val="Grid Table 41"/>
    <w:basedOn w:val="TableNormal"/>
    <w:uiPriority w:val="49"/>
    <w:rsid w:val="000E5CC4"/>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4-Accent11">
    <w:name w:val="Grid Table 4 - Accent 11"/>
    <w:basedOn w:val="TableNormal"/>
    <w:uiPriority w:val="49"/>
    <w:rsid w:val="000E5CC4"/>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rFonts w:cs="Times New Roman"/>
        <w:b/>
        <w:bCs/>
      </w:rPr>
      <w:tblPr/>
      <w:tcPr>
        <w:tcBorders>
          <w:top w:val="double" w:sz="4"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4-Accent21">
    <w:name w:val="Grid Table 4 - Accent 21"/>
    <w:basedOn w:val="TableNormal"/>
    <w:uiPriority w:val="49"/>
    <w:rsid w:val="000E5CC4"/>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rFonts w:cs="Times New Roman"/>
        <w:b/>
        <w:bCs/>
      </w:rPr>
      <w:tblPr/>
      <w:tcPr>
        <w:tcBorders>
          <w:top w:val="double" w:sz="4"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4-Accent31">
    <w:name w:val="Grid Table 4 - Accent 31"/>
    <w:basedOn w:val="TableNormal"/>
    <w:uiPriority w:val="49"/>
    <w:rsid w:val="000E5CC4"/>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4-Accent41">
    <w:name w:val="Grid Table 4 - Accent 41"/>
    <w:basedOn w:val="TableNormal"/>
    <w:uiPriority w:val="49"/>
    <w:rsid w:val="000E5CC4"/>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rFonts w:cs="Times New Roman"/>
        <w:b/>
        <w:bCs/>
      </w:rPr>
      <w:tblPr/>
      <w:tcPr>
        <w:tcBorders>
          <w:top w:val="double" w:sz="4"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4-Accent51">
    <w:name w:val="Grid Table 4 - Accent 51"/>
    <w:basedOn w:val="TableNormal"/>
    <w:uiPriority w:val="49"/>
    <w:rsid w:val="000E5CC4"/>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rFonts w:cs="Times New Roman"/>
        <w:b/>
        <w:bCs/>
      </w:rPr>
      <w:tblPr/>
      <w:tcPr>
        <w:tcBorders>
          <w:top w:val="double" w:sz="4"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4-Accent61">
    <w:name w:val="Grid Table 4 - Accent 61"/>
    <w:basedOn w:val="TableNormal"/>
    <w:uiPriority w:val="49"/>
    <w:rsid w:val="000E5CC4"/>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rFonts w:cs="Times New Roman"/>
        <w:b/>
        <w:bCs/>
      </w:rPr>
      <w:tblPr/>
      <w:tcPr>
        <w:tcBorders>
          <w:top w:val="double" w:sz="4"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5Dark1">
    <w:name w:val="Grid Table 5 Dark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customStyle="1" w:styleId="GridTable5Dark-Accent11">
    <w:name w:val="Grid Table 5 Dark - Accent 1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rPr>
        <w:rFonts w:cs="Times New Roman"/>
      </w:rPr>
      <w:tblPr/>
      <w:tcPr>
        <w:shd w:val="clear" w:color="auto" w:fill="D5BBDB" w:themeFill="accent1" w:themeFillTint="66"/>
      </w:tcPr>
    </w:tblStylePr>
    <w:tblStylePr w:type="band1Horz">
      <w:rPr>
        <w:rFonts w:cs="Times New Roman"/>
      </w:rPr>
      <w:tblPr/>
      <w:tcPr>
        <w:shd w:val="clear" w:color="auto" w:fill="D5BBDB" w:themeFill="accent1" w:themeFillTint="66"/>
      </w:tcPr>
    </w:tblStylePr>
  </w:style>
  <w:style w:type="table" w:customStyle="1" w:styleId="GridTable5Dark-Accent21">
    <w:name w:val="Grid Table 5 Dark - Accent 2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rPr>
        <w:rFonts w:cs="Times New Roman"/>
      </w:rPr>
      <w:tblPr/>
      <w:tcPr>
        <w:shd w:val="clear" w:color="auto" w:fill="FFDEB0" w:themeFill="accent2" w:themeFillTint="66"/>
      </w:tcPr>
    </w:tblStylePr>
    <w:tblStylePr w:type="band1Horz">
      <w:rPr>
        <w:rFonts w:cs="Times New Roman"/>
      </w:rPr>
      <w:tblPr/>
      <w:tcPr>
        <w:shd w:val="clear" w:color="auto" w:fill="FFDEB0" w:themeFill="accent2" w:themeFillTint="66"/>
      </w:tcPr>
    </w:tblStylePr>
  </w:style>
  <w:style w:type="table" w:customStyle="1" w:styleId="GridTable5Dark-Accent31">
    <w:name w:val="Grid Table 5 Dark - Accent 3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rPr>
        <w:rFonts w:cs="Times New Roman"/>
      </w:rPr>
      <w:tblPr/>
      <w:tcPr>
        <w:shd w:val="clear" w:color="auto" w:fill="DBDBDB" w:themeFill="accent3" w:themeFillTint="66"/>
      </w:tcPr>
    </w:tblStylePr>
    <w:tblStylePr w:type="band1Horz">
      <w:rPr>
        <w:rFonts w:cs="Times New Roman"/>
      </w:rPr>
      <w:tblPr/>
      <w:tcPr>
        <w:shd w:val="clear" w:color="auto" w:fill="DBDBDB" w:themeFill="accent3" w:themeFillTint="66"/>
      </w:tcPr>
    </w:tblStylePr>
  </w:style>
  <w:style w:type="table" w:customStyle="1" w:styleId="GridTable5Dark-Accent41">
    <w:name w:val="Grid Table 5 Dark - Accent 4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rPr>
        <w:rFonts w:cs="Times New Roman"/>
      </w:rPr>
      <w:tblPr/>
      <w:tcPr>
        <w:shd w:val="clear" w:color="auto" w:fill="E1CFE6" w:themeFill="accent4" w:themeFillTint="66"/>
      </w:tcPr>
    </w:tblStylePr>
    <w:tblStylePr w:type="band1Horz">
      <w:rPr>
        <w:rFonts w:cs="Times New Roman"/>
      </w:rPr>
      <w:tblPr/>
      <w:tcPr>
        <w:shd w:val="clear" w:color="auto" w:fill="E1CFE6" w:themeFill="accent4" w:themeFillTint="66"/>
      </w:tcPr>
    </w:tblStylePr>
  </w:style>
  <w:style w:type="table" w:customStyle="1" w:styleId="GridTable5Dark-Accent51">
    <w:name w:val="Grid Table 5 Dark - Accent 5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rPr>
        <w:rFonts w:cs="Times New Roman"/>
      </w:rPr>
      <w:tblPr/>
      <w:tcPr>
        <w:shd w:val="clear" w:color="auto" w:fill="FFD190" w:themeFill="accent5" w:themeFillTint="66"/>
      </w:tcPr>
    </w:tblStylePr>
    <w:tblStylePr w:type="band1Horz">
      <w:rPr>
        <w:rFonts w:cs="Times New Roman"/>
      </w:rPr>
      <w:tblPr/>
      <w:tcPr>
        <w:shd w:val="clear" w:color="auto" w:fill="FFD190" w:themeFill="accent5" w:themeFillTint="66"/>
      </w:tcPr>
    </w:tblStylePr>
  </w:style>
  <w:style w:type="table" w:customStyle="1" w:styleId="GridTable5Dark-Accent61">
    <w:name w:val="Grid Table 5 Dark - Accent 61"/>
    <w:basedOn w:val="TableNormal"/>
    <w:uiPriority w:val="50"/>
    <w:rsid w:val="000E5CC4"/>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rPr>
        <w:rFonts w:cs="Times New Roman"/>
      </w:rPr>
      <w:tblPr/>
      <w:tcPr>
        <w:shd w:val="clear" w:color="auto" w:fill="E5E5E5" w:themeFill="accent6" w:themeFillTint="66"/>
      </w:tcPr>
    </w:tblStylePr>
    <w:tblStylePr w:type="band1Horz">
      <w:rPr>
        <w:rFonts w:cs="Times New Roman"/>
      </w:rPr>
      <w:tblPr/>
      <w:tcPr>
        <w:shd w:val="clear" w:color="auto" w:fill="E5E5E5" w:themeFill="accent6" w:themeFillTint="66"/>
      </w:tcPr>
    </w:tblStylePr>
  </w:style>
  <w:style w:type="table" w:customStyle="1" w:styleId="GridTable6Colorful1">
    <w:name w:val="Grid Table 6 Colorful1"/>
    <w:basedOn w:val="TableNormal"/>
    <w:uiPriority w:val="51"/>
    <w:rsid w:val="000E5CC4"/>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6Colorful-Accent11">
    <w:name w:val="Grid Table 6 Colorful - Accent 11"/>
    <w:basedOn w:val="TableNormal"/>
    <w:uiPriority w:val="51"/>
    <w:rsid w:val="000E5CC4"/>
    <w:pPr>
      <w:spacing w:after="0" w:line="240" w:lineRule="auto"/>
    </w:pPr>
    <w:rPr>
      <w:rFonts w:cs="Times New Roman"/>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bottom w:val="single" w:sz="12" w:space="0" w:color="C099CA" w:themeColor="accent1" w:themeTint="99"/>
        </w:tcBorders>
      </w:tcPr>
    </w:tblStylePr>
    <w:tblStylePr w:type="lastRow">
      <w:rPr>
        <w:rFonts w:cs="Times New Roman"/>
        <w:b/>
        <w:bCs/>
      </w:rPr>
      <w:tblPr/>
      <w:tcPr>
        <w:tcBorders>
          <w:top w:val="doub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6Colorful-Accent21">
    <w:name w:val="Grid Table 6 Colorful - Accent 21"/>
    <w:basedOn w:val="TableNormal"/>
    <w:uiPriority w:val="51"/>
    <w:rsid w:val="000E5CC4"/>
    <w:pPr>
      <w:spacing w:after="0" w:line="240" w:lineRule="auto"/>
    </w:pPr>
    <w:rPr>
      <w:rFonts w:cs="Times New Roman"/>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bottom w:val="single" w:sz="12" w:space="0" w:color="FFCE89" w:themeColor="accent2" w:themeTint="99"/>
        </w:tcBorders>
      </w:tcPr>
    </w:tblStylePr>
    <w:tblStylePr w:type="lastRow">
      <w:rPr>
        <w:rFonts w:cs="Times New Roman"/>
        <w:b/>
        <w:bCs/>
      </w:rPr>
      <w:tblPr/>
      <w:tcPr>
        <w:tcBorders>
          <w:top w:val="doub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6Colorful-Accent31">
    <w:name w:val="Grid Table 6 Colorful - Accent 31"/>
    <w:basedOn w:val="TableNormal"/>
    <w:uiPriority w:val="51"/>
    <w:rsid w:val="000E5CC4"/>
    <w:pPr>
      <w:spacing w:after="0" w:line="240" w:lineRule="auto"/>
    </w:pPr>
    <w:rPr>
      <w:rFonts w:cs="Times New Roman"/>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6Colorful-Accent41">
    <w:name w:val="Grid Table 6 Colorful - Accent 41"/>
    <w:basedOn w:val="TableNormal"/>
    <w:uiPriority w:val="51"/>
    <w:rsid w:val="000E5CC4"/>
    <w:pPr>
      <w:spacing w:after="0" w:line="240" w:lineRule="auto"/>
    </w:pPr>
    <w:rPr>
      <w:rFonts w:cs="Times New Roman"/>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bottom w:val="single" w:sz="12" w:space="0" w:color="D3B8D9" w:themeColor="accent4" w:themeTint="99"/>
        </w:tcBorders>
      </w:tcPr>
    </w:tblStylePr>
    <w:tblStylePr w:type="lastRow">
      <w:rPr>
        <w:rFonts w:cs="Times New Roman"/>
        <w:b/>
        <w:bCs/>
      </w:rPr>
      <w:tblPr/>
      <w:tcPr>
        <w:tcBorders>
          <w:top w:val="doub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6Colorful-Accent51">
    <w:name w:val="Grid Table 6 Colorful - Accent 51"/>
    <w:basedOn w:val="TableNormal"/>
    <w:uiPriority w:val="51"/>
    <w:rsid w:val="000E5CC4"/>
    <w:pPr>
      <w:spacing w:after="0" w:line="240" w:lineRule="auto"/>
    </w:pPr>
    <w:rPr>
      <w:rFonts w:cs="Times New Roman"/>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bottom w:val="single" w:sz="12" w:space="0" w:color="FFBB59" w:themeColor="accent5" w:themeTint="99"/>
        </w:tcBorders>
      </w:tcPr>
    </w:tblStylePr>
    <w:tblStylePr w:type="lastRow">
      <w:rPr>
        <w:rFonts w:cs="Times New Roman"/>
        <w:b/>
        <w:bCs/>
      </w:rPr>
      <w:tblPr/>
      <w:tcPr>
        <w:tcBorders>
          <w:top w:val="doub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6Colorful-Accent61">
    <w:name w:val="Grid Table 6 Colorful - Accent 61"/>
    <w:basedOn w:val="TableNormal"/>
    <w:uiPriority w:val="51"/>
    <w:rsid w:val="000E5CC4"/>
    <w:pPr>
      <w:spacing w:after="0" w:line="240" w:lineRule="auto"/>
    </w:pPr>
    <w:rPr>
      <w:rFonts w:cs="Times New Roman"/>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bottom w:val="single" w:sz="12" w:space="0" w:color="D8D8D8" w:themeColor="accent6" w:themeTint="99"/>
        </w:tcBorders>
      </w:tcPr>
    </w:tblStylePr>
    <w:tblStylePr w:type="lastRow">
      <w:rPr>
        <w:rFonts w:cs="Times New Roman"/>
        <w:b/>
        <w:bCs/>
      </w:rPr>
      <w:tblPr/>
      <w:tcPr>
        <w:tcBorders>
          <w:top w:val="doub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7Colorful1">
    <w:name w:val="Grid Table 7 Colorful1"/>
    <w:basedOn w:val="TableNormal"/>
    <w:uiPriority w:val="52"/>
    <w:rsid w:val="000E5CC4"/>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E5CC4"/>
    <w:pPr>
      <w:spacing w:after="0" w:line="240" w:lineRule="auto"/>
    </w:pPr>
    <w:rPr>
      <w:rFonts w:cs="Times New Roman"/>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bottom w:val="single" w:sz="4" w:space="0" w:color="C099CA" w:themeColor="accent1" w:themeTint="99"/>
        </w:tcBorders>
      </w:tcPr>
    </w:tblStylePr>
    <w:tblStylePr w:type="nwCell">
      <w:rPr>
        <w:rFonts w:cs="Times New Roman"/>
      </w:rPr>
      <w:tblPr/>
      <w:tcPr>
        <w:tcBorders>
          <w:bottom w:val="single" w:sz="4" w:space="0" w:color="C099CA" w:themeColor="accent1" w:themeTint="99"/>
        </w:tcBorders>
      </w:tcPr>
    </w:tblStylePr>
    <w:tblStylePr w:type="seCell">
      <w:rPr>
        <w:rFonts w:cs="Times New Roman"/>
      </w:rPr>
      <w:tblPr/>
      <w:tcPr>
        <w:tcBorders>
          <w:top w:val="single" w:sz="4" w:space="0" w:color="C099CA" w:themeColor="accent1" w:themeTint="99"/>
        </w:tcBorders>
      </w:tcPr>
    </w:tblStylePr>
    <w:tblStylePr w:type="swCell">
      <w:rPr>
        <w:rFonts w:cs="Times New Roman"/>
      </w:rPr>
      <w:tblPr/>
      <w:tcPr>
        <w:tcBorders>
          <w:top w:val="single" w:sz="4" w:space="0" w:color="C099CA" w:themeColor="accent1" w:themeTint="99"/>
        </w:tcBorders>
      </w:tcPr>
    </w:tblStylePr>
  </w:style>
  <w:style w:type="table" w:customStyle="1" w:styleId="GridTable7Colorful-Accent21">
    <w:name w:val="Grid Table 7 Colorful - Accent 21"/>
    <w:basedOn w:val="TableNormal"/>
    <w:uiPriority w:val="52"/>
    <w:rsid w:val="000E5CC4"/>
    <w:pPr>
      <w:spacing w:after="0" w:line="240" w:lineRule="auto"/>
    </w:pPr>
    <w:rPr>
      <w:rFonts w:cs="Times New Roman"/>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bottom w:val="single" w:sz="4" w:space="0" w:color="FFCE89" w:themeColor="accent2" w:themeTint="99"/>
        </w:tcBorders>
      </w:tcPr>
    </w:tblStylePr>
    <w:tblStylePr w:type="nwCell">
      <w:rPr>
        <w:rFonts w:cs="Times New Roman"/>
      </w:rPr>
      <w:tblPr/>
      <w:tcPr>
        <w:tcBorders>
          <w:bottom w:val="single" w:sz="4" w:space="0" w:color="FFCE89" w:themeColor="accent2" w:themeTint="99"/>
        </w:tcBorders>
      </w:tcPr>
    </w:tblStylePr>
    <w:tblStylePr w:type="seCell">
      <w:rPr>
        <w:rFonts w:cs="Times New Roman"/>
      </w:rPr>
      <w:tblPr/>
      <w:tcPr>
        <w:tcBorders>
          <w:top w:val="single" w:sz="4" w:space="0" w:color="FFCE89" w:themeColor="accent2" w:themeTint="99"/>
        </w:tcBorders>
      </w:tcPr>
    </w:tblStylePr>
    <w:tblStylePr w:type="swCell">
      <w:rPr>
        <w:rFonts w:cs="Times New Roman"/>
      </w:rPr>
      <w:tblPr/>
      <w:tcPr>
        <w:tcBorders>
          <w:top w:val="single" w:sz="4" w:space="0" w:color="FFCE89" w:themeColor="accent2" w:themeTint="99"/>
        </w:tcBorders>
      </w:tcPr>
    </w:tblStylePr>
  </w:style>
  <w:style w:type="table" w:customStyle="1" w:styleId="GridTable7Colorful-Accent31">
    <w:name w:val="Grid Table 7 Colorful - Accent 31"/>
    <w:basedOn w:val="TableNormal"/>
    <w:uiPriority w:val="52"/>
    <w:rsid w:val="000E5CC4"/>
    <w:pPr>
      <w:spacing w:after="0" w:line="240" w:lineRule="auto"/>
    </w:pPr>
    <w:rPr>
      <w:rFonts w:cs="Times New Roman"/>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bottom w:val="single" w:sz="4" w:space="0" w:color="C9C9C9" w:themeColor="accent3" w:themeTint="99"/>
        </w:tcBorders>
      </w:tcPr>
    </w:tblStylePr>
    <w:tblStylePr w:type="nwCell">
      <w:rPr>
        <w:rFonts w:cs="Times New Roman"/>
      </w:rPr>
      <w:tblPr/>
      <w:tcPr>
        <w:tcBorders>
          <w:bottom w:val="single" w:sz="4" w:space="0" w:color="C9C9C9" w:themeColor="accent3" w:themeTint="99"/>
        </w:tcBorders>
      </w:tcPr>
    </w:tblStylePr>
    <w:tblStylePr w:type="seCell">
      <w:rPr>
        <w:rFonts w:cs="Times New Roman"/>
      </w:rPr>
      <w:tblPr/>
      <w:tcPr>
        <w:tcBorders>
          <w:top w:val="single" w:sz="4" w:space="0" w:color="C9C9C9" w:themeColor="accent3" w:themeTint="99"/>
        </w:tcBorders>
      </w:tcPr>
    </w:tblStylePr>
    <w:tblStylePr w:type="swCell">
      <w:rPr>
        <w:rFonts w:cs="Times New Roman"/>
      </w:rPr>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0E5CC4"/>
    <w:pPr>
      <w:spacing w:after="0" w:line="240" w:lineRule="auto"/>
    </w:pPr>
    <w:rPr>
      <w:rFonts w:cs="Times New Roman"/>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bottom w:val="single" w:sz="4" w:space="0" w:color="D3B8D9" w:themeColor="accent4" w:themeTint="99"/>
        </w:tcBorders>
      </w:tcPr>
    </w:tblStylePr>
    <w:tblStylePr w:type="nwCell">
      <w:rPr>
        <w:rFonts w:cs="Times New Roman"/>
      </w:rPr>
      <w:tblPr/>
      <w:tcPr>
        <w:tcBorders>
          <w:bottom w:val="single" w:sz="4" w:space="0" w:color="D3B8D9" w:themeColor="accent4" w:themeTint="99"/>
        </w:tcBorders>
      </w:tcPr>
    </w:tblStylePr>
    <w:tblStylePr w:type="seCell">
      <w:rPr>
        <w:rFonts w:cs="Times New Roman"/>
      </w:rPr>
      <w:tblPr/>
      <w:tcPr>
        <w:tcBorders>
          <w:top w:val="single" w:sz="4" w:space="0" w:color="D3B8D9" w:themeColor="accent4" w:themeTint="99"/>
        </w:tcBorders>
      </w:tcPr>
    </w:tblStylePr>
    <w:tblStylePr w:type="swCell">
      <w:rPr>
        <w:rFonts w:cs="Times New Roman"/>
      </w:rPr>
      <w:tblPr/>
      <w:tcPr>
        <w:tcBorders>
          <w:top w:val="single" w:sz="4" w:space="0" w:color="D3B8D9" w:themeColor="accent4" w:themeTint="99"/>
        </w:tcBorders>
      </w:tcPr>
    </w:tblStylePr>
  </w:style>
  <w:style w:type="table" w:customStyle="1" w:styleId="GridTable7Colorful-Accent51">
    <w:name w:val="Grid Table 7 Colorful - Accent 51"/>
    <w:basedOn w:val="TableNormal"/>
    <w:uiPriority w:val="52"/>
    <w:rsid w:val="000E5CC4"/>
    <w:pPr>
      <w:spacing w:after="0" w:line="240" w:lineRule="auto"/>
    </w:pPr>
    <w:rPr>
      <w:rFonts w:cs="Times New Roman"/>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bottom w:val="single" w:sz="4" w:space="0" w:color="FFBB59" w:themeColor="accent5" w:themeTint="99"/>
        </w:tcBorders>
      </w:tcPr>
    </w:tblStylePr>
    <w:tblStylePr w:type="nwCell">
      <w:rPr>
        <w:rFonts w:cs="Times New Roman"/>
      </w:rPr>
      <w:tblPr/>
      <w:tcPr>
        <w:tcBorders>
          <w:bottom w:val="single" w:sz="4" w:space="0" w:color="FFBB59" w:themeColor="accent5" w:themeTint="99"/>
        </w:tcBorders>
      </w:tcPr>
    </w:tblStylePr>
    <w:tblStylePr w:type="seCell">
      <w:rPr>
        <w:rFonts w:cs="Times New Roman"/>
      </w:rPr>
      <w:tblPr/>
      <w:tcPr>
        <w:tcBorders>
          <w:top w:val="single" w:sz="4" w:space="0" w:color="FFBB59" w:themeColor="accent5" w:themeTint="99"/>
        </w:tcBorders>
      </w:tcPr>
    </w:tblStylePr>
    <w:tblStylePr w:type="swCell">
      <w:rPr>
        <w:rFonts w:cs="Times New Roman"/>
      </w:rPr>
      <w:tblPr/>
      <w:tcPr>
        <w:tcBorders>
          <w:top w:val="single" w:sz="4" w:space="0" w:color="FFBB59" w:themeColor="accent5" w:themeTint="99"/>
        </w:tcBorders>
      </w:tcPr>
    </w:tblStylePr>
  </w:style>
  <w:style w:type="table" w:customStyle="1" w:styleId="GridTable7Colorful-Accent61">
    <w:name w:val="Grid Table 7 Colorful - Accent 61"/>
    <w:basedOn w:val="TableNormal"/>
    <w:uiPriority w:val="52"/>
    <w:rsid w:val="000E5CC4"/>
    <w:pPr>
      <w:spacing w:after="0" w:line="240" w:lineRule="auto"/>
    </w:pPr>
    <w:rPr>
      <w:rFonts w:cs="Times New Roman"/>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bottom w:val="single" w:sz="4" w:space="0" w:color="D8D8D8" w:themeColor="accent6" w:themeTint="99"/>
        </w:tcBorders>
      </w:tcPr>
    </w:tblStylePr>
    <w:tblStylePr w:type="nwCell">
      <w:rPr>
        <w:rFonts w:cs="Times New Roman"/>
      </w:rPr>
      <w:tblPr/>
      <w:tcPr>
        <w:tcBorders>
          <w:bottom w:val="single" w:sz="4" w:space="0" w:color="D8D8D8" w:themeColor="accent6" w:themeTint="99"/>
        </w:tcBorders>
      </w:tcPr>
    </w:tblStylePr>
    <w:tblStylePr w:type="seCell">
      <w:rPr>
        <w:rFonts w:cs="Times New Roman"/>
      </w:rPr>
      <w:tblPr/>
      <w:tcPr>
        <w:tcBorders>
          <w:top w:val="single" w:sz="4" w:space="0" w:color="D8D8D8" w:themeColor="accent6" w:themeTint="99"/>
        </w:tcBorders>
      </w:tcPr>
    </w:tblStylePr>
    <w:tblStylePr w:type="swCell">
      <w:rPr>
        <w:rFonts w:cs="Times New Roman"/>
      </w:rPr>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rPr>
      <w:rFonts w:cs="Times New Roman"/>
    </w:rPr>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locked/>
    <w:rsid w:val="000E5CC4"/>
    <w:rPr>
      <w:rFonts w:ascii="HelveticaNeueLT Std Lt Cn" w:hAnsi="HelveticaNeueLT Std Lt Cn" w:cs="Times New Roman"/>
      <w:i/>
      <w:iCs/>
      <w:sz w:val="20"/>
    </w:rPr>
  </w:style>
  <w:style w:type="character" w:styleId="HTMLCite">
    <w:name w:val="HTML Cite"/>
    <w:basedOn w:val="DefaultParagraphFont"/>
    <w:uiPriority w:val="99"/>
    <w:semiHidden/>
    <w:unhideWhenUsed/>
    <w:rsid w:val="000E5CC4"/>
    <w:rPr>
      <w:rFonts w:cs="Times New Roman"/>
      <w:i/>
      <w:iCs/>
    </w:rPr>
  </w:style>
  <w:style w:type="character" w:styleId="HTMLCode">
    <w:name w:val="HTML Code"/>
    <w:basedOn w:val="DefaultParagraphFont"/>
    <w:uiPriority w:val="99"/>
    <w:semiHidden/>
    <w:unhideWhenUsed/>
    <w:rsid w:val="000E5CC4"/>
    <w:rPr>
      <w:rFonts w:ascii="Consolas" w:hAnsi="Consolas" w:cs="Times New Roman"/>
      <w:sz w:val="20"/>
      <w:szCs w:val="20"/>
    </w:rPr>
  </w:style>
  <w:style w:type="character" w:styleId="HTMLDefinition">
    <w:name w:val="HTML Definition"/>
    <w:basedOn w:val="DefaultParagraphFont"/>
    <w:uiPriority w:val="99"/>
    <w:semiHidden/>
    <w:unhideWhenUsed/>
    <w:rsid w:val="000E5CC4"/>
    <w:rPr>
      <w:rFonts w:cs="Times New Roman"/>
      <w:i/>
      <w:iCs/>
    </w:rPr>
  </w:style>
  <w:style w:type="character" w:styleId="HTMLKeyboard">
    <w:name w:val="HTML Keyboard"/>
    <w:basedOn w:val="DefaultParagraphFont"/>
    <w:uiPriority w:val="99"/>
    <w:semiHidden/>
    <w:unhideWhenUsed/>
    <w:rsid w:val="000E5CC4"/>
    <w:rPr>
      <w:rFonts w:ascii="Consolas" w:hAnsi="Consolas" w:cs="Times New Roman"/>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0E5CC4"/>
    <w:rPr>
      <w:rFonts w:ascii="Consolas" w:hAnsi="Consolas" w:cs="Times New Roman"/>
      <w:sz w:val="20"/>
      <w:szCs w:val="20"/>
    </w:rPr>
  </w:style>
  <w:style w:type="character" w:styleId="HTMLSample">
    <w:name w:val="HTML Sample"/>
    <w:basedOn w:val="DefaultParagraphFont"/>
    <w:uiPriority w:val="99"/>
    <w:semiHidden/>
    <w:unhideWhenUsed/>
    <w:rsid w:val="000E5CC4"/>
    <w:rPr>
      <w:rFonts w:ascii="Consolas" w:hAnsi="Consolas" w:cs="Times New Roman"/>
      <w:sz w:val="24"/>
      <w:szCs w:val="24"/>
    </w:rPr>
  </w:style>
  <w:style w:type="character" w:styleId="HTMLTypewriter">
    <w:name w:val="HTML Typewriter"/>
    <w:basedOn w:val="DefaultParagraphFont"/>
    <w:uiPriority w:val="99"/>
    <w:semiHidden/>
    <w:unhideWhenUsed/>
    <w:rsid w:val="000E5CC4"/>
    <w:rPr>
      <w:rFonts w:ascii="Consolas" w:hAnsi="Consolas" w:cs="Times New Roman"/>
      <w:sz w:val="20"/>
      <w:szCs w:val="20"/>
    </w:rPr>
  </w:style>
  <w:style w:type="character" w:styleId="HTMLVariable">
    <w:name w:val="HTML Variable"/>
    <w:basedOn w:val="DefaultParagraphFont"/>
    <w:uiPriority w:val="99"/>
    <w:semiHidden/>
    <w:unhideWhenUsed/>
    <w:rsid w:val="000E5CC4"/>
    <w:rPr>
      <w:rFonts w:cs="Times New Roman"/>
      <w:i/>
      <w:iCs/>
    </w:rPr>
  </w:style>
  <w:style w:type="character" w:styleId="Hyperlink">
    <w:name w:val="Hyperlink"/>
    <w:basedOn w:val="DefaultParagraphFont"/>
    <w:uiPriority w:val="99"/>
    <w:unhideWhenUsed/>
    <w:rsid w:val="00754EFE"/>
    <w:rPr>
      <w:rFonts w:cs="Times New Roman"/>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b/>
      <w:bCs/>
    </w:rPr>
  </w:style>
  <w:style w:type="character" w:styleId="IntenseEmphasis">
    <w:name w:val="Intense Emphasis"/>
    <w:basedOn w:val="DefaultParagraphFont"/>
    <w:uiPriority w:val="21"/>
    <w:qFormat/>
    <w:rsid w:val="000E5CC4"/>
    <w:rPr>
      <w:rFonts w:cs="Times New Roman"/>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locked/>
    <w:rsid w:val="000E5CC4"/>
    <w:rPr>
      <w:rFonts w:ascii="HelveticaNeueLT Std Lt Cn" w:hAnsi="HelveticaNeueLT Std Lt Cn" w:cs="Times New Roman"/>
      <w:i/>
      <w:iCs/>
      <w:color w:val="9757A6" w:themeColor="accent1"/>
      <w:sz w:val="20"/>
    </w:rPr>
  </w:style>
  <w:style w:type="character" w:styleId="IntenseReference">
    <w:name w:val="Intense Reference"/>
    <w:basedOn w:val="DefaultParagraphFont"/>
    <w:uiPriority w:val="32"/>
    <w:qFormat/>
    <w:rsid w:val="000E5CC4"/>
    <w:rPr>
      <w:rFonts w:cs="Times New Roman"/>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pPr>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pPr>
      <w:rPr>
        <w:rFonts w:asciiTheme="majorHAnsi" w:eastAsiaTheme="majorEastAsia" w:hAnsiTheme="majorHAnsi"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pPr>
      <w:rPr>
        <w:rFonts w:asciiTheme="majorHAnsi" w:eastAsiaTheme="majorEastAsia" w:hAnsiTheme="majorHAnsi" w:cs="Times New Roman"/>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pPr>
      <w:rPr>
        <w:rFonts w:asciiTheme="majorHAnsi" w:eastAsiaTheme="majorEastAsia" w:hAnsiTheme="majorHAnsi" w:cs="Times New Roman"/>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pPr>
      <w:rPr>
        <w:rFonts w:asciiTheme="majorHAnsi" w:eastAsiaTheme="majorEastAsia" w:hAnsiTheme="majorHAnsi" w:cs="Times New Roman"/>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pPr>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pPr>
      <w:rPr>
        <w:rFonts w:asciiTheme="majorHAnsi" w:eastAsiaTheme="majorEastAsia" w:hAnsiTheme="majorHAnsi"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pPr>
      <w:rPr>
        <w:rFonts w:asciiTheme="majorHAnsi" w:eastAsiaTheme="majorEastAsia" w:hAnsiTheme="majorHAnsi" w:cs="Times New Roman"/>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pPr>
      <w:rPr>
        <w:rFonts w:asciiTheme="majorHAnsi" w:eastAsiaTheme="majorEastAsia" w:hAnsiTheme="majorHAnsi" w:cs="Times New Roman"/>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pPr>
      <w:rPr>
        <w:rFonts w:asciiTheme="majorHAnsi" w:eastAsiaTheme="majorEastAsia" w:hAnsiTheme="majorHAnsi" w:cs="Times New Roman"/>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pPr>
      <w:rPr>
        <w:rFonts w:asciiTheme="majorHAnsi" w:eastAsiaTheme="majorEastAsia" w:hAnsiTheme="majorHAnsi" w:cs="Times New Roman"/>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rPr>
      <w:rFonts w:cs="Times New Roman"/>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pPr>
      <w:rPr>
        <w:rFonts w:asciiTheme="majorHAnsi" w:eastAsiaTheme="majorEastAsia" w:hAnsiTheme="majorHAnsi" w:cs="Times New Roman"/>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pPr>
      <w:rPr>
        <w:rFonts w:asciiTheme="majorHAnsi" w:eastAsiaTheme="majorEastAsia" w:hAnsiTheme="majorHAnsi" w:cs="Times New Roman"/>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pPr>
      <w:rPr>
        <w:rFonts w:cs="Times New Roman"/>
        <w:b/>
        <w:bCs/>
        <w:color w:val="FFFFFF" w:themeColor="background1"/>
      </w:rPr>
      <w:tblPr/>
      <w:tcPr>
        <w:shd w:val="clear" w:color="auto" w:fill="9757A6" w:themeFill="accent1"/>
      </w:tcPr>
    </w:tblStylePr>
    <w:tblStylePr w:type="lastRow">
      <w:pPr>
        <w:spacing w:before="0" w:after="0"/>
      </w:pPr>
      <w:rPr>
        <w:rFonts w:cs="Times New Roman"/>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rPr>
        <w:rFonts w:cs="Times New Roman"/>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pPr>
      <w:rPr>
        <w:rFonts w:cs="Times New Roman"/>
        <w:b/>
        <w:bCs/>
        <w:color w:val="FFFFFF" w:themeColor="background1"/>
      </w:rPr>
      <w:tblPr/>
      <w:tcPr>
        <w:shd w:val="clear" w:color="auto" w:fill="FFAE3B" w:themeFill="accent2"/>
      </w:tcPr>
    </w:tblStylePr>
    <w:tblStylePr w:type="lastRow">
      <w:pPr>
        <w:spacing w:before="0" w:after="0"/>
      </w:pPr>
      <w:rPr>
        <w:rFonts w:cs="Times New Roman"/>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rPr>
        <w:rFonts w:cs="Times New Roman"/>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pPr>
      <w:rPr>
        <w:rFonts w:cs="Times New Roman"/>
        <w:b/>
        <w:bCs/>
        <w:color w:val="FFFFFF" w:themeColor="background1"/>
      </w:rPr>
      <w:tblPr/>
      <w:tcPr>
        <w:shd w:val="clear" w:color="auto" w:fill="A5A5A5" w:themeFill="accent3"/>
      </w:tcPr>
    </w:tblStylePr>
    <w:tblStylePr w:type="lastRow">
      <w:pPr>
        <w:spacing w:before="0" w:after="0"/>
      </w:pPr>
      <w:rPr>
        <w:rFonts w:cs="Times New Roman"/>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rPr>
        <w:rFonts w:cs="Times New Roman"/>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pPr>
      <w:rPr>
        <w:rFonts w:cs="Times New Roman"/>
        <w:b/>
        <w:bCs/>
        <w:color w:val="FFFFFF" w:themeColor="background1"/>
      </w:rPr>
      <w:tblPr/>
      <w:tcPr>
        <w:shd w:val="clear" w:color="auto" w:fill="B689C1" w:themeFill="accent4"/>
      </w:tcPr>
    </w:tblStylePr>
    <w:tblStylePr w:type="lastRow">
      <w:pPr>
        <w:spacing w:before="0" w:after="0"/>
      </w:pPr>
      <w:rPr>
        <w:rFonts w:cs="Times New Roman"/>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rPr>
        <w:rFonts w:cs="Times New Roman"/>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pPr>
      <w:rPr>
        <w:rFonts w:cs="Times New Roman"/>
        <w:b/>
        <w:bCs/>
        <w:color w:val="FFFFFF" w:themeColor="background1"/>
      </w:rPr>
      <w:tblPr/>
      <w:tcPr>
        <w:shd w:val="clear" w:color="auto" w:fill="EA8B00" w:themeFill="accent5"/>
      </w:tcPr>
    </w:tblStylePr>
    <w:tblStylePr w:type="lastRow">
      <w:pPr>
        <w:spacing w:before="0" w:after="0"/>
      </w:pPr>
      <w:rPr>
        <w:rFonts w:cs="Times New Roman"/>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rPr>
        <w:rFonts w:cs="Times New Roman"/>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rPr>
      <w:rFonts w:cs="Times New Roman"/>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pPr>
      <w:rPr>
        <w:rFonts w:cs="Times New Roman"/>
        <w:b/>
        <w:bCs/>
        <w:color w:val="FFFFFF" w:themeColor="background1"/>
      </w:rPr>
      <w:tblPr/>
      <w:tcPr>
        <w:shd w:val="clear" w:color="auto" w:fill="BFBFBF" w:themeFill="accent6"/>
      </w:tcPr>
    </w:tblStylePr>
    <w:tblStylePr w:type="lastRow">
      <w:pPr>
        <w:spacing w:before="0" w:after="0"/>
      </w:pPr>
      <w:rPr>
        <w:rFonts w:cs="Times New Roman"/>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rPr>
        <w:rFonts w:cs="Times New Roman"/>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rFonts w:cs="Times New Roman"/>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pPr>
      <w:rPr>
        <w:rFonts w:cs="Times New Roman"/>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pPr>
      <w:rPr>
        <w:rFonts w:cs="Times New Roman"/>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D5E9" w:themeFill="accent1" w:themeFillTint="3F"/>
      </w:tcPr>
    </w:tblStylePr>
    <w:tblStylePr w:type="band1Horz">
      <w:rPr>
        <w:rFonts w:cs="Times New Roman"/>
      </w:rPr>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rFonts w:cs="Times New Roman"/>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pPr>
      <w:rPr>
        <w:rFonts w:cs="Times New Roman"/>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pPr>
      <w:rPr>
        <w:rFonts w:cs="Times New Roman"/>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ACE" w:themeFill="accent2" w:themeFillTint="3F"/>
      </w:tcPr>
    </w:tblStylePr>
    <w:tblStylePr w:type="band1Horz">
      <w:rPr>
        <w:rFonts w:cs="Times New Roman"/>
      </w:rPr>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rFonts w:cs="Times New Roman"/>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pPr>
      <w:rPr>
        <w:rFonts w:cs="Times New Roman"/>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pPr>
      <w:rPr>
        <w:rFonts w:cs="Times New Roman"/>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rFonts w:cs="Times New Roman"/>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pPr>
      <w:rPr>
        <w:rFonts w:cs="Times New Roman"/>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pPr>
      <w:rPr>
        <w:rFonts w:cs="Times New Roman"/>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CE1EF" w:themeFill="accent4" w:themeFillTint="3F"/>
      </w:tcPr>
    </w:tblStylePr>
    <w:tblStylePr w:type="band1Horz">
      <w:rPr>
        <w:rFonts w:cs="Times New Roman"/>
      </w:rPr>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rFonts w:cs="Times New Roman"/>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pPr>
      <w:rPr>
        <w:rFonts w:cs="Times New Roman"/>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pPr>
      <w:rPr>
        <w:rFonts w:cs="Times New Roman"/>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3BA" w:themeFill="accent5" w:themeFillTint="3F"/>
      </w:tcPr>
    </w:tblStylePr>
    <w:tblStylePr w:type="band1Horz">
      <w:rPr>
        <w:rFonts w:cs="Times New Roman"/>
      </w:rPr>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rFonts w:cs="Times New Roman"/>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pPr>
      <w:rPr>
        <w:rFonts w:cs="Times New Roman"/>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pPr>
      <w:rPr>
        <w:rFonts w:cs="Times New Roman"/>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EFEF" w:themeFill="accent6" w:themeFillTint="3F"/>
      </w:tcPr>
    </w:tblStylePr>
    <w:tblStylePr w:type="band1Horz">
      <w:rPr>
        <w:rFonts w:cs="Times New Roman"/>
      </w:rPr>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rPr>
      <w:rFonts w:cs="Times New Roman"/>
    </w:rPr>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rsid w:val="000659A4"/>
    <w:pPr>
      <w:numPr>
        <w:ilvl w:val="2"/>
        <w:numId w:val="37"/>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99"/>
    <w:rsid w:val="009005D5"/>
    <w:pPr>
      <w:numPr>
        <w:numId w:val="30"/>
      </w:numPr>
      <w:spacing w:before="60" w:after="60"/>
    </w:pPr>
  </w:style>
  <w:style w:type="paragraph" w:styleId="ListNumber2">
    <w:name w:val="List Number 2"/>
    <w:basedOn w:val="Normal"/>
    <w:uiPriority w:val="99"/>
    <w:rsid w:val="009005D5"/>
    <w:pPr>
      <w:numPr>
        <w:ilvl w:val="1"/>
        <w:numId w:val="30"/>
      </w:numPr>
      <w:spacing w:after="60"/>
    </w:pPr>
  </w:style>
  <w:style w:type="paragraph" w:styleId="ListNumber3">
    <w:name w:val="List Number 3"/>
    <w:basedOn w:val="Normal"/>
    <w:uiPriority w:val="99"/>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link w:val="ListParagraphChar"/>
    <w:uiPriority w:val="34"/>
    <w:qFormat/>
    <w:rsid w:val="000E5CC4"/>
    <w:pPr>
      <w:ind w:left="720"/>
      <w:contextualSpacing/>
    </w:pPr>
  </w:style>
  <w:style w:type="table" w:customStyle="1" w:styleId="ListTable1Light1">
    <w:name w:val="List Table 1 Light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1Light-Accent11">
    <w:name w:val="List Table 1 Light - Accent 1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C099CA" w:themeColor="accent1" w:themeTint="99"/>
        </w:tcBorders>
      </w:tcPr>
    </w:tblStylePr>
    <w:tblStylePr w:type="lastRow">
      <w:rPr>
        <w:rFonts w:cs="Times New Roman"/>
        <w:b/>
        <w:bCs/>
      </w:rPr>
      <w:tblPr/>
      <w:tcPr>
        <w:tcBorders>
          <w:top w:val="sing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1Light-Accent21">
    <w:name w:val="List Table 1 Light - Accent 2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FFCE89" w:themeColor="accent2" w:themeTint="99"/>
        </w:tcBorders>
      </w:tcPr>
    </w:tblStylePr>
    <w:tblStylePr w:type="lastRow">
      <w:rPr>
        <w:rFonts w:cs="Times New Roman"/>
        <w:b/>
        <w:bCs/>
      </w:rPr>
      <w:tblPr/>
      <w:tcPr>
        <w:tcBorders>
          <w:top w:val="sing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1Light-Accent31">
    <w:name w:val="List Table 1 Light - Accent 3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C9C9C9" w:themeColor="accent3" w:themeTint="99"/>
        </w:tcBorders>
      </w:tcPr>
    </w:tblStylePr>
    <w:tblStylePr w:type="lastRow">
      <w:rPr>
        <w:rFonts w:cs="Times New Roman"/>
        <w:b/>
        <w:bCs/>
      </w:rPr>
      <w:tblPr/>
      <w:tcPr>
        <w:tcBorders>
          <w:top w:val="sing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1Light-Accent41">
    <w:name w:val="List Table 1 Light - Accent 4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D3B8D9" w:themeColor="accent4" w:themeTint="99"/>
        </w:tcBorders>
      </w:tcPr>
    </w:tblStylePr>
    <w:tblStylePr w:type="lastRow">
      <w:rPr>
        <w:rFonts w:cs="Times New Roman"/>
        <w:b/>
        <w:bCs/>
      </w:rPr>
      <w:tblPr/>
      <w:tcPr>
        <w:tcBorders>
          <w:top w:val="sing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1Light-Accent51">
    <w:name w:val="List Table 1 Light - Accent 5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FFBB59" w:themeColor="accent5" w:themeTint="99"/>
        </w:tcBorders>
      </w:tcPr>
    </w:tblStylePr>
    <w:tblStylePr w:type="lastRow">
      <w:rPr>
        <w:rFonts w:cs="Times New Roman"/>
        <w:b/>
        <w:bCs/>
      </w:rPr>
      <w:tblPr/>
      <w:tcPr>
        <w:tcBorders>
          <w:top w:val="sing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1Light-Accent61">
    <w:name w:val="List Table 1 Light - Accent 61"/>
    <w:basedOn w:val="TableNormal"/>
    <w:uiPriority w:val="46"/>
    <w:rsid w:val="000E5CC4"/>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D8D8D8" w:themeColor="accent6" w:themeTint="99"/>
        </w:tcBorders>
      </w:tcPr>
    </w:tblStylePr>
    <w:tblStylePr w:type="lastRow">
      <w:rPr>
        <w:rFonts w:cs="Times New Roman"/>
        <w:b/>
        <w:bCs/>
      </w:rPr>
      <w:tblPr/>
      <w:tcPr>
        <w:tcBorders>
          <w:top w:val="sing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21">
    <w:name w:val="List Table 21"/>
    <w:basedOn w:val="TableNormal"/>
    <w:uiPriority w:val="47"/>
    <w:rsid w:val="000E5CC4"/>
    <w:pPr>
      <w:spacing w:after="0" w:line="240" w:lineRule="auto"/>
    </w:pPr>
    <w:rPr>
      <w:rFonts w:cs="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2-Accent11">
    <w:name w:val="List Table 2 - Accent 11"/>
    <w:basedOn w:val="TableNormal"/>
    <w:uiPriority w:val="47"/>
    <w:rsid w:val="000E5CC4"/>
    <w:pPr>
      <w:spacing w:after="0" w:line="240" w:lineRule="auto"/>
    </w:pPr>
    <w:rPr>
      <w:rFonts w:cs="Times New Roman"/>
    </w:r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2-Accent21">
    <w:name w:val="List Table 2 - Accent 21"/>
    <w:basedOn w:val="TableNormal"/>
    <w:uiPriority w:val="47"/>
    <w:rsid w:val="000E5CC4"/>
    <w:pPr>
      <w:spacing w:after="0" w:line="240" w:lineRule="auto"/>
    </w:pPr>
    <w:rPr>
      <w:rFonts w:cs="Times New Roman"/>
    </w:r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2-Accent31">
    <w:name w:val="List Table 2 - Accent 31"/>
    <w:basedOn w:val="TableNormal"/>
    <w:uiPriority w:val="47"/>
    <w:rsid w:val="000E5CC4"/>
    <w:pPr>
      <w:spacing w:after="0" w:line="240" w:lineRule="auto"/>
    </w:pPr>
    <w:rPr>
      <w:rFonts w:cs="Times New Roman"/>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2-Accent41">
    <w:name w:val="List Table 2 - Accent 41"/>
    <w:basedOn w:val="TableNormal"/>
    <w:uiPriority w:val="47"/>
    <w:rsid w:val="000E5CC4"/>
    <w:pPr>
      <w:spacing w:after="0" w:line="240" w:lineRule="auto"/>
    </w:pPr>
    <w:rPr>
      <w:rFonts w:cs="Times New Roman"/>
    </w:r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2-Accent51">
    <w:name w:val="List Table 2 - Accent 51"/>
    <w:basedOn w:val="TableNormal"/>
    <w:uiPriority w:val="47"/>
    <w:rsid w:val="000E5CC4"/>
    <w:pPr>
      <w:spacing w:after="0" w:line="240" w:lineRule="auto"/>
    </w:pPr>
    <w:rPr>
      <w:rFonts w:cs="Times New Roman"/>
    </w:r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2-Accent61">
    <w:name w:val="List Table 2 - Accent 61"/>
    <w:basedOn w:val="TableNormal"/>
    <w:uiPriority w:val="47"/>
    <w:rsid w:val="000E5CC4"/>
    <w:pPr>
      <w:spacing w:after="0" w:line="240" w:lineRule="auto"/>
    </w:pPr>
    <w:rPr>
      <w:rFonts w:cs="Times New Roman"/>
    </w:r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31">
    <w:name w:val="List Table 31"/>
    <w:basedOn w:val="TableNormal"/>
    <w:uiPriority w:val="48"/>
    <w:rsid w:val="000E5CC4"/>
    <w:pPr>
      <w:spacing w:after="0" w:line="240" w:lineRule="auto"/>
    </w:pPr>
    <w:rPr>
      <w:rFonts w:cs="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E5CC4"/>
    <w:pPr>
      <w:spacing w:after="0" w:line="240" w:lineRule="auto"/>
    </w:pPr>
    <w:rPr>
      <w:rFonts w:cs="Times New Roman"/>
    </w:r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rFonts w:cs="Times New Roman"/>
        <w:b/>
        <w:bCs/>
        <w:color w:val="FFFFFF" w:themeColor="background1"/>
      </w:rPr>
      <w:tblPr/>
      <w:tcPr>
        <w:shd w:val="clear" w:color="auto" w:fill="9757A6" w:themeFill="accent1"/>
      </w:tcPr>
    </w:tblStylePr>
    <w:tblStylePr w:type="lastRow">
      <w:rPr>
        <w:rFonts w:cs="Times New Roman"/>
        <w:b/>
        <w:bCs/>
      </w:rPr>
      <w:tblPr/>
      <w:tcPr>
        <w:tcBorders>
          <w:top w:val="double" w:sz="4" w:space="0" w:color="9757A6"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9757A6" w:themeColor="accent1"/>
          <w:right w:val="single" w:sz="4" w:space="0" w:color="9757A6" w:themeColor="accent1"/>
        </w:tcBorders>
      </w:tcPr>
    </w:tblStylePr>
    <w:tblStylePr w:type="band1Horz">
      <w:rPr>
        <w:rFonts w:cs="Times New Roman"/>
      </w:rPr>
      <w:tblPr/>
      <w:tcPr>
        <w:tcBorders>
          <w:top w:val="single" w:sz="4" w:space="0" w:color="9757A6" w:themeColor="accent1"/>
          <w:bottom w:val="single" w:sz="4" w:space="0" w:color="9757A6"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9757A6" w:themeColor="accent1"/>
          <w:left w:val="nil"/>
        </w:tcBorders>
      </w:tcPr>
    </w:tblStylePr>
    <w:tblStylePr w:type="swCell">
      <w:rPr>
        <w:rFonts w:cs="Times New Roman"/>
      </w:rPr>
      <w:tblPr/>
      <w:tcPr>
        <w:tcBorders>
          <w:top w:val="double" w:sz="4" w:space="0" w:color="9757A6" w:themeColor="accent1"/>
          <w:right w:val="nil"/>
        </w:tcBorders>
      </w:tcPr>
    </w:tblStylePr>
  </w:style>
  <w:style w:type="table" w:customStyle="1" w:styleId="ListTable3-Accent21">
    <w:name w:val="List Table 3 - Accent 21"/>
    <w:basedOn w:val="TableNormal"/>
    <w:uiPriority w:val="48"/>
    <w:rsid w:val="000E5CC4"/>
    <w:pPr>
      <w:spacing w:after="0" w:line="240" w:lineRule="auto"/>
    </w:pPr>
    <w:rPr>
      <w:rFonts w:cs="Times New Roman"/>
    </w:r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rFonts w:cs="Times New Roman"/>
        <w:b/>
        <w:bCs/>
        <w:color w:val="FFFFFF" w:themeColor="background1"/>
      </w:rPr>
      <w:tblPr/>
      <w:tcPr>
        <w:shd w:val="clear" w:color="auto" w:fill="FFAE3B" w:themeFill="accent2"/>
      </w:tcPr>
    </w:tblStylePr>
    <w:tblStylePr w:type="lastRow">
      <w:rPr>
        <w:rFonts w:cs="Times New Roman"/>
        <w:b/>
        <w:bCs/>
      </w:rPr>
      <w:tblPr/>
      <w:tcPr>
        <w:tcBorders>
          <w:top w:val="double" w:sz="4" w:space="0" w:color="FFAE3B"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FFAE3B" w:themeColor="accent2"/>
          <w:right w:val="single" w:sz="4" w:space="0" w:color="FFAE3B" w:themeColor="accent2"/>
        </w:tcBorders>
      </w:tcPr>
    </w:tblStylePr>
    <w:tblStylePr w:type="band1Horz">
      <w:rPr>
        <w:rFonts w:cs="Times New Roman"/>
      </w:rPr>
      <w:tblPr/>
      <w:tcPr>
        <w:tcBorders>
          <w:top w:val="single" w:sz="4" w:space="0" w:color="FFAE3B" w:themeColor="accent2"/>
          <w:bottom w:val="single" w:sz="4" w:space="0" w:color="FFAE3B"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FFAE3B" w:themeColor="accent2"/>
          <w:left w:val="nil"/>
        </w:tcBorders>
      </w:tcPr>
    </w:tblStylePr>
    <w:tblStylePr w:type="swCell">
      <w:rPr>
        <w:rFonts w:cs="Times New Roman"/>
      </w:rPr>
      <w:tblPr/>
      <w:tcPr>
        <w:tcBorders>
          <w:top w:val="double" w:sz="4" w:space="0" w:color="FFAE3B" w:themeColor="accent2"/>
          <w:right w:val="nil"/>
        </w:tcBorders>
      </w:tcPr>
    </w:tblStylePr>
  </w:style>
  <w:style w:type="table" w:customStyle="1" w:styleId="ListTable3-Accent31">
    <w:name w:val="List Table 3 - Accent 31"/>
    <w:basedOn w:val="TableNormal"/>
    <w:uiPriority w:val="48"/>
    <w:rsid w:val="000E5CC4"/>
    <w:pPr>
      <w:spacing w:after="0" w:line="240" w:lineRule="auto"/>
    </w:pPr>
    <w:rPr>
      <w:rFonts w:cs="Times New Roman"/>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rFonts w:cs="Times New Roman"/>
        <w:b/>
        <w:bCs/>
        <w:color w:val="FFFFFF" w:themeColor="background1"/>
      </w:rPr>
      <w:tblPr/>
      <w:tcPr>
        <w:shd w:val="clear" w:color="auto" w:fill="A5A5A5" w:themeFill="accent3"/>
      </w:tcPr>
    </w:tblStylePr>
    <w:tblStylePr w:type="lastRow">
      <w:rPr>
        <w:rFonts w:cs="Times New Roman"/>
        <w:b/>
        <w:bCs/>
      </w:rPr>
      <w:tblPr/>
      <w:tcPr>
        <w:tcBorders>
          <w:top w:val="double" w:sz="4" w:space="0" w:color="A5A5A5" w:themeColor="accent3"/>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A5A5A5" w:themeColor="accent3"/>
          <w:right w:val="single" w:sz="4" w:space="0" w:color="A5A5A5" w:themeColor="accent3"/>
        </w:tcBorders>
      </w:tcPr>
    </w:tblStylePr>
    <w:tblStylePr w:type="band1Horz">
      <w:rPr>
        <w:rFonts w:cs="Times New Roman"/>
      </w:rPr>
      <w:tblPr/>
      <w:tcPr>
        <w:tcBorders>
          <w:top w:val="single" w:sz="4" w:space="0" w:color="A5A5A5" w:themeColor="accent3"/>
          <w:bottom w:val="single" w:sz="4" w:space="0" w:color="A5A5A5" w:themeColor="accent3"/>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A5A5A5" w:themeColor="accent3"/>
          <w:left w:val="nil"/>
        </w:tcBorders>
      </w:tcPr>
    </w:tblStylePr>
    <w:tblStylePr w:type="swCell">
      <w:rPr>
        <w:rFonts w:cs="Times New Roman"/>
      </w:rPr>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0E5CC4"/>
    <w:pPr>
      <w:spacing w:after="0" w:line="240" w:lineRule="auto"/>
    </w:pPr>
    <w:rPr>
      <w:rFonts w:cs="Times New Roman"/>
    </w:r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rFonts w:cs="Times New Roman"/>
        <w:b/>
        <w:bCs/>
        <w:color w:val="FFFFFF" w:themeColor="background1"/>
      </w:rPr>
      <w:tblPr/>
      <w:tcPr>
        <w:shd w:val="clear" w:color="auto" w:fill="B689C1" w:themeFill="accent4"/>
      </w:tcPr>
    </w:tblStylePr>
    <w:tblStylePr w:type="lastRow">
      <w:rPr>
        <w:rFonts w:cs="Times New Roman"/>
        <w:b/>
        <w:bCs/>
      </w:rPr>
      <w:tblPr/>
      <w:tcPr>
        <w:tcBorders>
          <w:top w:val="double" w:sz="4" w:space="0" w:color="B689C1" w:themeColor="accent4"/>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B689C1" w:themeColor="accent4"/>
          <w:right w:val="single" w:sz="4" w:space="0" w:color="B689C1" w:themeColor="accent4"/>
        </w:tcBorders>
      </w:tcPr>
    </w:tblStylePr>
    <w:tblStylePr w:type="band1Horz">
      <w:rPr>
        <w:rFonts w:cs="Times New Roman"/>
      </w:rPr>
      <w:tblPr/>
      <w:tcPr>
        <w:tcBorders>
          <w:top w:val="single" w:sz="4" w:space="0" w:color="B689C1" w:themeColor="accent4"/>
          <w:bottom w:val="single" w:sz="4" w:space="0" w:color="B689C1" w:themeColor="accent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B689C1" w:themeColor="accent4"/>
          <w:left w:val="nil"/>
        </w:tcBorders>
      </w:tcPr>
    </w:tblStylePr>
    <w:tblStylePr w:type="swCell">
      <w:rPr>
        <w:rFonts w:cs="Times New Roman"/>
      </w:rPr>
      <w:tblPr/>
      <w:tcPr>
        <w:tcBorders>
          <w:top w:val="double" w:sz="4" w:space="0" w:color="B689C1" w:themeColor="accent4"/>
          <w:right w:val="nil"/>
        </w:tcBorders>
      </w:tcPr>
    </w:tblStylePr>
  </w:style>
  <w:style w:type="table" w:customStyle="1" w:styleId="ListTable3-Accent51">
    <w:name w:val="List Table 3 - Accent 51"/>
    <w:basedOn w:val="TableNormal"/>
    <w:uiPriority w:val="48"/>
    <w:rsid w:val="000E5CC4"/>
    <w:pPr>
      <w:spacing w:after="0" w:line="240" w:lineRule="auto"/>
    </w:pPr>
    <w:rPr>
      <w:rFonts w:cs="Times New Roman"/>
    </w:r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rFonts w:cs="Times New Roman"/>
        <w:b/>
        <w:bCs/>
        <w:color w:val="FFFFFF" w:themeColor="background1"/>
      </w:rPr>
      <w:tblPr/>
      <w:tcPr>
        <w:shd w:val="clear" w:color="auto" w:fill="EA8B00" w:themeFill="accent5"/>
      </w:tcPr>
    </w:tblStylePr>
    <w:tblStylePr w:type="lastRow">
      <w:rPr>
        <w:rFonts w:cs="Times New Roman"/>
        <w:b/>
        <w:bCs/>
      </w:rPr>
      <w:tblPr/>
      <w:tcPr>
        <w:tcBorders>
          <w:top w:val="double" w:sz="4" w:space="0" w:color="EA8B00" w:themeColor="accent5"/>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A8B00" w:themeColor="accent5"/>
          <w:right w:val="single" w:sz="4" w:space="0" w:color="EA8B00" w:themeColor="accent5"/>
        </w:tcBorders>
      </w:tcPr>
    </w:tblStylePr>
    <w:tblStylePr w:type="band1Horz">
      <w:rPr>
        <w:rFonts w:cs="Times New Roman"/>
      </w:rPr>
      <w:tblPr/>
      <w:tcPr>
        <w:tcBorders>
          <w:top w:val="single" w:sz="4" w:space="0" w:color="EA8B00" w:themeColor="accent5"/>
          <w:bottom w:val="single" w:sz="4" w:space="0" w:color="EA8B00" w:themeColor="accent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A8B00" w:themeColor="accent5"/>
          <w:left w:val="nil"/>
        </w:tcBorders>
      </w:tcPr>
    </w:tblStylePr>
    <w:tblStylePr w:type="swCell">
      <w:rPr>
        <w:rFonts w:cs="Times New Roman"/>
      </w:rPr>
      <w:tblPr/>
      <w:tcPr>
        <w:tcBorders>
          <w:top w:val="double" w:sz="4" w:space="0" w:color="EA8B00" w:themeColor="accent5"/>
          <w:right w:val="nil"/>
        </w:tcBorders>
      </w:tcPr>
    </w:tblStylePr>
  </w:style>
  <w:style w:type="table" w:customStyle="1" w:styleId="ListTable3-Accent61">
    <w:name w:val="List Table 3 - Accent 61"/>
    <w:basedOn w:val="TableNormal"/>
    <w:uiPriority w:val="48"/>
    <w:rsid w:val="000E5CC4"/>
    <w:pPr>
      <w:spacing w:after="0" w:line="240" w:lineRule="auto"/>
    </w:pPr>
    <w:rPr>
      <w:rFonts w:cs="Times New Roman"/>
    </w:r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rFonts w:cs="Times New Roman"/>
        <w:b/>
        <w:bCs/>
        <w:color w:val="FFFFFF" w:themeColor="background1"/>
      </w:rPr>
      <w:tblPr/>
      <w:tcPr>
        <w:shd w:val="clear" w:color="auto" w:fill="BFBFBF" w:themeFill="accent6"/>
      </w:tcPr>
    </w:tblStylePr>
    <w:tblStylePr w:type="lastRow">
      <w:rPr>
        <w:rFonts w:cs="Times New Roman"/>
        <w:b/>
        <w:bCs/>
      </w:rPr>
      <w:tblPr/>
      <w:tcPr>
        <w:tcBorders>
          <w:top w:val="double" w:sz="4" w:space="0" w:color="BFBFBF"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BFBFBF" w:themeColor="accent6"/>
          <w:right w:val="single" w:sz="4" w:space="0" w:color="BFBFBF" w:themeColor="accent6"/>
        </w:tcBorders>
      </w:tcPr>
    </w:tblStylePr>
    <w:tblStylePr w:type="band1Horz">
      <w:rPr>
        <w:rFonts w:cs="Times New Roman"/>
      </w:rPr>
      <w:tblPr/>
      <w:tcPr>
        <w:tcBorders>
          <w:top w:val="single" w:sz="4" w:space="0" w:color="BFBFBF" w:themeColor="accent6"/>
          <w:bottom w:val="single" w:sz="4" w:space="0" w:color="BFBFBF"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BFBFBF" w:themeColor="accent6"/>
          <w:left w:val="nil"/>
        </w:tcBorders>
      </w:tcPr>
    </w:tblStylePr>
    <w:tblStylePr w:type="swCell">
      <w:rPr>
        <w:rFonts w:cs="Times New Roman"/>
      </w:rPr>
      <w:tblPr/>
      <w:tcPr>
        <w:tcBorders>
          <w:top w:val="double" w:sz="4" w:space="0" w:color="BFBFBF" w:themeColor="accent6"/>
          <w:right w:val="nil"/>
        </w:tcBorders>
      </w:tcPr>
    </w:tblStylePr>
  </w:style>
  <w:style w:type="table" w:customStyle="1" w:styleId="ListTable41">
    <w:name w:val="List Table 41"/>
    <w:basedOn w:val="TableNormal"/>
    <w:uiPriority w:val="49"/>
    <w:rsid w:val="000E5CC4"/>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4-Accent11">
    <w:name w:val="List Table 4 - Accent 11"/>
    <w:basedOn w:val="TableNormal"/>
    <w:uiPriority w:val="49"/>
    <w:rsid w:val="000E5CC4"/>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rFonts w:cs="Times New Roman"/>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rFonts w:cs="Times New Roman"/>
        <w:b/>
        <w:bCs/>
      </w:rPr>
      <w:tblPr/>
      <w:tcPr>
        <w:tcBorders>
          <w:top w:val="doub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4-Accent21">
    <w:name w:val="List Table 4 - Accent 21"/>
    <w:basedOn w:val="TableNormal"/>
    <w:uiPriority w:val="49"/>
    <w:rsid w:val="000E5CC4"/>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rFonts w:cs="Times New Roman"/>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rFonts w:cs="Times New Roman"/>
        <w:b/>
        <w:bCs/>
      </w:rPr>
      <w:tblPr/>
      <w:tcPr>
        <w:tcBorders>
          <w:top w:val="doub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4-Accent31">
    <w:name w:val="List Table 4 - Accent 31"/>
    <w:basedOn w:val="TableNormal"/>
    <w:uiPriority w:val="49"/>
    <w:rsid w:val="000E5CC4"/>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4-Accent41">
    <w:name w:val="List Table 4 - Accent 41"/>
    <w:basedOn w:val="TableNormal"/>
    <w:uiPriority w:val="49"/>
    <w:rsid w:val="000E5CC4"/>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rFonts w:cs="Times New Roman"/>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rFonts w:cs="Times New Roman"/>
        <w:b/>
        <w:bCs/>
      </w:rPr>
      <w:tblPr/>
      <w:tcPr>
        <w:tcBorders>
          <w:top w:val="doub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4-Accent51">
    <w:name w:val="List Table 4 - Accent 51"/>
    <w:basedOn w:val="TableNormal"/>
    <w:uiPriority w:val="49"/>
    <w:rsid w:val="000E5CC4"/>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rFonts w:cs="Times New Roman"/>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rFonts w:cs="Times New Roman"/>
        <w:b/>
        <w:bCs/>
      </w:rPr>
      <w:tblPr/>
      <w:tcPr>
        <w:tcBorders>
          <w:top w:val="doub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4-Accent61">
    <w:name w:val="List Table 4 - Accent 61"/>
    <w:basedOn w:val="TableNormal"/>
    <w:uiPriority w:val="49"/>
    <w:rsid w:val="000E5CC4"/>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rFonts w:cs="Times New Roman"/>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rFonts w:cs="Times New Roman"/>
        <w:b/>
        <w:bCs/>
      </w:rPr>
      <w:tblPr/>
      <w:tcPr>
        <w:tcBorders>
          <w:top w:val="doub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5Dark1">
    <w:name w:val="List Table 5 Dark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11">
    <w:name w:val="List Table 5 Dark - Accent 1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21">
    <w:name w:val="List Table 5 Dark - Accent 2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31">
    <w:name w:val="List Table 5 Dark - Accent 3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41">
    <w:name w:val="List Table 5 Dark - Accent 4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51">
    <w:name w:val="List Table 5 Dark - Accent 5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61">
    <w:name w:val="List Table 5 Dark - Accent 61"/>
    <w:basedOn w:val="TableNormal"/>
    <w:uiPriority w:val="50"/>
    <w:rsid w:val="000E5CC4"/>
    <w:pPr>
      <w:spacing w:after="0" w:line="240" w:lineRule="auto"/>
    </w:pPr>
    <w:rPr>
      <w:rFonts w:cs="Times New Roman"/>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6Colorful1">
    <w:name w:val="List Table 6 Colorful1"/>
    <w:basedOn w:val="TableNormal"/>
    <w:uiPriority w:val="51"/>
    <w:rsid w:val="000E5CC4"/>
    <w:pPr>
      <w:spacing w:after="0" w:line="240" w:lineRule="auto"/>
    </w:pPr>
    <w:rPr>
      <w:rFonts w:cs="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6Colorful-Accent11">
    <w:name w:val="List Table 6 Colorful - Accent 11"/>
    <w:basedOn w:val="TableNormal"/>
    <w:uiPriority w:val="51"/>
    <w:rsid w:val="000E5CC4"/>
    <w:pPr>
      <w:spacing w:after="0" w:line="240" w:lineRule="auto"/>
    </w:pPr>
    <w:rPr>
      <w:rFonts w:cs="Times New Roman"/>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rFonts w:cs="Times New Roman"/>
        <w:b/>
        <w:bCs/>
      </w:rPr>
      <w:tblPr/>
      <w:tcPr>
        <w:tcBorders>
          <w:bottom w:val="single" w:sz="4" w:space="0" w:color="9757A6" w:themeColor="accent1"/>
        </w:tcBorders>
      </w:tcPr>
    </w:tblStylePr>
    <w:tblStylePr w:type="lastRow">
      <w:rPr>
        <w:rFonts w:cs="Times New Roman"/>
        <w:b/>
        <w:bCs/>
      </w:rPr>
      <w:tblPr/>
      <w:tcPr>
        <w:tcBorders>
          <w:top w:val="double" w:sz="4"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6Colorful-Accent21">
    <w:name w:val="List Table 6 Colorful - Accent 21"/>
    <w:basedOn w:val="TableNormal"/>
    <w:uiPriority w:val="51"/>
    <w:rsid w:val="000E5CC4"/>
    <w:pPr>
      <w:spacing w:after="0" w:line="240" w:lineRule="auto"/>
    </w:pPr>
    <w:rPr>
      <w:rFonts w:cs="Times New Roman"/>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rFonts w:cs="Times New Roman"/>
        <w:b/>
        <w:bCs/>
      </w:rPr>
      <w:tblPr/>
      <w:tcPr>
        <w:tcBorders>
          <w:bottom w:val="single" w:sz="4" w:space="0" w:color="FFAE3B" w:themeColor="accent2"/>
        </w:tcBorders>
      </w:tcPr>
    </w:tblStylePr>
    <w:tblStylePr w:type="lastRow">
      <w:rPr>
        <w:rFonts w:cs="Times New Roman"/>
        <w:b/>
        <w:bCs/>
      </w:rPr>
      <w:tblPr/>
      <w:tcPr>
        <w:tcBorders>
          <w:top w:val="double" w:sz="4"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6Colorful-Accent31">
    <w:name w:val="List Table 6 Colorful - Accent 31"/>
    <w:basedOn w:val="TableNormal"/>
    <w:uiPriority w:val="51"/>
    <w:rsid w:val="000E5CC4"/>
    <w:pPr>
      <w:spacing w:after="0" w:line="240" w:lineRule="auto"/>
    </w:pPr>
    <w:rPr>
      <w:rFonts w:cs="Times New Roman"/>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rFonts w:cs="Times New Roman"/>
        <w:b/>
        <w:bCs/>
      </w:rPr>
      <w:tblPr/>
      <w:tcPr>
        <w:tcBorders>
          <w:bottom w:val="single" w:sz="4" w:space="0" w:color="A5A5A5" w:themeColor="accent3"/>
        </w:tcBorders>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6Colorful-Accent41">
    <w:name w:val="List Table 6 Colorful - Accent 41"/>
    <w:basedOn w:val="TableNormal"/>
    <w:uiPriority w:val="51"/>
    <w:rsid w:val="000E5CC4"/>
    <w:pPr>
      <w:spacing w:after="0" w:line="240" w:lineRule="auto"/>
    </w:pPr>
    <w:rPr>
      <w:rFonts w:cs="Times New Roman"/>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rFonts w:cs="Times New Roman"/>
        <w:b/>
        <w:bCs/>
      </w:rPr>
      <w:tblPr/>
      <w:tcPr>
        <w:tcBorders>
          <w:bottom w:val="single" w:sz="4" w:space="0" w:color="B689C1" w:themeColor="accent4"/>
        </w:tcBorders>
      </w:tcPr>
    </w:tblStylePr>
    <w:tblStylePr w:type="lastRow">
      <w:rPr>
        <w:rFonts w:cs="Times New Roman"/>
        <w:b/>
        <w:bCs/>
      </w:rPr>
      <w:tblPr/>
      <w:tcPr>
        <w:tcBorders>
          <w:top w:val="double" w:sz="4"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6Colorful-Accent51">
    <w:name w:val="List Table 6 Colorful - Accent 51"/>
    <w:basedOn w:val="TableNormal"/>
    <w:uiPriority w:val="51"/>
    <w:rsid w:val="000E5CC4"/>
    <w:pPr>
      <w:spacing w:after="0" w:line="240" w:lineRule="auto"/>
    </w:pPr>
    <w:rPr>
      <w:rFonts w:cs="Times New Roman"/>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rFonts w:cs="Times New Roman"/>
        <w:b/>
        <w:bCs/>
      </w:rPr>
      <w:tblPr/>
      <w:tcPr>
        <w:tcBorders>
          <w:bottom w:val="single" w:sz="4" w:space="0" w:color="EA8B00" w:themeColor="accent5"/>
        </w:tcBorders>
      </w:tcPr>
    </w:tblStylePr>
    <w:tblStylePr w:type="lastRow">
      <w:rPr>
        <w:rFonts w:cs="Times New Roman"/>
        <w:b/>
        <w:bCs/>
      </w:rPr>
      <w:tblPr/>
      <w:tcPr>
        <w:tcBorders>
          <w:top w:val="double" w:sz="4"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6Colorful-Accent61">
    <w:name w:val="List Table 6 Colorful - Accent 61"/>
    <w:basedOn w:val="TableNormal"/>
    <w:uiPriority w:val="51"/>
    <w:rsid w:val="000E5CC4"/>
    <w:pPr>
      <w:spacing w:after="0" w:line="240" w:lineRule="auto"/>
    </w:pPr>
    <w:rPr>
      <w:rFonts w:cs="Times New Roman"/>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rFonts w:cs="Times New Roman"/>
        <w:b/>
        <w:bCs/>
      </w:rPr>
      <w:tblPr/>
      <w:tcPr>
        <w:tcBorders>
          <w:bottom w:val="single" w:sz="4" w:space="0" w:color="BFBFBF" w:themeColor="accent6"/>
        </w:tcBorders>
      </w:tcPr>
    </w:tblStylePr>
    <w:tblStylePr w:type="lastRow">
      <w:rPr>
        <w:rFonts w:cs="Times New Roman"/>
        <w:b/>
        <w:bCs/>
      </w:rPr>
      <w:tblPr/>
      <w:tcPr>
        <w:tcBorders>
          <w:top w:val="double" w:sz="4"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7Colorful1">
    <w:name w:val="List Table 7 Colorful1"/>
    <w:basedOn w:val="TableNormal"/>
    <w:uiPriority w:val="52"/>
    <w:rsid w:val="000E5CC4"/>
    <w:pPr>
      <w:spacing w:after="0" w:line="240" w:lineRule="auto"/>
    </w:pPr>
    <w:rPr>
      <w:rFonts w:cs="Times New Roman"/>
      <w:color w:val="000000" w:themeColor="text1"/>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11">
    <w:name w:val="List Table 7 Colorful - Accent 11"/>
    <w:basedOn w:val="TableNormal"/>
    <w:uiPriority w:val="52"/>
    <w:rsid w:val="000E5CC4"/>
    <w:pPr>
      <w:spacing w:after="0" w:line="240" w:lineRule="auto"/>
    </w:pPr>
    <w:rPr>
      <w:rFonts w:cs="Times New Roman"/>
      <w:color w:val="70417C" w:themeColor="accent1"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9757A6" w:themeColor="accent1"/>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21">
    <w:name w:val="List Table 7 Colorful - Accent 21"/>
    <w:basedOn w:val="TableNormal"/>
    <w:uiPriority w:val="52"/>
    <w:rsid w:val="000E5CC4"/>
    <w:pPr>
      <w:spacing w:after="0" w:line="240" w:lineRule="auto"/>
    </w:pPr>
    <w:rPr>
      <w:rFonts w:cs="Times New Roman"/>
      <w:color w:val="EB8900" w:themeColor="accent2"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FFAE3B" w:themeColor="accent2"/>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31">
    <w:name w:val="List Table 7 Colorful - Accent 31"/>
    <w:basedOn w:val="TableNormal"/>
    <w:uiPriority w:val="52"/>
    <w:rsid w:val="000E5CC4"/>
    <w:pPr>
      <w:spacing w:after="0" w:line="240" w:lineRule="auto"/>
    </w:pPr>
    <w:rPr>
      <w:rFonts w:cs="Times New Roman"/>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41">
    <w:name w:val="List Table 7 Colorful - Accent 41"/>
    <w:basedOn w:val="TableNormal"/>
    <w:uiPriority w:val="52"/>
    <w:rsid w:val="000E5CC4"/>
    <w:pPr>
      <w:spacing w:after="0" w:line="240" w:lineRule="auto"/>
    </w:pPr>
    <w:rPr>
      <w:rFonts w:cs="Times New Roman"/>
      <w:color w:val="9255A1" w:themeColor="accent4"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B689C1" w:themeColor="accent4"/>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51">
    <w:name w:val="List Table 7 Colorful - Accent 51"/>
    <w:basedOn w:val="TableNormal"/>
    <w:uiPriority w:val="52"/>
    <w:rsid w:val="000E5CC4"/>
    <w:pPr>
      <w:spacing w:after="0" w:line="240" w:lineRule="auto"/>
    </w:pPr>
    <w:rPr>
      <w:rFonts w:cs="Times New Roman"/>
      <w:color w:val="AF6700" w:themeColor="accent5"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EA8B00" w:themeColor="accent5"/>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61">
    <w:name w:val="List Table 7 Colorful - Accent 61"/>
    <w:basedOn w:val="TableNormal"/>
    <w:uiPriority w:val="52"/>
    <w:rsid w:val="000E5CC4"/>
    <w:pPr>
      <w:spacing w:after="0" w:line="240" w:lineRule="auto"/>
    </w:pPr>
    <w:rPr>
      <w:rFonts w:cs="Times New Roman"/>
      <w:color w:val="8F8F8F" w:themeColor="accent6"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BFBFBF" w:themeColor="accent6"/>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cs="Times New Roman"/>
      <w:sz w:val="20"/>
      <w:szCs w:val="20"/>
    </w:rPr>
  </w:style>
  <w:style w:type="character" w:customStyle="1" w:styleId="MacroTextChar">
    <w:name w:val="Macro Text Char"/>
    <w:basedOn w:val="DefaultParagraphFont"/>
    <w:link w:val="MacroText"/>
    <w:uiPriority w:val="99"/>
    <w:semiHidden/>
    <w:locked/>
    <w:rsid w:val="000E5CC4"/>
    <w:rPr>
      <w:rFonts w:ascii="Consolas" w:hAnsi="Consolas" w:cs="Times New Roman"/>
      <w:sz w:val="20"/>
      <w:szCs w:val="20"/>
    </w:rPr>
  </w:style>
  <w:style w:type="table" w:styleId="MediumGrid1">
    <w:name w:val="Medium Grid 1"/>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rFonts w:cs="Times New Roman"/>
        <w:b/>
        <w:bCs/>
      </w:rPr>
    </w:tblStylePr>
    <w:tblStylePr w:type="lastRow">
      <w:rPr>
        <w:rFonts w:cs="Times New Roman"/>
        <w:b/>
        <w:bCs/>
      </w:rPr>
      <w:tblPr/>
      <w:tcPr>
        <w:tcBorders>
          <w:top w:val="single" w:sz="18" w:space="0" w:color="404040" w:themeColor="tex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hemeFill="text1" w:themeFillTint="7F"/>
      </w:tcPr>
    </w:tblStylePr>
    <w:tblStylePr w:type="band1Horz">
      <w:rPr>
        <w:rFonts w:cs="Times New Roman"/>
      </w:rPr>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rFonts w:cs="Times New Roman"/>
        <w:b/>
        <w:bCs/>
      </w:rPr>
    </w:tblStylePr>
    <w:tblStylePr w:type="lastRow">
      <w:rPr>
        <w:rFonts w:cs="Times New Roman"/>
        <w:b/>
        <w:bCs/>
      </w:rPr>
      <w:tblPr/>
      <w:tcPr>
        <w:tcBorders>
          <w:top w:val="single" w:sz="18" w:space="0" w:color="B180BC" w:themeColor="accent1"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BABD3" w:themeFill="accent1" w:themeFillTint="7F"/>
      </w:tcPr>
    </w:tblStylePr>
    <w:tblStylePr w:type="band1Horz">
      <w:rPr>
        <w:rFonts w:cs="Times New Roman"/>
      </w:rPr>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rFonts w:cs="Times New Roman"/>
        <w:b/>
        <w:bCs/>
      </w:rPr>
    </w:tblStylePr>
    <w:tblStylePr w:type="lastRow">
      <w:rPr>
        <w:rFonts w:cs="Times New Roman"/>
        <w:b/>
        <w:bCs/>
      </w:rPr>
      <w:tblPr/>
      <w:tcPr>
        <w:tcBorders>
          <w:top w:val="single" w:sz="18" w:space="0" w:color="FFC16C" w:themeColor="accent2"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69D" w:themeFill="accent2" w:themeFillTint="7F"/>
      </w:tcPr>
    </w:tblStylePr>
    <w:tblStylePr w:type="band1Horz">
      <w:rPr>
        <w:rFonts w:cs="Times New Roman"/>
      </w:rPr>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rFonts w:cs="Times New Roman"/>
        <w:b/>
        <w:bCs/>
      </w:rPr>
    </w:tblStylePr>
    <w:tblStylePr w:type="lastRow">
      <w:rPr>
        <w:rFonts w:cs="Times New Roman"/>
        <w:b/>
        <w:bCs/>
      </w:rPr>
      <w:tblPr/>
      <w:tcPr>
        <w:tcBorders>
          <w:top w:val="single" w:sz="18" w:space="0" w:color="BBBBBB"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rFonts w:cs="Times New Roman"/>
        <w:b/>
        <w:bCs/>
      </w:rPr>
    </w:tblStylePr>
    <w:tblStylePr w:type="lastRow">
      <w:rPr>
        <w:rFonts w:cs="Times New Roman"/>
        <w:b/>
        <w:bCs/>
      </w:rPr>
      <w:tblPr/>
      <w:tcPr>
        <w:tcBorders>
          <w:top w:val="single" w:sz="18" w:space="0" w:color="C8A6D0" w:themeColor="accent4"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C4E0" w:themeFill="accent4" w:themeFillTint="7F"/>
      </w:tcPr>
    </w:tblStylePr>
    <w:tblStylePr w:type="band1Horz">
      <w:rPr>
        <w:rFonts w:cs="Times New Roman"/>
      </w:rPr>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rFonts w:cs="Times New Roman"/>
        <w:b/>
        <w:bCs/>
      </w:rPr>
    </w:tblStylePr>
    <w:tblStylePr w:type="lastRow">
      <w:rPr>
        <w:rFonts w:cs="Times New Roman"/>
        <w:b/>
        <w:bCs/>
      </w:rPr>
      <w:tblPr/>
      <w:tcPr>
        <w:tcBorders>
          <w:top w:val="single" w:sz="18" w:space="0" w:color="FFAA30" w:themeColor="accent5"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C675" w:themeFill="accent5" w:themeFillTint="7F"/>
      </w:tcPr>
    </w:tblStylePr>
    <w:tblStylePr w:type="band1Horz">
      <w:rPr>
        <w:rFonts w:cs="Times New Roman"/>
      </w:rPr>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rPr>
      <w:rFonts w:cs="Times New Roman"/>
    </w:r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rFonts w:cs="Times New Roman"/>
        <w:b/>
        <w:bCs/>
      </w:rPr>
    </w:tblStylePr>
    <w:tblStylePr w:type="lastRow">
      <w:rPr>
        <w:rFonts w:cs="Times New Roman"/>
        <w:b/>
        <w:bCs/>
      </w:rPr>
      <w:tblPr/>
      <w:tcPr>
        <w:tcBorders>
          <w:top w:val="single" w:sz="18" w:space="0" w:color="CFCFCF" w:themeColor="accent6"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FDF" w:themeFill="accent6" w:themeFillTint="7F"/>
      </w:tcPr>
    </w:tblStylePr>
    <w:tblStylePr w:type="band1Horz">
      <w:rPr>
        <w:rFonts w:cs="Times New Roman"/>
      </w:rPr>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rFonts w:cs="Times New Roman"/>
        <w:b/>
        <w:bCs/>
        <w:color w:val="000000" w:themeColor="text1"/>
      </w:rPr>
      <w:tblPr/>
      <w:tcPr>
        <w:shd w:val="clear" w:color="auto" w:fill="E6E6E6" w:themeFill="tex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rPr>
        <w:rFonts w:cs="Times New Roman"/>
      </w:rPr>
      <w:tblPr/>
      <w:tcPr>
        <w:shd w:val="clear" w:color="auto" w:fill="808080" w:themeFill="text1" w:themeFillTint="7F"/>
      </w:tcPr>
    </w:tblStylePr>
    <w:tblStylePr w:type="band1Horz">
      <w:rPr>
        <w:rFonts w:cs="Times New Roman"/>
      </w:rPr>
      <w:tblPr/>
      <w:tcPr>
        <w:tcBorders>
          <w:insideH w:val="single" w:sz="6" w:space="0" w:color="000000" w:themeColor="text1"/>
          <w:insideV w:val="single" w:sz="6" w:space="0" w:color="000000" w:themeColor="text1"/>
        </w:tcBorders>
        <w:shd w:val="clear" w:color="auto" w:fill="808080" w:themeFill="text1" w:themeFillTint="7F"/>
      </w:tcPr>
    </w:tblStylePr>
    <w:tblStylePr w:type="nwCell">
      <w:rPr>
        <w:rFonts w:cs="Times New Roman"/>
      </w:rPr>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rFonts w:cs="Times New Roman"/>
        <w:b/>
        <w:bCs/>
        <w:color w:val="000000" w:themeColor="text1"/>
      </w:rPr>
      <w:tblPr/>
      <w:tcPr>
        <w:shd w:val="clear" w:color="auto" w:fill="F4EEF6" w:themeFill="accent1"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rPr>
        <w:rFonts w:cs="Times New Roman"/>
      </w:rPr>
      <w:tblPr/>
      <w:tcPr>
        <w:shd w:val="clear" w:color="auto" w:fill="CBABD3" w:themeFill="accent1" w:themeFillTint="7F"/>
      </w:tcPr>
    </w:tblStylePr>
    <w:tblStylePr w:type="band1Horz">
      <w:rPr>
        <w:rFonts w:cs="Times New Roman"/>
      </w:rPr>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rPr>
        <w:rFonts w:cs="Times New Roman"/>
      </w:rPr>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rFonts w:cs="Times New Roman"/>
        <w:b/>
        <w:bCs/>
        <w:color w:val="000000" w:themeColor="text1"/>
      </w:rPr>
      <w:tblPr/>
      <w:tcPr>
        <w:shd w:val="clear" w:color="auto" w:fill="FFF6EB" w:themeFill="accent2"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rPr>
        <w:rFonts w:cs="Times New Roman"/>
      </w:rPr>
      <w:tblPr/>
      <w:tcPr>
        <w:shd w:val="clear" w:color="auto" w:fill="FFD69D" w:themeFill="accent2" w:themeFillTint="7F"/>
      </w:tcPr>
    </w:tblStylePr>
    <w:tblStylePr w:type="band1Horz">
      <w:rPr>
        <w:rFonts w:cs="Times New Roman"/>
      </w:rPr>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rPr>
        <w:rFonts w:cs="Times New Roman"/>
      </w:rPr>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rFonts w:cs="Times New Roman"/>
        <w:b/>
        <w:bCs/>
        <w:color w:val="000000" w:themeColor="text1"/>
      </w:rPr>
      <w:tblPr/>
      <w:tcPr>
        <w:shd w:val="clear" w:color="auto" w:fill="F6F6F6" w:themeFill="accent3"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rPr>
        <w:rFonts w:cs="Times New Roman"/>
      </w:rPr>
      <w:tblPr/>
      <w:tcPr>
        <w:shd w:val="clear" w:color="auto" w:fill="D2D2D2" w:themeFill="accent3" w:themeFillTint="7F"/>
      </w:tcPr>
    </w:tblStylePr>
    <w:tblStylePr w:type="band1Horz">
      <w:rPr>
        <w:rFonts w:cs="Times New Roman"/>
      </w:rPr>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rPr>
        <w:rFonts w:cs="Times New Roman"/>
      </w:rPr>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rFonts w:cs="Times New Roman"/>
        <w:b/>
        <w:bCs/>
        <w:color w:val="000000" w:themeColor="text1"/>
      </w:rPr>
      <w:tblPr/>
      <w:tcPr>
        <w:shd w:val="clear" w:color="auto" w:fill="F7F3F9" w:themeFill="accent4"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rPr>
        <w:rFonts w:cs="Times New Roman"/>
      </w:rPr>
      <w:tblPr/>
      <w:tcPr>
        <w:shd w:val="clear" w:color="auto" w:fill="DAC4E0" w:themeFill="accent4" w:themeFillTint="7F"/>
      </w:tcPr>
    </w:tblStylePr>
    <w:tblStylePr w:type="band1Horz">
      <w:rPr>
        <w:rFonts w:cs="Times New Roman"/>
      </w:rPr>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rPr>
        <w:rFonts w:cs="Times New Roman"/>
      </w:rPr>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rFonts w:cs="Times New Roman"/>
        <w:b/>
        <w:bCs/>
        <w:color w:val="000000" w:themeColor="text1"/>
      </w:rPr>
      <w:tblPr/>
      <w:tcPr>
        <w:shd w:val="clear" w:color="auto" w:fill="FFF3E3" w:themeFill="accent5"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rPr>
        <w:rFonts w:cs="Times New Roman"/>
      </w:rPr>
      <w:tblPr/>
      <w:tcPr>
        <w:shd w:val="clear" w:color="auto" w:fill="FFC675" w:themeFill="accent5" w:themeFillTint="7F"/>
      </w:tcPr>
    </w:tblStylePr>
    <w:tblStylePr w:type="band1Horz">
      <w:rPr>
        <w:rFonts w:cs="Times New Roman"/>
      </w:rPr>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rPr>
        <w:rFonts w:cs="Times New Roman"/>
      </w:rPr>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rFonts w:cs="Times New Roman"/>
        <w:b/>
        <w:bCs/>
        <w:color w:val="000000" w:themeColor="text1"/>
      </w:rPr>
      <w:tblPr/>
      <w:tcPr>
        <w:shd w:val="clear" w:color="auto" w:fill="F8F8F8" w:themeFill="accent6" w:themeFillTint="19"/>
      </w:tcPr>
    </w:tblStylePr>
    <w:tblStylePr w:type="lastRow">
      <w:rPr>
        <w:rFonts w:cs="Times New Roman"/>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imes New Roman"/>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imes New Roman"/>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rPr>
        <w:rFonts w:cs="Times New Roman"/>
      </w:rPr>
      <w:tblPr/>
      <w:tcPr>
        <w:shd w:val="clear" w:color="auto" w:fill="DFDFDF" w:themeFill="accent6" w:themeFillTint="7F"/>
      </w:tcPr>
    </w:tblStylePr>
    <w:tblStylePr w:type="band1Horz">
      <w:rPr>
        <w:rFonts w:cs="Times New Roman"/>
      </w:rPr>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rPr>
        <w:rFonts w:cs="Times New Roman"/>
      </w:rPr>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imes New Roman"/>
      </w:rPr>
      <w:tblPr/>
      <w:tcPr>
        <w:tcBorders>
          <w:top w:val="nil"/>
          <w:bottom w:val="single" w:sz="8" w:space="0" w:color="000000" w:themeColor="text1"/>
        </w:tcBorders>
      </w:tcPr>
    </w:tblStylePr>
    <w:tblStylePr w:type="lastRow">
      <w:rPr>
        <w:rFonts w:cs="Times New Roman"/>
        <w:b/>
        <w:bCs/>
        <w:color w:val="9757A6" w:themeColor="text2"/>
      </w:rPr>
      <w:tblPr/>
      <w:tcPr>
        <w:tcBorders>
          <w:top w:val="single" w:sz="8" w:space="0" w:color="000000" w:themeColor="text1"/>
          <w:bottom w:val="single" w:sz="8" w:space="0" w:color="000000" w:themeColor="text1"/>
        </w:tcBorders>
      </w:tcPr>
    </w:tblStylePr>
    <w:tblStylePr w:type="firstCol">
      <w:rPr>
        <w:rFonts w:cs="Times New Roman"/>
        <w:b/>
        <w:bCs/>
      </w:rPr>
    </w:tblStylePr>
    <w:tblStylePr w:type="lastCol">
      <w:rPr>
        <w:rFonts w:cs="Times New Roman"/>
        <w:b/>
        <w:bCs/>
      </w:rPr>
      <w:tblPr/>
      <w:tcPr>
        <w:tcBorders>
          <w:top w:val="single" w:sz="8" w:space="0" w:color="000000" w:themeColor="text1"/>
          <w:bottom w:val="single" w:sz="8" w:space="0" w:color="000000" w:themeColor="text1"/>
        </w:tcBorders>
      </w:tcPr>
    </w:tblStylePr>
    <w:tblStylePr w:type="band1Vert">
      <w:rPr>
        <w:rFonts w:cs="Times New Roman"/>
      </w:rPr>
      <w:tblPr/>
      <w:tcPr>
        <w:shd w:val="clear" w:color="auto" w:fill="C0C0C0" w:themeFill="text1" w:themeFillTint="3F"/>
      </w:tcPr>
    </w:tblStylePr>
    <w:tblStylePr w:type="band1Horz">
      <w:rPr>
        <w:rFonts w:cs="Times New Roman"/>
      </w:rPr>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imes New Roman"/>
      </w:rPr>
      <w:tblPr/>
      <w:tcPr>
        <w:tcBorders>
          <w:top w:val="nil"/>
          <w:bottom w:val="single" w:sz="8" w:space="0" w:color="9757A6" w:themeColor="accent1"/>
        </w:tcBorders>
      </w:tcPr>
    </w:tblStylePr>
    <w:tblStylePr w:type="lastRow">
      <w:rPr>
        <w:rFonts w:cs="Times New Roman"/>
        <w:b/>
        <w:bCs/>
        <w:color w:val="9757A6" w:themeColor="text2"/>
      </w:rPr>
      <w:tblPr/>
      <w:tcPr>
        <w:tcBorders>
          <w:top w:val="single" w:sz="8" w:space="0" w:color="9757A6" w:themeColor="accent1"/>
          <w:bottom w:val="single" w:sz="8" w:space="0" w:color="9757A6" w:themeColor="accent1"/>
        </w:tcBorders>
      </w:tcPr>
    </w:tblStylePr>
    <w:tblStylePr w:type="firstCol">
      <w:rPr>
        <w:rFonts w:cs="Times New Roman"/>
        <w:b/>
        <w:bCs/>
      </w:rPr>
    </w:tblStylePr>
    <w:tblStylePr w:type="lastCol">
      <w:rPr>
        <w:rFonts w:cs="Times New Roman"/>
        <w:b/>
        <w:bCs/>
      </w:rPr>
      <w:tblPr/>
      <w:tcPr>
        <w:tcBorders>
          <w:top w:val="single" w:sz="8" w:space="0" w:color="9757A6" w:themeColor="accent1"/>
          <w:bottom w:val="single" w:sz="8" w:space="0" w:color="9757A6" w:themeColor="accent1"/>
        </w:tcBorders>
      </w:tcPr>
    </w:tblStylePr>
    <w:tblStylePr w:type="band1Vert">
      <w:rPr>
        <w:rFonts w:cs="Times New Roman"/>
      </w:rPr>
      <w:tblPr/>
      <w:tcPr>
        <w:shd w:val="clear" w:color="auto" w:fill="E5D5E9" w:themeFill="accent1" w:themeFillTint="3F"/>
      </w:tcPr>
    </w:tblStylePr>
    <w:tblStylePr w:type="band1Horz">
      <w:rPr>
        <w:rFonts w:cs="Times New Roman"/>
      </w:rPr>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imes New Roman"/>
      </w:rPr>
      <w:tblPr/>
      <w:tcPr>
        <w:tcBorders>
          <w:top w:val="nil"/>
          <w:bottom w:val="single" w:sz="8" w:space="0" w:color="FFAE3B" w:themeColor="accent2"/>
        </w:tcBorders>
      </w:tcPr>
    </w:tblStylePr>
    <w:tblStylePr w:type="lastRow">
      <w:rPr>
        <w:rFonts w:cs="Times New Roman"/>
        <w:b/>
        <w:bCs/>
        <w:color w:val="9757A6" w:themeColor="text2"/>
      </w:rPr>
      <w:tblPr/>
      <w:tcPr>
        <w:tcBorders>
          <w:top w:val="single" w:sz="8" w:space="0" w:color="FFAE3B" w:themeColor="accent2"/>
          <w:bottom w:val="single" w:sz="8" w:space="0" w:color="FFAE3B" w:themeColor="accent2"/>
        </w:tcBorders>
      </w:tcPr>
    </w:tblStylePr>
    <w:tblStylePr w:type="firstCol">
      <w:rPr>
        <w:rFonts w:cs="Times New Roman"/>
        <w:b/>
        <w:bCs/>
      </w:rPr>
    </w:tblStylePr>
    <w:tblStylePr w:type="lastCol">
      <w:rPr>
        <w:rFonts w:cs="Times New Roman"/>
        <w:b/>
        <w:bCs/>
      </w:rPr>
      <w:tblPr/>
      <w:tcPr>
        <w:tcBorders>
          <w:top w:val="single" w:sz="8" w:space="0" w:color="FFAE3B" w:themeColor="accent2"/>
          <w:bottom w:val="single" w:sz="8" w:space="0" w:color="FFAE3B" w:themeColor="accent2"/>
        </w:tcBorders>
      </w:tcPr>
    </w:tblStylePr>
    <w:tblStylePr w:type="band1Vert">
      <w:rPr>
        <w:rFonts w:cs="Times New Roman"/>
      </w:rPr>
      <w:tblPr/>
      <w:tcPr>
        <w:shd w:val="clear" w:color="auto" w:fill="FFEACE" w:themeFill="accent2" w:themeFillTint="3F"/>
      </w:tcPr>
    </w:tblStylePr>
    <w:tblStylePr w:type="band1Horz">
      <w:rPr>
        <w:rFonts w:cs="Times New Roman"/>
      </w:rPr>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imes New Roman"/>
      </w:rPr>
      <w:tblPr/>
      <w:tcPr>
        <w:tcBorders>
          <w:top w:val="nil"/>
          <w:bottom w:val="single" w:sz="8" w:space="0" w:color="A5A5A5" w:themeColor="accent3"/>
        </w:tcBorders>
      </w:tcPr>
    </w:tblStylePr>
    <w:tblStylePr w:type="lastRow">
      <w:rPr>
        <w:rFonts w:cs="Times New Roman"/>
        <w:b/>
        <w:bCs/>
        <w:color w:val="9757A6" w:themeColor="text2"/>
      </w:rPr>
      <w:tblPr/>
      <w:tcPr>
        <w:tcBorders>
          <w:top w:val="single" w:sz="8" w:space="0" w:color="A5A5A5" w:themeColor="accent3"/>
          <w:bottom w:val="single" w:sz="8" w:space="0" w:color="A5A5A5" w:themeColor="accent3"/>
        </w:tcBorders>
      </w:tcPr>
    </w:tblStylePr>
    <w:tblStylePr w:type="firstCol">
      <w:rPr>
        <w:rFonts w:cs="Times New Roman"/>
        <w:b/>
        <w:bCs/>
      </w:rPr>
    </w:tblStylePr>
    <w:tblStylePr w:type="lastCol">
      <w:rPr>
        <w:rFonts w:cs="Times New Roman"/>
        <w:b/>
        <w:bCs/>
      </w:rPr>
      <w:tblPr/>
      <w:tcPr>
        <w:tcBorders>
          <w:top w:val="single" w:sz="8" w:space="0" w:color="A5A5A5" w:themeColor="accent3"/>
          <w:bottom w:val="single" w:sz="8" w:space="0" w:color="A5A5A5" w:themeColor="accent3"/>
        </w:tcBorders>
      </w:tcPr>
    </w:tblStylePr>
    <w:tblStylePr w:type="band1Vert">
      <w:rPr>
        <w:rFonts w:cs="Times New Roman"/>
      </w:rPr>
      <w:tblPr/>
      <w:tcPr>
        <w:shd w:val="clear" w:color="auto" w:fill="E8E8E8" w:themeFill="accent3" w:themeFillTint="3F"/>
      </w:tcPr>
    </w:tblStylePr>
    <w:tblStylePr w:type="band1Horz">
      <w:rPr>
        <w:rFonts w:cs="Times New Roman"/>
      </w:rPr>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imes New Roman"/>
      </w:rPr>
      <w:tblPr/>
      <w:tcPr>
        <w:tcBorders>
          <w:top w:val="nil"/>
          <w:bottom w:val="single" w:sz="8" w:space="0" w:color="B689C1" w:themeColor="accent4"/>
        </w:tcBorders>
      </w:tcPr>
    </w:tblStylePr>
    <w:tblStylePr w:type="lastRow">
      <w:rPr>
        <w:rFonts w:cs="Times New Roman"/>
        <w:b/>
        <w:bCs/>
        <w:color w:val="9757A6" w:themeColor="text2"/>
      </w:rPr>
      <w:tblPr/>
      <w:tcPr>
        <w:tcBorders>
          <w:top w:val="single" w:sz="8" w:space="0" w:color="B689C1" w:themeColor="accent4"/>
          <w:bottom w:val="single" w:sz="8" w:space="0" w:color="B689C1" w:themeColor="accent4"/>
        </w:tcBorders>
      </w:tcPr>
    </w:tblStylePr>
    <w:tblStylePr w:type="firstCol">
      <w:rPr>
        <w:rFonts w:cs="Times New Roman"/>
        <w:b/>
        <w:bCs/>
      </w:rPr>
    </w:tblStylePr>
    <w:tblStylePr w:type="lastCol">
      <w:rPr>
        <w:rFonts w:cs="Times New Roman"/>
        <w:b/>
        <w:bCs/>
      </w:rPr>
      <w:tblPr/>
      <w:tcPr>
        <w:tcBorders>
          <w:top w:val="single" w:sz="8" w:space="0" w:color="B689C1" w:themeColor="accent4"/>
          <w:bottom w:val="single" w:sz="8" w:space="0" w:color="B689C1" w:themeColor="accent4"/>
        </w:tcBorders>
      </w:tcPr>
    </w:tblStylePr>
    <w:tblStylePr w:type="band1Vert">
      <w:rPr>
        <w:rFonts w:cs="Times New Roman"/>
      </w:rPr>
      <w:tblPr/>
      <w:tcPr>
        <w:shd w:val="clear" w:color="auto" w:fill="ECE1EF" w:themeFill="accent4" w:themeFillTint="3F"/>
      </w:tcPr>
    </w:tblStylePr>
    <w:tblStylePr w:type="band1Horz">
      <w:rPr>
        <w:rFonts w:cs="Times New Roman"/>
      </w:rPr>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imes New Roman"/>
      </w:rPr>
      <w:tblPr/>
      <w:tcPr>
        <w:tcBorders>
          <w:top w:val="nil"/>
          <w:bottom w:val="single" w:sz="8" w:space="0" w:color="EA8B00" w:themeColor="accent5"/>
        </w:tcBorders>
      </w:tcPr>
    </w:tblStylePr>
    <w:tblStylePr w:type="lastRow">
      <w:rPr>
        <w:rFonts w:cs="Times New Roman"/>
        <w:b/>
        <w:bCs/>
        <w:color w:val="9757A6" w:themeColor="text2"/>
      </w:rPr>
      <w:tblPr/>
      <w:tcPr>
        <w:tcBorders>
          <w:top w:val="single" w:sz="8" w:space="0" w:color="EA8B00" w:themeColor="accent5"/>
          <w:bottom w:val="single" w:sz="8" w:space="0" w:color="EA8B00" w:themeColor="accent5"/>
        </w:tcBorders>
      </w:tcPr>
    </w:tblStylePr>
    <w:tblStylePr w:type="firstCol">
      <w:rPr>
        <w:rFonts w:cs="Times New Roman"/>
        <w:b/>
        <w:bCs/>
      </w:rPr>
    </w:tblStylePr>
    <w:tblStylePr w:type="lastCol">
      <w:rPr>
        <w:rFonts w:cs="Times New Roman"/>
        <w:b/>
        <w:bCs/>
      </w:rPr>
      <w:tblPr/>
      <w:tcPr>
        <w:tcBorders>
          <w:top w:val="single" w:sz="8" w:space="0" w:color="EA8B00" w:themeColor="accent5"/>
          <w:bottom w:val="single" w:sz="8" w:space="0" w:color="EA8B00" w:themeColor="accent5"/>
        </w:tcBorders>
      </w:tcPr>
    </w:tblStylePr>
    <w:tblStylePr w:type="band1Vert">
      <w:rPr>
        <w:rFonts w:cs="Times New Roman"/>
      </w:rPr>
      <w:tblPr/>
      <w:tcPr>
        <w:shd w:val="clear" w:color="auto" w:fill="FFE3BA" w:themeFill="accent5" w:themeFillTint="3F"/>
      </w:tcPr>
    </w:tblStylePr>
    <w:tblStylePr w:type="band1Horz">
      <w:rPr>
        <w:rFonts w:cs="Times New Roman"/>
      </w:rPr>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rFonts w:cs="Times New Roman"/>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imes New Roman"/>
      </w:rPr>
      <w:tblPr/>
      <w:tcPr>
        <w:tcBorders>
          <w:top w:val="nil"/>
          <w:bottom w:val="single" w:sz="8" w:space="0" w:color="BFBFBF" w:themeColor="accent6"/>
        </w:tcBorders>
      </w:tcPr>
    </w:tblStylePr>
    <w:tblStylePr w:type="lastRow">
      <w:rPr>
        <w:rFonts w:cs="Times New Roman"/>
        <w:b/>
        <w:bCs/>
        <w:color w:val="9757A6" w:themeColor="text2"/>
      </w:rPr>
      <w:tblPr/>
      <w:tcPr>
        <w:tcBorders>
          <w:top w:val="single" w:sz="8" w:space="0" w:color="BFBFBF" w:themeColor="accent6"/>
          <w:bottom w:val="single" w:sz="8" w:space="0" w:color="BFBFBF" w:themeColor="accent6"/>
        </w:tcBorders>
      </w:tcPr>
    </w:tblStylePr>
    <w:tblStylePr w:type="firstCol">
      <w:rPr>
        <w:rFonts w:cs="Times New Roman"/>
        <w:b/>
        <w:bCs/>
      </w:rPr>
    </w:tblStylePr>
    <w:tblStylePr w:type="lastCol">
      <w:rPr>
        <w:rFonts w:cs="Times New Roman"/>
        <w:b/>
        <w:bCs/>
      </w:rPr>
      <w:tblPr/>
      <w:tcPr>
        <w:tcBorders>
          <w:top w:val="single" w:sz="8" w:space="0" w:color="BFBFBF" w:themeColor="accent6"/>
          <w:bottom w:val="single" w:sz="8" w:space="0" w:color="BFBFBF" w:themeColor="accent6"/>
        </w:tcBorders>
      </w:tcPr>
    </w:tblStylePr>
    <w:tblStylePr w:type="band1Vert">
      <w:rPr>
        <w:rFonts w:cs="Times New Roman"/>
      </w:rPr>
      <w:tblPr/>
      <w:tcPr>
        <w:shd w:val="clear" w:color="auto" w:fill="EFEFEF" w:themeFill="accent6" w:themeFillTint="3F"/>
      </w:tcPr>
    </w:tblStylePr>
    <w:tblStylePr w:type="band1Horz">
      <w:rPr>
        <w:rFonts w:cs="Times New Roman"/>
      </w:rPr>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rFonts w:cs="Times New Roman"/>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rPr>
        <w:rFonts w:cs="Times New Roman"/>
      </w:rPr>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rPr>
        <w:rFonts w:cs="Times New Roman"/>
      </w:rPr>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5D5E9" w:themeFill="accent1" w:themeFillTint="3F"/>
      </w:tcPr>
    </w:tblStylePr>
    <w:tblStylePr w:type="band1Horz">
      <w:rPr>
        <w:rFonts w:cs="Times New Roman"/>
      </w:rPr>
      <w:tblPr/>
      <w:tcPr>
        <w:tcBorders>
          <w:top w:val="nil"/>
          <w:bottom w:val="nil"/>
          <w:insideH w:val="nil"/>
          <w:insideV w:val="nil"/>
        </w:tcBorders>
        <w:shd w:val="clear" w:color="auto" w:fill="E5D5E9"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rFonts w:cs="Times New Roman"/>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rFonts w:cs="Times New Roman"/>
      </w:rPr>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rPr>
        <w:rFonts w:cs="Times New Roman"/>
      </w:rPr>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FFEACE" w:themeFill="accent2" w:themeFillTint="3F"/>
      </w:tcPr>
    </w:tblStylePr>
    <w:tblStylePr w:type="band1Horz">
      <w:rPr>
        <w:rFonts w:cs="Times New Roman"/>
      </w:rPr>
      <w:tblPr/>
      <w:tcPr>
        <w:tcBorders>
          <w:top w:val="nil"/>
          <w:bottom w:val="nil"/>
          <w:insideH w:val="nil"/>
          <w:insideV w:val="nil"/>
        </w:tcBorders>
        <w:shd w:val="clear" w:color="auto" w:fill="FFEACE" w:themeFill="accent2"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rFonts w:cs="Times New Roman"/>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rFonts w:cs="Times New Roman"/>
      </w:rPr>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rPr>
        <w:rFonts w:cs="Times New Roman"/>
      </w:rPr>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top w:val="nil"/>
          <w:bottom w:val="nil"/>
          <w:insideH w:val="nil"/>
          <w:insideV w:val="nil"/>
        </w:tcBorders>
        <w:shd w:val="clear" w:color="auto" w:fill="E8E8E8" w:themeFill="accent3"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rFonts w:cs="Times New Roman"/>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rFonts w:cs="Times New Roman"/>
      </w:rPr>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rPr>
        <w:rFonts w:cs="Times New Roman"/>
      </w:rPr>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CE1EF" w:themeFill="accent4" w:themeFillTint="3F"/>
      </w:tcPr>
    </w:tblStylePr>
    <w:tblStylePr w:type="band1Horz">
      <w:rPr>
        <w:rFonts w:cs="Times New Roman"/>
      </w:rPr>
      <w:tblPr/>
      <w:tcPr>
        <w:tcBorders>
          <w:top w:val="nil"/>
          <w:bottom w:val="nil"/>
          <w:insideH w:val="nil"/>
          <w:insideV w:val="nil"/>
        </w:tcBorders>
        <w:shd w:val="clear" w:color="auto" w:fill="ECE1EF" w:themeFill="accent4"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rFonts w:cs="Times New Roman"/>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rFonts w:cs="Times New Roman"/>
      </w:rPr>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rPr>
        <w:rFonts w:cs="Times New Roman"/>
      </w:rPr>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FFE3BA" w:themeFill="accent5" w:themeFillTint="3F"/>
      </w:tcPr>
    </w:tblStylePr>
    <w:tblStylePr w:type="band1Horz">
      <w:rPr>
        <w:rFonts w:cs="Times New Roman"/>
      </w:rPr>
      <w:tblPr/>
      <w:tcPr>
        <w:tcBorders>
          <w:top w:val="nil"/>
          <w:bottom w:val="nil"/>
          <w:insideH w:val="nil"/>
          <w:insideV w:val="nil"/>
        </w:tcBorders>
        <w:shd w:val="clear" w:color="auto" w:fill="FFE3BA" w:themeFill="accent5"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imes New Roman"/>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rFonts w:cs="Times New Roman"/>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rFonts w:cs="Times New Roman"/>
      </w:rPr>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rPr>
        <w:rFonts w:cs="Times New Roman"/>
      </w:rPr>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EFEFEF" w:themeFill="accent6" w:themeFillTint="3F"/>
      </w:tcPr>
    </w:tblStylePr>
    <w:tblStylePr w:type="band1Horz">
      <w:rPr>
        <w:rFonts w:cs="Times New Roman"/>
      </w:rPr>
      <w:tblPr/>
      <w:tcPr>
        <w:tcBorders>
          <w:top w:val="nil"/>
          <w:bottom w:val="nil"/>
          <w:insideH w:val="nil"/>
          <w:insideV w:val="nil"/>
        </w:tcBorders>
        <w:shd w:val="clear" w:color="auto" w:fill="EFEFEF" w:themeFill="accent6"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pPr>
      <w:rPr>
        <w:rFonts w:cs="Times New Roman"/>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pPr>
      <w:rPr>
        <w:rFonts w:cs="Times New Roman"/>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hemeFill="text1" w:themeFillTint="3F"/>
      </w:tcPr>
    </w:tblStylePr>
    <w:tblStylePr w:type="band1Horz">
      <w:rPr>
        <w:rFonts w:cs="Times New Roman"/>
      </w:rPr>
      <w:tblPr/>
      <w:tcPr>
        <w:tcBorders>
          <w:insideH w:val="nil"/>
          <w:insideV w:val="nil"/>
        </w:tcBorders>
        <w:shd w:val="clear" w:color="auto" w:fill="C0C0C0" w:themeFill="text1" w:themeFillTint="3F"/>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pPr>
      <w:rPr>
        <w:rFonts w:cs="Times New Roman"/>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pPr>
      <w:rPr>
        <w:rFonts w:cs="Times New Roman"/>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D5E9" w:themeFill="accent1" w:themeFillTint="3F"/>
      </w:tcPr>
    </w:tblStylePr>
    <w:tblStylePr w:type="band1Horz">
      <w:rPr>
        <w:rFonts w:cs="Times New Roman"/>
      </w:rPr>
      <w:tblPr/>
      <w:tcPr>
        <w:tcBorders>
          <w:insideH w:val="nil"/>
          <w:insideV w:val="nil"/>
        </w:tcBorders>
        <w:shd w:val="clear" w:color="auto" w:fill="E5D5E9" w:themeFill="accent1" w:themeFillTint="3F"/>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pPr>
      <w:rPr>
        <w:rFonts w:cs="Times New Roman"/>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pPr>
      <w:rPr>
        <w:rFonts w:cs="Times New Roman"/>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ACE" w:themeFill="accent2" w:themeFillTint="3F"/>
      </w:tcPr>
    </w:tblStylePr>
    <w:tblStylePr w:type="band1Horz">
      <w:rPr>
        <w:rFonts w:cs="Times New Roman"/>
      </w:rPr>
      <w:tblPr/>
      <w:tcPr>
        <w:tcBorders>
          <w:insideH w:val="nil"/>
          <w:insideV w:val="nil"/>
        </w:tcBorders>
        <w:shd w:val="clear" w:color="auto" w:fill="FFEACE" w:themeFill="accent2" w:themeFillTint="3F"/>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pPr>
      <w:rPr>
        <w:rFonts w:cs="Times New Roman"/>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pPr>
      <w:rPr>
        <w:rFonts w:cs="Times New Roman"/>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hemeFill="accent3" w:themeFillTint="3F"/>
      </w:tcPr>
    </w:tblStylePr>
    <w:tblStylePr w:type="band1Horz">
      <w:rPr>
        <w:rFonts w:cs="Times New Roman"/>
      </w:rPr>
      <w:tblPr/>
      <w:tcPr>
        <w:tcBorders>
          <w:insideH w:val="nil"/>
          <w:insideV w:val="nil"/>
        </w:tcBorders>
        <w:shd w:val="clear" w:color="auto" w:fill="E8E8E8" w:themeFill="accent3" w:themeFillTint="3F"/>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pPr>
      <w:rPr>
        <w:rFonts w:cs="Times New Roman"/>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pPr>
      <w:rPr>
        <w:rFonts w:cs="Times New Roman"/>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CE1EF" w:themeFill="accent4" w:themeFillTint="3F"/>
      </w:tcPr>
    </w:tblStylePr>
    <w:tblStylePr w:type="band1Horz">
      <w:rPr>
        <w:rFonts w:cs="Times New Roman"/>
      </w:rPr>
      <w:tblPr/>
      <w:tcPr>
        <w:tcBorders>
          <w:insideH w:val="nil"/>
          <w:insideV w:val="nil"/>
        </w:tcBorders>
        <w:shd w:val="clear" w:color="auto" w:fill="ECE1EF" w:themeFill="accent4" w:themeFillTint="3F"/>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pPr>
      <w:rPr>
        <w:rFonts w:cs="Times New Roman"/>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pPr>
      <w:rPr>
        <w:rFonts w:cs="Times New Roman"/>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3BA" w:themeFill="accent5" w:themeFillTint="3F"/>
      </w:tcPr>
    </w:tblStylePr>
    <w:tblStylePr w:type="band1Horz">
      <w:rPr>
        <w:rFonts w:cs="Times New Roman"/>
      </w:rPr>
      <w:tblPr/>
      <w:tcPr>
        <w:tcBorders>
          <w:insideH w:val="nil"/>
          <w:insideV w:val="nil"/>
        </w:tcBorders>
        <w:shd w:val="clear" w:color="auto" w:fill="FFE3BA" w:themeFill="accent5" w:themeFillTint="3F"/>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rPr>
      <w:rFonts w:cs="Times New Roman"/>
    </w:r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pPr>
      <w:rPr>
        <w:rFonts w:cs="Times New Roman"/>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pPr>
      <w:rPr>
        <w:rFonts w:cs="Times New Roman"/>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EFEF" w:themeFill="accent6" w:themeFillTint="3F"/>
      </w:tcPr>
    </w:tblStylePr>
    <w:tblStylePr w:type="band1Horz">
      <w:rPr>
        <w:rFonts w:cs="Times New Roman"/>
      </w:rPr>
      <w:tblPr/>
      <w:tcPr>
        <w:tcBorders>
          <w:insideH w:val="nil"/>
          <w:insideV w:val="nil"/>
        </w:tcBorders>
        <w:shd w:val="clear" w:color="auto" w:fill="EFEFEF" w:themeFill="accent6" w:themeFillTint="3F"/>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rFonts w:cs="Times New Roman"/>
        <w:b/>
        <w:bCs/>
        <w:color w:val="FFFFFF" w:themeColor="background1"/>
      </w:rPr>
      <w:tblPr/>
      <w:tcPr>
        <w:tcBorders>
          <w:left w:val="nil"/>
          <w:right w:val="nil"/>
          <w:insideH w:val="nil"/>
          <w:insideV w:val="nil"/>
        </w:tcBorders>
        <w:shd w:val="clear" w:color="auto" w:fill="9757A6"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rFonts w:cs="Times New Roman"/>
        <w:b/>
        <w:bCs/>
        <w:color w:val="FFFFFF" w:themeColor="background1"/>
      </w:rPr>
      <w:tblPr/>
      <w:tcPr>
        <w:tcBorders>
          <w:left w:val="nil"/>
          <w:right w:val="nil"/>
          <w:insideH w:val="nil"/>
          <w:insideV w:val="nil"/>
        </w:tcBorders>
        <w:shd w:val="clear" w:color="auto" w:fill="FFAE3B" w:themeFill="accent2"/>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rFonts w:cs="Times New Roman"/>
        <w:b/>
        <w:bCs/>
        <w:color w:val="FFFFFF" w:themeColor="background1"/>
      </w:rPr>
      <w:tblPr/>
      <w:tcPr>
        <w:tcBorders>
          <w:left w:val="nil"/>
          <w:right w:val="nil"/>
          <w:insideH w:val="nil"/>
          <w:insideV w:val="nil"/>
        </w:tcBorders>
        <w:shd w:val="clear" w:color="auto" w:fill="A5A5A5" w:themeFill="accent3"/>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rFonts w:cs="Times New Roman"/>
        <w:b/>
        <w:bCs/>
        <w:color w:val="FFFFFF" w:themeColor="background1"/>
      </w:rPr>
      <w:tblPr/>
      <w:tcPr>
        <w:tcBorders>
          <w:left w:val="nil"/>
          <w:right w:val="nil"/>
          <w:insideH w:val="nil"/>
          <w:insideV w:val="nil"/>
        </w:tcBorders>
        <w:shd w:val="clear" w:color="auto" w:fill="B689C1" w:themeFill="accent4"/>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rFonts w:cs="Times New Roman"/>
        <w:b/>
        <w:bCs/>
        <w:color w:val="FFFFFF" w:themeColor="background1"/>
      </w:rPr>
      <w:tblPr/>
      <w:tcPr>
        <w:tcBorders>
          <w:left w:val="nil"/>
          <w:right w:val="nil"/>
          <w:insideH w:val="nil"/>
          <w:insideV w:val="nil"/>
        </w:tcBorders>
        <w:shd w:val="clear" w:color="auto" w:fill="EA8B00" w:themeFill="accent5"/>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rFonts w:cs="Times New Roman"/>
        <w:b/>
        <w:bCs/>
        <w:color w:val="FFFFFF" w:themeColor="background1"/>
      </w:rPr>
      <w:tblPr/>
      <w:tcPr>
        <w:tcBorders>
          <w:left w:val="nil"/>
          <w:right w:val="nil"/>
          <w:insideH w:val="nil"/>
          <w:insideV w:val="nil"/>
        </w:tcBorders>
        <w:shd w:val="clear" w:color="auto" w:fill="BFBFBF" w:themeFill="accent6"/>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sz w:val="24"/>
      <w:szCs w:val="24"/>
    </w:rPr>
  </w:style>
  <w:style w:type="character" w:customStyle="1" w:styleId="MessageHeaderChar">
    <w:name w:val="Message Header Char"/>
    <w:basedOn w:val="DefaultParagraphFont"/>
    <w:link w:val="MessageHeader"/>
    <w:uiPriority w:val="99"/>
    <w:semiHidden/>
    <w:locked/>
    <w:rsid w:val="000E5CC4"/>
    <w:rPr>
      <w:rFonts w:asciiTheme="majorHAnsi" w:eastAsiaTheme="majorEastAsia" w:hAnsiTheme="majorHAnsi" w:cs="Times New Roman"/>
      <w:sz w:val="24"/>
      <w:szCs w:val="24"/>
      <w:shd w:val="pct20" w:color="auto" w:fill="auto"/>
    </w:rPr>
  </w:style>
  <w:style w:type="paragraph" w:styleId="NoSpacing">
    <w:name w:val="No Spacing"/>
    <w:uiPriority w:val="1"/>
    <w:qFormat/>
    <w:rsid w:val="000E5CC4"/>
    <w:pPr>
      <w:spacing w:after="0" w:line="240" w:lineRule="auto"/>
    </w:pPr>
    <w:rPr>
      <w:rFonts w:ascii="HelveticaNeueLT Std Lt Cn" w:hAnsi="HelveticaNeueLT Std Lt Cn" w:cs="Times New Roman"/>
      <w:sz w:val="20"/>
    </w:rPr>
  </w:style>
  <w:style w:type="paragraph" w:styleId="NormalWeb">
    <w:name w:val="Normal (Web)"/>
    <w:basedOn w:val="Normal"/>
    <w:uiPriority w:val="99"/>
    <w:semiHidden/>
    <w:unhideWhenUsed/>
    <w:rsid w:val="000E5CC4"/>
    <w:rPr>
      <w:rFonts w:ascii="Times New Roman" w:hAnsi="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locked/>
    <w:rsid w:val="000E5CC4"/>
    <w:rPr>
      <w:rFonts w:ascii="HelveticaNeueLT Std Lt Cn" w:hAnsi="HelveticaNeueLT Std Lt Cn" w:cs="Times New Roman"/>
      <w:sz w:val="20"/>
    </w:rPr>
  </w:style>
  <w:style w:type="character" w:styleId="PageNumber0">
    <w:name w:val="page number"/>
    <w:basedOn w:val="DefaultParagraphFont"/>
    <w:uiPriority w:val="99"/>
    <w:semiHidden/>
    <w:unhideWhenUsed/>
    <w:rsid w:val="000E5CC4"/>
    <w:rPr>
      <w:rFonts w:cs="Times New Roman"/>
    </w:rPr>
  </w:style>
  <w:style w:type="character" w:styleId="PlaceholderText">
    <w:name w:val="Placeholder Text"/>
    <w:basedOn w:val="DefaultParagraphFont"/>
    <w:uiPriority w:val="99"/>
    <w:semiHidden/>
    <w:rsid w:val="000E5CC4"/>
    <w:rPr>
      <w:rFonts w:cs="Times New Roman"/>
      <w:color w:val="808080"/>
    </w:rPr>
  </w:style>
  <w:style w:type="table" w:customStyle="1" w:styleId="PlainTable11">
    <w:name w:val="Plain Table 11"/>
    <w:basedOn w:val="TableNormal"/>
    <w:uiPriority w:val="41"/>
    <w:rsid w:val="000E5CC4"/>
    <w:pPr>
      <w:spacing w:after="0" w:line="240" w:lineRule="auto"/>
    </w:pPr>
    <w:rPr>
      <w:rFont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
    <w:name w:val="Plain Table 21"/>
    <w:basedOn w:val="TableNormal"/>
    <w:uiPriority w:val="42"/>
    <w:rsid w:val="000E5CC4"/>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E5CC4"/>
    <w:pPr>
      <w:spacing w:after="0" w:line="240" w:lineRule="auto"/>
    </w:pPr>
    <w:rPr>
      <w:rFonts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
    <w:name w:val="Plain Table 41"/>
    <w:basedOn w:val="TableNormal"/>
    <w:uiPriority w:val="44"/>
    <w:rsid w:val="000E5CC4"/>
    <w:pPr>
      <w:spacing w:after="0" w:line="240" w:lineRule="auto"/>
    </w:pPr>
    <w:rPr>
      <w:rFonts w:cs="Times New Roman"/>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
    <w:name w:val="Plain Table 51"/>
    <w:basedOn w:val="TableNormal"/>
    <w:uiPriority w:val="45"/>
    <w:rsid w:val="000E5CC4"/>
    <w:pPr>
      <w:spacing w:after="0" w:line="240" w:lineRule="auto"/>
    </w:pPr>
    <w:rPr>
      <w:rFonts w:cs="Times New Roman"/>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locked/>
    <w:rsid w:val="000E5CC4"/>
    <w:rPr>
      <w:rFonts w:ascii="Consolas" w:hAnsi="Consolas" w:cs="Times New Roman"/>
      <w:sz w:val="21"/>
      <w:szCs w:val="21"/>
    </w:rPr>
  </w:style>
  <w:style w:type="paragraph" w:styleId="Quote">
    <w:name w:val="Quote"/>
    <w:basedOn w:val="Normal"/>
    <w:next w:val="QuoteListBullet"/>
    <w:link w:val="QuoteChar"/>
    <w:uiPriority w:val="29"/>
    <w:qFormat/>
    <w:rsid w:val="00DA5DC2"/>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29"/>
    <w:locked/>
    <w:rsid w:val="00DA5DC2"/>
    <w:rPr>
      <w:rFonts w:ascii="Arial Narrow" w:hAnsi="Arial Narrow" w:cs="Times New Roman"/>
      <w:i/>
      <w:iCs/>
      <w:color w:val="404040" w:themeColor="text1" w:themeTint="BF"/>
      <w:sz w:val="20"/>
      <w:lang w:val="en-AU" w:eastAsia="x-none"/>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locked/>
    <w:rsid w:val="000E5CC4"/>
    <w:rPr>
      <w:rFonts w:ascii="HelveticaNeueLT Std Lt Cn" w:hAnsi="HelveticaNeueLT Std Lt Cn" w:cs="Times New Roma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locked/>
    <w:rsid w:val="000E5CC4"/>
    <w:rPr>
      <w:rFonts w:ascii="HelveticaNeueLT Std Lt Cn" w:hAnsi="HelveticaNeueLT Std Lt Cn" w:cs="Times New Roman"/>
      <w:sz w:val="20"/>
    </w:rPr>
  </w:style>
  <w:style w:type="character" w:styleId="Strong">
    <w:name w:val="Strong"/>
    <w:basedOn w:val="DefaultParagraphFont"/>
    <w:uiPriority w:val="22"/>
    <w:qFormat/>
    <w:rsid w:val="000E5CC4"/>
    <w:rPr>
      <w:rFonts w:cs="Times New Roman"/>
      <w:b/>
      <w:bCs/>
    </w:rPr>
  </w:style>
  <w:style w:type="paragraph" w:styleId="Subtitle">
    <w:name w:val="Subtitle"/>
    <w:basedOn w:val="Normal"/>
    <w:next w:val="Normal"/>
    <w:link w:val="SubtitleChar"/>
    <w:uiPriority w:val="11"/>
    <w:qFormat/>
    <w:rsid w:val="000E5CC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locked/>
    <w:rsid w:val="000E5CC4"/>
    <w:rPr>
      <w:rFonts w:eastAsiaTheme="minorEastAsia" w:cs="Times New Roman"/>
      <w:color w:val="5A5A5A" w:themeColor="text1" w:themeTint="A5"/>
      <w:spacing w:val="15"/>
    </w:rPr>
  </w:style>
  <w:style w:type="character" w:styleId="SubtleEmphasis">
    <w:name w:val="Subtle Emphasis"/>
    <w:basedOn w:val="DefaultParagraphFont"/>
    <w:uiPriority w:val="19"/>
    <w:qFormat/>
    <w:rsid w:val="000E5CC4"/>
    <w:rPr>
      <w:rFonts w:cs="Times New Roman"/>
      <w:i/>
      <w:iCs/>
      <w:color w:val="404040" w:themeColor="text1" w:themeTint="BF"/>
    </w:rPr>
  </w:style>
  <w:style w:type="character" w:styleId="SubtleReference">
    <w:name w:val="Subtle Reference"/>
    <w:basedOn w:val="DefaultParagraphFont"/>
    <w:uiPriority w:val="31"/>
    <w:qFormat/>
    <w:rsid w:val="000E5CC4"/>
    <w:rPr>
      <w:rFonts w:cs="Times New Roman"/>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0E5CC4"/>
    <w:pPr>
      <w:spacing w:after="113" w:line="240" w:lineRule="atLeast"/>
    </w:pPr>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0E5CC4"/>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0E5CC4"/>
    <w:rPr>
      <w:rFonts w:asciiTheme="majorHAnsi" w:eastAsiaTheme="majorEastAsia" w:hAnsiTheme="majorHAnsi" w:cs="Times New Roman"/>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b/>
      <w:bCs/>
      <w:sz w:val="24"/>
      <w:szCs w:val="24"/>
    </w:rPr>
  </w:style>
  <w:style w:type="paragraph" w:customStyle="1" w:styleId="LetterName">
    <w:name w:val="LetterName"/>
    <w:basedOn w:val="LetterBodyCopy"/>
    <w:uiPriority w:val="99"/>
    <w:rsid w:val="00CA3916"/>
    <w:pPr>
      <w:spacing w:before="0" w:after="0"/>
    </w:pPr>
    <w:rPr>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caps/>
      <w:sz w:val="14"/>
      <w:szCs w:val="20"/>
    </w:rPr>
  </w:style>
  <w:style w:type="paragraph" w:customStyle="1" w:styleId="HeaderAddress">
    <w:name w:val="HeaderAddress"/>
    <w:basedOn w:val="Normal"/>
    <w:rsid w:val="00FA378F"/>
    <w:pPr>
      <w:spacing w:after="0" w:line="240" w:lineRule="auto"/>
    </w:pPr>
    <w:rPr>
      <w:rFonts w:asciiTheme="minorHAnsi" w:hAnsiTheme="minorHAnsi"/>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ind w:left="248"/>
    </w:pPr>
    <w:rPr>
      <w:caps/>
      <w:color w:val="FFFEFF"/>
      <w:spacing w:val="110"/>
      <w:sz w:val="38"/>
    </w:rPr>
  </w:style>
  <w:style w:type="paragraph" w:customStyle="1" w:styleId="Exec-SubHeadBanner">
    <w:name w:val="Exec - SubHead (Banner)"/>
    <w:basedOn w:val="Exec-HeadingBanner"/>
    <w:qFormat/>
    <w:rsid w:val="00341438"/>
    <w:pPr>
      <w:numPr>
        <w:numId w:val="20"/>
      </w:numPr>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FB0F16"/>
    <w:pPr>
      <w:keepNext/>
      <w:spacing w:before="40" w:after="40"/>
      <w:ind w:right="120"/>
    </w:pPr>
    <w:rPr>
      <w:b/>
      <w:color w:val="FFFEFF"/>
      <w:sz w:val="20"/>
    </w:rPr>
  </w:style>
  <w:style w:type="paragraph" w:customStyle="1" w:styleId="Tabletext">
    <w:name w:val="Table text"/>
    <w:basedOn w:val="Normal"/>
    <w:qFormat/>
    <w:rsid w:val="00FB0F16"/>
    <w:pPr>
      <w:spacing w:before="60" w:after="0"/>
      <w:ind w:right="120"/>
    </w:pPr>
    <w:rPr>
      <w:color w:val="000100"/>
      <w:sz w:val="2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hAnsi="Novecento Book"/>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5F68B2"/>
    <w:pPr>
      <w:keepNext/>
      <w:numPr>
        <w:ilvl w:val="1"/>
        <w:numId w:val="23"/>
      </w:numPr>
      <w:spacing w:after="0"/>
      <w:contextualSpacing/>
    </w:pPr>
    <w:rPr>
      <w:sz w:val="20"/>
    </w:rPr>
  </w:style>
  <w:style w:type="paragraph" w:customStyle="1" w:styleId="BoxListBullet3">
    <w:name w:val="Box List Bullet 3"/>
    <w:basedOn w:val="Normal"/>
    <w:qFormat/>
    <w:rsid w:val="005F68B2"/>
    <w:pPr>
      <w:keepNext/>
      <w:numPr>
        <w:ilvl w:val="2"/>
        <w:numId w:val="23"/>
      </w:numPr>
      <w:spacing w:after="60"/>
      <w:contextualSpacing/>
    </w:pPr>
    <w:rPr>
      <w:sz w:val="20"/>
    </w:r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5F68B2"/>
    <w:pPr>
      <w:keepNext/>
      <w:numPr>
        <w:numId w:val="33"/>
      </w:numPr>
      <w:spacing w:before="60" w:after="60"/>
      <w:contextualSpacing/>
    </w:pPr>
    <w:rPr>
      <w:sz w:val="20"/>
    </w:rPr>
  </w:style>
  <w:style w:type="paragraph" w:customStyle="1" w:styleId="BoxListNumber2">
    <w:name w:val="Box List Number 2"/>
    <w:basedOn w:val="BoxText"/>
    <w:qFormat/>
    <w:rsid w:val="008D2B4E"/>
    <w:pPr>
      <w:numPr>
        <w:ilvl w:val="1"/>
        <w:numId w:val="33"/>
      </w:numPr>
      <w:spacing w:after="0"/>
      <w:contextualSpacing/>
    </w:pPr>
  </w:style>
  <w:style w:type="paragraph" w:customStyle="1" w:styleId="BoxListNumber3">
    <w:name w:val="Box List Number 3"/>
    <w:basedOn w:val="BoxText"/>
    <w:qFormat/>
    <w:rsid w:val="000A05D0"/>
    <w:pPr>
      <w:numPr>
        <w:ilvl w:val="2"/>
        <w:numId w:val="33"/>
      </w:numPr>
      <w:spacing w:before="0"/>
      <w:contextualSpacing/>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FA774D"/>
    <w:pPr>
      <w:keepNext/>
      <w:keepLines/>
      <w:spacing w:before="40" w:after="0" w:line="180" w:lineRule="exact"/>
    </w:pPr>
    <w:rPr>
      <w:rFonts w:ascii="Arial Narrow" w:hAnsi="Arial Narrow" w:cs="Times New Roman"/>
      <w:sz w:val="14"/>
      <w:szCs w:val="24"/>
      <w:lang w:val="en-AU"/>
    </w:rPr>
  </w:style>
  <w:style w:type="character" w:customStyle="1" w:styleId="Notelabel">
    <w:name w:val="Note label"/>
    <w:basedOn w:val="DefaultParagraphFont"/>
    <w:rsid w:val="00F92CF4"/>
    <w:rPr>
      <w:rFonts w:ascii="Arial" w:hAnsi="Arial" w:cs="Times New Roman"/>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tabs>
        <w:tab w:val="num" w:pos="0"/>
      </w:tabs>
      <w:spacing w:before="0"/>
    </w:pPr>
  </w:style>
  <w:style w:type="paragraph" w:customStyle="1" w:styleId="Tablelistbullet3">
    <w:name w:val="Table list bullet 3"/>
    <w:basedOn w:val="Tabletext"/>
    <w:qFormat/>
    <w:rsid w:val="00CD10AE"/>
    <w:pPr>
      <w:numPr>
        <w:ilvl w:val="2"/>
        <w:numId w:val="32"/>
      </w:numPr>
      <w:spacing w:before="0"/>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cs="Times New Roma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spacing w:beforeLines="0" w:before="0" w:beforeAutospacing="0" w:afterLines="0" w:after="0" w:afterAutospacing="0" w:line="240" w:lineRule="atLeast"/>
        <w:ind w:leftChars="0" w:left="0" w:rightChars="0" w:right="0" w:firstLineChars="0" w:firstLine="0"/>
        <w:contextualSpacing/>
        <w:mirrorIndents/>
        <w:jc w:val="left"/>
      </w:pPr>
      <w:rPr>
        <w:rFonts w:ascii="Marigold" w:hAnsi="Marigold" w:cs="Times New Roman"/>
        <w:color w:val="FFFEFF"/>
      </w:rPr>
      <w:tblPr/>
      <w:tcPr>
        <w:tcBorders>
          <w:top w:val="nil"/>
          <w:left w:val="nil"/>
          <w:bottom w:val="nil"/>
          <w:right w:val="nil"/>
          <w:insideH w:val="nil"/>
          <w:insideV w:val="nil"/>
          <w:tl2br w:val="nil"/>
          <w:tr2bl w:val="nil"/>
        </w:tcBorders>
        <w:shd w:val="clear" w:color="auto" w:fill="9757A6"/>
      </w:tcPr>
    </w:tblStylePr>
    <w:tblStylePr w:type="lastRow">
      <w:pPr>
        <w:spacing w:beforeLines="0" w:before="0" w:beforeAutospacing="0" w:afterLines="0" w:after="0" w:afterAutospacing="0" w:line="240" w:lineRule="atLeast"/>
      </w:pPr>
      <w:rPr>
        <w:rFonts w:ascii="Arial Narrow" w:hAnsi="Arial Narrow" w:cs="Times New Roman"/>
        <w:sz w:val="20"/>
      </w:rPr>
    </w:tblStylePr>
  </w:style>
  <w:style w:type="paragraph" w:customStyle="1" w:styleId="Headingglossary">
    <w:name w:val="Heading (glossary)"/>
    <w:basedOn w:val="Chpt-HeadingBanner"/>
    <w:qFormat/>
    <w:rsid w:val="00E16C89"/>
    <w:pPr>
      <w:ind w:left="248"/>
    </w:pPr>
    <w:rPr>
      <w:rFonts w:ascii="Arial Narrow" w:hAnsi="Arial Narrow"/>
      <w:caps/>
      <w:sz w:val="3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before="240" w:after="48"/>
      <w:outlineLvl w:val="2"/>
    </w:pPr>
    <w:rPr>
      <w:b/>
    </w:r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6"/>
      </w:numPr>
    </w:pPr>
  </w:style>
  <w:style w:type="paragraph" w:customStyle="1" w:styleId="SideNoteBullet">
    <w:name w:val="SideNote Bullet"/>
    <w:basedOn w:val="SideNoteRegularLeft"/>
    <w:rsid w:val="00755631"/>
    <w:pPr>
      <w:numPr>
        <w:ilvl w:val="1"/>
        <w:numId w:val="36"/>
      </w:numPr>
      <w:spacing w:before="0" w:after="64"/>
    </w:pPr>
  </w:style>
  <w:style w:type="paragraph" w:customStyle="1" w:styleId="HeadingChapter">
    <w:name w:val="Heading (Chapter)"/>
    <w:basedOn w:val="Normal-nospace"/>
    <w:qFormat/>
    <w:rsid w:val="00C05BFC"/>
    <w:pPr>
      <w:spacing w:line="3200" w:lineRule="exact"/>
      <w:ind w:left="216"/>
      <w:jc w:val="right"/>
    </w:pPr>
    <w:rPr>
      <w:rFonts w:ascii="Bodoni MT" w:hAnsi="Bodoni MT"/>
      <w:noProof/>
      <w:color w:val="FFFEFF"/>
      <w:spacing w:val="-240"/>
      <w:sz w:val="330"/>
    </w:rPr>
  </w:style>
  <w:style w:type="paragraph" w:customStyle="1" w:styleId="HeadingAppendix">
    <w:name w:val="Heading (Appendix)"/>
    <w:basedOn w:val="BodyText"/>
    <w:qFormat/>
    <w:rsid w:val="00B30D11"/>
    <w:pPr>
      <w:spacing w:line="3200" w:lineRule="exact"/>
      <w:ind w:left="216" w:firstLine="72"/>
      <w:jc w:val="right"/>
    </w:pPr>
    <w:rPr>
      <w:rFonts w:ascii="Bodoni MT" w:hAnsi="Bodoni MT"/>
      <w:noProof/>
      <w:color w:val="FFFEFF"/>
      <w:spacing w:val="-160"/>
      <w:sz w:val="330"/>
    </w:rPr>
  </w:style>
  <w:style w:type="paragraph" w:customStyle="1" w:styleId="Heading4nonumber">
    <w:name w:val="Heading 4 (no number)"/>
    <w:basedOn w:val="Normal"/>
    <w:next w:val="BodyText"/>
    <w:qFormat/>
    <w:rsid w:val="004F0A14"/>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rFonts w:ascii="Arial Narrow" w:hAnsi="Arial Narrow"/>
      <w:caps/>
      <w:sz w:val="3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5"/>
      </w:numPr>
      <w:spacing w:before="60" w:after="60"/>
    </w:pPr>
  </w:style>
  <w:style w:type="paragraph" w:customStyle="1" w:styleId="ListDash2">
    <w:name w:val="List Dash 2"/>
    <w:basedOn w:val="Normal"/>
    <w:qFormat/>
    <w:rsid w:val="009005D5"/>
    <w:pPr>
      <w:numPr>
        <w:ilvl w:val="1"/>
        <w:numId w:val="35"/>
      </w:numPr>
      <w:spacing w:after="60"/>
      <w:contextualSpacing/>
    </w:pPr>
  </w:style>
  <w:style w:type="paragraph" w:customStyle="1" w:styleId="ListDash3">
    <w:name w:val="List Dash 3"/>
    <w:basedOn w:val="Normal"/>
    <w:qFormat/>
    <w:rsid w:val="009005D5"/>
    <w:pPr>
      <w:numPr>
        <w:ilvl w:val="2"/>
        <w:numId w:val="35"/>
      </w:numPr>
      <w:spacing w:after="60"/>
      <w:contextualSpacing/>
    </w:pPr>
  </w:style>
  <w:style w:type="character" w:customStyle="1" w:styleId="SourceChar">
    <w:name w:val="Source Char"/>
    <w:basedOn w:val="DefaultParagraphFont"/>
    <w:link w:val="Source"/>
    <w:locked/>
    <w:rsid w:val="00806152"/>
    <w:rPr>
      <w:rFonts w:ascii="Arial Narrow" w:hAnsi="Arial Narrow" w:cs="Times New Roman"/>
      <w:i/>
      <w:caps/>
      <w:spacing w:val="-3"/>
      <w:sz w:val="14"/>
      <w:lang w:val="en-AU" w:eastAsia="x-none"/>
    </w:r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 w:type="table" w:customStyle="1" w:styleId="TableGrid20">
    <w:name w:val="Table Grid2"/>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Label">
    <w:name w:val="StationeryLabel"/>
    <w:basedOn w:val="Normal"/>
    <w:qFormat/>
    <w:rsid w:val="00D60BA9"/>
    <w:pPr>
      <w:spacing w:before="20" w:after="0" w:line="240" w:lineRule="auto"/>
    </w:pPr>
    <w:rPr>
      <w:rFonts w:eastAsia="PMingLiU"/>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Type">
    <w:name w:val="StationeryType"/>
    <w:basedOn w:val="Normal"/>
    <w:qFormat/>
    <w:rsid w:val="006F5038"/>
    <w:pPr>
      <w:spacing w:after="104" w:line="240" w:lineRule="auto"/>
      <w:contextualSpacing/>
    </w:pPr>
    <w:rPr>
      <w:rFonts w:eastAsia="PMingLiU"/>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sz w:val="20"/>
      <w:szCs w:val="20"/>
      <w:lang w:eastAsia="zh-TW"/>
    </w:rPr>
  </w:style>
  <w:style w:type="table" w:customStyle="1" w:styleId="GridTable1Light10">
    <w:name w:val="Grid Table 1 Light1"/>
    <w:basedOn w:val="TableNormal"/>
    <w:uiPriority w:val="46"/>
    <w:rsid w:val="00316B0A"/>
    <w:pPr>
      <w:spacing w:after="0" w:line="240" w:lineRule="auto"/>
    </w:pPr>
    <w:rPr>
      <w:rFonts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table" w:customStyle="1" w:styleId="GridTable1Light-Accent110">
    <w:name w:val="Grid Table 1 Light - Accent 11"/>
    <w:basedOn w:val="TableNormal"/>
    <w:uiPriority w:val="46"/>
    <w:rsid w:val="00316B0A"/>
    <w:pPr>
      <w:spacing w:after="0" w:line="240" w:lineRule="auto"/>
    </w:pPr>
    <w:rPr>
      <w:rFonts w:cs="Times New Roman"/>
    </w:r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rFonts w:cs="Times New Roman"/>
        <w:b/>
        <w:bCs/>
      </w:rPr>
      <w:tblPr/>
      <w:tcPr>
        <w:tcBorders>
          <w:bottom w:val="single" w:sz="12" w:space="0" w:color="C099CA" w:themeColor="accent1" w:themeTint="99"/>
        </w:tcBorders>
      </w:tcPr>
    </w:tblStylePr>
    <w:tblStylePr w:type="lastRow">
      <w:rPr>
        <w:rFonts w:cs="Times New Roman"/>
        <w:b/>
        <w:bCs/>
      </w:rPr>
      <w:tblPr/>
      <w:tcPr>
        <w:tcBorders>
          <w:top w:val="double" w:sz="2" w:space="0" w:color="C099CA" w:themeColor="accent1" w:themeTint="99"/>
        </w:tcBorders>
      </w:tcPr>
    </w:tblStylePr>
    <w:tblStylePr w:type="firstCol">
      <w:rPr>
        <w:rFonts w:cs="Times New Roman"/>
        <w:b/>
        <w:bCs/>
      </w:rPr>
    </w:tblStylePr>
    <w:tblStylePr w:type="lastCol">
      <w:rPr>
        <w:rFonts w:cs="Times New Roman"/>
        <w:b/>
        <w:bCs/>
      </w:rPr>
    </w:tblStylePr>
  </w:style>
  <w:style w:type="table" w:customStyle="1" w:styleId="GridTable1Light-Accent210">
    <w:name w:val="Grid Table 1 Light - Accent 21"/>
    <w:basedOn w:val="TableNormal"/>
    <w:uiPriority w:val="46"/>
    <w:rsid w:val="00316B0A"/>
    <w:pPr>
      <w:spacing w:after="0" w:line="240" w:lineRule="auto"/>
    </w:pPr>
    <w:rPr>
      <w:rFonts w:cs="Times New Roman"/>
    </w:r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rFonts w:cs="Times New Roman"/>
        <w:b/>
        <w:bCs/>
      </w:rPr>
      <w:tblPr/>
      <w:tcPr>
        <w:tcBorders>
          <w:bottom w:val="single" w:sz="12" w:space="0" w:color="FFCE89" w:themeColor="accent2" w:themeTint="99"/>
        </w:tcBorders>
      </w:tcPr>
    </w:tblStylePr>
    <w:tblStylePr w:type="lastRow">
      <w:rPr>
        <w:rFonts w:cs="Times New Roman"/>
        <w:b/>
        <w:bCs/>
      </w:rPr>
      <w:tblPr/>
      <w:tcPr>
        <w:tcBorders>
          <w:top w:val="double" w:sz="2" w:space="0" w:color="FFCE89" w:themeColor="accent2" w:themeTint="99"/>
        </w:tcBorders>
      </w:tcPr>
    </w:tblStylePr>
    <w:tblStylePr w:type="firstCol">
      <w:rPr>
        <w:rFonts w:cs="Times New Roman"/>
        <w:b/>
        <w:bCs/>
      </w:rPr>
    </w:tblStylePr>
    <w:tblStylePr w:type="lastCol">
      <w:rPr>
        <w:rFonts w:cs="Times New Roman"/>
        <w:b/>
        <w:bCs/>
      </w:rPr>
    </w:tblStylePr>
  </w:style>
  <w:style w:type="table" w:customStyle="1" w:styleId="GridTable1Light-Accent310">
    <w:name w:val="Grid Table 1 Light - Accent 31"/>
    <w:basedOn w:val="TableNormal"/>
    <w:uiPriority w:val="46"/>
    <w:rsid w:val="00316B0A"/>
    <w:pPr>
      <w:spacing w:after="0" w:line="240" w:lineRule="auto"/>
    </w:pPr>
    <w:rPr>
      <w:rFonts w:cs="Times New Roma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GridTable1Light-Accent410">
    <w:name w:val="Grid Table 1 Light - Accent 41"/>
    <w:basedOn w:val="TableNormal"/>
    <w:uiPriority w:val="46"/>
    <w:rsid w:val="00316B0A"/>
    <w:pPr>
      <w:spacing w:after="0" w:line="240" w:lineRule="auto"/>
    </w:pPr>
    <w:rPr>
      <w:rFonts w:cs="Times New Roman"/>
    </w:r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rFonts w:cs="Times New Roman"/>
        <w:b/>
        <w:bCs/>
      </w:rPr>
      <w:tblPr/>
      <w:tcPr>
        <w:tcBorders>
          <w:bottom w:val="single" w:sz="12" w:space="0" w:color="D3B8D9" w:themeColor="accent4" w:themeTint="99"/>
        </w:tcBorders>
      </w:tcPr>
    </w:tblStylePr>
    <w:tblStylePr w:type="lastRow">
      <w:rPr>
        <w:rFonts w:cs="Times New Roman"/>
        <w:b/>
        <w:bCs/>
      </w:rPr>
      <w:tblPr/>
      <w:tcPr>
        <w:tcBorders>
          <w:top w:val="double" w:sz="2" w:space="0" w:color="D3B8D9" w:themeColor="accent4" w:themeTint="99"/>
        </w:tcBorders>
      </w:tcPr>
    </w:tblStylePr>
    <w:tblStylePr w:type="firstCol">
      <w:rPr>
        <w:rFonts w:cs="Times New Roman"/>
        <w:b/>
        <w:bCs/>
      </w:rPr>
    </w:tblStylePr>
    <w:tblStylePr w:type="lastCol">
      <w:rPr>
        <w:rFonts w:cs="Times New Roman"/>
        <w:b/>
        <w:bCs/>
      </w:rPr>
    </w:tblStylePr>
  </w:style>
  <w:style w:type="table" w:customStyle="1" w:styleId="GridTable1Light-Accent510">
    <w:name w:val="Grid Table 1 Light - Accent 51"/>
    <w:basedOn w:val="TableNormal"/>
    <w:uiPriority w:val="46"/>
    <w:rsid w:val="00316B0A"/>
    <w:pPr>
      <w:spacing w:after="0" w:line="240" w:lineRule="auto"/>
    </w:pPr>
    <w:rPr>
      <w:rFonts w:cs="Times New Roman"/>
    </w:r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rFonts w:cs="Times New Roman"/>
        <w:b/>
        <w:bCs/>
      </w:rPr>
      <w:tblPr/>
      <w:tcPr>
        <w:tcBorders>
          <w:bottom w:val="single" w:sz="12" w:space="0" w:color="FFBB59" w:themeColor="accent5" w:themeTint="99"/>
        </w:tcBorders>
      </w:tcPr>
    </w:tblStylePr>
    <w:tblStylePr w:type="lastRow">
      <w:rPr>
        <w:rFonts w:cs="Times New Roman"/>
        <w:b/>
        <w:bCs/>
      </w:rPr>
      <w:tblPr/>
      <w:tcPr>
        <w:tcBorders>
          <w:top w:val="double" w:sz="2" w:space="0" w:color="FFBB59" w:themeColor="accent5" w:themeTint="99"/>
        </w:tcBorders>
      </w:tcPr>
    </w:tblStylePr>
    <w:tblStylePr w:type="firstCol">
      <w:rPr>
        <w:rFonts w:cs="Times New Roman"/>
        <w:b/>
        <w:bCs/>
      </w:rPr>
    </w:tblStylePr>
    <w:tblStylePr w:type="lastCol">
      <w:rPr>
        <w:rFonts w:cs="Times New Roman"/>
        <w:b/>
        <w:bCs/>
      </w:rPr>
    </w:tblStylePr>
  </w:style>
  <w:style w:type="table" w:customStyle="1" w:styleId="GridTable1Light-Accent610">
    <w:name w:val="Grid Table 1 Light - Accent 61"/>
    <w:basedOn w:val="TableNormal"/>
    <w:uiPriority w:val="46"/>
    <w:rsid w:val="00316B0A"/>
    <w:pPr>
      <w:spacing w:after="0" w:line="240" w:lineRule="auto"/>
    </w:pPr>
    <w:rPr>
      <w:rFonts w:cs="Times New Roman"/>
    </w:r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rFonts w:cs="Times New Roman"/>
        <w:b/>
        <w:bCs/>
      </w:rPr>
      <w:tblPr/>
      <w:tcPr>
        <w:tcBorders>
          <w:bottom w:val="single" w:sz="12" w:space="0" w:color="D8D8D8" w:themeColor="accent6" w:themeTint="99"/>
        </w:tcBorders>
      </w:tcPr>
    </w:tblStylePr>
    <w:tblStylePr w:type="lastRow">
      <w:rPr>
        <w:rFonts w:cs="Times New Roman"/>
        <w:b/>
        <w:bCs/>
      </w:rPr>
      <w:tblPr/>
      <w:tcPr>
        <w:tcBorders>
          <w:top w:val="double" w:sz="2" w:space="0" w:color="D8D8D8" w:themeColor="accent6" w:themeTint="99"/>
        </w:tcBorders>
      </w:tcPr>
    </w:tblStylePr>
    <w:tblStylePr w:type="firstCol">
      <w:rPr>
        <w:rFonts w:cs="Times New Roman"/>
        <w:b/>
        <w:bCs/>
      </w:rPr>
    </w:tblStylePr>
    <w:tblStylePr w:type="lastCol">
      <w:rPr>
        <w:rFonts w:cs="Times New Roman"/>
        <w:b/>
        <w:bCs/>
      </w:rPr>
    </w:tblStylePr>
  </w:style>
  <w:style w:type="table" w:customStyle="1" w:styleId="GridTable210">
    <w:name w:val="Grid Table 21"/>
    <w:basedOn w:val="TableNormal"/>
    <w:uiPriority w:val="47"/>
    <w:rsid w:val="00316B0A"/>
    <w:pPr>
      <w:spacing w:after="0" w:line="240" w:lineRule="auto"/>
    </w:pPr>
    <w:rPr>
      <w:rFonts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2-Accent110">
    <w:name w:val="Grid Table 2 - Accent 11"/>
    <w:basedOn w:val="TableNormal"/>
    <w:uiPriority w:val="47"/>
    <w:rsid w:val="00316B0A"/>
    <w:pPr>
      <w:spacing w:after="0" w:line="240" w:lineRule="auto"/>
    </w:pPr>
    <w:rPr>
      <w:rFonts w:cs="Times New Roman"/>
    </w:r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rFonts w:cs="Times New Roman"/>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2-Accent210">
    <w:name w:val="Grid Table 2 - Accent 21"/>
    <w:basedOn w:val="TableNormal"/>
    <w:uiPriority w:val="47"/>
    <w:rsid w:val="00316B0A"/>
    <w:pPr>
      <w:spacing w:after="0" w:line="240" w:lineRule="auto"/>
    </w:pPr>
    <w:rPr>
      <w:rFonts w:cs="Times New Roman"/>
    </w:r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rFonts w:cs="Times New Roman"/>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rFonts w:cs="Times New Roman"/>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2-Accent310">
    <w:name w:val="Grid Table 2 - Accent 31"/>
    <w:basedOn w:val="TableNormal"/>
    <w:uiPriority w:val="47"/>
    <w:rsid w:val="00316B0A"/>
    <w:pPr>
      <w:spacing w:after="0" w:line="240" w:lineRule="auto"/>
    </w:pPr>
    <w:rPr>
      <w:rFonts w:cs="Times New Roman"/>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rFonts w:cs="Times New Roman"/>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rFonts w:cs="Times New Roman"/>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2-Accent410">
    <w:name w:val="Grid Table 2 - Accent 41"/>
    <w:basedOn w:val="TableNormal"/>
    <w:uiPriority w:val="47"/>
    <w:rsid w:val="00316B0A"/>
    <w:pPr>
      <w:spacing w:after="0" w:line="240" w:lineRule="auto"/>
    </w:pPr>
    <w:rPr>
      <w:rFonts w:cs="Times New Roman"/>
    </w:r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rFonts w:cs="Times New Roman"/>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rFonts w:cs="Times New Roman"/>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2-Accent510">
    <w:name w:val="Grid Table 2 - Accent 51"/>
    <w:basedOn w:val="TableNormal"/>
    <w:uiPriority w:val="47"/>
    <w:rsid w:val="00316B0A"/>
    <w:pPr>
      <w:spacing w:after="0" w:line="240" w:lineRule="auto"/>
    </w:pPr>
    <w:rPr>
      <w:rFonts w:cs="Times New Roman"/>
    </w:r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rFonts w:cs="Times New Roman"/>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rFonts w:cs="Times New Roman"/>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2-Accent610">
    <w:name w:val="Grid Table 2 - Accent 61"/>
    <w:basedOn w:val="TableNormal"/>
    <w:uiPriority w:val="47"/>
    <w:rsid w:val="00316B0A"/>
    <w:pPr>
      <w:spacing w:after="0" w:line="240" w:lineRule="auto"/>
    </w:pPr>
    <w:rPr>
      <w:rFonts w:cs="Times New Roman"/>
    </w:r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rFonts w:cs="Times New Roman"/>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rFonts w:cs="Times New Roman"/>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310">
    <w:name w:val="Grid Table 31"/>
    <w:basedOn w:val="TableNormal"/>
    <w:uiPriority w:val="48"/>
    <w:rsid w:val="00316B0A"/>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GridTable3-Accent110">
    <w:name w:val="Grid Table 3 - Accent 11"/>
    <w:basedOn w:val="TableNormal"/>
    <w:uiPriority w:val="48"/>
    <w:rsid w:val="00316B0A"/>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bottom w:val="single" w:sz="4" w:space="0" w:color="C099CA" w:themeColor="accent1" w:themeTint="99"/>
        </w:tcBorders>
      </w:tcPr>
    </w:tblStylePr>
    <w:tblStylePr w:type="nwCell">
      <w:rPr>
        <w:rFonts w:cs="Times New Roman"/>
      </w:rPr>
      <w:tblPr/>
      <w:tcPr>
        <w:tcBorders>
          <w:bottom w:val="single" w:sz="4" w:space="0" w:color="C099CA" w:themeColor="accent1" w:themeTint="99"/>
        </w:tcBorders>
      </w:tcPr>
    </w:tblStylePr>
    <w:tblStylePr w:type="seCell">
      <w:rPr>
        <w:rFonts w:cs="Times New Roman"/>
      </w:rPr>
      <w:tblPr/>
      <w:tcPr>
        <w:tcBorders>
          <w:top w:val="single" w:sz="4" w:space="0" w:color="C099CA" w:themeColor="accent1" w:themeTint="99"/>
        </w:tcBorders>
      </w:tcPr>
    </w:tblStylePr>
    <w:tblStylePr w:type="swCell">
      <w:rPr>
        <w:rFonts w:cs="Times New Roman"/>
      </w:rPr>
      <w:tblPr/>
      <w:tcPr>
        <w:tcBorders>
          <w:top w:val="single" w:sz="4" w:space="0" w:color="C099CA" w:themeColor="accent1" w:themeTint="99"/>
        </w:tcBorders>
      </w:tcPr>
    </w:tblStylePr>
  </w:style>
  <w:style w:type="table" w:customStyle="1" w:styleId="GridTable3-Accent210">
    <w:name w:val="Grid Table 3 - Accent 21"/>
    <w:basedOn w:val="TableNormal"/>
    <w:uiPriority w:val="48"/>
    <w:rsid w:val="00316B0A"/>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bottom w:val="single" w:sz="4" w:space="0" w:color="FFCE89" w:themeColor="accent2" w:themeTint="99"/>
        </w:tcBorders>
      </w:tcPr>
    </w:tblStylePr>
    <w:tblStylePr w:type="nwCell">
      <w:rPr>
        <w:rFonts w:cs="Times New Roman"/>
      </w:rPr>
      <w:tblPr/>
      <w:tcPr>
        <w:tcBorders>
          <w:bottom w:val="single" w:sz="4" w:space="0" w:color="FFCE89" w:themeColor="accent2" w:themeTint="99"/>
        </w:tcBorders>
      </w:tcPr>
    </w:tblStylePr>
    <w:tblStylePr w:type="seCell">
      <w:rPr>
        <w:rFonts w:cs="Times New Roman"/>
      </w:rPr>
      <w:tblPr/>
      <w:tcPr>
        <w:tcBorders>
          <w:top w:val="single" w:sz="4" w:space="0" w:color="FFCE89" w:themeColor="accent2" w:themeTint="99"/>
        </w:tcBorders>
      </w:tcPr>
    </w:tblStylePr>
    <w:tblStylePr w:type="swCell">
      <w:rPr>
        <w:rFonts w:cs="Times New Roman"/>
      </w:rPr>
      <w:tblPr/>
      <w:tcPr>
        <w:tcBorders>
          <w:top w:val="single" w:sz="4" w:space="0" w:color="FFCE89" w:themeColor="accent2" w:themeTint="99"/>
        </w:tcBorders>
      </w:tcPr>
    </w:tblStylePr>
  </w:style>
  <w:style w:type="table" w:customStyle="1" w:styleId="GridTable3-Accent310">
    <w:name w:val="Grid Table 3 - Accent 31"/>
    <w:basedOn w:val="TableNormal"/>
    <w:uiPriority w:val="48"/>
    <w:rsid w:val="00316B0A"/>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bottom w:val="single" w:sz="4" w:space="0" w:color="C9C9C9" w:themeColor="accent3" w:themeTint="99"/>
        </w:tcBorders>
      </w:tcPr>
    </w:tblStylePr>
    <w:tblStylePr w:type="nwCell">
      <w:rPr>
        <w:rFonts w:cs="Times New Roman"/>
      </w:rPr>
      <w:tblPr/>
      <w:tcPr>
        <w:tcBorders>
          <w:bottom w:val="single" w:sz="4" w:space="0" w:color="C9C9C9" w:themeColor="accent3" w:themeTint="99"/>
        </w:tcBorders>
      </w:tcPr>
    </w:tblStylePr>
    <w:tblStylePr w:type="seCell">
      <w:rPr>
        <w:rFonts w:cs="Times New Roman"/>
      </w:rPr>
      <w:tblPr/>
      <w:tcPr>
        <w:tcBorders>
          <w:top w:val="single" w:sz="4" w:space="0" w:color="C9C9C9" w:themeColor="accent3" w:themeTint="99"/>
        </w:tcBorders>
      </w:tcPr>
    </w:tblStylePr>
    <w:tblStylePr w:type="swCell">
      <w:rPr>
        <w:rFonts w:cs="Times New Roman"/>
      </w:rPr>
      <w:tblPr/>
      <w:tcPr>
        <w:tcBorders>
          <w:top w:val="single" w:sz="4" w:space="0" w:color="C9C9C9" w:themeColor="accent3" w:themeTint="99"/>
        </w:tcBorders>
      </w:tcPr>
    </w:tblStylePr>
  </w:style>
  <w:style w:type="table" w:customStyle="1" w:styleId="GridTable3-Accent410">
    <w:name w:val="Grid Table 3 - Accent 41"/>
    <w:basedOn w:val="TableNormal"/>
    <w:uiPriority w:val="48"/>
    <w:rsid w:val="00316B0A"/>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bottom w:val="single" w:sz="4" w:space="0" w:color="D3B8D9" w:themeColor="accent4" w:themeTint="99"/>
        </w:tcBorders>
      </w:tcPr>
    </w:tblStylePr>
    <w:tblStylePr w:type="nwCell">
      <w:rPr>
        <w:rFonts w:cs="Times New Roman"/>
      </w:rPr>
      <w:tblPr/>
      <w:tcPr>
        <w:tcBorders>
          <w:bottom w:val="single" w:sz="4" w:space="0" w:color="D3B8D9" w:themeColor="accent4" w:themeTint="99"/>
        </w:tcBorders>
      </w:tcPr>
    </w:tblStylePr>
    <w:tblStylePr w:type="seCell">
      <w:rPr>
        <w:rFonts w:cs="Times New Roman"/>
      </w:rPr>
      <w:tblPr/>
      <w:tcPr>
        <w:tcBorders>
          <w:top w:val="single" w:sz="4" w:space="0" w:color="D3B8D9" w:themeColor="accent4" w:themeTint="99"/>
        </w:tcBorders>
      </w:tcPr>
    </w:tblStylePr>
    <w:tblStylePr w:type="swCell">
      <w:rPr>
        <w:rFonts w:cs="Times New Roman"/>
      </w:rPr>
      <w:tblPr/>
      <w:tcPr>
        <w:tcBorders>
          <w:top w:val="single" w:sz="4" w:space="0" w:color="D3B8D9" w:themeColor="accent4" w:themeTint="99"/>
        </w:tcBorders>
      </w:tcPr>
    </w:tblStylePr>
  </w:style>
  <w:style w:type="table" w:customStyle="1" w:styleId="GridTable3-Accent510">
    <w:name w:val="Grid Table 3 - Accent 51"/>
    <w:basedOn w:val="TableNormal"/>
    <w:uiPriority w:val="48"/>
    <w:rsid w:val="00316B0A"/>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bottom w:val="single" w:sz="4" w:space="0" w:color="FFBB59" w:themeColor="accent5" w:themeTint="99"/>
        </w:tcBorders>
      </w:tcPr>
    </w:tblStylePr>
    <w:tblStylePr w:type="nwCell">
      <w:rPr>
        <w:rFonts w:cs="Times New Roman"/>
      </w:rPr>
      <w:tblPr/>
      <w:tcPr>
        <w:tcBorders>
          <w:bottom w:val="single" w:sz="4" w:space="0" w:color="FFBB59" w:themeColor="accent5" w:themeTint="99"/>
        </w:tcBorders>
      </w:tcPr>
    </w:tblStylePr>
    <w:tblStylePr w:type="seCell">
      <w:rPr>
        <w:rFonts w:cs="Times New Roman"/>
      </w:rPr>
      <w:tblPr/>
      <w:tcPr>
        <w:tcBorders>
          <w:top w:val="single" w:sz="4" w:space="0" w:color="FFBB59" w:themeColor="accent5" w:themeTint="99"/>
        </w:tcBorders>
      </w:tcPr>
    </w:tblStylePr>
    <w:tblStylePr w:type="swCell">
      <w:rPr>
        <w:rFonts w:cs="Times New Roman"/>
      </w:rPr>
      <w:tblPr/>
      <w:tcPr>
        <w:tcBorders>
          <w:top w:val="single" w:sz="4" w:space="0" w:color="FFBB59" w:themeColor="accent5" w:themeTint="99"/>
        </w:tcBorders>
      </w:tcPr>
    </w:tblStylePr>
  </w:style>
  <w:style w:type="table" w:customStyle="1" w:styleId="GridTable3-Accent610">
    <w:name w:val="Grid Table 3 - Accent 61"/>
    <w:basedOn w:val="TableNormal"/>
    <w:uiPriority w:val="48"/>
    <w:rsid w:val="00316B0A"/>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bottom w:val="single" w:sz="4" w:space="0" w:color="D8D8D8" w:themeColor="accent6" w:themeTint="99"/>
        </w:tcBorders>
      </w:tcPr>
    </w:tblStylePr>
    <w:tblStylePr w:type="nwCell">
      <w:rPr>
        <w:rFonts w:cs="Times New Roman"/>
      </w:rPr>
      <w:tblPr/>
      <w:tcPr>
        <w:tcBorders>
          <w:bottom w:val="single" w:sz="4" w:space="0" w:color="D8D8D8" w:themeColor="accent6" w:themeTint="99"/>
        </w:tcBorders>
      </w:tcPr>
    </w:tblStylePr>
    <w:tblStylePr w:type="seCell">
      <w:rPr>
        <w:rFonts w:cs="Times New Roman"/>
      </w:rPr>
      <w:tblPr/>
      <w:tcPr>
        <w:tcBorders>
          <w:top w:val="single" w:sz="4" w:space="0" w:color="D8D8D8" w:themeColor="accent6" w:themeTint="99"/>
        </w:tcBorders>
      </w:tcPr>
    </w:tblStylePr>
    <w:tblStylePr w:type="swCell">
      <w:rPr>
        <w:rFonts w:cs="Times New Roman"/>
      </w:rPr>
      <w:tblPr/>
      <w:tcPr>
        <w:tcBorders>
          <w:top w:val="single" w:sz="4" w:space="0" w:color="D8D8D8" w:themeColor="accent6" w:themeTint="99"/>
        </w:tcBorders>
      </w:tcPr>
    </w:tblStylePr>
  </w:style>
  <w:style w:type="table" w:customStyle="1" w:styleId="GridTable410">
    <w:name w:val="Grid Table 41"/>
    <w:basedOn w:val="TableNormal"/>
    <w:uiPriority w:val="49"/>
    <w:rsid w:val="00316B0A"/>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4-Accent110">
    <w:name w:val="Grid Table 4 - Accent 11"/>
    <w:basedOn w:val="TableNormal"/>
    <w:uiPriority w:val="49"/>
    <w:rsid w:val="00316B0A"/>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rFonts w:cs="Times New Roman"/>
        <w:b/>
        <w:bCs/>
      </w:rPr>
      <w:tblPr/>
      <w:tcPr>
        <w:tcBorders>
          <w:top w:val="double" w:sz="4"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4-Accent210">
    <w:name w:val="Grid Table 4 - Accent 21"/>
    <w:basedOn w:val="TableNormal"/>
    <w:uiPriority w:val="49"/>
    <w:rsid w:val="00316B0A"/>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rFonts w:cs="Times New Roman"/>
        <w:b/>
        <w:bCs/>
      </w:rPr>
      <w:tblPr/>
      <w:tcPr>
        <w:tcBorders>
          <w:top w:val="double" w:sz="4"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4-Accent310">
    <w:name w:val="Grid Table 4 - Accent 31"/>
    <w:basedOn w:val="TableNormal"/>
    <w:uiPriority w:val="49"/>
    <w:rsid w:val="00316B0A"/>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4-Accent410">
    <w:name w:val="Grid Table 4 - Accent 41"/>
    <w:basedOn w:val="TableNormal"/>
    <w:uiPriority w:val="49"/>
    <w:rsid w:val="00316B0A"/>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rFonts w:cs="Times New Roman"/>
        <w:b/>
        <w:bCs/>
      </w:rPr>
      <w:tblPr/>
      <w:tcPr>
        <w:tcBorders>
          <w:top w:val="double" w:sz="4"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4-Accent510">
    <w:name w:val="Grid Table 4 - Accent 51"/>
    <w:basedOn w:val="TableNormal"/>
    <w:uiPriority w:val="49"/>
    <w:rsid w:val="00316B0A"/>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rFonts w:cs="Times New Roman"/>
        <w:b/>
        <w:bCs/>
      </w:rPr>
      <w:tblPr/>
      <w:tcPr>
        <w:tcBorders>
          <w:top w:val="double" w:sz="4"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4-Accent610">
    <w:name w:val="Grid Table 4 - Accent 61"/>
    <w:basedOn w:val="TableNormal"/>
    <w:uiPriority w:val="49"/>
    <w:rsid w:val="00316B0A"/>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rFonts w:cs="Times New Roman"/>
        <w:b/>
        <w:bCs/>
      </w:rPr>
      <w:tblPr/>
      <w:tcPr>
        <w:tcBorders>
          <w:top w:val="double" w:sz="4"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5Dark10">
    <w:name w:val="Grid Table 5 Dark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rPr>
        <w:rFonts w:cs="Times New Roman"/>
      </w:rPr>
      <w:tblPr/>
      <w:tcPr>
        <w:shd w:val="clear" w:color="auto" w:fill="999999" w:themeFill="text1" w:themeFillTint="66"/>
      </w:tcPr>
    </w:tblStylePr>
    <w:tblStylePr w:type="band1Horz">
      <w:rPr>
        <w:rFonts w:cs="Times New Roman"/>
      </w:rPr>
      <w:tblPr/>
      <w:tcPr>
        <w:shd w:val="clear" w:color="auto" w:fill="999999" w:themeFill="text1" w:themeFillTint="66"/>
      </w:tcPr>
    </w:tblStylePr>
  </w:style>
  <w:style w:type="table" w:customStyle="1" w:styleId="GridTable5Dark-Accent110">
    <w:name w:val="Grid Table 5 Dark - Accent 1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rPr>
        <w:rFonts w:cs="Times New Roman"/>
      </w:rPr>
      <w:tblPr/>
      <w:tcPr>
        <w:shd w:val="clear" w:color="auto" w:fill="D5BBDB" w:themeFill="accent1" w:themeFillTint="66"/>
      </w:tcPr>
    </w:tblStylePr>
    <w:tblStylePr w:type="band1Horz">
      <w:rPr>
        <w:rFonts w:cs="Times New Roman"/>
      </w:rPr>
      <w:tblPr/>
      <w:tcPr>
        <w:shd w:val="clear" w:color="auto" w:fill="D5BBDB" w:themeFill="accent1" w:themeFillTint="66"/>
      </w:tcPr>
    </w:tblStylePr>
  </w:style>
  <w:style w:type="table" w:customStyle="1" w:styleId="GridTable5Dark-Accent210">
    <w:name w:val="Grid Table 5 Dark - Accent 2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rPr>
        <w:rFonts w:cs="Times New Roman"/>
      </w:rPr>
      <w:tblPr/>
      <w:tcPr>
        <w:shd w:val="clear" w:color="auto" w:fill="FFDEB0" w:themeFill="accent2" w:themeFillTint="66"/>
      </w:tcPr>
    </w:tblStylePr>
    <w:tblStylePr w:type="band1Horz">
      <w:rPr>
        <w:rFonts w:cs="Times New Roman"/>
      </w:rPr>
      <w:tblPr/>
      <w:tcPr>
        <w:shd w:val="clear" w:color="auto" w:fill="FFDEB0" w:themeFill="accent2" w:themeFillTint="66"/>
      </w:tcPr>
    </w:tblStylePr>
  </w:style>
  <w:style w:type="table" w:customStyle="1" w:styleId="GridTable5Dark-Accent310">
    <w:name w:val="Grid Table 5 Dark - Accent 3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rPr>
        <w:rFonts w:cs="Times New Roman"/>
      </w:rPr>
      <w:tblPr/>
      <w:tcPr>
        <w:shd w:val="clear" w:color="auto" w:fill="DBDBDB" w:themeFill="accent3" w:themeFillTint="66"/>
      </w:tcPr>
    </w:tblStylePr>
    <w:tblStylePr w:type="band1Horz">
      <w:rPr>
        <w:rFonts w:cs="Times New Roman"/>
      </w:rPr>
      <w:tblPr/>
      <w:tcPr>
        <w:shd w:val="clear" w:color="auto" w:fill="DBDBDB" w:themeFill="accent3" w:themeFillTint="66"/>
      </w:tcPr>
    </w:tblStylePr>
  </w:style>
  <w:style w:type="table" w:customStyle="1" w:styleId="GridTable5Dark-Accent410">
    <w:name w:val="Grid Table 5 Dark - Accent 4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rPr>
        <w:rFonts w:cs="Times New Roman"/>
      </w:rPr>
      <w:tblPr/>
      <w:tcPr>
        <w:shd w:val="clear" w:color="auto" w:fill="E1CFE6" w:themeFill="accent4" w:themeFillTint="66"/>
      </w:tcPr>
    </w:tblStylePr>
    <w:tblStylePr w:type="band1Horz">
      <w:rPr>
        <w:rFonts w:cs="Times New Roman"/>
      </w:rPr>
      <w:tblPr/>
      <w:tcPr>
        <w:shd w:val="clear" w:color="auto" w:fill="E1CFE6" w:themeFill="accent4" w:themeFillTint="66"/>
      </w:tcPr>
    </w:tblStylePr>
  </w:style>
  <w:style w:type="table" w:customStyle="1" w:styleId="GridTable5Dark-Accent510">
    <w:name w:val="Grid Table 5 Dark - Accent 5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rPr>
        <w:rFonts w:cs="Times New Roman"/>
      </w:rPr>
      <w:tblPr/>
      <w:tcPr>
        <w:shd w:val="clear" w:color="auto" w:fill="FFD190" w:themeFill="accent5" w:themeFillTint="66"/>
      </w:tcPr>
    </w:tblStylePr>
    <w:tblStylePr w:type="band1Horz">
      <w:rPr>
        <w:rFonts w:cs="Times New Roman"/>
      </w:rPr>
      <w:tblPr/>
      <w:tcPr>
        <w:shd w:val="clear" w:color="auto" w:fill="FFD190" w:themeFill="accent5" w:themeFillTint="66"/>
      </w:tcPr>
    </w:tblStylePr>
  </w:style>
  <w:style w:type="table" w:customStyle="1" w:styleId="GridTable5Dark-Accent610">
    <w:name w:val="Grid Table 5 Dark - Accent 61"/>
    <w:basedOn w:val="TableNormal"/>
    <w:uiPriority w:val="50"/>
    <w:rsid w:val="00316B0A"/>
    <w:pPr>
      <w:spacing w:after="0" w:line="240" w:lineRule="auto"/>
    </w:pPr>
    <w:rPr>
      <w:rFonts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rPr>
        <w:rFonts w:cs="Times New Roman"/>
      </w:rPr>
      <w:tblPr/>
      <w:tcPr>
        <w:shd w:val="clear" w:color="auto" w:fill="E5E5E5" w:themeFill="accent6" w:themeFillTint="66"/>
      </w:tcPr>
    </w:tblStylePr>
    <w:tblStylePr w:type="band1Horz">
      <w:rPr>
        <w:rFonts w:cs="Times New Roman"/>
      </w:rPr>
      <w:tblPr/>
      <w:tcPr>
        <w:shd w:val="clear" w:color="auto" w:fill="E5E5E5" w:themeFill="accent6" w:themeFillTint="66"/>
      </w:tcPr>
    </w:tblStylePr>
  </w:style>
  <w:style w:type="table" w:customStyle="1" w:styleId="GridTable6Colorful10">
    <w:name w:val="Grid Table 6 Colorful1"/>
    <w:basedOn w:val="TableNormal"/>
    <w:uiPriority w:val="51"/>
    <w:rsid w:val="00316B0A"/>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GridTable6Colorful-Accent110">
    <w:name w:val="Grid Table 6 Colorful - Accent 11"/>
    <w:basedOn w:val="TableNormal"/>
    <w:uiPriority w:val="51"/>
    <w:rsid w:val="00316B0A"/>
    <w:pPr>
      <w:spacing w:after="0" w:line="240" w:lineRule="auto"/>
    </w:pPr>
    <w:rPr>
      <w:rFonts w:cs="Times New Roman"/>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bottom w:val="single" w:sz="12" w:space="0" w:color="C099CA" w:themeColor="accent1" w:themeTint="99"/>
        </w:tcBorders>
      </w:tcPr>
    </w:tblStylePr>
    <w:tblStylePr w:type="lastRow">
      <w:rPr>
        <w:rFonts w:cs="Times New Roman"/>
        <w:b/>
        <w:bCs/>
      </w:rPr>
      <w:tblPr/>
      <w:tcPr>
        <w:tcBorders>
          <w:top w:val="doub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GridTable6Colorful-Accent210">
    <w:name w:val="Grid Table 6 Colorful - Accent 21"/>
    <w:basedOn w:val="TableNormal"/>
    <w:uiPriority w:val="51"/>
    <w:rsid w:val="00316B0A"/>
    <w:pPr>
      <w:spacing w:after="0" w:line="240" w:lineRule="auto"/>
    </w:pPr>
    <w:rPr>
      <w:rFonts w:cs="Times New Roman"/>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bottom w:val="single" w:sz="12" w:space="0" w:color="FFCE89" w:themeColor="accent2" w:themeTint="99"/>
        </w:tcBorders>
      </w:tcPr>
    </w:tblStylePr>
    <w:tblStylePr w:type="lastRow">
      <w:rPr>
        <w:rFonts w:cs="Times New Roman"/>
        <w:b/>
        <w:bCs/>
      </w:rPr>
      <w:tblPr/>
      <w:tcPr>
        <w:tcBorders>
          <w:top w:val="doub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GridTable6Colorful-Accent310">
    <w:name w:val="Grid Table 6 Colorful - Accent 31"/>
    <w:basedOn w:val="TableNormal"/>
    <w:uiPriority w:val="51"/>
    <w:rsid w:val="00316B0A"/>
    <w:pPr>
      <w:spacing w:after="0" w:line="240" w:lineRule="auto"/>
    </w:pPr>
    <w:rPr>
      <w:rFonts w:cs="Times New Roman"/>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GridTable6Colorful-Accent410">
    <w:name w:val="Grid Table 6 Colorful - Accent 41"/>
    <w:basedOn w:val="TableNormal"/>
    <w:uiPriority w:val="51"/>
    <w:rsid w:val="00316B0A"/>
    <w:pPr>
      <w:spacing w:after="0" w:line="240" w:lineRule="auto"/>
    </w:pPr>
    <w:rPr>
      <w:rFonts w:cs="Times New Roman"/>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bottom w:val="single" w:sz="12" w:space="0" w:color="D3B8D9" w:themeColor="accent4" w:themeTint="99"/>
        </w:tcBorders>
      </w:tcPr>
    </w:tblStylePr>
    <w:tblStylePr w:type="lastRow">
      <w:rPr>
        <w:rFonts w:cs="Times New Roman"/>
        <w:b/>
        <w:bCs/>
      </w:rPr>
      <w:tblPr/>
      <w:tcPr>
        <w:tcBorders>
          <w:top w:val="doub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GridTable6Colorful-Accent510">
    <w:name w:val="Grid Table 6 Colorful - Accent 51"/>
    <w:basedOn w:val="TableNormal"/>
    <w:uiPriority w:val="51"/>
    <w:rsid w:val="00316B0A"/>
    <w:pPr>
      <w:spacing w:after="0" w:line="240" w:lineRule="auto"/>
    </w:pPr>
    <w:rPr>
      <w:rFonts w:cs="Times New Roman"/>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bottom w:val="single" w:sz="12" w:space="0" w:color="FFBB59" w:themeColor="accent5" w:themeTint="99"/>
        </w:tcBorders>
      </w:tcPr>
    </w:tblStylePr>
    <w:tblStylePr w:type="lastRow">
      <w:rPr>
        <w:rFonts w:cs="Times New Roman"/>
        <w:b/>
        <w:bCs/>
      </w:rPr>
      <w:tblPr/>
      <w:tcPr>
        <w:tcBorders>
          <w:top w:val="doub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GridTable6Colorful-Accent610">
    <w:name w:val="Grid Table 6 Colorful - Accent 61"/>
    <w:basedOn w:val="TableNormal"/>
    <w:uiPriority w:val="51"/>
    <w:rsid w:val="00316B0A"/>
    <w:pPr>
      <w:spacing w:after="0" w:line="240" w:lineRule="auto"/>
    </w:pPr>
    <w:rPr>
      <w:rFonts w:cs="Times New Roman"/>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bottom w:val="single" w:sz="12" w:space="0" w:color="D8D8D8" w:themeColor="accent6" w:themeTint="99"/>
        </w:tcBorders>
      </w:tcPr>
    </w:tblStylePr>
    <w:tblStylePr w:type="lastRow">
      <w:rPr>
        <w:rFonts w:cs="Times New Roman"/>
        <w:b/>
        <w:bCs/>
      </w:rPr>
      <w:tblPr/>
      <w:tcPr>
        <w:tcBorders>
          <w:top w:val="doub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GridTable7Colorful10">
    <w:name w:val="Grid Table 7 Colorful1"/>
    <w:basedOn w:val="TableNormal"/>
    <w:uiPriority w:val="52"/>
    <w:rsid w:val="00316B0A"/>
    <w:pPr>
      <w:spacing w:after="0" w:line="240" w:lineRule="auto"/>
    </w:pPr>
    <w:rPr>
      <w:rFonts w:cs="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bottom w:val="single" w:sz="4" w:space="0" w:color="666666" w:themeColor="text1" w:themeTint="99"/>
        </w:tcBorders>
      </w:tcPr>
    </w:tblStylePr>
    <w:tblStylePr w:type="nwCell">
      <w:rPr>
        <w:rFonts w:cs="Times New Roman"/>
      </w:rPr>
      <w:tblPr/>
      <w:tcPr>
        <w:tcBorders>
          <w:bottom w:val="single" w:sz="4" w:space="0" w:color="666666" w:themeColor="text1" w:themeTint="99"/>
        </w:tcBorders>
      </w:tcPr>
    </w:tblStylePr>
    <w:tblStylePr w:type="seCell">
      <w:rPr>
        <w:rFonts w:cs="Times New Roman"/>
      </w:rPr>
      <w:tblPr/>
      <w:tcPr>
        <w:tcBorders>
          <w:top w:val="single" w:sz="4" w:space="0" w:color="666666" w:themeColor="text1" w:themeTint="99"/>
        </w:tcBorders>
      </w:tcPr>
    </w:tblStylePr>
    <w:tblStylePr w:type="swCell">
      <w:rPr>
        <w:rFonts w:cs="Times New Roman"/>
      </w:rPr>
      <w:tblPr/>
      <w:tcPr>
        <w:tcBorders>
          <w:top w:val="single" w:sz="4" w:space="0" w:color="666666" w:themeColor="text1" w:themeTint="99"/>
        </w:tcBorders>
      </w:tcPr>
    </w:tblStylePr>
  </w:style>
  <w:style w:type="table" w:customStyle="1" w:styleId="GridTable7Colorful-Accent110">
    <w:name w:val="Grid Table 7 Colorful - Accent 11"/>
    <w:basedOn w:val="TableNormal"/>
    <w:uiPriority w:val="52"/>
    <w:rsid w:val="00316B0A"/>
    <w:pPr>
      <w:spacing w:after="0" w:line="240" w:lineRule="auto"/>
    </w:pPr>
    <w:rPr>
      <w:rFonts w:cs="Times New Roman"/>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bottom w:val="single" w:sz="4" w:space="0" w:color="C099CA" w:themeColor="accent1" w:themeTint="99"/>
        </w:tcBorders>
      </w:tcPr>
    </w:tblStylePr>
    <w:tblStylePr w:type="nwCell">
      <w:rPr>
        <w:rFonts w:cs="Times New Roman"/>
      </w:rPr>
      <w:tblPr/>
      <w:tcPr>
        <w:tcBorders>
          <w:bottom w:val="single" w:sz="4" w:space="0" w:color="C099CA" w:themeColor="accent1" w:themeTint="99"/>
        </w:tcBorders>
      </w:tcPr>
    </w:tblStylePr>
    <w:tblStylePr w:type="seCell">
      <w:rPr>
        <w:rFonts w:cs="Times New Roman"/>
      </w:rPr>
      <w:tblPr/>
      <w:tcPr>
        <w:tcBorders>
          <w:top w:val="single" w:sz="4" w:space="0" w:color="C099CA" w:themeColor="accent1" w:themeTint="99"/>
        </w:tcBorders>
      </w:tcPr>
    </w:tblStylePr>
    <w:tblStylePr w:type="swCell">
      <w:rPr>
        <w:rFonts w:cs="Times New Roman"/>
      </w:rPr>
      <w:tblPr/>
      <w:tcPr>
        <w:tcBorders>
          <w:top w:val="single" w:sz="4" w:space="0" w:color="C099CA" w:themeColor="accent1" w:themeTint="99"/>
        </w:tcBorders>
      </w:tcPr>
    </w:tblStylePr>
  </w:style>
  <w:style w:type="table" w:customStyle="1" w:styleId="GridTable7Colorful-Accent210">
    <w:name w:val="Grid Table 7 Colorful - Accent 21"/>
    <w:basedOn w:val="TableNormal"/>
    <w:uiPriority w:val="52"/>
    <w:rsid w:val="00316B0A"/>
    <w:pPr>
      <w:spacing w:after="0" w:line="240" w:lineRule="auto"/>
    </w:pPr>
    <w:rPr>
      <w:rFonts w:cs="Times New Roman"/>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bottom w:val="single" w:sz="4" w:space="0" w:color="FFCE89" w:themeColor="accent2" w:themeTint="99"/>
        </w:tcBorders>
      </w:tcPr>
    </w:tblStylePr>
    <w:tblStylePr w:type="nwCell">
      <w:rPr>
        <w:rFonts w:cs="Times New Roman"/>
      </w:rPr>
      <w:tblPr/>
      <w:tcPr>
        <w:tcBorders>
          <w:bottom w:val="single" w:sz="4" w:space="0" w:color="FFCE89" w:themeColor="accent2" w:themeTint="99"/>
        </w:tcBorders>
      </w:tcPr>
    </w:tblStylePr>
    <w:tblStylePr w:type="seCell">
      <w:rPr>
        <w:rFonts w:cs="Times New Roman"/>
      </w:rPr>
      <w:tblPr/>
      <w:tcPr>
        <w:tcBorders>
          <w:top w:val="single" w:sz="4" w:space="0" w:color="FFCE89" w:themeColor="accent2" w:themeTint="99"/>
        </w:tcBorders>
      </w:tcPr>
    </w:tblStylePr>
    <w:tblStylePr w:type="swCell">
      <w:rPr>
        <w:rFonts w:cs="Times New Roman"/>
      </w:rPr>
      <w:tblPr/>
      <w:tcPr>
        <w:tcBorders>
          <w:top w:val="single" w:sz="4" w:space="0" w:color="FFCE89" w:themeColor="accent2" w:themeTint="99"/>
        </w:tcBorders>
      </w:tcPr>
    </w:tblStylePr>
  </w:style>
  <w:style w:type="table" w:customStyle="1" w:styleId="GridTable7Colorful-Accent310">
    <w:name w:val="Grid Table 7 Colorful - Accent 31"/>
    <w:basedOn w:val="TableNormal"/>
    <w:uiPriority w:val="52"/>
    <w:rsid w:val="00316B0A"/>
    <w:pPr>
      <w:spacing w:after="0" w:line="240" w:lineRule="auto"/>
    </w:pPr>
    <w:rPr>
      <w:rFonts w:cs="Times New Roman"/>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bottom w:val="single" w:sz="4" w:space="0" w:color="C9C9C9" w:themeColor="accent3" w:themeTint="99"/>
        </w:tcBorders>
      </w:tcPr>
    </w:tblStylePr>
    <w:tblStylePr w:type="nwCell">
      <w:rPr>
        <w:rFonts w:cs="Times New Roman"/>
      </w:rPr>
      <w:tblPr/>
      <w:tcPr>
        <w:tcBorders>
          <w:bottom w:val="single" w:sz="4" w:space="0" w:color="C9C9C9" w:themeColor="accent3" w:themeTint="99"/>
        </w:tcBorders>
      </w:tcPr>
    </w:tblStylePr>
    <w:tblStylePr w:type="seCell">
      <w:rPr>
        <w:rFonts w:cs="Times New Roman"/>
      </w:rPr>
      <w:tblPr/>
      <w:tcPr>
        <w:tcBorders>
          <w:top w:val="single" w:sz="4" w:space="0" w:color="C9C9C9" w:themeColor="accent3" w:themeTint="99"/>
        </w:tcBorders>
      </w:tcPr>
    </w:tblStylePr>
    <w:tblStylePr w:type="swCell">
      <w:rPr>
        <w:rFonts w:cs="Times New Roman"/>
      </w:rPr>
      <w:tblPr/>
      <w:tcPr>
        <w:tcBorders>
          <w:top w:val="single" w:sz="4" w:space="0" w:color="C9C9C9" w:themeColor="accent3" w:themeTint="99"/>
        </w:tcBorders>
      </w:tcPr>
    </w:tblStylePr>
  </w:style>
  <w:style w:type="table" w:customStyle="1" w:styleId="GridTable7Colorful-Accent410">
    <w:name w:val="Grid Table 7 Colorful - Accent 41"/>
    <w:basedOn w:val="TableNormal"/>
    <w:uiPriority w:val="52"/>
    <w:rsid w:val="00316B0A"/>
    <w:pPr>
      <w:spacing w:after="0" w:line="240" w:lineRule="auto"/>
    </w:pPr>
    <w:rPr>
      <w:rFonts w:cs="Times New Roman"/>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bottom w:val="single" w:sz="4" w:space="0" w:color="D3B8D9" w:themeColor="accent4" w:themeTint="99"/>
        </w:tcBorders>
      </w:tcPr>
    </w:tblStylePr>
    <w:tblStylePr w:type="nwCell">
      <w:rPr>
        <w:rFonts w:cs="Times New Roman"/>
      </w:rPr>
      <w:tblPr/>
      <w:tcPr>
        <w:tcBorders>
          <w:bottom w:val="single" w:sz="4" w:space="0" w:color="D3B8D9" w:themeColor="accent4" w:themeTint="99"/>
        </w:tcBorders>
      </w:tcPr>
    </w:tblStylePr>
    <w:tblStylePr w:type="seCell">
      <w:rPr>
        <w:rFonts w:cs="Times New Roman"/>
      </w:rPr>
      <w:tblPr/>
      <w:tcPr>
        <w:tcBorders>
          <w:top w:val="single" w:sz="4" w:space="0" w:color="D3B8D9" w:themeColor="accent4" w:themeTint="99"/>
        </w:tcBorders>
      </w:tcPr>
    </w:tblStylePr>
    <w:tblStylePr w:type="swCell">
      <w:rPr>
        <w:rFonts w:cs="Times New Roman"/>
      </w:rPr>
      <w:tblPr/>
      <w:tcPr>
        <w:tcBorders>
          <w:top w:val="single" w:sz="4" w:space="0" w:color="D3B8D9" w:themeColor="accent4" w:themeTint="99"/>
        </w:tcBorders>
      </w:tcPr>
    </w:tblStylePr>
  </w:style>
  <w:style w:type="table" w:customStyle="1" w:styleId="GridTable7Colorful-Accent510">
    <w:name w:val="Grid Table 7 Colorful - Accent 51"/>
    <w:basedOn w:val="TableNormal"/>
    <w:uiPriority w:val="52"/>
    <w:rsid w:val="00316B0A"/>
    <w:pPr>
      <w:spacing w:after="0" w:line="240" w:lineRule="auto"/>
    </w:pPr>
    <w:rPr>
      <w:rFonts w:cs="Times New Roman"/>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bottom w:val="single" w:sz="4" w:space="0" w:color="FFBB59" w:themeColor="accent5" w:themeTint="99"/>
        </w:tcBorders>
      </w:tcPr>
    </w:tblStylePr>
    <w:tblStylePr w:type="nwCell">
      <w:rPr>
        <w:rFonts w:cs="Times New Roman"/>
      </w:rPr>
      <w:tblPr/>
      <w:tcPr>
        <w:tcBorders>
          <w:bottom w:val="single" w:sz="4" w:space="0" w:color="FFBB59" w:themeColor="accent5" w:themeTint="99"/>
        </w:tcBorders>
      </w:tcPr>
    </w:tblStylePr>
    <w:tblStylePr w:type="seCell">
      <w:rPr>
        <w:rFonts w:cs="Times New Roman"/>
      </w:rPr>
      <w:tblPr/>
      <w:tcPr>
        <w:tcBorders>
          <w:top w:val="single" w:sz="4" w:space="0" w:color="FFBB59" w:themeColor="accent5" w:themeTint="99"/>
        </w:tcBorders>
      </w:tcPr>
    </w:tblStylePr>
    <w:tblStylePr w:type="swCell">
      <w:rPr>
        <w:rFonts w:cs="Times New Roman"/>
      </w:rPr>
      <w:tblPr/>
      <w:tcPr>
        <w:tcBorders>
          <w:top w:val="single" w:sz="4" w:space="0" w:color="FFBB59" w:themeColor="accent5" w:themeTint="99"/>
        </w:tcBorders>
      </w:tcPr>
    </w:tblStylePr>
  </w:style>
  <w:style w:type="table" w:customStyle="1" w:styleId="GridTable7Colorful-Accent610">
    <w:name w:val="Grid Table 7 Colorful - Accent 61"/>
    <w:basedOn w:val="TableNormal"/>
    <w:uiPriority w:val="52"/>
    <w:rsid w:val="00316B0A"/>
    <w:pPr>
      <w:spacing w:after="0" w:line="240" w:lineRule="auto"/>
    </w:pPr>
    <w:rPr>
      <w:rFonts w:cs="Times New Roman"/>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bottom w:val="single" w:sz="4" w:space="0" w:color="D8D8D8" w:themeColor="accent6" w:themeTint="99"/>
        </w:tcBorders>
      </w:tcPr>
    </w:tblStylePr>
    <w:tblStylePr w:type="nwCell">
      <w:rPr>
        <w:rFonts w:cs="Times New Roman"/>
      </w:rPr>
      <w:tblPr/>
      <w:tcPr>
        <w:tcBorders>
          <w:bottom w:val="single" w:sz="4" w:space="0" w:color="D8D8D8" w:themeColor="accent6" w:themeTint="99"/>
        </w:tcBorders>
      </w:tcPr>
    </w:tblStylePr>
    <w:tblStylePr w:type="seCell">
      <w:rPr>
        <w:rFonts w:cs="Times New Roman"/>
      </w:rPr>
      <w:tblPr/>
      <w:tcPr>
        <w:tcBorders>
          <w:top w:val="single" w:sz="4" w:space="0" w:color="D8D8D8" w:themeColor="accent6" w:themeTint="99"/>
        </w:tcBorders>
      </w:tcPr>
    </w:tblStylePr>
    <w:tblStylePr w:type="swCell">
      <w:rPr>
        <w:rFonts w:cs="Times New Roman"/>
      </w:rPr>
      <w:tblPr/>
      <w:tcPr>
        <w:tcBorders>
          <w:top w:val="single" w:sz="4" w:space="0" w:color="D8D8D8" w:themeColor="accent6" w:themeTint="99"/>
        </w:tcBorders>
      </w:tcPr>
    </w:tblStylePr>
  </w:style>
  <w:style w:type="table" w:customStyle="1" w:styleId="ListTable1Light10">
    <w:name w:val="List Table 1 Light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1Light-Accent110">
    <w:name w:val="List Table 1 Light - Accent 1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C099CA" w:themeColor="accent1" w:themeTint="99"/>
        </w:tcBorders>
      </w:tcPr>
    </w:tblStylePr>
    <w:tblStylePr w:type="lastRow">
      <w:rPr>
        <w:rFonts w:cs="Times New Roman"/>
        <w:b/>
        <w:bCs/>
      </w:rPr>
      <w:tblPr/>
      <w:tcPr>
        <w:tcBorders>
          <w:top w:val="sing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1Light-Accent210">
    <w:name w:val="List Table 1 Light - Accent 2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FFCE89" w:themeColor="accent2" w:themeTint="99"/>
        </w:tcBorders>
      </w:tcPr>
    </w:tblStylePr>
    <w:tblStylePr w:type="lastRow">
      <w:rPr>
        <w:rFonts w:cs="Times New Roman"/>
        <w:b/>
        <w:bCs/>
      </w:rPr>
      <w:tblPr/>
      <w:tcPr>
        <w:tcBorders>
          <w:top w:val="sing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1Light-Accent310">
    <w:name w:val="List Table 1 Light - Accent 3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C9C9C9" w:themeColor="accent3" w:themeTint="99"/>
        </w:tcBorders>
      </w:tcPr>
    </w:tblStylePr>
    <w:tblStylePr w:type="lastRow">
      <w:rPr>
        <w:rFonts w:cs="Times New Roman"/>
        <w:b/>
        <w:bCs/>
      </w:rPr>
      <w:tblPr/>
      <w:tcPr>
        <w:tcBorders>
          <w:top w:val="sing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1Light-Accent410">
    <w:name w:val="List Table 1 Light - Accent 4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D3B8D9" w:themeColor="accent4" w:themeTint="99"/>
        </w:tcBorders>
      </w:tcPr>
    </w:tblStylePr>
    <w:tblStylePr w:type="lastRow">
      <w:rPr>
        <w:rFonts w:cs="Times New Roman"/>
        <w:b/>
        <w:bCs/>
      </w:rPr>
      <w:tblPr/>
      <w:tcPr>
        <w:tcBorders>
          <w:top w:val="sing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1Light-Accent510">
    <w:name w:val="List Table 1 Light - Accent 5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FFBB59" w:themeColor="accent5" w:themeTint="99"/>
        </w:tcBorders>
      </w:tcPr>
    </w:tblStylePr>
    <w:tblStylePr w:type="lastRow">
      <w:rPr>
        <w:rFonts w:cs="Times New Roman"/>
        <w:b/>
        <w:bCs/>
      </w:rPr>
      <w:tblPr/>
      <w:tcPr>
        <w:tcBorders>
          <w:top w:val="sing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1Light-Accent610">
    <w:name w:val="List Table 1 Light - Accent 61"/>
    <w:basedOn w:val="TableNormal"/>
    <w:uiPriority w:val="46"/>
    <w:rsid w:val="00316B0A"/>
    <w:pPr>
      <w:spacing w:after="0" w:line="240" w:lineRule="auto"/>
    </w:pPr>
    <w:rPr>
      <w:rFonts w:cs="Times New Roman"/>
    </w:rPr>
    <w:tblPr>
      <w:tblStyleRowBandSize w:val="1"/>
      <w:tblStyleColBandSize w:val="1"/>
    </w:tblPr>
    <w:tblStylePr w:type="firstRow">
      <w:rPr>
        <w:rFonts w:cs="Times New Roman"/>
        <w:b/>
        <w:bCs/>
      </w:rPr>
      <w:tblPr/>
      <w:tcPr>
        <w:tcBorders>
          <w:bottom w:val="single" w:sz="4" w:space="0" w:color="D8D8D8" w:themeColor="accent6" w:themeTint="99"/>
        </w:tcBorders>
      </w:tcPr>
    </w:tblStylePr>
    <w:tblStylePr w:type="lastRow">
      <w:rPr>
        <w:rFonts w:cs="Times New Roman"/>
        <w:b/>
        <w:bCs/>
      </w:rPr>
      <w:tblPr/>
      <w:tcPr>
        <w:tcBorders>
          <w:top w:val="sing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210">
    <w:name w:val="List Table 21"/>
    <w:basedOn w:val="TableNormal"/>
    <w:uiPriority w:val="47"/>
    <w:rsid w:val="00316B0A"/>
    <w:pPr>
      <w:spacing w:after="0" w:line="240" w:lineRule="auto"/>
    </w:pPr>
    <w:rPr>
      <w:rFonts w:cs="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2-Accent110">
    <w:name w:val="List Table 2 - Accent 11"/>
    <w:basedOn w:val="TableNormal"/>
    <w:uiPriority w:val="47"/>
    <w:rsid w:val="00316B0A"/>
    <w:pPr>
      <w:spacing w:after="0" w:line="240" w:lineRule="auto"/>
    </w:pPr>
    <w:rPr>
      <w:rFonts w:cs="Times New Roman"/>
    </w:r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2-Accent210">
    <w:name w:val="List Table 2 - Accent 21"/>
    <w:basedOn w:val="TableNormal"/>
    <w:uiPriority w:val="47"/>
    <w:rsid w:val="00316B0A"/>
    <w:pPr>
      <w:spacing w:after="0" w:line="240" w:lineRule="auto"/>
    </w:pPr>
    <w:rPr>
      <w:rFonts w:cs="Times New Roman"/>
    </w:r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2-Accent310">
    <w:name w:val="List Table 2 - Accent 31"/>
    <w:basedOn w:val="TableNormal"/>
    <w:uiPriority w:val="47"/>
    <w:rsid w:val="00316B0A"/>
    <w:pPr>
      <w:spacing w:after="0" w:line="240" w:lineRule="auto"/>
    </w:pPr>
    <w:rPr>
      <w:rFonts w:cs="Times New Roman"/>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2-Accent410">
    <w:name w:val="List Table 2 - Accent 41"/>
    <w:basedOn w:val="TableNormal"/>
    <w:uiPriority w:val="47"/>
    <w:rsid w:val="00316B0A"/>
    <w:pPr>
      <w:spacing w:after="0" w:line="240" w:lineRule="auto"/>
    </w:pPr>
    <w:rPr>
      <w:rFonts w:cs="Times New Roman"/>
    </w:r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2-Accent510">
    <w:name w:val="List Table 2 - Accent 51"/>
    <w:basedOn w:val="TableNormal"/>
    <w:uiPriority w:val="47"/>
    <w:rsid w:val="00316B0A"/>
    <w:pPr>
      <w:spacing w:after="0" w:line="240" w:lineRule="auto"/>
    </w:pPr>
    <w:rPr>
      <w:rFonts w:cs="Times New Roman"/>
    </w:r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2-Accent610">
    <w:name w:val="List Table 2 - Accent 61"/>
    <w:basedOn w:val="TableNormal"/>
    <w:uiPriority w:val="47"/>
    <w:rsid w:val="00316B0A"/>
    <w:pPr>
      <w:spacing w:after="0" w:line="240" w:lineRule="auto"/>
    </w:pPr>
    <w:rPr>
      <w:rFonts w:cs="Times New Roman"/>
    </w:r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310">
    <w:name w:val="List Table 31"/>
    <w:basedOn w:val="TableNormal"/>
    <w:uiPriority w:val="48"/>
    <w:rsid w:val="00316B0A"/>
    <w:pPr>
      <w:spacing w:after="0" w:line="240" w:lineRule="auto"/>
    </w:pPr>
    <w:rPr>
      <w:rFonts w:cs="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cs="Times New Roman"/>
        <w:b/>
        <w:bCs/>
        <w:color w:val="FFFFFF" w:themeColor="background1"/>
      </w:rPr>
      <w:tblPr/>
      <w:tcPr>
        <w:shd w:val="clear" w:color="auto" w:fill="000000" w:themeFill="text1"/>
      </w:tcPr>
    </w:tblStylePr>
    <w:tblStylePr w:type="lastRow">
      <w:rPr>
        <w:rFonts w:cs="Times New Roman"/>
        <w:b/>
        <w:bCs/>
      </w:rPr>
      <w:tblPr/>
      <w:tcPr>
        <w:tcBorders>
          <w:top w:val="double" w:sz="4" w:space="0" w:color="000000" w:themeColor="tex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000000" w:themeColor="text1"/>
          <w:right w:val="single" w:sz="4" w:space="0" w:color="000000" w:themeColor="text1"/>
        </w:tcBorders>
      </w:tcPr>
    </w:tblStylePr>
    <w:tblStylePr w:type="band1Horz">
      <w:rPr>
        <w:rFonts w:cs="Times New Roman"/>
      </w:rPr>
      <w:tblPr/>
      <w:tcPr>
        <w:tcBorders>
          <w:top w:val="single" w:sz="4" w:space="0" w:color="000000" w:themeColor="text1"/>
          <w:bottom w:val="single" w:sz="4" w:space="0" w:color="000000" w:themeColor="tex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000000" w:themeColor="text1"/>
          <w:left w:val="nil"/>
        </w:tcBorders>
      </w:tcPr>
    </w:tblStylePr>
    <w:tblStylePr w:type="swCell">
      <w:rPr>
        <w:rFonts w:cs="Times New Roman"/>
      </w:rPr>
      <w:tblPr/>
      <w:tcPr>
        <w:tcBorders>
          <w:top w:val="double" w:sz="4" w:space="0" w:color="000000" w:themeColor="text1"/>
          <w:right w:val="nil"/>
        </w:tcBorders>
      </w:tcPr>
    </w:tblStylePr>
  </w:style>
  <w:style w:type="table" w:customStyle="1" w:styleId="ListTable3-Accent110">
    <w:name w:val="List Table 3 - Accent 11"/>
    <w:basedOn w:val="TableNormal"/>
    <w:uiPriority w:val="48"/>
    <w:rsid w:val="00316B0A"/>
    <w:pPr>
      <w:spacing w:after="0" w:line="240" w:lineRule="auto"/>
    </w:pPr>
    <w:rPr>
      <w:rFonts w:cs="Times New Roman"/>
    </w:r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rFonts w:cs="Times New Roman"/>
        <w:b/>
        <w:bCs/>
        <w:color w:val="FFFFFF" w:themeColor="background1"/>
      </w:rPr>
      <w:tblPr/>
      <w:tcPr>
        <w:shd w:val="clear" w:color="auto" w:fill="9757A6" w:themeFill="accent1"/>
      </w:tcPr>
    </w:tblStylePr>
    <w:tblStylePr w:type="lastRow">
      <w:rPr>
        <w:rFonts w:cs="Times New Roman"/>
        <w:b/>
        <w:bCs/>
      </w:rPr>
      <w:tblPr/>
      <w:tcPr>
        <w:tcBorders>
          <w:top w:val="double" w:sz="4" w:space="0" w:color="9757A6" w:themeColor="accent1"/>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9757A6" w:themeColor="accent1"/>
          <w:right w:val="single" w:sz="4" w:space="0" w:color="9757A6" w:themeColor="accent1"/>
        </w:tcBorders>
      </w:tcPr>
    </w:tblStylePr>
    <w:tblStylePr w:type="band1Horz">
      <w:rPr>
        <w:rFonts w:cs="Times New Roman"/>
      </w:rPr>
      <w:tblPr/>
      <w:tcPr>
        <w:tcBorders>
          <w:top w:val="single" w:sz="4" w:space="0" w:color="9757A6" w:themeColor="accent1"/>
          <w:bottom w:val="single" w:sz="4" w:space="0" w:color="9757A6" w:themeColor="accent1"/>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9757A6" w:themeColor="accent1"/>
          <w:left w:val="nil"/>
        </w:tcBorders>
      </w:tcPr>
    </w:tblStylePr>
    <w:tblStylePr w:type="swCell">
      <w:rPr>
        <w:rFonts w:cs="Times New Roman"/>
      </w:rPr>
      <w:tblPr/>
      <w:tcPr>
        <w:tcBorders>
          <w:top w:val="double" w:sz="4" w:space="0" w:color="9757A6" w:themeColor="accent1"/>
          <w:right w:val="nil"/>
        </w:tcBorders>
      </w:tcPr>
    </w:tblStylePr>
  </w:style>
  <w:style w:type="table" w:customStyle="1" w:styleId="ListTable3-Accent210">
    <w:name w:val="List Table 3 - Accent 21"/>
    <w:basedOn w:val="TableNormal"/>
    <w:uiPriority w:val="48"/>
    <w:rsid w:val="00316B0A"/>
    <w:pPr>
      <w:spacing w:after="0" w:line="240" w:lineRule="auto"/>
    </w:pPr>
    <w:rPr>
      <w:rFonts w:cs="Times New Roman"/>
    </w:r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rFonts w:cs="Times New Roman"/>
        <w:b/>
        <w:bCs/>
        <w:color w:val="FFFFFF" w:themeColor="background1"/>
      </w:rPr>
      <w:tblPr/>
      <w:tcPr>
        <w:shd w:val="clear" w:color="auto" w:fill="FFAE3B" w:themeFill="accent2"/>
      </w:tcPr>
    </w:tblStylePr>
    <w:tblStylePr w:type="lastRow">
      <w:rPr>
        <w:rFonts w:cs="Times New Roman"/>
        <w:b/>
        <w:bCs/>
      </w:rPr>
      <w:tblPr/>
      <w:tcPr>
        <w:tcBorders>
          <w:top w:val="double" w:sz="4" w:space="0" w:color="FFAE3B"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FFAE3B" w:themeColor="accent2"/>
          <w:right w:val="single" w:sz="4" w:space="0" w:color="FFAE3B" w:themeColor="accent2"/>
        </w:tcBorders>
      </w:tcPr>
    </w:tblStylePr>
    <w:tblStylePr w:type="band1Horz">
      <w:rPr>
        <w:rFonts w:cs="Times New Roman"/>
      </w:rPr>
      <w:tblPr/>
      <w:tcPr>
        <w:tcBorders>
          <w:top w:val="single" w:sz="4" w:space="0" w:color="FFAE3B" w:themeColor="accent2"/>
          <w:bottom w:val="single" w:sz="4" w:space="0" w:color="FFAE3B"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FFAE3B" w:themeColor="accent2"/>
          <w:left w:val="nil"/>
        </w:tcBorders>
      </w:tcPr>
    </w:tblStylePr>
    <w:tblStylePr w:type="swCell">
      <w:rPr>
        <w:rFonts w:cs="Times New Roman"/>
      </w:rPr>
      <w:tblPr/>
      <w:tcPr>
        <w:tcBorders>
          <w:top w:val="double" w:sz="4" w:space="0" w:color="FFAE3B" w:themeColor="accent2"/>
          <w:right w:val="nil"/>
        </w:tcBorders>
      </w:tcPr>
    </w:tblStylePr>
  </w:style>
  <w:style w:type="table" w:customStyle="1" w:styleId="ListTable3-Accent310">
    <w:name w:val="List Table 3 - Accent 31"/>
    <w:basedOn w:val="TableNormal"/>
    <w:uiPriority w:val="48"/>
    <w:rsid w:val="00316B0A"/>
    <w:pPr>
      <w:spacing w:after="0" w:line="240" w:lineRule="auto"/>
    </w:pPr>
    <w:rPr>
      <w:rFonts w:cs="Times New Roman"/>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rFonts w:cs="Times New Roman"/>
        <w:b/>
        <w:bCs/>
        <w:color w:val="FFFFFF" w:themeColor="background1"/>
      </w:rPr>
      <w:tblPr/>
      <w:tcPr>
        <w:shd w:val="clear" w:color="auto" w:fill="A5A5A5" w:themeFill="accent3"/>
      </w:tcPr>
    </w:tblStylePr>
    <w:tblStylePr w:type="lastRow">
      <w:rPr>
        <w:rFonts w:cs="Times New Roman"/>
        <w:b/>
        <w:bCs/>
      </w:rPr>
      <w:tblPr/>
      <w:tcPr>
        <w:tcBorders>
          <w:top w:val="double" w:sz="4" w:space="0" w:color="A5A5A5" w:themeColor="accent3"/>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A5A5A5" w:themeColor="accent3"/>
          <w:right w:val="single" w:sz="4" w:space="0" w:color="A5A5A5" w:themeColor="accent3"/>
        </w:tcBorders>
      </w:tcPr>
    </w:tblStylePr>
    <w:tblStylePr w:type="band1Horz">
      <w:rPr>
        <w:rFonts w:cs="Times New Roman"/>
      </w:rPr>
      <w:tblPr/>
      <w:tcPr>
        <w:tcBorders>
          <w:top w:val="single" w:sz="4" w:space="0" w:color="A5A5A5" w:themeColor="accent3"/>
          <w:bottom w:val="single" w:sz="4" w:space="0" w:color="A5A5A5" w:themeColor="accent3"/>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A5A5A5" w:themeColor="accent3"/>
          <w:left w:val="nil"/>
        </w:tcBorders>
      </w:tcPr>
    </w:tblStylePr>
    <w:tblStylePr w:type="swCell">
      <w:rPr>
        <w:rFonts w:cs="Times New Roman"/>
      </w:rPr>
      <w:tblPr/>
      <w:tcPr>
        <w:tcBorders>
          <w:top w:val="double" w:sz="4" w:space="0" w:color="A5A5A5" w:themeColor="accent3"/>
          <w:right w:val="nil"/>
        </w:tcBorders>
      </w:tcPr>
    </w:tblStylePr>
  </w:style>
  <w:style w:type="table" w:customStyle="1" w:styleId="ListTable3-Accent410">
    <w:name w:val="List Table 3 - Accent 41"/>
    <w:basedOn w:val="TableNormal"/>
    <w:uiPriority w:val="48"/>
    <w:rsid w:val="00316B0A"/>
    <w:pPr>
      <w:spacing w:after="0" w:line="240" w:lineRule="auto"/>
    </w:pPr>
    <w:rPr>
      <w:rFonts w:cs="Times New Roman"/>
    </w:r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rFonts w:cs="Times New Roman"/>
        <w:b/>
        <w:bCs/>
        <w:color w:val="FFFFFF" w:themeColor="background1"/>
      </w:rPr>
      <w:tblPr/>
      <w:tcPr>
        <w:shd w:val="clear" w:color="auto" w:fill="B689C1" w:themeFill="accent4"/>
      </w:tcPr>
    </w:tblStylePr>
    <w:tblStylePr w:type="lastRow">
      <w:rPr>
        <w:rFonts w:cs="Times New Roman"/>
        <w:b/>
        <w:bCs/>
      </w:rPr>
      <w:tblPr/>
      <w:tcPr>
        <w:tcBorders>
          <w:top w:val="double" w:sz="4" w:space="0" w:color="B689C1" w:themeColor="accent4"/>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B689C1" w:themeColor="accent4"/>
          <w:right w:val="single" w:sz="4" w:space="0" w:color="B689C1" w:themeColor="accent4"/>
        </w:tcBorders>
      </w:tcPr>
    </w:tblStylePr>
    <w:tblStylePr w:type="band1Horz">
      <w:rPr>
        <w:rFonts w:cs="Times New Roman"/>
      </w:rPr>
      <w:tblPr/>
      <w:tcPr>
        <w:tcBorders>
          <w:top w:val="single" w:sz="4" w:space="0" w:color="B689C1" w:themeColor="accent4"/>
          <w:bottom w:val="single" w:sz="4" w:space="0" w:color="B689C1" w:themeColor="accent4"/>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B689C1" w:themeColor="accent4"/>
          <w:left w:val="nil"/>
        </w:tcBorders>
      </w:tcPr>
    </w:tblStylePr>
    <w:tblStylePr w:type="swCell">
      <w:rPr>
        <w:rFonts w:cs="Times New Roman"/>
      </w:rPr>
      <w:tblPr/>
      <w:tcPr>
        <w:tcBorders>
          <w:top w:val="double" w:sz="4" w:space="0" w:color="B689C1" w:themeColor="accent4"/>
          <w:right w:val="nil"/>
        </w:tcBorders>
      </w:tcPr>
    </w:tblStylePr>
  </w:style>
  <w:style w:type="table" w:customStyle="1" w:styleId="ListTable3-Accent510">
    <w:name w:val="List Table 3 - Accent 51"/>
    <w:basedOn w:val="TableNormal"/>
    <w:uiPriority w:val="48"/>
    <w:rsid w:val="00316B0A"/>
    <w:pPr>
      <w:spacing w:after="0" w:line="240" w:lineRule="auto"/>
    </w:pPr>
    <w:rPr>
      <w:rFonts w:cs="Times New Roman"/>
    </w:r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rFonts w:cs="Times New Roman"/>
        <w:b/>
        <w:bCs/>
        <w:color w:val="FFFFFF" w:themeColor="background1"/>
      </w:rPr>
      <w:tblPr/>
      <w:tcPr>
        <w:shd w:val="clear" w:color="auto" w:fill="EA8B00" w:themeFill="accent5"/>
      </w:tcPr>
    </w:tblStylePr>
    <w:tblStylePr w:type="lastRow">
      <w:rPr>
        <w:rFonts w:cs="Times New Roman"/>
        <w:b/>
        <w:bCs/>
      </w:rPr>
      <w:tblPr/>
      <w:tcPr>
        <w:tcBorders>
          <w:top w:val="double" w:sz="4" w:space="0" w:color="EA8B00" w:themeColor="accent5"/>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A8B00" w:themeColor="accent5"/>
          <w:right w:val="single" w:sz="4" w:space="0" w:color="EA8B00" w:themeColor="accent5"/>
        </w:tcBorders>
      </w:tcPr>
    </w:tblStylePr>
    <w:tblStylePr w:type="band1Horz">
      <w:rPr>
        <w:rFonts w:cs="Times New Roman"/>
      </w:rPr>
      <w:tblPr/>
      <w:tcPr>
        <w:tcBorders>
          <w:top w:val="single" w:sz="4" w:space="0" w:color="EA8B00" w:themeColor="accent5"/>
          <w:bottom w:val="single" w:sz="4" w:space="0" w:color="EA8B00" w:themeColor="accent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A8B00" w:themeColor="accent5"/>
          <w:left w:val="nil"/>
        </w:tcBorders>
      </w:tcPr>
    </w:tblStylePr>
    <w:tblStylePr w:type="swCell">
      <w:rPr>
        <w:rFonts w:cs="Times New Roman"/>
      </w:rPr>
      <w:tblPr/>
      <w:tcPr>
        <w:tcBorders>
          <w:top w:val="double" w:sz="4" w:space="0" w:color="EA8B00" w:themeColor="accent5"/>
          <w:right w:val="nil"/>
        </w:tcBorders>
      </w:tcPr>
    </w:tblStylePr>
  </w:style>
  <w:style w:type="table" w:customStyle="1" w:styleId="ListTable3-Accent610">
    <w:name w:val="List Table 3 - Accent 61"/>
    <w:basedOn w:val="TableNormal"/>
    <w:uiPriority w:val="48"/>
    <w:rsid w:val="00316B0A"/>
    <w:pPr>
      <w:spacing w:after="0" w:line="240" w:lineRule="auto"/>
    </w:pPr>
    <w:rPr>
      <w:rFonts w:cs="Times New Roman"/>
    </w:r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rFonts w:cs="Times New Roman"/>
        <w:b/>
        <w:bCs/>
        <w:color w:val="FFFFFF" w:themeColor="background1"/>
      </w:rPr>
      <w:tblPr/>
      <w:tcPr>
        <w:shd w:val="clear" w:color="auto" w:fill="BFBFBF" w:themeFill="accent6"/>
      </w:tcPr>
    </w:tblStylePr>
    <w:tblStylePr w:type="lastRow">
      <w:rPr>
        <w:rFonts w:cs="Times New Roman"/>
        <w:b/>
        <w:bCs/>
      </w:rPr>
      <w:tblPr/>
      <w:tcPr>
        <w:tcBorders>
          <w:top w:val="double" w:sz="4" w:space="0" w:color="BFBFBF"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BFBFBF" w:themeColor="accent6"/>
          <w:right w:val="single" w:sz="4" w:space="0" w:color="BFBFBF" w:themeColor="accent6"/>
        </w:tcBorders>
      </w:tcPr>
    </w:tblStylePr>
    <w:tblStylePr w:type="band1Horz">
      <w:rPr>
        <w:rFonts w:cs="Times New Roman"/>
      </w:rPr>
      <w:tblPr/>
      <w:tcPr>
        <w:tcBorders>
          <w:top w:val="single" w:sz="4" w:space="0" w:color="BFBFBF" w:themeColor="accent6"/>
          <w:bottom w:val="single" w:sz="4" w:space="0" w:color="BFBFBF"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BFBFBF" w:themeColor="accent6"/>
          <w:left w:val="nil"/>
        </w:tcBorders>
      </w:tcPr>
    </w:tblStylePr>
    <w:tblStylePr w:type="swCell">
      <w:rPr>
        <w:rFonts w:cs="Times New Roman"/>
      </w:rPr>
      <w:tblPr/>
      <w:tcPr>
        <w:tcBorders>
          <w:top w:val="double" w:sz="4" w:space="0" w:color="BFBFBF" w:themeColor="accent6"/>
          <w:right w:val="nil"/>
        </w:tcBorders>
      </w:tcPr>
    </w:tblStylePr>
  </w:style>
  <w:style w:type="table" w:customStyle="1" w:styleId="ListTable410">
    <w:name w:val="List Table 41"/>
    <w:basedOn w:val="TableNormal"/>
    <w:uiPriority w:val="49"/>
    <w:rsid w:val="00316B0A"/>
    <w:pPr>
      <w:spacing w:after="0" w:line="240" w:lineRule="auto"/>
    </w:pPr>
    <w:rPr>
      <w:rFonts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Times New Roman"/>
        <w:b/>
        <w:bCs/>
      </w:rPr>
      <w:tblPr/>
      <w:tcPr>
        <w:tcBorders>
          <w:top w:val="doub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4-Accent110">
    <w:name w:val="List Table 4 - Accent 11"/>
    <w:basedOn w:val="TableNormal"/>
    <w:uiPriority w:val="49"/>
    <w:rsid w:val="00316B0A"/>
    <w:pPr>
      <w:spacing w:after="0" w:line="240" w:lineRule="auto"/>
    </w:pPr>
    <w:rPr>
      <w:rFonts w:cs="Times New Roman"/>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rFonts w:cs="Times New Roman"/>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rFonts w:cs="Times New Roman"/>
        <w:b/>
        <w:bCs/>
      </w:rPr>
      <w:tblPr/>
      <w:tcPr>
        <w:tcBorders>
          <w:top w:val="double" w:sz="4" w:space="0" w:color="C099CA" w:themeColor="accen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4-Accent210">
    <w:name w:val="List Table 4 - Accent 21"/>
    <w:basedOn w:val="TableNormal"/>
    <w:uiPriority w:val="49"/>
    <w:rsid w:val="00316B0A"/>
    <w:pPr>
      <w:spacing w:after="0" w:line="240" w:lineRule="auto"/>
    </w:pPr>
    <w:rPr>
      <w:rFonts w:cs="Times New Roman"/>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rFonts w:cs="Times New Roman"/>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rFonts w:cs="Times New Roman"/>
        <w:b/>
        <w:bCs/>
      </w:rPr>
      <w:tblPr/>
      <w:tcPr>
        <w:tcBorders>
          <w:top w:val="double" w:sz="4" w:space="0" w:color="FFCE89" w:themeColor="accent2"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4-Accent310">
    <w:name w:val="List Table 4 - Accent 31"/>
    <w:basedOn w:val="TableNormal"/>
    <w:uiPriority w:val="49"/>
    <w:rsid w:val="00316B0A"/>
    <w:pPr>
      <w:spacing w:after="0" w:line="240" w:lineRule="auto"/>
    </w:pPr>
    <w:rPr>
      <w:rFonts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rFonts w:cs="Times New Roman"/>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rFonts w:cs="Times New Roman"/>
        <w:b/>
        <w:bCs/>
      </w:rPr>
      <w:tblPr/>
      <w:tcPr>
        <w:tcBorders>
          <w:top w:val="double" w:sz="4" w:space="0" w:color="C9C9C9" w:themeColor="accent3"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4-Accent410">
    <w:name w:val="List Table 4 - Accent 41"/>
    <w:basedOn w:val="TableNormal"/>
    <w:uiPriority w:val="49"/>
    <w:rsid w:val="00316B0A"/>
    <w:pPr>
      <w:spacing w:after="0" w:line="240" w:lineRule="auto"/>
    </w:pPr>
    <w:rPr>
      <w:rFonts w:cs="Times New Roman"/>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rFonts w:cs="Times New Roman"/>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rFonts w:cs="Times New Roman"/>
        <w:b/>
        <w:bCs/>
      </w:rPr>
      <w:tblPr/>
      <w:tcPr>
        <w:tcBorders>
          <w:top w:val="double" w:sz="4" w:space="0" w:color="D3B8D9" w:themeColor="accent4"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4-Accent510">
    <w:name w:val="List Table 4 - Accent 51"/>
    <w:basedOn w:val="TableNormal"/>
    <w:uiPriority w:val="49"/>
    <w:rsid w:val="00316B0A"/>
    <w:pPr>
      <w:spacing w:after="0" w:line="240" w:lineRule="auto"/>
    </w:pPr>
    <w:rPr>
      <w:rFonts w:cs="Times New Roman"/>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rFonts w:cs="Times New Roman"/>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rFonts w:cs="Times New Roman"/>
        <w:b/>
        <w:bCs/>
      </w:rPr>
      <w:tblPr/>
      <w:tcPr>
        <w:tcBorders>
          <w:top w:val="double" w:sz="4" w:space="0" w:color="FFBB59" w:themeColor="accent5"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4-Accent610">
    <w:name w:val="List Table 4 - Accent 61"/>
    <w:basedOn w:val="TableNormal"/>
    <w:uiPriority w:val="49"/>
    <w:rsid w:val="00316B0A"/>
    <w:pPr>
      <w:spacing w:after="0" w:line="240" w:lineRule="auto"/>
    </w:pPr>
    <w:rPr>
      <w:rFonts w:cs="Times New Roman"/>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rFonts w:cs="Times New Roman"/>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rFonts w:cs="Times New Roman"/>
        <w:b/>
        <w:bCs/>
      </w:rPr>
      <w:tblPr/>
      <w:tcPr>
        <w:tcBorders>
          <w:top w:val="double" w:sz="4" w:space="0" w:color="D8D8D8" w:themeColor="accent6"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5Dark10">
    <w:name w:val="List Table 5 Dark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110">
    <w:name w:val="List Table 5 Dark - Accent 1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210">
    <w:name w:val="List Table 5 Dark - Accent 2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310">
    <w:name w:val="List Table 5 Dark - Accent 3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410">
    <w:name w:val="List Table 5 Dark - Accent 4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510">
    <w:name w:val="List Table 5 Dark - Accent 5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5Dark-Accent610">
    <w:name w:val="List Table 5 Dark - Accent 61"/>
    <w:basedOn w:val="TableNormal"/>
    <w:uiPriority w:val="50"/>
    <w:rsid w:val="00316B0A"/>
    <w:pPr>
      <w:spacing w:after="0" w:line="240" w:lineRule="auto"/>
    </w:pPr>
    <w:rPr>
      <w:rFonts w:cs="Times New Roman"/>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rFonts w:cs="Times New Roman"/>
        <w:b/>
        <w:bCs/>
      </w:rPr>
      <w:tblPr/>
      <w:tcPr>
        <w:tcBorders>
          <w:bottom w:val="single" w:sz="18" w:space="0" w:color="FFFFFF" w:themeColor="background1"/>
        </w:tcBorders>
      </w:tcPr>
    </w:tblStylePr>
    <w:tblStylePr w:type="lastRow">
      <w:rPr>
        <w:rFonts w:cs="Times New Roman"/>
        <w:b/>
        <w:bCs/>
      </w:rPr>
      <w:tblPr/>
      <w:tcPr>
        <w:tcBorders>
          <w:top w:val="single" w:sz="4" w:space="0" w:color="FFFFFF" w:themeColor="background1"/>
        </w:tcBorders>
      </w:tcPr>
    </w:tblStylePr>
    <w:tblStylePr w:type="firstCol">
      <w:rPr>
        <w:rFonts w:cs="Times New Roman"/>
        <w:b/>
        <w:bCs/>
      </w:rPr>
      <w:tblPr/>
      <w:tcPr>
        <w:tcBorders>
          <w:right w:val="single" w:sz="4" w:space="0" w:color="FFFFFF" w:themeColor="background1"/>
        </w:tcBorders>
      </w:tcPr>
    </w:tblStylePr>
    <w:tblStylePr w:type="lastCol">
      <w:rPr>
        <w:rFonts w:cs="Times New Roman"/>
        <w:b/>
        <w:bCs/>
      </w:rPr>
      <w:tblPr/>
      <w:tcPr>
        <w:tcBorders>
          <w:left w:val="single" w:sz="4" w:space="0" w:color="FFFFFF" w:themeColor="background1"/>
        </w:tcBorders>
      </w:tcPr>
    </w:tblStylePr>
    <w:tblStylePr w:type="band1Vert">
      <w:rPr>
        <w:rFonts w:cs="Times New Roman"/>
      </w:rPr>
      <w:tblPr/>
      <w:tcPr>
        <w:tcBorders>
          <w:left w:val="single" w:sz="4" w:space="0" w:color="FFFFFF" w:themeColor="background1"/>
          <w:right w:val="single" w:sz="4" w:space="0" w:color="FFFFFF" w:themeColor="background1"/>
        </w:tcBorders>
      </w:tcPr>
    </w:tblStylePr>
    <w:tblStylePr w:type="band2Vert">
      <w:rPr>
        <w:rFonts w:cs="Times New Roman"/>
      </w:rPr>
      <w:tblPr/>
      <w:tcPr>
        <w:tcBorders>
          <w:left w:val="single" w:sz="4" w:space="0" w:color="FFFFFF" w:themeColor="background1"/>
          <w:right w:val="single" w:sz="4" w:space="0" w:color="FFFFFF" w:themeColor="background1"/>
        </w:tcBorders>
      </w:tcPr>
    </w:tblStylePr>
    <w:tblStylePr w:type="band1Horz">
      <w:rPr>
        <w:rFonts w:cs="Times New Roman"/>
      </w:rPr>
      <w:tblPr/>
      <w:tcPr>
        <w:tcBorders>
          <w:top w:val="single" w:sz="4" w:space="0" w:color="FFFFFF" w:themeColor="background1"/>
          <w:bottom w:val="single" w:sz="4" w:space="0" w:color="FFFFFF" w:themeColor="background1"/>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6Colorful10">
    <w:name w:val="List Table 6 Colorful1"/>
    <w:basedOn w:val="TableNormal"/>
    <w:uiPriority w:val="51"/>
    <w:rsid w:val="00316B0A"/>
    <w:pPr>
      <w:spacing w:after="0" w:line="240" w:lineRule="auto"/>
    </w:pPr>
    <w:rPr>
      <w:rFonts w:cs="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customStyle="1" w:styleId="ListTable6Colorful-Accent110">
    <w:name w:val="List Table 6 Colorful - Accent 11"/>
    <w:basedOn w:val="TableNormal"/>
    <w:uiPriority w:val="51"/>
    <w:rsid w:val="00316B0A"/>
    <w:pPr>
      <w:spacing w:after="0" w:line="240" w:lineRule="auto"/>
    </w:pPr>
    <w:rPr>
      <w:rFonts w:cs="Times New Roman"/>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rFonts w:cs="Times New Roman"/>
        <w:b/>
        <w:bCs/>
      </w:rPr>
      <w:tblPr/>
      <w:tcPr>
        <w:tcBorders>
          <w:bottom w:val="single" w:sz="4" w:space="0" w:color="9757A6" w:themeColor="accent1"/>
        </w:tcBorders>
      </w:tcPr>
    </w:tblStylePr>
    <w:tblStylePr w:type="lastRow">
      <w:rPr>
        <w:rFonts w:cs="Times New Roman"/>
        <w:b/>
        <w:bCs/>
      </w:rPr>
      <w:tblPr/>
      <w:tcPr>
        <w:tcBorders>
          <w:top w:val="double" w:sz="4" w:space="0" w:color="9757A6"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style>
  <w:style w:type="table" w:customStyle="1" w:styleId="ListTable6Colorful-Accent210">
    <w:name w:val="List Table 6 Colorful - Accent 21"/>
    <w:basedOn w:val="TableNormal"/>
    <w:uiPriority w:val="51"/>
    <w:rsid w:val="00316B0A"/>
    <w:pPr>
      <w:spacing w:after="0" w:line="240" w:lineRule="auto"/>
    </w:pPr>
    <w:rPr>
      <w:rFonts w:cs="Times New Roman"/>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rFonts w:cs="Times New Roman"/>
        <w:b/>
        <w:bCs/>
      </w:rPr>
      <w:tblPr/>
      <w:tcPr>
        <w:tcBorders>
          <w:bottom w:val="single" w:sz="4" w:space="0" w:color="FFAE3B" w:themeColor="accent2"/>
        </w:tcBorders>
      </w:tcPr>
    </w:tblStylePr>
    <w:tblStylePr w:type="lastRow">
      <w:rPr>
        <w:rFonts w:cs="Times New Roman"/>
        <w:b/>
        <w:bCs/>
      </w:rPr>
      <w:tblPr/>
      <w:tcPr>
        <w:tcBorders>
          <w:top w:val="double" w:sz="4" w:space="0" w:color="FFAE3B"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style>
  <w:style w:type="table" w:customStyle="1" w:styleId="ListTable6Colorful-Accent310">
    <w:name w:val="List Table 6 Colorful - Accent 31"/>
    <w:basedOn w:val="TableNormal"/>
    <w:uiPriority w:val="51"/>
    <w:rsid w:val="00316B0A"/>
    <w:pPr>
      <w:spacing w:after="0" w:line="240" w:lineRule="auto"/>
    </w:pPr>
    <w:rPr>
      <w:rFonts w:cs="Times New Roman"/>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rFonts w:cs="Times New Roman"/>
        <w:b/>
        <w:bCs/>
      </w:rPr>
      <w:tblPr/>
      <w:tcPr>
        <w:tcBorders>
          <w:bottom w:val="single" w:sz="4" w:space="0" w:color="A5A5A5" w:themeColor="accent3"/>
        </w:tcBorders>
      </w:tcPr>
    </w:tblStylePr>
    <w:tblStylePr w:type="lastRow">
      <w:rPr>
        <w:rFonts w:cs="Times New Roman"/>
        <w:b/>
        <w:bCs/>
      </w:rPr>
      <w:tblPr/>
      <w:tcPr>
        <w:tcBorders>
          <w:top w:val="double" w:sz="4" w:space="0" w:color="A5A5A5"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style>
  <w:style w:type="table" w:customStyle="1" w:styleId="ListTable6Colorful-Accent410">
    <w:name w:val="List Table 6 Colorful - Accent 41"/>
    <w:basedOn w:val="TableNormal"/>
    <w:uiPriority w:val="51"/>
    <w:rsid w:val="00316B0A"/>
    <w:pPr>
      <w:spacing w:after="0" w:line="240" w:lineRule="auto"/>
    </w:pPr>
    <w:rPr>
      <w:rFonts w:cs="Times New Roman"/>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rFonts w:cs="Times New Roman"/>
        <w:b/>
        <w:bCs/>
      </w:rPr>
      <w:tblPr/>
      <w:tcPr>
        <w:tcBorders>
          <w:bottom w:val="single" w:sz="4" w:space="0" w:color="B689C1" w:themeColor="accent4"/>
        </w:tcBorders>
      </w:tcPr>
    </w:tblStylePr>
    <w:tblStylePr w:type="lastRow">
      <w:rPr>
        <w:rFonts w:cs="Times New Roman"/>
        <w:b/>
        <w:bCs/>
      </w:rPr>
      <w:tblPr/>
      <w:tcPr>
        <w:tcBorders>
          <w:top w:val="double" w:sz="4" w:space="0" w:color="B689C1"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style>
  <w:style w:type="table" w:customStyle="1" w:styleId="ListTable6Colorful-Accent510">
    <w:name w:val="List Table 6 Colorful - Accent 51"/>
    <w:basedOn w:val="TableNormal"/>
    <w:uiPriority w:val="51"/>
    <w:rsid w:val="00316B0A"/>
    <w:pPr>
      <w:spacing w:after="0" w:line="240" w:lineRule="auto"/>
    </w:pPr>
    <w:rPr>
      <w:rFonts w:cs="Times New Roman"/>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rFonts w:cs="Times New Roman"/>
        <w:b/>
        <w:bCs/>
      </w:rPr>
      <w:tblPr/>
      <w:tcPr>
        <w:tcBorders>
          <w:bottom w:val="single" w:sz="4" w:space="0" w:color="EA8B00" w:themeColor="accent5"/>
        </w:tcBorders>
      </w:tcPr>
    </w:tblStylePr>
    <w:tblStylePr w:type="lastRow">
      <w:rPr>
        <w:rFonts w:cs="Times New Roman"/>
        <w:b/>
        <w:bCs/>
      </w:rPr>
      <w:tblPr/>
      <w:tcPr>
        <w:tcBorders>
          <w:top w:val="double" w:sz="4" w:space="0" w:color="EA8B00"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style>
  <w:style w:type="table" w:customStyle="1" w:styleId="ListTable6Colorful-Accent610">
    <w:name w:val="List Table 6 Colorful - Accent 61"/>
    <w:basedOn w:val="TableNormal"/>
    <w:uiPriority w:val="51"/>
    <w:rsid w:val="00316B0A"/>
    <w:pPr>
      <w:spacing w:after="0" w:line="240" w:lineRule="auto"/>
    </w:pPr>
    <w:rPr>
      <w:rFonts w:cs="Times New Roman"/>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rFonts w:cs="Times New Roman"/>
        <w:b/>
        <w:bCs/>
      </w:rPr>
      <w:tblPr/>
      <w:tcPr>
        <w:tcBorders>
          <w:bottom w:val="single" w:sz="4" w:space="0" w:color="BFBFBF" w:themeColor="accent6"/>
        </w:tcBorders>
      </w:tcPr>
    </w:tblStylePr>
    <w:tblStylePr w:type="lastRow">
      <w:rPr>
        <w:rFonts w:cs="Times New Roman"/>
        <w:b/>
        <w:bCs/>
      </w:rPr>
      <w:tblPr/>
      <w:tcPr>
        <w:tcBorders>
          <w:top w:val="double" w:sz="4" w:space="0" w:color="BFBFBF"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style>
  <w:style w:type="table" w:customStyle="1" w:styleId="ListTable7Colorful10">
    <w:name w:val="List Table 7 Colorful1"/>
    <w:basedOn w:val="TableNormal"/>
    <w:uiPriority w:val="52"/>
    <w:rsid w:val="00316B0A"/>
    <w:pPr>
      <w:spacing w:after="0" w:line="240" w:lineRule="auto"/>
    </w:pPr>
    <w:rPr>
      <w:rFonts w:cs="Times New Roman"/>
      <w:color w:val="000000" w:themeColor="text1"/>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000000" w:themeColor="text1"/>
        </w:tcBorders>
        <w:shd w:val="clear" w:color="auto" w:fill="FFFFFF" w:themeFill="background1"/>
      </w:tc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110">
    <w:name w:val="List Table 7 Colorful - Accent 11"/>
    <w:basedOn w:val="TableNormal"/>
    <w:uiPriority w:val="52"/>
    <w:rsid w:val="00316B0A"/>
    <w:pPr>
      <w:spacing w:after="0" w:line="240" w:lineRule="auto"/>
    </w:pPr>
    <w:rPr>
      <w:rFonts w:cs="Times New Roman"/>
      <w:color w:val="70417C" w:themeColor="accent1"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9757A6" w:themeColor="accent1"/>
        </w:tcBorders>
        <w:shd w:val="clear" w:color="auto" w:fill="FFFFFF" w:themeFill="background1"/>
      </w:tcPr>
    </w:tblStylePr>
    <w:tblStylePr w:type="band1Vert">
      <w:rPr>
        <w:rFonts w:cs="Times New Roman"/>
      </w:rPr>
      <w:tblPr/>
      <w:tcPr>
        <w:shd w:val="clear" w:color="auto" w:fill="EADDED" w:themeFill="accent1" w:themeFillTint="33"/>
      </w:tcPr>
    </w:tblStylePr>
    <w:tblStylePr w:type="band1Horz">
      <w:rPr>
        <w:rFonts w:cs="Times New Roman"/>
      </w:rPr>
      <w:tblPr/>
      <w:tcPr>
        <w:shd w:val="clear" w:color="auto" w:fill="EADDED" w:themeFill="accent1"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210">
    <w:name w:val="List Table 7 Colorful - Accent 21"/>
    <w:basedOn w:val="TableNormal"/>
    <w:uiPriority w:val="52"/>
    <w:rsid w:val="00316B0A"/>
    <w:pPr>
      <w:spacing w:after="0" w:line="240" w:lineRule="auto"/>
    </w:pPr>
    <w:rPr>
      <w:rFonts w:cs="Times New Roman"/>
      <w:color w:val="EB8900" w:themeColor="accent2"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FFAE3B" w:themeColor="accent2"/>
        </w:tcBorders>
        <w:shd w:val="clear" w:color="auto" w:fill="FFFFFF" w:themeFill="background1"/>
      </w:tcPr>
    </w:tblStylePr>
    <w:tblStylePr w:type="band1Vert">
      <w:rPr>
        <w:rFonts w:cs="Times New Roman"/>
      </w:rPr>
      <w:tblPr/>
      <w:tcPr>
        <w:shd w:val="clear" w:color="auto" w:fill="FFEED7" w:themeFill="accent2" w:themeFillTint="33"/>
      </w:tcPr>
    </w:tblStylePr>
    <w:tblStylePr w:type="band1Horz">
      <w:rPr>
        <w:rFonts w:cs="Times New Roman"/>
      </w:rPr>
      <w:tblPr/>
      <w:tcPr>
        <w:shd w:val="clear" w:color="auto" w:fill="FFEED7" w:themeFill="accent2"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310">
    <w:name w:val="List Table 7 Colorful - Accent 31"/>
    <w:basedOn w:val="TableNormal"/>
    <w:uiPriority w:val="52"/>
    <w:rsid w:val="00316B0A"/>
    <w:pPr>
      <w:spacing w:after="0" w:line="240" w:lineRule="auto"/>
    </w:pPr>
    <w:rPr>
      <w:rFonts w:cs="Times New Roman"/>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410">
    <w:name w:val="List Table 7 Colorful - Accent 41"/>
    <w:basedOn w:val="TableNormal"/>
    <w:uiPriority w:val="52"/>
    <w:rsid w:val="00316B0A"/>
    <w:pPr>
      <w:spacing w:after="0" w:line="240" w:lineRule="auto"/>
    </w:pPr>
    <w:rPr>
      <w:rFonts w:cs="Times New Roman"/>
      <w:color w:val="9255A1" w:themeColor="accent4"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B689C1" w:themeColor="accent4"/>
        </w:tcBorders>
        <w:shd w:val="clear" w:color="auto" w:fill="FFFFFF" w:themeFill="background1"/>
      </w:tcPr>
    </w:tblStylePr>
    <w:tblStylePr w:type="band1Vert">
      <w:rPr>
        <w:rFonts w:cs="Times New Roman"/>
      </w:rPr>
      <w:tblPr/>
      <w:tcPr>
        <w:shd w:val="clear" w:color="auto" w:fill="F0E7F2" w:themeFill="accent4" w:themeFillTint="33"/>
      </w:tcPr>
    </w:tblStylePr>
    <w:tblStylePr w:type="band1Horz">
      <w:rPr>
        <w:rFonts w:cs="Times New Roman"/>
      </w:rPr>
      <w:tblPr/>
      <w:tcPr>
        <w:shd w:val="clear" w:color="auto" w:fill="F0E7F2" w:themeFill="accent4"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510">
    <w:name w:val="List Table 7 Colorful - Accent 51"/>
    <w:basedOn w:val="TableNormal"/>
    <w:uiPriority w:val="52"/>
    <w:rsid w:val="00316B0A"/>
    <w:pPr>
      <w:spacing w:after="0" w:line="240" w:lineRule="auto"/>
    </w:pPr>
    <w:rPr>
      <w:rFonts w:cs="Times New Roman"/>
      <w:color w:val="AF6700" w:themeColor="accent5"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EA8B00" w:themeColor="accent5"/>
        </w:tcBorders>
        <w:shd w:val="clear" w:color="auto" w:fill="FFFFFF" w:themeFill="background1"/>
      </w:tcPr>
    </w:tblStylePr>
    <w:tblStylePr w:type="band1Vert">
      <w:rPr>
        <w:rFonts w:cs="Times New Roman"/>
      </w:rPr>
      <w:tblPr/>
      <w:tcPr>
        <w:shd w:val="clear" w:color="auto" w:fill="FFE8C7" w:themeFill="accent5" w:themeFillTint="33"/>
      </w:tcPr>
    </w:tblStylePr>
    <w:tblStylePr w:type="band1Horz">
      <w:rPr>
        <w:rFonts w:cs="Times New Roman"/>
      </w:rPr>
      <w:tblPr/>
      <w:tcPr>
        <w:shd w:val="clear" w:color="auto" w:fill="FFE8C7" w:themeFill="accent5"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ListTable7Colorful-Accent610">
    <w:name w:val="List Table 7 Colorful - Accent 61"/>
    <w:basedOn w:val="TableNormal"/>
    <w:uiPriority w:val="52"/>
    <w:rsid w:val="00316B0A"/>
    <w:pPr>
      <w:spacing w:after="0" w:line="240" w:lineRule="auto"/>
    </w:pPr>
    <w:rPr>
      <w:rFonts w:cs="Times New Roman"/>
      <w:color w:val="8F8F8F" w:themeColor="accent6"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BFBFBF" w:themeColor="accent6"/>
        </w:tcBorders>
        <w:shd w:val="clear" w:color="auto" w:fill="FFFFFF" w:themeFill="background1"/>
      </w:tcPr>
    </w:tblStylePr>
    <w:tblStylePr w:type="band1Vert">
      <w:rPr>
        <w:rFonts w:cs="Times New Roman"/>
      </w:rPr>
      <w:tblPr/>
      <w:tcPr>
        <w:shd w:val="clear" w:color="auto" w:fill="F2F2F2" w:themeFill="accent6" w:themeFillTint="33"/>
      </w:tcPr>
    </w:tblStylePr>
    <w:tblStylePr w:type="band1Horz">
      <w:rPr>
        <w:rFonts w:cs="Times New Roman"/>
      </w:rPr>
      <w:tblPr/>
      <w:tcPr>
        <w:shd w:val="clear" w:color="auto" w:fill="F2F2F2" w:themeFill="accent6"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PlainTable110">
    <w:name w:val="Plain Table 11"/>
    <w:basedOn w:val="TableNormal"/>
    <w:uiPriority w:val="41"/>
    <w:rsid w:val="00316B0A"/>
    <w:pPr>
      <w:spacing w:after="0" w:line="240" w:lineRule="auto"/>
    </w:pPr>
    <w:rPr>
      <w:rFonts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0">
    <w:name w:val="Plain Table 21"/>
    <w:basedOn w:val="TableNormal"/>
    <w:uiPriority w:val="42"/>
    <w:rsid w:val="00316B0A"/>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0">
    <w:name w:val="Plain Table 31"/>
    <w:basedOn w:val="TableNormal"/>
    <w:uiPriority w:val="43"/>
    <w:rsid w:val="00316B0A"/>
    <w:pPr>
      <w:spacing w:after="0" w:line="240" w:lineRule="auto"/>
    </w:pPr>
    <w:rPr>
      <w:rFonts w:cs="Times New Roman"/>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0">
    <w:name w:val="Plain Table 41"/>
    <w:basedOn w:val="TableNormal"/>
    <w:uiPriority w:val="44"/>
    <w:rsid w:val="00316B0A"/>
    <w:pPr>
      <w:spacing w:after="0" w:line="240" w:lineRule="auto"/>
    </w:pPr>
    <w:rPr>
      <w:rFonts w:cs="Times New Roman"/>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0">
    <w:name w:val="Plain Table 51"/>
    <w:basedOn w:val="TableNormal"/>
    <w:uiPriority w:val="45"/>
    <w:rsid w:val="00316B0A"/>
    <w:pPr>
      <w:spacing w:after="0" w:line="240" w:lineRule="auto"/>
    </w:pPr>
    <w:rPr>
      <w:rFonts w:cs="Times New Roman"/>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leGridLight10">
    <w:name w:val="Table Grid Light1"/>
    <w:basedOn w:val="TableNormal"/>
    <w:uiPriority w:val="40"/>
    <w:rsid w:val="00316B0A"/>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Bold">
    <w:name w:val="Table text (Bold))"/>
    <w:basedOn w:val="Tabletext"/>
    <w:next w:val="Tabletext"/>
    <w:qFormat/>
    <w:rsid w:val="00316B0A"/>
    <w:pPr>
      <w:ind w:right="60"/>
    </w:pPr>
    <w:rPr>
      <w:b/>
      <w:spacing w:val="3"/>
    </w:rPr>
  </w:style>
  <w:style w:type="character" w:customStyle="1" w:styleId="apple-converted-space">
    <w:name w:val="apple-converted-space"/>
    <w:basedOn w:val="DefaultParagraphFont"/>
    <w:rsid w:val="00316B0A"/>
    <w:rPr>
      <w:rFonts w:cs="Times New Roman"/>
    </w:rPr>
  </w:style>
  <w:style w:type="character" w:customStyle="1" w:styleId="lexicon-term">
    <w:name w:val="lexicon-term"/>
    <w:basedOn w:val="DefaultParagraphFont"/>
    <w:rsid w:val="00316B0A"/>
    <w:rPr>
      <w:rFonts w:cs="Times New Roman"/>
    </w:rPr>
  </w:style>
  <w:style w:type="paragraph" w:styleId="Revision">
    <w:name w:val="Revision"/>
    <w:hidden/>
    <w:uiPriority w:val="99"/>
    <w:semiHidden/>
    <w:rsid w:val="00C32160"/>
    <w:pPr>
      <w:spacing w:after="0" w:line="240" w:lineRule="auto"/>
    </w:pPr>
    <w:rPr>
      <w:rFonts w:ascii="Arial Narrow" w:hAnsi="Arial Narrow" w:cs="Times New Roman"/>
      <w:lang w:val="en-AU"/>
    </w:rPr>
  </w:style>
  <w:style w:type="character" w:customStyle="1" w:styleId="ListParagraphChar">
    <w:name w:val="List Paragraph Char"/>
    <w:basedOn w:val="DefaultParagraphFont"/>
    <w:link w:val="ListParagraph"/>
    <w:uiPriority w:val="34"/>
    <w:locked/>
    <w:rsid w:val="00835D10"/>
    <w:rPr>
      <w:rFonts w:ascii="Arial Narrow" w:hAnsi="Arial Narrow" w:cs="Times New Roman"/>
      <w:lang w:val="en-AU" w:eastAsia="x-none"/>
    </w:rPr>
  </w:style>
  <w:style w:type="paragraph" w:customStyle="1" w:styleId="Default">
    <w:name w:val="Default"/>
    <w:rsid w:val="003907BB"/>
    <w:pPr>
      <w:autoSpaceDE w:val="0"/>
      <w:autoSpaceDN w:val="0"/>
      <w:adjustRightInd w:val="0"/>
      <w:spacing w:after="0" w:line="240" w:lineRule="auto"/>
    </w:pPr>
    <w:rPr>
      <w:rFonts w:ascii="Arial" w:hAnsi="Arial" w:cs="Arial"/>
      <w:color w:val="000000"/>
      <w:sz w:val="24"/>
      <w:szCs w:val="24"/>
    </w:rPr>
  </w:style>
  <w:style w:type="character" w:customStyle="1" w:styleId="FootnoteTextChar1">
    <w:name w:val="Footnote Text Char1"/>
    <w:aliases w:val="Footnote Text Char Char Char1"/>
    <w:basedOn w:val="DefaultParagraphFont"/>
    <w:uiPriority w:val="99"/>
    <w:semiHidden/>
    <w:rsid w:val="004D175A"/>
    <w:rPr>
      <w:rFonts w:ascii="Arial Narrow" w:hAnsi="Arial Narrow" w:cs="Times New Roman"/>
      <w:sz w:val="20"/>
      <w:szCs w:val="20"/>
      <w:lang w:val="en-AU" w:eastAsia="x-none"/>
    </w:rPr>
  </w:style>
  <w:style w:type="paragraph" w:customStyle="1" w:styleId="acthead4">
    <w:name w:val="acthead4"/>
    <w:basedOn w:val="Normal"/>
    <w:rsid w:val="007A4407"/>
    <w:pPr>
      <w:spacing w:before="100" w:beforeAutospacing="1" w:after="100" w:afterAutospacing="1" w:line="240" w:lineRule="auto"/>
    </w:pPr>
    <w:rPr>
      <w:rFonts w:ascii="Times New Roman" w:hAnsi="Times New Roman"/>
      <w:sz w:val="24"/>
      <w:szCs w:val="24"/>
      <w:lang w:eastAsia="en-AU"/>
    </w:rPr>
  </w:style>
  <w:style w:type="character" w:customStyle="1" w:styleId="charsubdno">
    <w:name w:val="charsubdno"/>
    <w:basedOn w:val="DefaultParagraphFont"/>
    <w:rsid w:val="007A4407"/>
    <w:rPr>
      <w:rFonts w:cs="Times New Roman"/>
    </w:rPr>
  </w:style>
  <w:style w:type="character" w:customStyle="1" w:styleId="charsubdtext">
    <w:name w:val="charsubdtext"/>
    <w:basedOn w:val="DefaultParagraphFont"/>
    <w:rsid w:val="007A4407"/>
    <w:rPr>
      <w:rFonts w:cs="Times New Roman"/>
    </w:rPr>
  </w:style>
  <w:style w:type="paragraph" w:customStyle="1" w:styleId="acthead5">
    <w:name w:val="acthead5"/>
    <w:basedOn w:val="Normal"/>
    <w:rsid w:val="007A4407"/>
    <w:pPr>
      <w:spacing w:before="100" w:beforeAutospacing="1" w:after="100" w:afterAutospacing="1" w:line="240" w:lineRule="auto"/>
    </w:pPr>
    <w:rPr>
      <w:rFonts w:ascii="Times New Roman" w:hAnsi="Times New Roman"/>
      <w:sz w:val="24"/>
      <w:szCs w:val="24"/>
      <w:lang w:eastAsia="en-AU"/>
    </w:rPr>
  </w:style>
  <w:style w:type="character" w:customStyle="1" w:styleId="charsectno">
    <w:name w:val="charsectno"/>
    <w:basedOn w:val="DefaultParagraphFont"/>
    <w:rsid w:val="007A4407"/>
    <w:rPr>
      <w:rFonts w:cs="Times New Roman"/>
    </w:rPr>
  </w:style>
  <w:style w:type="table" w:customStyle="1" w:styleId="TableGrid40">
    <w:name w:val="Table Grid4"/>
    <w:basedOn w:val="TableNormal"/>
    <w:next w:val="TableGrid"/>
    <w:uiPriority w:val="39"/>
    <w:rsid w:val="007A4407"/>
    <w:pPr>
      <w:spacing w:after="0" w:line="240" w:lineRule="auto"/>
    </w:pPr>
    <w:rPr>
      <w:rFonts w:ascii="HelveticaNeueLT Std Lt Cn" w:hAnsi="HelveticaNeueLT Std Lt C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aaHeadingnonumberList">
    <w:name w:val="aa Heading (no number) List"/>
    <w:pPr>
      <w:numPr>
        <w:numId w:val="19"/>
      </w:numPr>
    </w:pPr>
  </w:style>
  <w:style w:type="numbering" w:customStyle="1" w:styleId="aaAppendixNumbering">
    <w:name w:val="aa Appendix Numbering"/>
    <w:uiPriority w:val="99"/>
    <w:pPr>
      <w:numPr>
        <w:numId w:val="18"/>
      </w:numPr>
    </w:pPr>
  </w:style>
  <w:style w:type="numbering" w:styleId="111111">
    <w:name w:val="Outline List 2"/>
    <w:basedOn w:val="NoList"/>
    <w:uiPriority w:val="99"/>
    <w:semiHidden/>
    <w:unhideWhenUsed/>
    <w:pPr>
      <w:numPr>
        <w:numId w:val="2"/>
      </w:numPr>
    </w:pPr>
  </w:style>
  <w:style w:type="numbering" w:customStyle="1" w:styleId="ACILAllenDashedList">
    <w:name w:val="ACIL Allen Dashed List"/>
    <w:pPr>
      <w:numPr>
        <w:numId w:val="27"/>
      </w:numPr>
    </w:pPr>
  </w:style>
  <w:style w:type="numbering" w:customStyle="1" w:styleId="BoxListBullets">
    <w:name w:val="Box List Bullets"/>
    <w:pPr>
      <w:numPr>
        <w:numId w:val="12"/>
      </w:numPr>
    </w:pPr>
  </w:style>
  <w:style w:type="numbering" w:customStyle="1" w:styleId="aaReportListDash">
    <w:name w:val="aa Report List Dash"/>
    <w:pPr>
      <w:numPr>
        <w:numId w:val="28"/>
      </w:numPr>
    </w:pPr>
  </w:style>
  <w:style w:type="numbering" w:customStyle="1" w:styleId="aaSideNotesBullets">
    <w:name w:val="aa SideNotes Bullets"/>
    <w:pPr>
      <w:numPr>
        <w:numId w:val="15"/>
      </w:numPr>
    </w:pPr>
  </w:style>
  <w:style w:type="numbering" w:customStyle="1" w:styleId="aaTableListNumbers">
    <w:name w:val="aa Table List Numbers"/>
    <w:pPr>
      <w:numPr>
        <w:numId w:val="11"/>
      </w:numPr>
    </w:pPr>
  </w:style>
  <w:style w:type="numbering" w:customStyle="1" w:styleId="aaReportListBullets">
    <w:name w:val="aa Report List Bullets"/>
    <w:pPr>
      <w:numPr>
        <w:numId w:val="13"/>
      </w:numPr>
    </w:pPr>
  </w:style>
  <w:style w:type="numbering" w:customStyle="1" w:styleId="aaTableListBullets">
    <w:name w:val="aa Table List Bullets"/>
    <w:pPr>
      <w:numPr>
        <w:numId w:val="10"/>
      </w:numPr>
    </w:pPr>
  </w:style>
  <w:style w:type="numbering" w:customStyle="1" w:styleId="aaTOCList">
    <w:name w:val="aa TOC List"/>
    <w:uiPriority w:val="99"/>
    <w:pPr>
      <w:numPr>
        <w:numId w:val="1"/>
      </w:numPr>
    </w:pPr>
  </w:style>
  <w:style w:type="numbering" w:customStyle="1" w:styleId="TOCList">
    <w:name w:val="TOC List"/>
    <w:pPr>
      <w:numPr>
        <w:numId w:val="17"/>
      </w:numPr>
    </w:pPr>
  </w:style>
  <w:style w:type="numbering" w:customStyle="1" w:styleId="BoxList">
    <w:name w:val="Box List"/>
    <w:pPr>
      <w:numPr>
        <w:numId w:val="9"/>
      </w:numPr>
    </w:pPr>
  </w:style>
  <w:style w:type="numbering" w:customStyle="1" w:styleId="aaReportHeadings">
    <w:name w:val="aa Report Headings"/>
    <w:pPr>
      <w:numPr>
        <w:numId w:val="16"/>
      </w:numPr>
    </w:pPr>
  </w:style>
  <w:style w:type="numbering" w:styleId="1ai">
    <w:name w:val="Outline List 1"/>
    <w:aliases w:val="List for Box List Number"/>
    <w:basedOn w:val="NoList"/>
    <w:uiPriority w:val="99"/>
    <w:semiHidden/>
    <w:unhideWhenUsed/>
    <w:pPr>
      <w:numPr>
        <w:numId w:val="3"/>
      </w:numPr>
    </w:pPr>
  </w:style>
  <w:style w:type="numbering" w:styleId="ArticleSection">
    <w:name w:val="Outline List 3"/>
    <w:basedOn w:val="NoList"/>
    <w:uiPriority w:val="99"/>
    <w:semiHidden/>
    <w:unhideWhenUsed/>
    <w:pPr>
      <w:numPr>
        <w:numId w:val="31"/>
      </w:numPr>
    </w:pPr>
  </w:style>
  <w:style w:type="numbering" w:customStyle="1" w:styleId="aaReportListNumber">
    <w:name w:val="aa Report List Number"/>
    <w:uiPriority w:val="99"/>
    <w:pPr>
      <w:numPr>
        <w:numId w:val="14"/>
      </w:numPr>
    </w:pPr>
  </w:style>
  <w:style w:type="table" w:customStyle="1" w:styleId="TableGrid50">
    <w:name w:val="Table Grid5"/>
    <w:basedOn w:val="TableNormal"/>
    <w:next w:val="TableGrid"/>
    <w:uiPriority w:val="39"/>
    <w:rsid w:val="00CE17FE"/>
    <w:pPr>
      <w:spacing w:after="0" w:line="240" w:lineRule="auto"/>
    </w:pPr>
    <w:rPr>
      <w:rFonts w:ascii="HelveticaNeueLT Std Lt Cn" w:eastAsiaTheme="minorHAnsi" w:hAnsi="HelveticaNeueLT Std Lt Cn" w:cstheme="minorBid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aaReportListDash1">
    <w:name w:val="aa Report List Dash1"/>
    <w:uiPriority w:val="99"/>
    <w:rsid w:val="00CE1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300885">
      <w:bodyDiv w:val="1"/>
      <w:marLeft w:val="0"/>
      <w:marRight w:val="0"/>
      <w:marTop w:val="0"/>
      <w:marBottom w:val="0"/>
      <w:divBdr>
        <w:top w:val="none" w:sz="0" w:space="0" w:color="auto"/>
        <w:left w:val="none" w:sz="0" w:space="0" w:color="auto"/>
        <w:bottom w:val="none" w:sz="0" w:space="0" w:color="auto"/>
        <w:right w:val="none" w:sz="0" w:space="0" w:color="auto"/>
      </w:divBdr>
    </w:div>
    <w:div w:id="672491232">
      <w:bodyDiv w:val="1"/>
      <w:marLeft w:val="0"/>
      <w:marRight w:val="0"/>
      <w:marTop w:val="0"/>
      <w:marBottom w:val="0"/>
      <w:divBdr>
        <w:top w:val="none" w:sz="0" w:space="0" w:color="auto"/>
        <w:left w:val="none" w:sz="0" w:space="0" w:color="auto"/>
        <w:bottom w:val="none" w:sz="0" w:space="0" w:color="auto"/>
        <w:right w:val="none" w:sz="0" w:space="0" w:color="auto"/>
      </w:divBdr>
    </w:div>
    <w:div w:id="722755789">
      <w:bodyDiv w:val="1"/>
      <w:marLeft w:val="0"/>
      <w:marRight w:val="0"/>
      <w:marTop w:val="0"/>
      <w:marBottom w:val="0"/>
      <w:divBdr>
        <w:top w:val="none" w:sz="0" w:space="0" w:color="auto"/>
        <w:left w:val="none" w:sz="0" w:space="0" w:color="auto"/>
        <w:bottom w:val="none" w:sz="0" w:space="0" w:color="auto"/>
        <w:right w:val="none" w:sz="0" w:space="0" w:color="auto"/>
      </w:divBdr>
    </w:div>
    <w:div w:id="958993514">
      <w:bodyDiv w:val="1"/>
      <w:marLeft w:val="0"/>
      <w:marRight w:val="0"/>
      <w:marTop w:val="0"/>
      <w:marBottom w:val="0"/>
      <w:divBdr>
        <w:top w:val="none" w:sz="0" w:space="0" w:color="auto"/>
        <w:left w:val="none" w:sz="0" w:space="0" w:color="auto"/>
        <w:bottom w:val="none" w:sz="0" w:space="0" w:color="auto"/>
        <w:right w:val="none" w:sz="0" w:space="0" w:color="auto"/>
      </w:divBdr>
    </w:div>
    <w:div w:id="1001158975">
      <w:bodyDiv w:val="1"/>
      <w:marLeft w:val="0"/>
      <w:marRight w:val="0"/>
      <w:marTop w:val="0"/>
      <w:marBottom w:val="0"/>
      <w:divBdr>
        <w:top w:val="none" w:sz="0" w:space="0" w:color="auto"/>
        <w:left w:val="none" w:sz="0" w:space="0" w:color="auto"/>
        <w:bottom w:val="none" w:sz="0" w:space="0" w:color="auto"/>
        <w:right w:val="none" w:sz="0" w:space="0" w:color="auto"/>
      </w:divBdr>
    </w:div>
    <w:div w:id="1190873551">
      <w:marLeft w:val="0"/>
      <w:marRight w:val="0"/>
      <w:marTop w:val="0"/>
      <w:marBottom w:val="0"/>
      <w:divBdr>
        <w:top w:val="none" w:sz="0" w:space="0" w:color="auto"/>
        <w:left w:val="none" w:sz="0" w:space="0" w:color="auto"/>
        <w:bottom w:val="none" w:sz="0" w:space="0" w:color="auto"/>
        <w:right w:val="none" w:sz="0" w:space="0" w:color="auto"/>
      </w:divBdr>
    </w:div>
    <w:div w:id="1190873552">
      <w:marLeft w:val="0"/>
      <w:marRight w:val="0"/>
      <w:marTop w:val="0"/>
      <w:marBottom w:val="0"/>
      <w:divBdr>
        <w:top w:val="none" w:sz="0" w:space="0" w:color="auto"/>
        <w:left w:val="none" w:sz="0" w:space="0" w:color="auto"/>
        <w:bottom w:val="none" w:sz="0" w:space="0" w:color="auto"/>
        <w:right w:val="none" w:sz="0" w:space="0" w:color="auto"/>
      </w:divBdr>
    </w:div>
    <w:div w:id="1190873553">
      <w:marLeft w:val="0"/>
      <w:marRight w:val="0"/>
      <w:marTop w:val="0"/>
      <w:marBottom w:val="0"/>
      <w:divBdr>
        <w:top w:val="none" w:sz="0" w:space="0" w:color="auto"/>
        <w:left w:val="none" w:sz="0" w:space="0" w:color="auto"/>
        <w:bottom w:val="none" w:sz="0" w:space="0" w:color="auto"/>
        <w:right w:val="none" w:sz="0" w:space="0" w:color="auto"/>
      </w:divBdr>
    </w:div>
    <w:div w:id="1190873554">
      <w:marLeft w:val="0"/>
      <w:marRight w:val="0"/>
      <w:marTop w:val="0"/>
      <w:marBottom w:val="0"/>
      <w:divBdr>
        <w:top w:val="none" w:sz="0" w:space="0" w:color="auto"/>
        <w:left w:val="none" w:sz="0" w:space="0" w:color="auto"/>
        <w:bottom w:val="none" w:sz="0" w:space="0" w:color="auto"/>
        <w:right w:val="none" w:sz="0" w:space="0" w:color="auto"/>
      </w:divBdr>
    </w:div>
    <w:div w:id="1190873555">
      <w:marLeft w:val="0"/>
      <w:marRight w:val="0"/>
      <w:marTop w:val="0"/>
      <w:marBottom w:val="0"/>
      <w:divBdr>
        <w:top w:val="none" w:sz="0" w:space="0" w:color="auto"/>
        <w:left w:val="none" w:sz="0" w:space="0" w:color="auto"/>
        <w:bottom w:val="none" w:sz="0" w:space="0" w:color="auto"/>
        <w:right w:val="none" w:sz="0" w:space="0" w:color="auto"/>
      </w:divBdr>
    </w:div>
    <w:div w:id="1190873556">
      <w:marLeft w:val="0"/>
      <w:marRight w:val="0"/>
      <w:marTop w:val="0"/>
      <w:marBottom w:val="0"/>
      <w:divBdr>
        <w:top w:val="none" w:sz="0" w:space="0" w:color="auto"/>
        <w:left w:val="none" w:sz="0" w:space="0" w:color="auto"/>
        <w:bottom w:val="none" w:sz="0" w:space="0" w:color="auto"/>
        <w:right w:val="none" w:sz="0" w:space="0" w:color="auto"/>
      </w:divBdr>
    </w:div>
    <w:div w:id="1190873557">
      <w:marLeft w:val="0"/>
      <w:marRight w:val="0"/>
      <w:marTop w:val="0"/>
      <w:marBottom w:val="0"/>
      <w:divBdr>
        <w:top w:val="none" w:sz="0" w:space="0" w:color="auto"/>
        <w:left w:val="none" w:sz="0" w:space="0" w:color="auto"/>
        <w:bottom w:val="none" w:sz="0" w:space="0" w:color="auto"/>
        <w:right w:val="none" w:sz="0" w:space="0" w:color="auto"/>
      </w:divBdr>
    </w:div>
    <w:div w:id="1190873558">
      <w:marLeft w:val="0"/>
      <w:marRight w:val="0"/>
      <w:marTop w:val="0"/>
      <w:marBottom w:val="0"/>
      <w:divBdr>
        <w:top w:val="none" w:sz="0" w:space="0" w:color="auto"/>
        <w:left w:val="none" w:sz="0" w:space="0" w:color="auto"/>
        <w:bottom w:val="none" w:sz="0" w:space="0" w:color="auto"/>
        <w:right w:val="none" w:sz="0" w:space="0" w:color="auto"/>
      </w:divBdr>
    </w:div>
    <w:div w:id="1190873559">
      <w:marLeft w:val="0"/>
      <w:marRight w:val="0"/>
      <w:marTop w:val="0"/>
      <w:marBottom w:val="0"/>
      <w:divBdr>
        <w:top w:val="none" w:sz="0" w:space="0" w:color="auto"/>
        <w:left w:val="none" w:sz="0" w:space="0" w:color="auto"/>
        <w:bottom w:val="none" w:sz="0" w:space="0" w:color="auto"/>
        <w:right w:val="none" w:sz="0" w:space="0" w:color="auto"/>
      </w:divBdr>
    </w:div>
    <w:div w:id="1190873560">
      <w:marLeft w:val="0"/>
      <w:marRight w:val="0"/>
      <w:marTop w:val="0"/>
      <w:marBottom w:val="0"/>
      <w:divBdr>
        <w:top w:val="none" w:sz="0" w:space="0" w:color="auto"/>
        <w:left w:val="none" w:sz="0" w:space="0" w:color="auto"/>
        <w:bottom w:val="none" w:sz="0" w:space="0" w:color="auto"/>
        <w:right w:val="none" w:sz="0" w:space="0" w:color="auto"/>
      </w:divBdr>
    </w:div>
    <w:div w:id="1190873561">
      <w:marLeft w:val="0"/>
      <w:marRight w:val="0"/>
      <w:marTop w:val="0"/>
      <w:marBottom w:val="0"/>
      <w:divBdr>
        <w:top w:val="none" w:sz="0" w:space="0" w:color="auto"/>
        <w:left w:val="none" w:sz="0" w:space="0" w:color="auto"/>
        <w:bottom w:val="none" w:sz="0" w:space="0" w:color="auto"/>
        <w:right w:val="none" w:sz="0" w:space="0" w:color="auto"/>
      </w:divBdr>
    </w:div>
    <w:div w:id="1190873562">
      <w:marLeft w:val="0"/>
      <w:marRight w:val="0"/>
      <w:marTop w:val="0"/>
      <w:marBottom w:val="0"/>
      <w:divBdr>
        <w:top w:val="none" w:sz="0" w:space="0" w:color="auto"/>
        <w:left w:val="none" w:sz="0" w:space="0" w:color="auto"/>
        <w:bottom w:val="none" w:sz="0" w:space="0" w:color="auto"/>
        <w:right w:val="none" w:sz="0" w:space="0" w:color="auto"/>
      </w:divBdr>
    </w:div>
    <w:div w:id="1190873563">
      <w:marLeft w:val="0"/>
      <w:marRight w:val="0"/>
      <w:marTop w:val="0"/>
      <w:marBottom w:val="0"/>
      <w:divBdr>
        <w:top w:val="none" w:sz="0" w:space="0" w:color="auto"/>
        <w:left w:val="none" w:sz="0" w:space="0" w:color="auto"/>
        <w:bottom w:val="none" w:sz="0" w:space="0" w:color="auto"/>
        <w:right w:val="none" w:sz="0" w:space="0" w:color="auto"/>
      </w:divBdr>
    </w:div>
    <w:div w:id="1190873564">
      <w:marLeft w:val="0"/>
      <w:marRight w:val="0"/>
      <w:marTop w:val="0"/>
      <w:marBottom w:val="0"/>
      <w:divBdr>
        <w:top w:val="none" w:sz="0" w:space="0" w:color="auto"/>
        <w:left w:val="none" w:sz="0" w:space="0" w:color="auto"/>
        <w:bottom w:val="none" w:sz="0" w:space="0" w:color="auto"/>
        <w:right w:val="none" w:sz="0" w:space="0" w:color="auto"/>
      </w:divBdr>
    </w:div>
    <w:div w:id="1190873565">
      <w:marLeft w:val="0"/>
      <w:marRight w:val="0"/>
      <w:marTop w:val="0"/>
      <w:marBottom w:val="0"/>
      <w:divBdr>
        <w:top w:val="none" w:sz="0" w:space="0" w:color="auto"/>
        <w:left w:val="none" w:sz="0" w:space="0" w:color="auto"/>
        <w:bottom w:val="none" w:sz="0" w:space="0" w:color="auto"/>
        <w:right w:val="none" w:sz="0" w:space="0" w:color="auto"/>
      </w:divBdr>
    </w:div>
    <w:div w:id="1190873566">
      <w:marLeft w:val="0"/>
      <w:marRight w:val="0"/>
      <w:marTop w:val="0"/>
      <w:marBottom w:val="0"/>
      <w:divBdr>
        <w:top w:val="none" w:sz="0" w:space="0" w:color="auto"/>
        <w:left w:val="none" w:sz="0" w:space="0" w:color="auto"/>
        <w:bottom w:val="none" w:sz="0" w:space="0" w:color="auto"/>
        <w:right w:val="none" w:sz="0" w:space="0" w:color="auto"/>
      </w:divBdr>
    </w:div>
    <w:div w:id="1190873567">
      <w:marLeft w:val="0"/>
      <w:marRight w:val="0"/>
      <w:marTop w:val="0"/>
      <w:marBottom w:val="0"/>
      <w:divBdr>
        <w:top w:val="none" w:sz="0" w:space="0" w:color="auto"/>
        <w:left w:val="none" w:sz="0" w:space="0" w:color="auto"/>
        <w:bottom w:val="none" w:sz="0" w:space="0" w:color="auto"/>
        <w:right w:val="none" w:sz="0" w:space="0" w:color="auto"/>
      </w:divBdr>
    </w:div>
    <w:div w:id="1190873568">
      <w:marLeft w:val="0"/>
      <w:marRight w:val="0"/>
      <w:marTop w:val="0"/>
      <w:marBottom w:val="0"/>
      <w:divBdr>
        <w:top w:val="none" w:sz="0" w:space="0" w:color="auto"/>
        <w:left w:val="none" w:sz="0" w:space="0" w:color="auto"/>
        <w:bottom w:val="none" w:sz="0" w:space="0" w:color="auto"/>
        <w:right w:val="none" w:sz="0" w:space="0" w:color="auto"/>
      </w:divBdr>
    </w:div>
    <w:div w:id="204921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header" Target="header7.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image" Target="media/image11.wmf"/><Relationship Id="rId138" Type="http://schemas.openxmlformats.org/officeDocument/2006/relationships/image" Target="media/image41.wmf"/><Relationship Id="rId159" Type="http://schemas.openxmlformats.org/officeDocument/2006/relationships/image" Target="media/image62.wmf"/><Relationship Id="rId170" Type="http://schemas.openxmlformats.org/officeDocument/2006/relationships/image" Target="media/image73.emf"/><Relationship Id="rId191" Type="http://schemas.openxmlformats.org/officeDocument/2006/relationships/footer" Target="footer44.xml"/><Relationship Id="rId205" Type="http://schemas.openxmlformats.org/officeDocument/2006/relationships/image" Target="media/image95.emf"/><Relationship Id="rId226" Type="http://schemas.openxmlformats.org/officeDocument/2006/relationships/header" Target="header60.xml"/><Relationship Id="rId107" Type="http://schemas.openxmlformats.org/officeDocument/2006/relationships/image" Target="media/image22.wmf"/><Relationship Id="rId11" Type="http://schemas.openxmlformats.org/officeDocument/2006/relationships/endnotes" Target="endnotes.xml"/><Relationship Id="rId32" Type="http://schemas.openxmlformats.org/officeDocument/2006/relationships/header" Target="header12.xml"/><Relationship Id="rId53" Type="http://schemas.openxmlformats.org/officeDocument/2006/relationships/footer" Target="footer19.xml"/><Relationship Id="rId74" Type="http://schemas.openxmlformats.org/officeDocument/2006/relationships/header" Target="header30.xml"/><Relationship Id="rId128" Type="http://schemas.openxmlformats.org/officeDocument/2006/relationships/footer" Target="footer42.xml"/><Relationship Id="rId149" Type="http://schemas.openxmlformats.org/officeDocument/2006/relationships/image" Target="media/image52.wmf"/><Relationship Id="rId5" Type="http://schemas.openxmlformats.org/officeDocument/2006/relationships/numbering" Target="numbering.xml"/><Relationship Id="rId95" Type="http://schemas.openxmlformats.org/officeDocument/2006/relationships/footer" Target="footer32.xml"/><Relationship Id="rId160" Type="http://schemas.openxmlformats.org/officeDocument/2006/relationships/image" Target="media/image63.wmf"/><Relationship Id="rId181" Type="http://schemas.openxmlformats.org/officeDocument/2006/relationships/image" Target="media/image84.emf"/><Relationship Id="rId216" Type="http://schemas.openxmlformats.org/officeDocument/2006/relationships/header" Target="header55.xml"/><Relationship Id="rId22" Type="http://schemas.openxmlformats.org/officeDocument/2006/relationships/footer" Target="footer4.xml"/><Relationship Id="rId27" Type="http://schemas.openxmlformats.org/officeDocument/2006/relationships/header" Target="header10.xml"/><Relationship Id="rId43" Type="http://schemas.openxmlformats.org/officeDocument/2006/relationships/footer" Target="footer15.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image" Target="media/image2.wmf"/><Relationship Id="rId113" Type="http://schemas.openxmlformats.org/officeDocument/2006/relationships/image" Target="media/image28.wmf"/><Relationship Id="rId118" Type="http://schemas.openxmlformats.org/officeDocument/2006/relationships/header" Target="header41.xml"/><Relationship Id="rId134" Type="http://schemas.openxmlformats.org/officeDocument/2006/relationships/image" Target="media/image37.wmf"/><Relationship Id="rId139" Type="http://schemas.openxmlformats.org/officeDocument/2006/relationships/image" Target="media/image42.wmf"/><Relationship Id="rId80" Type="http://schemas.openxmlformats.org/officeDocument/2006/relationships/image" Target="media/image7.wmf"/><Relationship Id="rId85" Type="http://schemas.openxmlformats.org/officeDocument/2006/relationships/image" Target="media/image12.wmf"/><Relationship Id="rId150" Type="http://schemas.openxmlformats.org/officeDocument/2006/relationships/image" Target="media/image53.wmf"/><Relationship Id="rId155" Type="http://schemas.openxmlformats.org/officeDocument/2006/relationships/image" Target="media/image58.wmf"/><Relationship Id="rId171" Type="http://schemas.openxmlformats.org/officeDocument/2006/relationships/image" Target="media/image74.emf"/><Relationship Id="rId176" Type="http://schemas.openxmlformats.org/officeDocument/2006/relationships/image" Target="media/image79.emf"/><Relationship Id="rId192" Type="http://schemas.openxmlformats.org/officeDocument/2006/relationships/header" Target="header48.xml"/><Relationship Id="rId197" Type="http://schemas.openxmlformats.org/officeDocument/2006/relationships/footer" Target="footer46.xml"/><Relationship Id="rId206" Type="http://schemas.openxmlformats.org/officeDocument/2006/relationships/image" Target="media/image96.emf"/><Relationship Id="rId227" Type="http://schemas.openxmlformats.org/officeDocument/2006/relationships/footer" Target="footer57.xml"/><Relationship Id="rId201" Type="http://schemas.openxmlformats.org/officeDocument/2006/relationships/image" Target="media/image91.emf"/><Relationship Id="rId222" Type="http://schemas.openxmlformats.org/officeDocument/2006/relationships/header" Target="header58.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header" Target="header13.xml"/><Relationship Id="rId38" Type="http://schemas.openxmlformats.org/officeDocument/2006/relationships/header" Target="header15.xml"/><Relationship Id="rId59" Type="http://schemas.openxmlformats.org/officeDocument/2006/relationships/footer" Target="footer22.xml"/><Relationship Id="rId103" Type="http://schemas.openxmlformats.org/officeDocument/2006/relationships/footer" Target="footer36.xml"/><Relationship Id="rId108" Type="http://schemas.openxmlformats.org/officeDocument/2006/relationships/image" Target="media/image23.wmf"/><Relationship Id="rId124" Type="http://schemas.openxmlformats.org/officeDocument/2006/relationships/header" Target="header43.xml"/><Relationship Id="rId129" Type="http://schemas.openxmlformats.org/officeDocument/2006/relationships/image" Target="media/image32.wmf"/><Relationship Id="rId54" Type="http://schemas.openxmlformats.org/officeDocument/2006/relationships/footer" Target="footer20.xml"/><Relationship Id="rId70" Type="http://schemas.openxmlformats.org/officeDocument/2006/relationships/image" Target="media/image3.wmf"/><Relationship Id="rId75" Type="http://schemas.openxmlformats.org/officeDocument/2006/relationships/header" Target="header31.xml"/><Relationship Id="rId91" Type="http://schemas.openxmlformats.org/officeDocument/2006/relationships/image" Target="media/image18.wmf"/><Relationship Id="rId96" Type="http://schemas.openxmlformats.org/officeDocument/2006/relationships/header" Target="header35.xml"/><Relationship Id="rId140" Type="http://schemas.openxmlformats.org/officeDocument/2006/relationships/image" Target="media/image43.wmf"/><Relationship Id="rId145" Type="http://schemas.openxmlformats.org/officeDocument/2006/relationships/image" Target="media/image48.wmf"/><Relationship Id="rId161" Type="http://schemas.openxmlformats.org/officeDocument/2006/relationships/image" Target="media/image64.wmf"/><Relationship Id="rId166" Type="http://schemas.openxmlformats.org/officeDocument/2006/relationships/image" Target="media/image69.emf"/><Relationship Id="rId182" Type="http://schemas.openxmlformats.org/officeDocument/2006/relationships/image" Target="media/image85.wmf"/><Relationship Id="rId187" Type="http://schemas.openxmlformats.org/officeDocument/2006/relationships/header" Target="header45.xml"/><Relationship Id="rId217"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50.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header" Target="header39.xml"/><Relationship Id="rId119" Type="http://schemas.openxmlformats.org/officeDocument/2006/relationships/footer" Target="footer39.xml"/><Relationship Id="rId44" Type="http://schemas.openxmlformats.org/officeDocument/2006/relationships/header" Target="header18.xml"/><Relationship Id="rId60" Type="http://schemas.openxmlformats.org/officeDocument/2006/relationships/footer" Target="footer23.xml"/><Relationship Id="rId65" Type="http://schemas.openxmlformats.org/officeDocument/2006/relationships/footer" Target="footer25.xml"/><Relationship Id="rId81" Type="http://schemas.openxmlformats.org/officeDocument/2006/relationships/image" Target="media/image8.wmf"/><Relationship Id="rId86" Type="http://schemas.openxmlformats.org/officeDocument/2006/relationships/image" Target="media/image13.wmf"/><Relationship Id="rId130" Type="http://schemas.openxmlformats.org/officeDocument/2006/relationships/image" Target="media/image33.wmf"/><Relationship Id="rId135" Type="http://schemas.openxmlformats.org/officeDocument/2006/relationships/image" Target="media/image38.wmf"/><Relationship Id="rId151" Type="http://schemas.openxmlformats.org/officeDocument/2006/relationships/image" Target="media/image54.wmf"/><Relationship Id="rId156" Type="http://schemas.openxmlformats.org/officeDocument/2006/relationships/image" Target="media/image59.wmf"/><Relationship Id="rId177" Type="http://schemas.openxmlformats.org/officeDocument/2006/relationships/image" Target="media/image80.emf"/><Relationship Id="rId198" Type="http://schemas.openxmlformats.org/officeDocument/2006/relationships/footer" Target="footer47.xml"/><Relationship Id="rId172" Type="http://schemas.openxmlformats.org/officeDocument/2006/relationships/image" Target="media/image75.emf"/><Relationship Id="rId193" Type="http://schemas.openxmlformats.org/officeDocument/2006/relationships/footer" Target="footer45.xml"/><Relationship Id="rId202" Type="http://schemas.openxmlformats.org/officeDocument/2006/relationships/image" Target="media/image92.emf"/><Relationship Id="rId207" Type="http://schemas.openxmlformats.org/officeDocument/2006/relationships/image" Target="media/image97.emf"/><Relationship Id="rId223" Type="http://schemas.openxmlformats.org/officeDocument/2006/relationships/header" Target="header59.xml"/><Relationship Id="rId228"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6.xml"/><Relationship Id="rId109" Type="http://schemas.openxmlformats.org/officeDocument/2006/relationships/image" Target="media/image24.wmf"/><Relationship Id="rId34" Type="http://schemas.openxmlformats.org/officeDocument/2006/relationships/footer" Target="footer10.xml"/><Relationship Id="rId50" Type="http://schemas.openxmlformats.org/officeDocument/2006/relationships/image" Target="media/image1.wmf"/><Relationship Id="rId55" Type="http://schemas.openxmlformats.org/officeDocument/2006/relationships/header" Target="header23.xml"/><Relationship Id="rId76" Type="http://schemas.openxmlformats.org/officeDocument/2006/relationships/footer" Target="footer28.xml"/><Relationship Id="rId97" Type="http://schemas.openxmlformats.org/officeDocument/2006/relationships/footer" Target="footer33.xml"/><Relationship Id="rId104" Type="http://schemas.openxmlformats.org/officeDocument/2006/relationships/image" Target="media/image19.wmf"/><Relationship Id="rId120" Type="http://schemas.openxmlformats.org/officeDocument/2006/relationships/image" Target="media/image29.wmf"/><Relationship Id="rId125" Type="http://schemas.openxmlformats.org/officeDocument/2006/relationships/footer" Target="footer40.xml"/><Relationship Id="rId141" Type="http://schemas.openxmlformats.org/officeDocument/2006/relationships/image" Target="media/image44.wmf"/><Relationship Id="rId146" Type="http://schemas.openxmlformats.org/officeDocument/2006/relationships/image" Target="media/image49.wmf"/><Relationship Id="rId167" Type="http://schemas.openxmlformats.org/officeDocument/2006/relationships/image" Target="media/image70.emf"/><Relationship Id="rId188" Type="http://schemas.openxmlformats.org/officeDocument/2006/relationships/header" Target="header46.xml"/><Relationship Id="rId7" Type="http://schemas.microsoft.com/office/2007/relationships/stylesWithEffects" Target="stylesWithEffects.xml"/><Relationship Id="rId71" Type="http://schemas.openxmlformats.org/officeDocument/2006/relationships/image" Target="media/image4.emf"/><Relationship Id="rId92" Type="http://schemas.openxmlformats.org/officeDocument/2006/relationships/header" Target="header33.xml"/><Relationship Id="rId162" Type="http://schemas.openxmlformats.org/officeDocument/2006/relationships/image" Target="media/image65.wmf"/><Relationship Id="rId183" Type="http://schemas.openxmlformats.org/officeDocument/2006/relationships/image" Target="media/image86.wmf"/><Relationship Id="rId213" Type="http://schemas.openxmlformats.org/officeDocument/2006/relationships/header" Target="header54.xml"/><Relationship Id="rId218" Type="http://schemas.openxmlformats.org/officeDocument/2006/relationships/footer" Target="footer52.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8.xml"/><Relationship Id="rId40" Type="http://schemas.openxmlformats.org/officeDocument/2006/relationships/footer" Target="footer13.xml"/><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image" Target="media/image14.wmf"/><Relationship Id="rId110" Type="http://schemas.openxmlformats.org/officeDocument/2006/relationships/image" Target="media/image25.wmf"/><Relationship Id="rId115" Type="http://schemas.openxmlformats.org/officeDocument/2006/relationships/header" Target="header40.xml"/><Relationship Id="rId131" Type="http://schemas.openxmlformats.org/officeDocument/2006/relationships/image" Target="media/image34.wmf"/><Relationship Id="rId136" Type="http://schemas.openxmlformats.org/officeDocument/2006/relationships/image" Target="media/image39.wmf"/><Relationship Id="rId157" Type="http://schemas.openxmlformats.org/officeDocument/2006/relationships/image" Target="media/image60.wmf"/><Relationship Id="rId178" Type="http://schemas.openxmlformats.org/officeDocument/2006/relationships/image" Target="media/image81.emf"/><Relationship Id="rId61" Type="http://schemas.openxmlformats.org/officeDocument/2006/relationships/header" Target="header26.xml"/><Relationship Id="rId82" Type="http://schemas.openxmlformats.org/officeDocument/2006/relationships/image" Target="media/image9.wmf"/><Relationship Id="rId152" Type="http://schemas.openxmlformats.org/officeDocument/2006/relationships/image" Target="media/image55.wmf"/><Relationship Id="rId173" Type="http://schemas.openxmlformats.org/officeDocument/2006/relationships/image" Target="media/image76.emf"/><Relationship Id="rId194" Type="http://schemas.openxmlformats.org/officeDocument/2006/relationships/image" Target="media/image90.wmf"/><Relationship Id="rId199" Type="http://schemas.openxmlformats.org/officeDocument/2006/relationships/header" Target="header51.xml"/><Relationship Id="rId203" Type="http://schemas.openxmlformats.org/officeDocument/2006/relationships/image" Target="media/image93.emf"/><Relationship Id="rId208" Type="http://schemas.openxmlformats.org/officeDocument/2006/relationships/image" Target="media/image98.emf"/><Relationship Id="rId229" Type="http://schemas.openxmlformats.org/officeDocument/2006/relationships/glossaryDocument" Target="glossary/document.xml"/><Relationship Id="rId19" Type="http://schemas.openxmlformats.org/officeDocument/2006/relationships/footer" Target="footer3.xml"/><Relationship Id="rId224" Type="http://schemas.openxmlformats.org/officeDocument/2006/relationships/footer" Target="footer55.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footer" Target="footer29.xml"/><Relationship Id="rId100" Type="http://schemas.openxmlformats.org/officeDocument/2006/relationships/footer" Target="footer34.xml"/><Relationship Id="rId105" Type="http://schemas.openxmlformats.org/officeDocument/2006/relationships/image" Target="media/image20.wmf"/><Relationship Id="rId126" Type="http://schemas.openxmlformats.org/officeDocument/2006/relationships/footer" Target="footer41.xml"/><Relationship Id="rId147" Type="http://schemas.openxmlformats.org/officeDocument/2006/relationships/image" Target="media/image50.wmf"/><Relationship Id="rId168" Type="http://schemas.openxmlformats.org/officeDocument/2006/relationships/image" Target="media/image71.emf"/><Relationship Id="rId8" Type="http://schemas.openxmlformats.org/officeDocument/2006/relationships/settings" Target="settings.xml"/><Relationship Id="rId51" Type="http://schemas.openxmlformats.org/officeDocument/2006/relationships/header" Target="header21.xml"/><Relationship Id="rId72" Type="http://schemas.openxmlformats.org/officeDocument/2006/relationships/image" Target="media/image5.wmf"/><Relationship Id="rId93" Type="http://schemas.openxmlformats.org/officeDocument/2006/relationships/header" Target="header34.xml"/><Relationship Id="rId98" Type="http://schemas.openxmlformats.org/officeDocument/2006/relationships/header" Target="header36.xml"/><Relationship Id="rId121" Type="http://schemas.openxmlformats.org/officeDocument/2006/relationships/image" Target="media/image30.wmf"/><Relationship Id="rId142" Type="http://schemas.openxmlformats.org/officeDocument/2006/relationships/image" Target="media/image45.wmf"/><Relationship Id="rId163" Type="http://schemas.openxmlformats.org/officeDocument/2006/relationships/image" Target="media/image66.wmf"/><Relationship Id="rId184" Type="http://schemas.openxmlformats.org/officeDocument/2006/relationships/image" Target="media/image87.wmf"/><Relationship Id="rId189" Type="http://schemas.openxmlformats.org/officeDocument/2006/relationships/header" Target="header47.xml"/><Relationship Id="rId219" Type="http://schemas.openxmlformats.org/officeDocument/2006/relationships/footer" Target="footer53.xml"/><Relationship Id="rId3" Type="http://schemas.openxmlformats.org/officeDocument/2006/relationships/customXml" Target="../customXml/item3.xml"/><Relationship Id="rId214" Type="http://schemas.openxmlformats.org/officeDocument/2006/relationships/footer" Target="footer51.xml"/><Relationship Id="rId230" Type="http://schemas.openxmlformats.org/officeDocument/2006/relationships/theme" Target="theme/theme1.xml"/><Relationship Id="rId25" Type="http://schemas.openxmlformats.org/officeDocument/2006/relationships/footer" Target="footer6.xml"/><Relationship Id="rId46" Type="http://schemas.openxmlformats.org/officeDocument/2006/relationships/footer" Target="footer16.xml"/><Relationship Id="rId67" Type="http://schemas.openxmlformats.org/officeDocument/2006/relationships/header" Target="header29.xml"/><Relationship Id="rId116" Type="http://schemas.openxmlformats.org/officeDocument/2006/relationships/footer" Target="footer37.xml"/><Relationship Id="rId137" Type="http://schemas.openxmlformats.org/officeDocument/2006/relationships/image" Target="media/image40.wmf"/><Relationship Id="rId158" Type="http://schemas.openxmlformats.org/officeDocument/2006/relationships/image" Target="media/image61.wmf"/><Relationship Id="rId20" Type="http://schemas.openxmlformats.org/officeDocument/2006/relationships/header" Target="header6.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image" Target="media/image10.wmf"/><Relationship Id="rId88" Type="http://schemas.openxmlformats.org/officeDocument/2006/relationships/image" Target="media/image15.wmf"/><Relationship Id="rId111" Type="http://schemas.openxmlformats.org/officeDocument/2006/relationships/image" Target="media/image26.wmf"/><Relationship Id="rId132" Type="http://schemas.openxmlformats.org/officeDocument/2006/relationships/image" Target="media/image35.wmf"/><Relationship Id="rId153" Type="http://schemas.openxmlformats.org/officeDocument/2006/relationships/image" Target="media/image56.wmf"/><Relationship Id="rId174" Type="http://schemas.openxmlformats.org/officeDocument/2006/relationships/image" Target="media/image77.wmf"/><Relationship Id="rId179" Type="http://schemas.openxmlformats.org/officeDocument/2006/relationships/image" Target="media/image82.wmf"/><Relationship Id="rId195" Type="http://schemas.openxmlformats.org/officeDocument/2006/relationships/header" Target="header49.xml"/><Relationship Id="rId209" Type="http://schemas.openxmlformats.org/officeDocument/2006/relationships/header" Target="header52.xml"/><Relationship Id="rId190" Type="http://schemas.openxmlformats.org/officeDocument/2006/relationships/footer" Target="footer43.xml"/><Relationship Id="rId204" Type="http://schemas.openxmlformats.org/officeDocument/2006/relationships/image" Target="media/image94.emf"/><Relationship Id="rId220" Type="http://schemas.openxmlformats.org/officeDocument/2006/relationships/header" Target="header57.xml"/><Relationship Id="rId225" Type="http://schemas.openxmlformats.org/officeDocument/2006/relationships/footer" Target="footer56.xml"/><Relationship Id="rId15" Type="http://schemas.openxmlformats.org/officeDocument/2006/relationships/header" Target="header4.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image" Target="media/image21.wmf"/><Relationship Id="rId127" Type="http://schemas.openxmlformats.org/officeDocument/2006/relationships/header" Target="header44.xml"/><Relationship Id="rId10" Type="http://schemas.openxmlformats.org/officeDocument/2006/relationships/footnotes" Target="footnotes.xml"/><Relationship Id="rId31" Type="http://schemas.openxmlformats.org/officeDocument/2006/relationships/footer" Target="footer9.xml"/><Relationship Id="rId52" Type="http://schemas.openxmlformats.org/officeDocument/2006/relationships/header" Target="header22.xml"/><Relationship Id="rId73" Type="http://schemas.openxmlformats.org/officeDocument/2006/relationships/image" Target="media/image6.wmf"/><Relationship Id="rId78" Type="http://schemas.openxmlformats.org/officeDocument/2006/relationships/header" Target="header32.xml"/><Relationship Id="rId94" Type="http://schemas.openxmlformats.org/officeDocument/2006/relationships/footer" Target="footer31.xml"/><Relationship Id="rId99" Type="http://schemas.openxmlformats.org/officeDocument/2006/relationships/header" Target="header37.xml"/><Relationship Id="rId101" Type="http://schemas.openxmlformats.org/officeDocument/2006/relationships/footer" Target="footer35.xml"/><Relationship Id="rId122" Type="http://schemas.openxmlformats.org/officeDocument/2006/relationships/image" Target="media/image31.wmf"/><Relationship Id="rId143" Type="http://schemas.openxmlformats.org/officeDocument/2006/relationships/image" Target="media/image46.wmf"/><Relationship Id="rId148" Type="http://schemas.openxmlformats.org/officeDocument/2006/relationships/image" Target="media/image51.wmf"/><Relationship Id="rId164" Type="http://schemas.openxmlformats.org/officeDocument/2006/relationships/image" Target="media/image67.wmf"/><Relationship Id="rId169" Type="http://schemas.openxmlformats.org/officeDocument/2006/relationships/image" Target="media/image72.emf"/><Relationship Id="rId185" Type="http://schemas.openxmlformats.org/officeDocument/2006/relationships/image" Target="media/image88.w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83.emf"/><Relationship Id="rId210" Type="http://schemas.openxmlformats.org/officeDocument/2006/relationships/header" Target="header53.xml"/><Relationship Id="rId215" Type="http://schemas.openxmlformats.org/officeDocument/2006/relationships/image" Target="media/image99.wmf"/><Relationship Id="rId26" Type="http://schemas.openxmlformats.org/officeDocument/2006/relationships/header" Target="header9.xml"/><Relationship Id="rId47" Type="http://schemas.openxmlformats.org/officeDocument/2006/relationships/footer" Target="footer17.xml"/><Relationship Id="rId68" Type="http://schemas.openxmlformats.org/officeDocument/2006/relationships/footer" Target="footer27.xml"/><Relationship Id="rId89" Type="http://schemas.openxmlformats.org/officeDocument/2006/relationships/image" Target="media/image16.wmf"/><Relationship Id="rId112" Type="http://schemas.openxmlformats.org/officeDocument/2006/relationships/image" Target="media/image27.wmf"/><Relationship Id="rId133" Type="http://schemas.openxmlformats.org/officeDocument/2006/relationships/image" Target="media/image36.wmf"/><Relationship Id="rId154" Type="http://schemas.openxmlformats.org/officeDocument/2006/relationships/image" Target="media/image57.wmf"/><Relationship Id="rId175" Type="http://schemas.openxmlformats.org/officeDocument/2006/relationships/image" Target="media/image78.emf"/><Relationship Id="rId196" Type="http://schemas.openxmlformats.org/officeDocument/2006/relationships/header" Target="header50.xml"/><Relationship Id="rId200" Type="http://schemas.openxmlformats.org/officeDocument/2006/relationships/footer" Target="footer48.xml"/><Relationship Id="rId16" Type="http://schemas.openxmlformats.org/officeDocument/2006/relationships/footer" Target="footer1.xml"/><Relationship Id="rId221" Type="http://schemas.openxmlformats.org/officeDocument/2006/relationships/footer" Target="footer54.xml"/><Relationship Id="rId37" Type="http://schemas.openxmlformats.org/officeDocument/2006/relationships/footer" Target="footer12.xml"/><Relationship Id="rId58" Type="http://schemas.openxmlformats.org/officeDocument/2006/relationships/header" Target="header25.xml"/><Relationship Id="rId79" Type="http://schemas.openxmlformats.org/officeDocument/2006/relationships/footer" Target="footer30.xml"/><Relationship Id="rId102" Type="http://schemas.openxmlformats.org/officeDocument/2006/relationships/header" Target="header38.xml"/><Relationship Id="rId123" Type="http://schemas.openxmlformats.org/officeDocument/2006/relationships/header" Target="header42.xml"/><Relationship Id="rId144" Type="http://schemas.openxmlformats.org/officeDocument/2006/relationships/image" Target="media/image47.wmf"/><Relationship Id="rId90" Type="http://schemas.openxmlformats.org/officeDocument/2006/relationships/image" Target="media/image17.emf"/><Relationship Id="rId165" Type="http://schemas.openxmlformats.org/officeDocument/2006/relationships/image" Target="media/image68.emf"/><Relationship Id="rId186" Type="http://schemas.openxmlformats.org/officeDocument/2006/relationships/image" Target="media/image89.wmf"/><Relationship Id="rId211" Type="http://schemas.openxmlformats.org/officeDocument/2006/relationships/footer" Target="footer49.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5A4C255C8E4EB9879F48B6EFBA74A6"/>
        <w:category>
          <w:name w:val="General"/>
          <w:gallery w:val="placeholder"/>
        </w:category>
        <w:types>
          <w:type w:val="bbPlcHdr"/>
        </w:types>
        <w:behaviors>
          <w:behavior w:val="content"/>
        </w:behaviors>
        <w:guid w:val="{98D99E74-88E3-4C30-A090-7DFDA58CEAC7}"/>
      </w:docPartPr>
      <w:docPartBody>
        <w:p w14:paraId="737CED35" w14:textId="77777777" w:rsidR="00326572" w:rsidRDefault="00326572" w:rsidP="00326572">
          <w:pPr>
            <w:pStyle w:val="FE5A4C255C8E4EB9879F48B6EFBA74A6"/>
          </w:pPr>
          <w:r w:rsidRPr="00C20FE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swiss"/>
    <w:notTrueType/>
    <w:pitch w:val="variable"/>
    <w:sig w:usb0="00000003" w:usb1="00000000" w:usb2="00000000" w:usb3="00000000" w:csb0="00000001" w:csb1="00000000"/>
  </w:font>
  <w:font w:name="Helvetica Neue">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Didot LT Std Headline">
    <w:panose1 w:val="00000000000000000000"/>
    <w:charset w:val="00"/>
    <w:family w:val="modern"/>
    <w:notTrueType/>
    <w:pitch w:val="variable"/>
    <w:sig w:usb0="800000AF" w:usb1="5000204A"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Novecento Book">
    <w:altName w:val="Arial"/>
    <w:panose1 w:val="00000000000000000000"/>
    <w:charset w:val="00"/>
    <w:family w:val="modern"/>
    <w:notTrueType/>
    <w:pitch w:val="variable"/>
    <w:sig w:usb0="00000007" w:usb1="00000000" w:usb2="00000000" w:usb3="00000000" w:csb0="00000093" w:csb1="00000000"/>
  </w:font>
  <w:font w:name="Marigold">
    <w:panose1 w:val="00000000000000000000"/>
    <w:charset w:val="00"/>
    <w:family w:val="script"/>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572"/>
    <w:rsid w:val="00326572"/>
    <w:rsid w:val="007B21A6"/>
    <w:rsid w:val="00FC5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37CED3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6572"/>
    <w:rPr>
      <w:color w:val="808080"/>
    </w:rPr>
  </w:style>
  <w:style w:type="paragraph" w:customStyle="1" w:styleId="FE5A4C255C8E4EB9879F48B6EFBA74A6">
    <w:name w:val="FE5A4C255C8E4EB9879F48B6EFBA74A6"/>
    <w:rsid w:val="00326572"/>
  </w:style>
  <w:style w:type="paragraph" w:customStyle="1" w:styleId="008D19F9E8FC41E2947183D01F535464">
    <w:name w:val="008D19F9E8FC41E2947183D01F535464"/>
    <w:rsid w:val="0032657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6572"/>
    <w:rPr>
      <w:color w:val="808080"/>
    </w:rPr>
  </w:style>
  <w:style w:type="paragraph" w:customStyle="1" w:styleId="FE5A4C255C8E4EB9879F48B6EFBA74A6">
    <w:name w:val="FE5A4C255C8E4EB9879F48B6EFBA74A6"/>
    <w:rsid w:val="00326572"/>
  </w:style>
  <w:style w:type="paragraph" w:customStyle="1" w:styleId="008D19F9E8FC41E2947183D01F535464">
    <w:name w:val="008D19F9E8FC41E2947183D01F535464"/>
    <w:rsid w:val="003265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C20F5-3FBB-44DA-B827-B92138A6F355}">
  <ds:schemaRefs>
    <ds:schemaRef ds:uri="http://schemas.microsoft.com/sharepoint/v3/contenttype/forms"/>
  </ds:schemaRefs>
</ds:datastoreItem>
</file>

<file path=customXml/itemProps2.xml><?xml version="1.0" encoding="utf-8"?>
<ds:datastoreItem xmlns:ds="http://schemas.openxmlformats.org/officeDocument/2006/customXml" ds:itemID="{ADF33C1F-6CC6-4780-AAF0-FFDDF776C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59D3941-7C8C-4B29-BFF1-8DFC17636FC1}">
  <ds:schemaRefs>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BB3534D-7EDD-43A2-AD70-FF03A945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Template.dotm</Template>
  <TotalTime>0</TotalTime>
  <Pages>222</Pages>
  <Words>85395</Words>
  <Characters>486755</Characters>
  <Application>Microsoft Office Word</Application>
  <DocSecurity>0</DocSecurity>
  <Lines>4056</Lines>
  <Paragraphs>1142</Paragraphs>
  <ScaleCrop>false</ScaleCrop>
  <HeadingPairs>
    <vt:vector size="2" baseType="variant">
      <vt:variant>
        <vt:lpstr>Title</vt:lpstr>
      </vt:variant>
      <vt:variant>
        <vt:i4>1</vt:i4>
      </vt:variant>
    </vt:vector>
  </HeadingPairs>
  <TitlesOfParts>
    <vt:vector size="1" baseType="lpstr">
      <vt:lpstr>Acil Allen Report</vt:lpstr>
    </vt:vector>
  </TitlesOfParts>
  <Company>Acil Allen</Company>
  <LinksUpToDate>false</LinksUpToDate>
  <CharactersWithSpaces>571008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Allen Report</dc:title>
  <dc:creator>Martin Gould</dc:creator>
  <cp:lastModifiedBy>Ryan Mannie</cp:lastModifiedBy>
  <cp:revision>2</cp:revision>
  <cp:lastPrinted>2017-03-16T05:31:00Z</cp:lastPrinted>
  <dcterms:created xsi:type="dcterms:W3CDTF">2017-05-21T23:14:00Z</dcterms:created>
  <dcterms:modified xsi:type="dcterms:W3CDTF">2017-05-21T23:14:00Z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longReport</vt:lpwstr>
  </property>
  <property fmtid="{D5CDD505-2E9C-101B-9397-08002B2CF9AE}" pid="4" name="Word">
    <vt:lpwstr>2013</vt:lpwstr>
  </property>
  <property fmtid="{D5CDD505-2E9C-101B-9397-08002B2CF9AE}" pid="5" name="PM version">
    <vt:lpwstr>97p21p04</vt:lpwstr>
  </property>
</Properties>
</file>