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037322" w14:textId="77777777" w:rsidR="00770803" w:rsidRPr="00E404CA" w:rsidRDefault="00770803" w:rsidP="00B73C94">
      <w:pPr>
        <w:pStyle w:val="BodyText"/>
      </w:pPr>
    </w:p>
    <w:tbl>
      <w:tblPr>
        <w:tblpPr w:leftFromText="180" w:rightFromText="180" w:vertAnchor="page" w:horzAnchor="page" w:tblpX="4183" w:tblpY="3121"/>
        <w:tblW w:w="0" w:type="auto"/>
        <w:shd w:val="clear" w:color="auto" w:fill="FFFFFF"/>
        <w:tblLook w:val="01E0" w:firstRow="1" w:lastRow="1" w:firstColumn="1" w:lastColumn="1" w:noHBand="0" w:noVBand="0"/>
      </w:tblPr>
      <w:tblGrid>
        <w:gridCol w:w="6487"/>
      </w:tblGrid>
      <w:tr w:rsidR="00042200" w:rsidRPr="00A65BA3" w14:paraId="5C411B21" w14:textId="77777777" w:rsidTr="00867057">
        <w:trPr>
          <w:trHeight w:hRule="exact" w:val="6946"/>
        </w:trPr>
        <w:tc>
          <w:tcPr>
            <w:tcW w:w="6487" w:type="dxa"/>
            <w:shd w:val="clear" w:color="auto" w:fill="FFFFFF"/>
          </w:tcPr>
          <w:p w14:paraId="3A64CF12" w14:textId="77777777" w:rsidR="00042200" w:rsidRPr="00A65BA3" w:rsidRDefault="00C773F3" w:rsidP="00042200">
            <w:pPr>
              <w:pStyle w:val="ReportTitle"/>
              <w:framePr w:hSpace="0" w:wrap="auto" w:vAnchor="margin" w:hAnchor="text" w:yAlign="inline"/>
              <w:suppressOverlap w:val="0"/>
            </w:pPr>
            <w:r w:rsidRPr="00A65BA3">
              <w:t>Cost of delivery of higher education</w:t>
            </w:r>
          </w:p>
          <w:p w14:paraId="4868B8B6" w14:textId="77777777" w:rsidR="00042200" w:rsidRPr="00A65BA3" w:rsidRDefault="00042200" w:rsidP="00042200">
            <w:pPr>
              <w:pStyle w:val="ReportTitle"/>
              <w:framePr w:hSpace="0" w:wrap="auto" w:vAnchor="margin" w:hAnchor="text" w:yAlign="inline"/>
              <w:suppressOverlap w:val="0"/>
            </w:pPr>
          </w:p>
          <w:p w14:paraId="7482E96B" w14:textId="77777777" w:rsidR="00042200" w:rsidRDefault="00C773F3" w:rsidP="00042200">
            <w:pPr>
              <w:pStyle w:val="ReportCompany"/>
            </w:pPr>
            <w:r w:rsidRPr="00A65BA3">
              <w:rPr>
                <w:szCs w:val="32"/>
              </w:rPr>
              <w:t>Australian Government</w:t>
            </w:r>
            <w:r w:rsidRPr="00A65BA3">
              <w:t xml:space="preserve"> Department of Education and Training</w:t>
            </w:r>
          </w:p>
          <w:p w14:paraId="5D419CC3" w14:textId="77777777" w:rsidR="0020197C" w:rsidRDefault="0020197C" w:rsidP="00042200">
            <w:pPr>
              <w:pStyle w:val="ReportCompany"/>
            </w:pPr>
          </w:p>
          <w:p w14:paraId="3927DE73" w14:textId="1CB33296" w:rsidR="00042200" w:rsidRPr="00A65BA3" w:rsidRDefault="006951BE" w:rsidP="0020197C">
            <w:pPr>
              <w:pStyle w:val="ReportCompany"/>
            </w:pPr>
            <w:r>
              <w:t>F</w:t>
            </w:r>
            <w:r w:rsidR="005575C9" w:rsidRPr="005575C9">
              <w:t>inal</w:t>
            </w:r>
            <w:r w:rsidR="005575C9">
              <w:rPr>
                <w:b/>
              </w:rPr>
              <w:t xml:space="preserve"> </w:t>
            </w:r>
            <w:r w:rsidR="005575C9" w:rsidRPr="005575C9">
              <w:t>report</w:t>
            </w:r>
          </w:p>
          <w:p w14:paraId="498DB40C" w14:textId="77777777" w:rsidR="00042200" w:rsidRPr="00A65BA3" w:rsidRDefault="00E17841" w:rsidP="00042200">
            <w:pPr>
              <w:pStyle w:val="ReportDate0"/>
            </w:pPr>
            <w:r>
              <w:t>December</w:t>
            </w:r>
            <w:r w:rsidRPr="00A65BA3">
              <w:t xml:space="preserve"> </w:t>
            </w:r>
            <w:r w:rsidR="00C773F3" w:rsidRPr="00A65BA3">
              <w:t>2016</w:t>
            </w:r>
          </w:p>
        </w:tc>
      </w:tr>
    </w:tbl>
    <w:p w14:paraId="48BABAF9" w14:textId="77777777" w:rsidR="00DD230E" w:rsidRDefault="00BF4A39" w:rsidP="009B4B43">
      <w:pPr>
        <w:pStyle w:val="SingleLeft"/>
      </w:pPr>
      <w:r w:rsidRPr="00A65BA3">
        <w:rPr>
          <w:noProof/>
          <w:lang w:eastAsia="en-AU"/>
        </w:rPr>
        <w:drawing>
          <wp:anchor distT="0" distB="0" distL="114300" distR="114300" simplePos="0" relativeHeight="251656192" behindDoc="0" locked="0" layoutInCell="1" allowOverlap="1" wp14:anchorId="51844F70" wp14:editId="5BE85B5F">
            <wp:simplePos x="0" y="0"/>
            <wp:positionH relativeFrom="column">
              <wp:posOffset>628650</wp:posOffset>
            </wp:positionH>
            <wp:positionV relativeFrom="paragraph">
              <wp:posOffset>311785</wp:posOffset>
            </wp:positionV>
            <wp:extent cx="3235325" cy="215900"/>
            <wp:effectExtent l="19050" t="0" r="3175" b="0"/>
            <wp:wrapThrough wrapText="bothSides">
              <wp:wrapPolygon edited="0">
                <wp:start x="-127" y="0"/>
                <wp:lineTo x="-127" y="19059"/>
                <wp:lineTo x="21621" y="19059"/>
                <wp:lineTo x="21621" y="0"/>
                <wp:lineTo x="-127" y="0"/>
              </wp:wrapPolygon>
            </wp:wrapThrough>
            <wp:docPr id="12" name="Picture 1" descr="D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E.jpg"/>
                    <pic:cNvPicPr/>
                  </pic:nvPicPr>
                  <pic:blipFill>
                    <a:blip r:embed="rId8" cstate="print"/>
                    <a:stretch>
                      <a:fillRect/>
                    </a:stretch>
                  </pic:blipFill>
                  <pic:spPr>
                    <a:xfrm>
                      <a:off x="0" y="0"/>
                      <a:ext cx="3235325" cy="215900"/>
                    </a:xfrm>
                    <a:prstGeom prst="rect">
                      <a:avLst/>
                    </a:prstGeom>
                  </pic:spPr>
                </pic:pic>
              </a:graphicData>
            </a:graphic>
          </wp:anchor>
        </w:drawing>
      </w:r>
    </w:p>
    <w:p w14:paraId="3EA3B135" w14:textId="77777777" w:rsidR="00DD230E" w:rsidRPr="00DD230E" w:rsidRDefault="00DD230E" w:rsidP="00DD230E"/>
    <w:p w14:paraId="28D2146C" w14:textId="77777777" w:rsidR="00DD230E" w:rsidRPr="00DD230E" w:rsidRDefault="00DD230E" w:rsidP="00DD230E"/>
    <w:p w14:paraId="1E6648BB" w14:textId="77777777" w:rsidR="00DD230E" w:rsidRPr="00DD230E" w:rsidRDefault="00DD230E" w:rsidP="00DD230E"/>
    <w:p w14:paraId="5500EB13" w14:textId="77777777" w:rsidR="00DD230E" w:rsidRPr="00DD230E" w:rsidRDefault="00DD230E" w:rsidP="00DD230E"/>
    <w:p w14:paraId="1F471A23" w14:textId="77777777" w:rsidR="00DD230E" w:rsidRPr="00DD230E" w:rsidRDefault="00DD230E" w:rsidP="00DD230E"/>
    <w:p w14:paraId="05C26937" w14:textId="77777777" w:rsidR="00DD230E" w:rsidRPr="00DD230E" w:rsidRDefault="00DD230E" w:rsidP="00DD230E"/>
    <w:p w14:paraId="0E4B14D0" w14:textId="77777777" w:rsidR="00DD230E" w:rsidRPr="00DD230E" w:rsidRDefault="00DD230E" w:rsidP="00DD230E"/>
    <w:p w14:paraId="716A1B05" w14:textId="77777777" w:rsidR="00DD230E" w:rsidRPr="00DD230E" w:rsidRDefault="00DD230E" w:rsidP="00DD230E"/>
    <w:p w14:paraId="0E9B7625" w14:textId="77777777" w:rsidR="00DD230E" w:rsidRPr="00DD230E" w:rsidRDefault="00DD230E" w:rsidP="00DD230E"/>
    <w:p w14:paraId="7D102F7F" w14:textId="77777777" w:rsidR="00DD230E" w:rsidRPr="00DD230E" w:rsidRDefault="00DD230E" w:rsidP="00DD230E"/>
    <w:p w14:paraId="70FB14F8" w14:textId="77777777" w:rsidR="00DD230E" w:rsidRPr="00DD230E" w:rsidRDefault="00DD230E" w:rsidP="00DD230E"/>
    <w:p w14:paraId="6B60556B" w14:textId="77777777" w:rsidR="00DD230E" w:rsidRPr="00DD230E" w:rsidRDefault="00DD230E" w:rsidP="00DD230E"/>
    <w:p w14:paraId="69B9D64A" w14:textId="77777777" w:rsidR="00DD230E" w:rsidRPr="00DD230E" w:rsidRDefault="00DD230E" w:rsidP="00DD230E"/>
    <w:p w14:paraId="195ECECB" w14:textId="77777777" w:rsidR="00DD230E" w:rsidRPr="00DD230E" w:rsidRDefault="00DD230E" w:rsidP="00DD230E"/>
    <w:p w14:paraId="65300987" w14:textId="77777777" w:rsidR="00DD230E" w:rsidRPr="00DD230E" w:rsidRDefault="00DD230E" w:rsidP="00DD230E"/>
    <w:p w14:paraId="7EEA5A54" w14:textId="77777777" w:rsidR="00DD230E" w:rsidRPr="00DD230E" w:rsidRDefault="00DD230E" w:rsidP="00DD230E"/>
    <w:p w14:paraId="7F9843FE" w14:textId="77777777" w:rsidR="00DD230E" w:rsidRPr="00DD230E" w:rsidRDefault="00DD230E" w:rsidP="00DD230E"/>
    <w:p w14:paraId="0F7574AB" w14:textId="77777777" w:rsidR="00DD230E" w:rsidRPr="00DD230E" w:rsidRDefault="00DD230E" w:rsidP="00DD230E"/>
    <w:p w14:paraId="28096E4F" w14:textId="77777777" w:rsidR="00DD230E" w:rsidRDefault="00DD230E" w:rsidP="00DD230E">
      <w:pPr>
        <w:tabs>
          <w:tab w:val="left" w:pos="3010"/>
        </w:tabs>
      </w:pPr>
      <w:r>
        <w:tab/>
      </w:r>
    </w:p>
    <w:p w14:paraId="0CD98A4B" w14:textId="77777777" w:rsidR="00DD230E" w:rsidRDefault="00DD230E" w:rsidP="00DD230E">
      <w:pPr>
        <w:tabs>
          <w:tab w:val="left" w:pos="3010"/>
        </w:tabs>
      </w:pPr>
      <w:r>
        <w:tab/>
      </w:r>
    </w:p>
    <w:p w14:paraId="109B1E90" w14:textId="77777777" w:rsidR="00DD230E" w:rsidRPr="00DD230E" w:rsidRDefault="00DD230E" w:rsidP="00DD230E"/>
    <w:p w14:paraId="29F04072" w14:textId="77777777" w:rsidR="00DD230E" w:rsidRPr="00DD230E" w:rsidRDefault="00DD230E" w:rsidP="00DD230E"/>
    <w:p w14:paraId="00E52FDB" w14:textId="77777777" w:rsidR="00DD230E" w:rsidRPr="00DD230E" w:rsidRDefault="00DD230E" w:rsidP="00DD230E"/>
    <w:p w14:paraId="7369A13F" w14:textId="77777777" w:rsidR="00DD230E" w:rsidRPr="00DD230E" w:rsidRDefault="00DD230E" w:rsidP="00DD230E"/>
    <w:p w14:paraId="365BF309" w14:textId="77777777" w:rsidR="00DD230E" w:rsidRPr="00DD230E" w:rsidRDefault="00DD230E" w:rsidP="00DD230E"/>
    <w:p w14:paraId="00877D1C" w14:textId="77777777" w:rsidR="00DD230E" w:rsidRPr="00DD230E" w:rsidRDefault="00DD230E" w:rsidP="00DD230E"/>
    <w:p w14:paraId="68D750AB" w14:textId="77777777" w:rsidR="00DD230E" w:rsidRPr="00DD230E" w:rsidRDefault="00DD230E" w:rsidP="00DD230E"/>
    <w:p w14:paraId="273EA47D" w14:textId="77777777" w:rsidR="00DD230E" w:rsidRPr="00DD230E" w:rsidRDefault="00DD230E" w:rsidP="00DD230E"/>
    <w:p w14:paraId="293911B9" w14:textId="77777777" w:rsidR="00DD230E" w:rsidRPr="00DD230E" w:rsidRDefault="00DD230E" w:rsidP="00DD230E">
      <w:pPr>
        <w:jc w:val="right"/>
      </w:pPr>
    </w:p>
    <w:p w14:paraId="0D69B689" w14:textId="77777777" w:rsidR="00DD230E" w:rsidRPr="00DD230E" w:rsidRDefault="00DD230E" w:rsidP="00DD230E"/>
    <w:p w14:paraId="2B8C4E75" w14:textId="77777777" w:rsidR="00DD230E" w:rsidRPr="00DD230E" w:rsidRDefault="00DD230E" w:rsidP="00DD230E"/>
    <w:p w14:paraId="40AAAA2F" w14:textId="77777777" w:rsidR="00DD230E" w:rsidRPr="00DD230E" w:rsidRDefault="00DD230E" w:rsidP="00DD230E"/>
    <w:p w14:paraId="6E4F9215" w14:textId="77777777" w:rsidR="00DD230E" w:rsidRPr="00DD230E" w:rsidRDefault="00DD230E" w:rsidP="00DD230E"/>
    <w:p w14:paraId="7DA414A1" w14:textId="77777777" w:rsidR="00DD230E" w:rsidRPr="00DD230E" w:rsidRDefault="00DD230E" w:rsidP="00DD230E"/>
    <w:p w14:paraId="1AB85F00" w14:textId="77777777" w:rsidR="00DD230E" w:rsidRPr="00DD230E" w:rsidRDefault="00DD230E" w:rsidP="00DD230E"/>
    <w:p w14:paraId="2E2135E1" w14:textId="77777777" w:rsidR="00DD230E" w:rsidRPr="00DD230E" w:rsidRDefault="00DD230E" w:rsidP="00DD230E"/>
    <w:p w14:paraId="4B1CB907" w14:textId="77777777" w:rsidR="00DD230E" w:rsidRPr="00DD230E" w:rsidRDefault="00DD230E" w:rsidP="00DD230E"/>
    <w:p w14:paraId="27F3158A" w14:textId="77777777" w:rsidR="00DD230E" w:rsidRPr="00DD230E" w:rsidRDefault="00DD230E" w:rsidP="00DD230E"/>
    <w:p w14:paraId="338E1A5D" w14:textId="77777777" w:rsidR="00DD230E" w:rsidRPr="00DD230E" w:rsidRDefault="00DD230E" w:rsidP="00DD230E"/>
    <w:p w14:paraId="6D962358" w14:textId="77777777" w:rsidR="00DD230E" w:rsidRPr="00DD230E" w:rsidRDefault="00DD230E" w:rsidP="00DD230E"/>
    <w:p w14:paraId="33D6E4B3" w14:textId="77777777" w:rsidR="00DD230E" w:rsidRPr="00DD230E" w:rsidRDefault="00DD230E" w:rsidP="00DD230E"/>
    <w:p w14:paraId="56107913" w14:textId="77777777" w:rsidR="00DD230E" w:rsidRPr="00DD230E" w:rsidRDefault="00DD230E" w:rsidP="00DD230E"/>
    <w:p w14:paraId="5101A3C5" w14:textId="77777777" w:rsidR="00DD230E" w:rsidRPr="00DD230E" w:rsidRDefault="00DD230E" w:rsidP="00DD230E"/>
    <w:p w14:paraId="46F49C8D" w14:textId="77777777" w:rsidR="00DD230E" w:rsidRPr="00DD230E" w:rsidRDefault="00DD230E" w:rsidP="00DD230E"/>
    <w:p w14:paraId="31269AD9" w14:textId="77777777" w:rsidR="00DD230E" w:rsidRPr="00DD230E" w:rsidRDefault="00DD230E" w:rsidP="00DD230E"/>
    <w:p w14:paraId="310F5791" w14:textId="77777777" w:rsidR="00DD230E" w:rsidRPr="00DD230E" w:rsidRDefault="00DD230E" w:rsidP="00DD230E"/>
    <w:p w14:paraId="349F1C42" w14:textId="77777777" w:rsidR="00DD230E" w:rsidRPr="00DD230E" w:rsidRDefault="00DD230E" w:rsidP="00DD230E"/>
    <w:p w14:paraId="570BEDDC" w14:textId="77777777" w:rsidR="00DD230E" w:rsidRDefault="00DD230E" w:rsidP="00DD230E"/>
    <w:p w14:paraId="7FB1019C" w14:textId="77777777" w:rsidR="00DD230E" w:rsidRDefault="00DD230E" w:rsidP="00DD230E">
      <w:pPr>
        <w:tabs>
          <w:tab w:val="left" w:pos="2570"/>
        </w:tabs>
      </w:pPr>
      <w:r>
        <w:tab/>
      </w:r>
    </w:p>
    <w:p w14:paraId="4497C511" w14:textId="77777777" w:rsidR="001A17CE" w:rsidRPr="00DD230E" w:rsidRDefault="00DD230E" w:rsidP="00DD230E">
      <w:pPr>
        <w:tabs>
          <w:tab w:val="left" w:pos="2570"/>
        </w:tabs>
        <w:sectPr w:rsidR="001A17CE" w:rsidRPr="00DD230E" w:rsidSect="00042200">
          <w:headerReference w:type="even" r:id="rId9"/>
          <w:headerReference w:type="default" r:id="rId10"/>
          <w:footerReference w:type="even" r:id="rId11"/>
          <w:footerReference w:type="default" r:id="rId12"/>
          <w:headerReference w:type="first" r:id="rId13"/>
          <w:footerReference w:type="first" r:id="rId14"/>
          <w:pgSz w:w="11906" w:h="16838" w:code="9"/>
          <w:pgMar w:top="0" w:right="0" w:bottom="0" w:left="0" w:header="454" w:footer="454" w:gutter="0"/>
          <w:cols w:space="720"/>
          <w:titlePg/>
          <w:docGrid w:linePitch="360"/>
        </w:sectPr>
      </w:pPr>
      <w:r>
        <w:tab/>
      </w:r>
    </w:p>
    <w:p w14:paraId="0D6FFFB6" w14:textId="77777777" w:rsidR="00F41CBD" w:rsidRPr="00A65BA3" w:rsidRDefault="00F41CBD" w:rsidP="00F41CBD">
      <w:pPr>
        <w:pStyle w:val="Contents-Major"/>
      </w:pPr>
      <w:r w:rsidRPr="00A65BA3">
        <w:lastRenderedPageBreak/>
        <w:t>Contents</w:t>
      </w:r>
    </w:p>
    <w:p w14:paraId="4F7243D6" w14:textId="77777777" w:rsidR="00995626" w:rsidRDefault="00F41CBD">
      <w:pPr>
        <w:pStyle w:val="TOC1"/>
        <w:rPr>
          <w:rFonts w:asciiTheme="minorHAnsi" w:eastAsiaTheme="minorEastAsia" w:hAnsiTheme="minorHAnsi" w:cstheme="minorBidi"/>
          <w:noProof/>
          <w:lang w:eastAsia="en-AU"/>
        </w:rPr>
      </w:pPr>
      <w:r w:rsidRPr="00A65BA3">
        <w:rPr>
          <w:b/>
          <w:caps/>
        </w:rPr>
        <w:fldChar w:fldCharType="begin"/>
      </w:r>
      <w:r w:rsidRPr="00A65BA3">
        <w:rPr>
          <w:b/>
          <w:caps/>
        </w:rPr>
        <w:instrText xml:space="preserve"> TOC \o "1-2" \h \z \t "Major Heading,1,Appendix,1,Glossary,1,Heading A,1" </w:instrText>
      </w:r>
      <w:r w:rsidRPr="00A65BA3">
        <w:rPr>
          <w:b/>
          <w:caps/>
        </w:rPr>
        <w:fldChar w:fldCharType="separate"/>
      </w:r>
      <w:hyperlink w:anchor="_Toc469927312" w:history="1">
        <w:r w:rsidR="00995626" w:rsidRPr="00A638C2">
          <w:rPr>
            <w:rStyle w:val="Hyperlink"/>
            <w:noProof/>
          </w:rPr>
          <w:t>Glossary</w:t>
        </w:r>
        <w:r w:rsidR="00995626">
          <w:rPr>
            <w:noProof/>
            <w:webHidden/>
          </w:rPr>
          <w:tab/>
        </w:r>
        <w:r w:rsidR="00995626">
          <w:rPr>
            <w:noProof/>
            <w:webHidden/>
          </w:rPr>
          <w:fldChar w:fldCharType="begin"/>
        </w:r>
        <w:r w:rsidR="00995626">
          <w:rPr>
            <w:noProof/>
            <w:webHidden/>
          </w:rPr>
          <w:instrText xml:space="preserve"> PAGEREF _Toc469927312 \h </w:instrText>
        </w:r>
        <w:r w:rsidR="00995626">
          <w:rPr>
            <w:noProof/>
            <w:webHidden/>
          </w:rPr>
        </w:r>
        <w:r w:rsidR="00995626">
          <w:rPr>
            <w:noProof/>
            <w:webHidden/>
          </w:rPr>
          <w:fldChar w:fldCharType="separate"/>
        </w:r>
        <w:r w:rsidR="00595C6E">
          <w:rPr>
            <w:noProof/>
            <w:webHidden/>
          </w:rPr>
          <w:t>i</w:t>
        </w:r>
        <w:r w:rsidR="00995626">
          <w:rPr>
            <w:noProof/>
            <w:webHidden/>
          </w:rPr>
          <w:fldChar w:fldCharType="end"/>
        </w:r>
      </w:hyperlink>
    </w:p>
    <w:p w14:paraId="6DA13B16" w14:textId="21A8642F" w:rsidR="00995626" w:rsidRDefault="00C65E81">
      <w:pPr>
        <w:pStyle w:val="TOC1"/>
        <w:rPr>
          <w:rFonts w:asciiTheme="minorHAnsi" w:eastAsiaTheme="minorEastAsia" w:hAnsiTheme="minorHAnsi" w:cstheme="minorBidi"/>
          <w:noProof/>
          <w:lang w:eastAsia="en-AU"/>
        </w:rPr>
      </w:pPr>
      <w:hyperlink w:anchor="_Toc469927313" w:history="1">
        <w:r w:rsidR="00995626" w:rsidRPr="00A638C2">
          <w:rPr>
            <w:rStyle w:val="Hyperlink"/>
            <w:noProof/>
          </w:rPr>
          <w:t>Executive Summary</w:t>
        </w:r>
        <w:r w:rsidR="00995626">
          <w:rPr>
            <w:noProof/>
            <w:webHidden/>
          </w:rPr>
          <w:tab/>
        </w:r>
        <w:r w:rsidR="00995626">
          <w:rPr>
            <w:noProof/>
            <w:webHidden/>
          </w:rPr>
          <w:fldChar w:fldCharType="begin"/>
        </w:r>
        <w:r w:rsidR="00995626">
          <w:rPr>
            <w:noProof/>
            <w:webHidden/>
          </w:rPr>
          <w:instrText xml:space="preserve"> PAGEREF _Toc469927313 \h </w:instrText>
        </w:r>
        <w:r w:rsidR="00995626">
          <w:rPr>
            <w:noProof/>
            <w:webHidden/>
          </w:rPr>
        </w:r>
        <w:r w:rsidR="00995626">
          <w:rPr>
            <w:noProof/>
            <w:webHidden/>
          </w:rPr>
          <w:fldChar w:fldCharType="separate"/>
        </w:r>
        <w:r w:rsidR="00595C6E">
          <w:rPr>
            <w:noProof/>
            <w:webHidden/>
          </w:rPr>
          <w:t>iv</w:t>
        </w:r>
        <w:r w:rsidR="00995626">
          <w:rPr>
            <w:noProof/>
            <w:webHidden/>
          </w:rPr>
          <w:fldChar w:fldCharType="end"/>
        </w:r>
      </w:hyperlink>
    </w:p>
    <w:p w14:paraId="5D64ACBB" w14:textId="77777777" w:rsidR="00995626" w:rsidRDefault="00C65E81">
      <w:pPr>
        <w:pStyle w:val="TOC1"/>
        <w:rPr>
          <w:rFonts w:asciiTheme="minorHAnsi" w:eastAsiaTheme="minorEastAsia" w:hAnsiTheme="minorHAnsi" w:cstheme="minorBidi"/>
          <w:noProof/>
          <w:lang w:eastAsia="en-AU"/>
        </w:rPr>
      </w:pPr>
      <w:hyperlink w:anchor="_Toc469927314" w:history="1">
        <w:r w:rsidR="00995626" w:rsidRPr="00A638C2">
          <w:rPr>
            <w:rStyle w:val="Hyperlink"/>
            <w:noProof/>
          </w:rPr>
          <w:t>1</w:t>
        </w:r>
        <w:r w:rsidR="00995626">
          <w:rPr>
            <w:rFonts w:asciiTheme="minorHAnsi" w:eastAsiaTheme="minorEastAsia" w:hAnsiTheme="minorHAnsi" w:cstheme="minorBidi"/>
            <w:noProof/>
            <w:lang w:eastAsia="en-AU"/>
          </w:rPr>
          <w:tab/>
        </w:r>
        <w:r w:rsidR="00995626" w:rsidRPr="00A638C2">
          <w:rPr>
            <w:rStyle w:val="Hyperlink"/>
            <w:noProof/>
          </w:rPr>
          <w:t>Background</w:t>
        </w:r>
        <w:r w:rsidR="00995626">
          <w:rPr>
            <w:noProof/>
            <w:webHidden/>
          </w:rPr>
          <w:tab/>
        </w:r>
        <w:r w:rsidR="00995626">
          <w:rPr>
            <w:noProof/>
            <w:webHidden/>
          </w:rPr>
          <w:fldChar w:fldCharType="begin"/>
        </w:r>
        <w:r w:rsidR="00995626">
          <w:rPr>
            <w:noProof/>
            <w:webHidden/>
          </w:rPr>
          <w:instrText xml:space="preserve"> PAGEREF _Toc469927314 \h </w:instrText>
        </w:r>
        <w:r w:rsidR="00995626">
          <w:rPr>
            <w:noProof/>
            <w:webHidden/>
          </w:rPr>
        </w:r>
        <w:r w:rsidR="00995626">
          <w:rPr>
            <w:noProof/>
            <w:webHidden/>
          </w:rPr>
          <w:fldChar w:fldCharType="separate"/>
        </w:r>
        <w:r w:rsidR="00595C6E">
          <w:rPr>
            <w:noProof/>
            <w:webHidden/>
          </w:rPr>
          <w:t>1</w:t>
        </w:r>
        <w:r w:rsidR="00995626">
          <w:rPr>
            <w:noProof/>
            <w:webHidden/>
          </w:rPr>
          <w:fldChar w:fldCharType="end"/>
        </w:r>
      </w:hyperlink>
    </w:p>
    <w:p w14:paraId="7A4377F1" w14:textId="77777777" w:rsidR="00995626" w:rsidRDefault="00C65E81">
      <w:pPr>
        <w:pStyle w:val="TOC2"/>
        <w:rPr>
          <w:rFonts w:asciiTheme="minorHAnsi" w:eastAsiaTheme="minorEastAsia" w:hAnsiTheme="minorHAnsi" w:cstheme="minorBidi"/>
          <w:sz w:val="22"/>
          <w:szCs w:val="22"/>
          <w:lang w:eastAsia="en-AU"/>
        </w:rPr>
      </w:pPr>
      <w:hyperlink w:anchor="_Toc469927315" w:history="1">
        <w:r w:rsidR="00995626" w:rsidRPr="00A638C2">
          <w:rPr>
            <w:rStyle w:val="Hyperlink"/>
            <w:rFonts w:cs="Arial"/>
          </w:rPr>
          <w:t>1.1</w:t>
        </w:r>
        <w:r w:rsidR="00995626">
          <w:rPr>
            <w:rFonts w:asciiTheme="minorHAnsi" w:eastAsiaTheme="minorEastAsia" w:hAnsiTheme="minorHAnsi" w:cstheme="minorBidi"/>
            <w:sz w:val="22"/>
            <w:szCs w:val="22"/>
            <w:lang w:eastAsia="en-AU"/>
          </w:rPr>
          <w:tab/>
        </w:r>
        <w:r w:rsidR="00995626" w:rsidRPr="00A638C2">
          <w:rPr>
            <w:rStyle w:val="Hyperlink"/>
          </w:rPr>
          <w:t>The context to this report</w:t>
        </w:r>
        <w:r w:rsidR="00995626">
          <w:rPr>
            <w:webHidden/>
          </w:rPr>
          <w:tab/>
        </w:r>
        <w:r w:rsidR="00995626">
          <w:rPr>
            <w:webHidden/>
          </w:rPr>
          <w:fldChar w:fldCharType="begin"/>
        </w:r>
        <w:r w:rsidR="00995626">
          <w:rPr>
            <w:webHidden/>
          </w:rPr>
          <w:instrText xml:space="preserve"> PAGEREF _Toc469927315 \h </w:instrText>
        </w:r>
        <w:r w:rsidR="00995626">
          <w:rPr>
            <w:webHidden/>
          </w:rPr>
        </w:r>
        <w:r w:rsidR="00995626">
          <w:rPr>
            <w:webHidden/>
          </w:rPr>
          <w:fldChar w:fldCharType="separate"/>
        </w:r>
        <w:r w:rsidR="00595C6E">
          <w:rPr>
            <w:webHidden/>
          </w:rPr>
          <w:t>1</w:t>
        </w:r>
        <w:r w:rsidR="00995626">
          <w:rPr>
            <w:webHidden/>
          </w:rPr>
          <w:fldChar w:fldCharType="end"/>
        </w:r>
      </w:hyperlink>
    </w:p>
    <w:p w14:paraId="095D5BFB" w14:textId="77777777" w:rsidR="00995626" w:rsidRDefault="00C65E81">
      <w:pPr>
        <w:pStyle w:val="TOC2"/>
        <w:rPr>
          <w:rFonts w:asciiTheme="minorHAnsi" w:eastAsiaTheme="minorEastAsia" w:hAnsiTheme="minorHAnsi" w:cstheme="minorBidi"/>
          <w:sz w:val="22"/>
          <w:szCs w:val="22"/>
          <w:lang w:eastAsia="en-AU"/>
        </w:rPr>
      </w:pPr>
      <w:hyperlink w:anchor="_Toc469927316" w:history="1">
        <w:r w:rsidR="00995626" w:rsidRPr="00A638C2">
          <w:rPr>
            <w:rStyle w:val="Hyperlink"/>
            <w:rFonts w:cs="Arial"/>
          </w:rPr>
          <w:t>1.2</w:t>
        </w:r>
        <w:r w:rsidR="00995626">
          <w:rPr>
            <w:rFonts w:asciiTheme="minorHAnsi" w:eastAsiaTheme="minorEastAsia" w:hAnsiTheme="minorHAnsi" w:cstheme="minorBidi"/>
            <w:sz w:val="22"/>
            <w:szCs w:val="22"/>
            <w:lang w:eastAsia="en-AU"/>
          </w:rPr>
          <w:tab/>
        </w:r>
        <w:r w:rsidR="00995626" w:rsidRPr="00A638C2">
          <w:rPr>
            <w:rStyle w:val="Hyperlink"/>
          </w:rPr>
          <w:t>Trends in higher education delivery</w:t>
        </w:r>
        <w:r w:rsidR="00995626">
          <w:rPr>
            <w:webHidden/>
          </w:rPr>
          <w:tab/>
        </w:r>
        <w:r w:rsidR="00995626">
          <w:rPr>
            <w:webHidden/>
          </w:rPr>
          <w:fldChar w:fldCharType="begin"/>
        </w:r>
        <w:r w:rsidR="00995626">
          <w:rPr>
            <w:webHidden/>
          </w:rPr>
          <w:instrText xml:space="preserve"> PAGEREF _Toc469927316 \h </w:instrText>
        </w:r>
        <w:r w:rsidR="00995626">
          <w:rPr>
            <w:webHidden/>
          </w:rPr>
        </w:r>
        <w:r w:rsidR="00995626">
          <w:rPr>
            <w:webHidden/>
          </w:rPr>
          <w:fldChar w:fldCharType="separate"/>
        </w:r>
        <w:r w:rsidR="00595C6E">
          <w:rPr>
            <w:webHidden/>
          </w:rPr>
          <w:t>7</w:t>
        </w:r>
        <w:r w:rsidR="00995626">
          <w:rPr>
            <w:webHidden/>
          </w:rPr>
          <w:fldChar w:fldCharType="end"/>
        </w:r>
      </w:hyperlink>
    </w:p>
    <w:p w14:paraId="5D9E505F" w14:textId="77777777" w:rsidR="00995626" w:rsidRDefault="00C65E81">
      <w:pPr>
        <w:pStyle w:val="TOC1"/>
        <w:rPr>
          <w:rFonts w:asciiTheme="minorHAnsi" w:eastAsiaTheme="minorEastAsia" w:hAnsiTheme="minorHAnsi" w:cstheme="minorBidi"/>
          <w:noProof/>
          <w:lang w:eastAsia="en-AU"/>
        </w:rPr>
      </w:pPr>
      <w:hyperlink w:anchor="_Toc469927317" w:history="1">
        <w:r w:rsidR="00995626" w:rsidRPr="00A638C2">
          <w:rPr>
            <w:rStyle w:val="Hyperlink"/>
            <w:noProof/>
          </w:rPr>
          <w:t>2</w:t>
        </w:r>
        <w:r w:rsidR="00995626">
          <w:rPr>
            <w:rFonts w:asciiTheme="minorHAnsi" w:eastAsiaTheme="minorEastAsia" w:hAnsiTheme="minorHAnsi" w:cstheme="minorBidi"/>
            <w:noProof/>
            <w:lang w:eastAsia="en-AU"/>
          </w:rPr>
          <w:tab/>
        </w:r>
        <w:r w:rsidR="00995626" w:rsidRPr="00A638C2">
          <w:rPr>
            <w:rStyle w:val="Hyperlink"/>
            <w:noProof/>
          </w:rPr>
          <w:t>Data compilation and moderation</w:t>
        </w:r>
        <w:r w:rsidR="00995626">
          <w:rPr>
            <w:noProof/>
            <w:webHidden/>
          </w:rPr>
          <w:tab/>
        </w:r>
        <w:r w:rsidR="00995626">
          <w:rPr>
            <w:noProof/>
            <w:webHidden/>
          </w:rPr>
          <w:fldChar w:fldCharType="begin"/>
        </w:r>
        <w:r w:rsidR="00995626">
          <w:rPr>
            <w:noProof/>
            <w:webHidden/>
          </w:rPr>
          <w:instrText xml:space="preserve"> PAGEREF _Toc469927317 \h </w:instrText>
        </w:r>
        <w:r w:rsidR="00995626">
          <w:rPr>
            <w:noProof/>
            <w:webHidden/>
          </w:rPr>
        </w:r>
        <w:r w:rsidR="00995626">
          <w:rPr>
            <w:noProof/>
            <w:webHidden/>
          </w:rPr>
          <w:fldChar w:fldCharType="separate"/>
        </w:r>
        <w:r w:rsidR="00595C6E">
          <w:rPr>
            <w:noProof/>
            <w:webHidden/>
          </w:rPr>
          <w:t>20</w:t>
        </w:r>
        <w:r w:rsidR="00995626">
          <w:rPr>
            <w:noProof/>
            <w:webHidden/>
          </w:rPr>
          <w:fldChar w:fldCharType="end"/>
        </w:r>
      </w:hyperlink>
    </w:p>
    <w:p w14:paraId="1D7E4274" w14:textId="77777777" w:rsidR="00995626" w:rsidRDefault="00C65E81">
      <w:pPr>
        <w:pStyle w:val="TOC2"/>
        <w:rPr>
          <w:rFonts w:asciiTheme="minorHAnsi" w:eastAsiaTheme="minorEastAsia" w:hAnsiTheme="minorHAnsi" w:cstheme="minorBidi"/>
          <w:sz w:val="22"/>
          <w:szCs w:val="22"/>
          <w:lang w:eastAsia="en-AU"/>
        </w:rPr>
      </w:pPr>
      <w:hyperlink w:anchor="_Toc469927318" w:history="1">
        <w:r w:rsidR="00995626" w:rsidRPr="00A638C2">
          <w:rPr>
            <w:rStyle w:val="Hyperlink"/>
            <w:rFonts w:cs="Arial"/>
          </w:rPr>
          <w:t>2.1</w:t>
        </w:r>
        <w:r w:rsidR="00995626">
          <w:rPr>
            <w:rFonts w:asciiTheme="minorHAnsi" w:eastAsiaTheme="minorEastAsia" w:hAnsiTheme="minorHAnsi" w:cstheme="minorBidi"/>
            <w:sz w:val="22"/>
            <w:szCs w:val="22"/>
            <w:lang w:eastAsia="en-AU"/>
          </w:rPr>
          <w:tab/>
        </w:r>
        <w:r w:rsidR="00995626" w:rsidRPr="00A638C2">
          <w:rPr>
            <w:rStyle w:val="Hyperlink"/>
          </w:rPr>
          <w:t>Data collection and sector engagement</w:t>
        </w:r>
        <w:r w:rsidR="00995626">
          <w:rPr>
            <w:webHidden/>
          </w:rPr>
          <w:tab/>
        </w:r>
        <w:r w:rsidR="00995626">
          <w:rPr>
            <w:webHidden/>
          </w:rPr>
          <w:fldChar w:fldCharType="begin"/>
        </w:r>
        <w:r w:rsidR="00995626">
          <w:rPr>
            <w:webHidden/>
          </w:rPr>
          <w:instrText xml:space="preserve"> PAGEREF _Toc469927318 \h </w:instrText>
        </w:r>
        <w:r w:rsidR="00995626">
          <w:rPr>
            <w:webHidden/>
          </w:rPr>
        </w:r>
        <w:r w:rsidR="00995626">
          <w:rPr>
            <w:webHidden/>
          </w:rPr>
          <w:fldChar w:fldCharType="separate"/>
        </w:r>
        <w:r w:rsidR="00595C6E">
          <w:rPr>
            <w:webHidden/>
          </w:rPr>
          <w:t>20</w:t>
        </w:r>
        <w:r w:rsidR="00995626">
          <w:rPr>
            <w:webHidden/>
          </w:rPr>
          <w:fldChar w:fldCharType="end"/>
        </w:r>
      </w:hyperlink>
    </w:p>
    <w:p w14:paraId="0FC80BE0" w14:textId="77777777" w:rsidR="00995626" w:rsidRDefault="00C65E81">
      <w:pPr>
        <w:pStyle w:val="TOC2"/>
        <w:rPr>
          <w:rFonts w:asciiTheme="minorHAnsi" w:eastAsiaTheme="minorEastAsia" w:hAnsiTheme="minorHAnsi" w:cstheme="minorBidi"/>
          <w:sz w:val="22"/>
          <w:szCs w:val="22"/>
          <w:lang w:eastAsia="en-AU"/>
        </w:rPr>
      </w:pPr>
      <w:hyperlink w:anchor="_Toc469927319" w:history="1">
        <w:r w:rsidR="00995626" w:rsidRPr="00A638C2">
          <w:rPr>
            <w:rStyle w:val="Hyperlink"/>
            <w:rFonts w:cs="Arial"/>
          </w:rPr>
          <w:t>2.2</w:t>
        </w:r>
        <w:r w:rsidR="00995626">
          <w:rPr>
            <w:rFonts w:asciiTheme="minorHAnsi" w:eastAsiaTheme="minorEastAsia" w:hAnsiTheme="minorHAnsi" w:cstheme="minorBidi"/>
            <w:sz w:val="22"/>
            <w:szCs w:val="22"/>
            <w:lang w:eastAsia="en-AU"/>
          </w:rPr>
          <w:tab/>
        </w:r>
        <w:r w:rsidR="00995626" w:rsidRPr="00A638C2">
          <w:rPr>
            <w:rStyle w:val="Hyperlink"/>
          </w:rPr>
          <w:t>Participating universities</w:t>
        </w:r>
        <w:r w:rsidR="00995626">
          <w:rPr>
            <w:webHidden/>
          </w:rPr>
          <w:tab/>
        </w:r>
        <w:r w:rsidR="00995626">
          <w:rPr>
            <w:webHidden/>
          </w:rPr>
          <w:fldChar w:fldCharType="begin"/>
        </w:r>
        <w:r w:rsidR="00995626">
          <w:rPr>
            <w:webHidden/>
          </w:rPr>
          <w:instrText xml:space="preserve"> PAGEREF _Toc469927319 \h </w:instrText>
        </w:r>
        <w:r w:rsidR="00995626">
          <w:rPr>
            <w:webHidden/>
          </w:rPr>
        </w:r>
        <w:r w:rsidR="00995626">
          <w:rPr>
            <w:webHidden/>
          </w:rPr>
          <w:fldChar w:fldCharType="separate"/>
        </w:r>
        <w:r w:rsidR="00595C6E">
          <w:rPr>
            <w:webHidden/>
          </w:rPr>
          <w:t>23</w:t>
        </w:r>
        <w:r w:rsidR="00995626">
          <w:rPr>
            <w:webHidden/>
          </w:rPr>
          <w:fldChar w:fldCharType="end"/>
        </w:r>
      </w:hyperlink>
    </w:p>
    <w:p w14:paraId="087C388A" w14:textId="77777777" w:rsidR="00995626" w:rsidRDefault="00C65E81">
      <w:pPr>
        <w:pStyle w:val="TOC1"/>
        <w:rPr>
          <w:rFonts w:asciiTheme="minorHAnsi" w:eastAsiaTheme="minorEastAsia" w:hAnsiTheme="minorHAnsi" w:cstheme="minorBidi"/>
          <w:noProof/>
          <w:lang w:eastAsia="en-AU"/>
        </w:rPr>
      </w:pPr>
      <w:hyperlink w:anchor="_Toc469927320" w:history="1">
        <w:r w:rsidR="00995626" w:rsidRPr="00A638C2">
          <w:rPr>
            <w:rStyle w:val="Hyperlink"/>
            <w:noProof/>
          </w:rPr>
          <w:t>3</w:t>
        </w:r>
        <w:r w:rsidR="00995626">
          <w:rPr>
            <w:rFonts w:asciiTheme="minorHAnsi" w:eastAsiaTheme="minorEastAsia" w:hAnsiTheme="minorHAnsi" w:cstheme="minorBidi"/>
            <w:noProof/>
            <w:lang w:eastAsia="en-AU"/>
          </w:rPr>
          <w:tab/>
        </w:r>
        <w:r w:rsidR="00995626" w:rsidRPr="00A638C2">
          <w:rPr>
            <w:rStyle w:val="Hyperlink"/>
            <w:noProof/>
          </w:rPr>
          <w:t>Teaching and Scholarship costs</w:t>
        </w:r>
        <w:r w:rsidR="00995626">
          <w:rPr>
            <w:noProof/>
            <w:webHidden/>
          </w:rPr>
          <w:tab/>
        </w:r>
        <w:r w:rsidR="00995626">
          <w:rPr>
            <w:noProof/>
            <w:webHidden/>
          </w:rPr>
          <w:fldChar w:fldCharType="begin"/>
        </w:r>
        <w:r w:rsidR="00995626">
          <w:rPr>
            <w:noProof/>
            <w:webHidden/>
          </w:rPr>
          <w:instrText xml:space="preserve"> PAGEREF _Toc469927320 \h </w:instrText>
        </w:r>
        <w:r w:rsidR="00995626">
          <w:rPr>
            <w:noProof/>
            <w:webHidden/>
          </w:rPr>
        </w:r>
        <w:r w:rsidR="00995626">
          <w:rPr>
            <w:noProof/>
            <w:webHidden/>
          </w:rPr>
          <w:fldChar w:fldCharType="separate"/>
        </w:r>
        <w:r w:rsidR="00595C6E">
          <w:rPr>
            <w:noProof/>
            <w:webHidden/>
          </w:rPr>
          <w:t>34</w:t>
        </w:r>
        <w:r w:rsidR="00995626">
          <w:rPr>
            <w:noProof/>
            <w:webHidden/>
          </w:rPr>
          <w:fldChar w:fldCharType="end"/>
        </w:r>
      </w:hyperlink>
    </w:p>
    <w:p w14:paraId="2091C766" w14:textId="77777777" w:rsidR="00995626" w:rsidRDefault="00C65E81">
      <w:pPr>
        <w:pStyle w:val="TOC2"/>
        <w:rPr>
          <w:rFonts w:asciiTheme="minorHAnsi" w:eastAsiaTheme="minorEastAsia" w:hAnsiTheme="minorHAnsi" w:cstheme="minorBidi"/>
          <w:sz w:val="22"/>
          <w:szCs w:val="22"/>
          <w:lang w:eastAsia="en-AU"/>
        </w:rPr>
      </w:pPr>
      <w:hyperlink w:anchor="_Toc469927321" w:history="1">
        <w:r w:rsidR="00995626" w:rsidRPr="00A638C2">
          <w:rPr>
            <w:rStyle w:val="Hyperlink"/>
            <w:rFonts w:cs="Arial"/>
          </w:rPr>
          <w:t>3.1</w:t>
        </w:r>
        <w:r w:rsidR="00995626">
          <w:rPr>
            <w:rFonts w:asciiTheme="minorHAnsi" w:eastAsiaTheme="minorEastAsia" w:hAnsiTheme="minorHAnsi" w:cstheme="minorBidi"/>
            <w:sz w:val="22"/>
            <w:szCs w:val="22"/>
            <w:lang w:eastAsia="en-AU"/>
          </w:rPr>
          <w:tab/>
        </w:r>
        <w:r w:rsidR="00995626" w:rsidRPr="00A638C2">
          <w:rPr>
            <w:rStyle w:val="Hyperlink"/>
          </w:rPr>
          <w:t>Summary of teaching and scholarship costs</w:t>
        </w:r>
        <w:r w:rsidR="00995626">
          <w:rPr>
            <w:webHidden/>
          </w:rPr>
          <w:tab/>
        </w:r>
        <w:r w:rsidR="00995626">
          <w:rPr>
            <w:webHidden/>
          </w:rPr>
          <w:fldChar w:fldCharType="begin"/>
        </w:r>
        <w:r w:rsidR="00995626">
          <w:rPr>
            <w:webHidden/>
          </w:rPr>
          <w:instrText xml:space="preserve"> PAGEREF _Toc469927321 \h </w:instrText>
        </w:r>
        <w:r w:rsidR="00995626">
          <w:rPr>
            <w:webHidden/>
          </w:rPr>
        </w:r>
        <w:r w:rsidR="00995626">
          <w:rPr>
            <w:webHidden/>
          </w:rPr>
          <w:fldChar w:fldCharType="separate"/>
        </w:r>
        <w:r w:rsidR="00595C6E">
          <w:rPr>
            <w:webHidden/>
          </w:rPr>
          <w:t>35</w:t>
        </w:r>
        <w:r w:rsidR="00995626">
          <w:rPr>
            <w:webHidden/>
          </w:rPr>
          <w:fldChar w:fldCharType="end"/>
        </w:r>
      </w:hyperlink>
    </w:p>
    <w:p w14:paraId="139B4F8D" w14:textId="77777777" w:rsidR="00995626" w:rsidRDefault="00C65E81">
      <w:pPr>
        <w:pStyle w:val="TOC2"/>
        <w:rPr>
          <w:rFonts w:asciiTheme="minorHAnsi" w:eastAsiaTheme="minorEastAsia" w:hAnsiTheme="minorHAnsi" w:cstheme="minorBidi"/>
          <w:sz w:val="22"/>
          <w:szCs w:val="22"/>
          <w:lang w:eastAsia="en-AU"/>
        </w:rPr>
      </w:pPr>
      <w:hyperlink w:anchor="_Toc469927322" w:history="1">
        <w:r w:rsidR="00995626" w:rsidRPr="00A638C2">
          <w:rPr>
            <w:rStyle w:val="Hyperlink"/>
            <w:rFonts w:cs="Arial"/>
          </w:rPr>
          <w:t>3.2</w:t>
        </w:r>
        <w:r w:rsidR="00995626">
          <w:rPr>
            <w:rFonts w:asciiTheme="minorHAnsi" w:eastAsiaTheme="minorEastAsia" w:hAnsiTheme="minorHAnsi" w:cstheme="minorBidi"/>
            <w:sz w:val="22"/>
            <w:szCs w:val="22"/>
            <w:lang w:eastAsia="en-AU"/>
          </w:rPr>
          <w:tab/>
        </w:r>
        <w:r w:rsidR="00995626" w:rsidRPr="00A638C2">
          <w:rPr>
            <w:rStyle w:val="Hyperlink"/>
          </w:rPr>
          <w:t>Summary of qualitative information provided</w:t>
        </w:r>
        <w:r w:rsidR="00995626">
          <w:rPr>
            <w:webHidden/>
          </w:rPr>
          <w:tab/>
        </w:r>
        <w:r w:rsidR="00995626">
          <w:rPr>
            <w:webHidden/>
          </w:rPr>
          <w:fldChar w:fldCharType="begin"/>
        </w:r>
        <w:r w:rsidR="00995626">
          <w:rPr>
            <w:webHidden/>
          </w:rPr>
          <w:instrText xml:space="preserve"> PAGEREF _Toc469927322 \h </w:instrText>
        </w:r>
        <w:r w:rsidR="00995626">
          <w:rPr>
            <w:webHidden/>
          </w:rPr>
        </w:r>
        <w:r w:rsidR="00995626">
          <w:rPr>
            <w:webHidden/>
          </w:rPr>
          <w:fldChar w:fldCharType="separate"/>
        </w:r>
        <w:r w:rsidR="00595C6E">
          <w:rPr>
            <w:webHidden/>
          </w:rPr>
          <w:t>41</w:t>
        </w:r>
        <w:r w:rsidR="00995626">
          <w:rPr>
            <w:webHidden/>
          </w:rPr>
          <w:fldChar w:fldCharType="end"/>
        </w:r>
      </w:hyperlink>
    </w:p>
    <w:p w14:paraId="4847903D" w14:textId="77777777" w:rsidR="00995626" w:rsidRDefault="00C65E81">
      <w:pPr>
        <w:pStyle w:val="TOC1"/>
        <w:rPr>
          <w:rFonts w:asciiTheme="minorHAnsi" w:eastAsiaTheme="minorEastAsia" w:hAnsiTheme="minorHAnsi" w:cstheme="minorBidi"/>
          <w:noProof/>
          <w:lang w:eastAsia="en-AU"/>
        </w:rPr>
      </w:pPr>
      <w:hyperlink w:anchor="_Toc469927323" w:history="1">
        <w:r w:rsidR="00995626" w:rsidRPr="00A638C2">
          <w:rPr>
            <w:rStyle w:val="Hyperlink"/>
            <w:noProof/>
          </w:rPr>
          <w:t>4</w:t>
        </w:r>
        <w:r w:rsidR="00995626">
          <w:rPr>
            <w:rFonts w:asciiTheme="minorHAnsi" w:eastAsiaTheme="minorEastAsia" w:hAnsiTheme="minorHAnsi" w:cstheme="minorBidi"/>
            <w:noProof/>
            <w:lang w:eastAsia="en-AU"/>
          </w:rPr>
          <w:tab/>
        </w:r>
        <w:r w:rsidR="00995626" w:rsidRPr="00A638C2">
          <w:rPr>
            <w:rStyle w:val="Hyperlink"/>
            <w:noProof/>
          </w:rPr>
          <w:t>Understanding reasonable cost</w:t>
        </w:r>
        <w:r w:rsidR="00995626">
          <w:rPr>
            <w:noProof/>
            <w:webHidden/>
          </w:rPr>
          <w:tab/>
        </w:r>
        <w:r w:rsidR="00995626">
          <w:rPr>
            <w:noProof/>
            <w:webHidden/>
          </w:rPr>
          <w:fldChar w:fldCharType="begin"/>
        </w:r>
        <w:r w:rsidR="00995626">
          <w:rPr>
            <w:noProof/>
            <w:webHidden/>
          </w:rPr>
          <w:instrText xml:space="preserve"> PAGEREF _Toc469927323 \h </w:instrText>
        </w:r>
        <w:r w:rsidR="00995626">
          <w:rPr>
            <w:noProof/>
            <w:webHidden/>
          </w:rPr>
        </w:r>
        <w:r w:rsidR="00995626">
          <w:rPr>
            <w:noProof/>
            <w:webHidden/>
          </w:rPr>
          <w:fldChar w:fldCharType="separate"/>
        </w:r>
        <w:r w:rsidR="00595C6E">
          <w:rPr>
            <w:noProof/>
            <w:webHidden/>
          </w:rPr>
          <w:t>46</w:t>
        </w:r>
        <w:r w:rsidR="00995626">
          <w:rPr>
            <w:noProof/>
            <w:webHidden/>
          </w:rPr>
          <w:fldChar w:fldCharType="end"/>
        </w:r>
      </w:hyperlink>
    </w:p>
    <w:p w14:paraId="7C7560F4" w14:textId="541821AF" w:rsidR="00995626" w:rsidRDefault="00C65E81">
      <w:pPr>
        <w:pStyle w:val="TOC2"/>
        <w:rPr>
          <w:rFonts w:asciiTheme="minorHAnsi" w:eastAsiaTheme="minorEastAsia" w:hAnsiTheme="minorHAnsi" w:cstheme="minorBidi"/>
          <w:sz w:val="22"/>
          <w:szCs w:val="22"/>
          <w:lang w:eastAsia="en-AU"/>
        </w:rPr>
      </w:pPr>
      <w:hyperlink w:anchor="_Toc469927324" w:history="1">
        <w:r w:rsidR="00995626" w:rsidRPr="00A638C2">
          <w:rPr>
            <w:rStyle w:val="Hyperlink"/>
            <w:rFonts w:cs="Arial"/>
          </w:rPr>
          <w:t>4.1</w:t>
        </w:r>
        <w:r w:rsidR="00995626">
          <w:rPr>
            <w:rFonts w:asciiTheme="minorHAnsi" w:eastAsiaTheme="minorEastAsia" w:hAnsiTheme="minorHAnsi" w:cstheme="minorBidi"/>
            <w:sz w:val="22"/>
            <w:szCs w:val="22"/>
            <w:lang w:eastAsia="en-AU"/>
          </w:rPr>
          <w:tab/>
        </w:r>
        <w:r w:rsidR="00995626" w:rsidRPr="00A638C2">
          <w:rPr>
            <w:rStyle w:val="Hyperlink"/>
          </w:rPr>
          <w:t>The broader policy and institutional context</w:t>
        </w:r>
        <w:r w:rsidR="00995626">
          <w:rPr>
            <w:webHidden/>
          </w:rPr>
          <w:tab/>
        </w:r>
        <w:r w:rsidR="00995626">
          <w:rPr>
            <w:webHidden/>
          </w:rPr>
          <w:fldChar w:fldCharType="begin"/>
        </w:r>
        <w:r w:rsidR="00995626">
          <w:rPr>
            <w:webHidden/>
          </w:rPr>
          <w:instrText xml:space="preserve"> PAGEREF _Toc469927324 \h </w:instrText>
        </w:r>
        <w:r w:rsidR="00995626">
          <w:rPr>
            <w:webHidden/>
          </w:rPr>
        </w:r>
        <w:r w:rsidR="00995626">
          <w:rPr>
            <w:webHidden/>
          </w:rPr>
          <w:fldChar w:fldCharType="separate"/>
        </w:r>
        <w:r w:rsidR="00595C6E">
          <w:rPr>
            <w:webHidden/>
          </w:rPr>
          <w:t>47</w:t>
        </w:r>
        <w:r w:rsidR="00995626">
          <w:rPr>
            <w:webHidden/>
          </w:rPr>
          <w:fldChar w:fldCharType="end"/>
        </w:r>
      </w:hyperlink>
    </w:p>
    <w:p w14:paraId="3E1566F4" w14:textId="77777777" w:rsidR="00995626" w:rsidRDefault="00C65E81">
      <w:pPr>
        <w:pStyle w:val="TOC2"/>
        <w:rPr>
          <w:rFonts w:asciiTheme="minorHAnsi" w:eastAsiaTheme="minorEastAsia" w:hAnsiTheme="minorHAnsi" w:cstheme="minorBidi"/>
          <w:sz w:val="22"/>
          <w:szCs w:val="22"/>
          <w:lang w:eastAsia="en-AU"/>
        </w:rPr>
      </w:pPr>
      <w:hyperlink w:anchor="_Toc469927325" w:history="1">
        <w:r w:rsidR="00995626" w:rsidRPr="00A638C2">
          <w:rPr>
            <w:rStyle w:val="Hyperlink"/>
            <w:rFonts w:cs="Arial"/>
          </w:rPr>
          <w:t>4.2</w:t>
        </w:r>
        <w:r w:rsidR="00995626">
          <w:rPr>
            <w:rFonts w:asciiTheme="minorHAnsi" w:eastAsiaTheme="minorEastAsia" w:hAnsiTheme="minorHAnsi" w:cstheme="minorBidi"/>
            <w:sz w:val="22"/>
            <w:szCs w:val="22"/>
            <w:lang w:eastAsia="en-AU"/>
          </w:rPr>
          <w:tab/>
        </w:r>
        <w:r w:rsidR="00995626" w:rsidRPr="00A638C2">
          <w:rPr>
            <w:rStyle w:val="Hyperlink"/>
          </w:rPr>
          <w:t>The concept of ‘reasonable cost’</w:t>
        </w:r>
        <w:r w:rsidR="00995626">
          <w:rPr>
            <w:webHidden/>
          </w:rPr>
          <w:tab/>
        </w:r>
        <w:r w:rsidR="00995626">
          <w:rPr>
            <w:webHidden/>
          </w:rPr>
          <w:fldChar w:fldCharType="begin"/>
        </w:r>
        <w:r w:rsidR="00995626">
          <w:rPr>
            <w:webHidden/>
          </w:rPr>
          <w:instrText xml:space="preserve"> PAGEREF _Toc469927325 \h </w:instrText>
        </w:r>
        <w:r w:rsidR="00995626">
          <w:rPr>
            <w:webHidden/>
          </w:rPr>
        </w:r>
        <w:r w:rsidR="00995626">
          <w:rPr>
            <w:webHidden/>
          </w:rPr>
          <w:fldChar w:fldCharType="separate"/>
        </w:r>
        <w:r w:rsidR="00595C6E">
          <w:rPr>
            <w:webHidden/>
          </w:rPr>
          <w:t>48</w:t>
        </w:r>
        <w:r w:rsidR="00995626">
          <w:rPr>
            <w:webHidden/>
          </w:rPr>
          <w:fldChar w:fldCharType="end"/>
        </w:r>
      </w:hyperlink>
    </w:p>
    <w:p w14:paraId="561B7149" w14:textId="77777777" w:rsidR="00995626" w:rsidRDefault="00C65E81">
      <w:pPr>
        <w:pStyle w:val="TOC2"/>
        <w:rPr>
          <w:rFonts w:asciiTheme="minorHAnsi" w:eastAsiaTheme="minorEastAsia" w:hAnsiTheme="minorHAnsi" w:cstheme="minorBidi"/>
          <w:sz w:val="22"/>
          <w:szCs w:val="22"/>
          <w:lang w:eastAsia="en-AU"/>
        </w:rPr>
      </w:pPr>
      <w:hyperlink w:anchor="_Toc469927326" w:history="1">
        <w:r w:rsidR="00995626" w:rsidRPr="00A638C2">
          <w:rPr>
            <w:rStyle w:val="Hyperlink"/>
            <w:rFonts w:cs="Arial"/>
          </w:rPr>
          <w:t>4.3</w:t>
        </w:r>
        <w:r w:rsidR="00995626">
          <w:rPr>
            <w:rFonts w:asciiTheme="minorHAnsi" w:eastAsiaTheme="minorEastAsia" w:hAnsiTheme="minorHAnsi" w:cstheme="minorBidi"/>
            <w:sz w:val="22"/>
            <w:szCs w:val="22"/>
            <w:lang w:eastAsia="en-AU"/>
          </w:rPr>
          <w:tab/>
        </w:r>
        <w:r w:rsidR="00995626" w:rsidRPr="00A638C2">
          <w:rPr>
            <w:rStyle w:val="Hyperlink"/>
          </w:rPr>
          <w:t>An analytical framework for informing an estimate of reasonable costs</w:t>
        </w:r>
        <w:r w:rsidR="00995626">
          <w:rPr>
            <w:webHidden/>
          </w:rPr>
          <w:tab/>
        </w:r>
        <w:r w:rsidR="00995626">
          <w:rPr>
            <w:webHidden/>
          </w:rPr>
          <w:fldChar w:fldCharType="begin"/>
        </w:r>
        <w:r w:rsidR="00995626">
          <w:rPr>
            <w:webHidden/>
          </w:rPr>
          <w:instrText xml:space="preserve"> PAGEREF _Toc469927326 \h </w:instrText>
        </w:r>
        <w:r w:rsidR="00995626">
          <w:rPr>
            <w:webHidden/>
          </w:rPr>
        </w:r>
        <w:r w:rsidR="00995626">
          <w:rPr>
            <w:webHidden/>
          </w:rPr>
          <w:fldChar w:fldCharType="separate"/>
        </w:r>
        <w:r w:rsidR="00595C6E">
          <w:rPr>
            <w:webHidden/>
          </w:rPr>
          <w:t>49</w:t>
        </w:r>
        <w:r w:rsidR="00995626">
          <w:rPr>
            <w:webHidden/>
          </w:rPr>
          <w:fldChar w:fldCharType="end"/>
        </w:r>
      </w:hyperlink>
    </w:p>
    <w:p w14:paraId="75D5E4C5" w14:textId="3CD122C5" w:rsidR="00995626" w:rsidRDefault="00C65E81">
      <w:pPr>
        <w:pStyle w:val="TOC1"/>
        <w:rPr>
          <w:rFonts w:asciiTheme="minorHAnsi" w:eastAsiaTheme="minorEastAsia" w:hAnsiTheme="minorHAnsi" w:cstheme="minorBidi"/>
          <w:noProof/>
          <w:lang w:eastAsia="en-AU"/>
        </w:rPr>
      </w:pPr>
      <w:hyperlink w:anchor="_Toc469927327" w:history="1">
        <w:r w:rsidR="00995626" w:rsidRPr="00A638C2">
          <w:rPr>
            <w:rStyle w:val="Hyperlink"/>
            <w:noProof/>
          </w:rPr>
          <w:t>5</w:t>
        </w:r>
        <w:r w:rsidR="00995626">
          <w:rPr>
            <w:rFonts w:asciiTheme="minorHAnsi" w:eastAsiaTheme="minorEastAsia" w:hAnsiTheme="minorHAnsi" w:cstheme="minorBidi"/>
            <w:noProof/>
            <w:lang w:eastAsia="en-AU"/>
          </w:rPr>
          <w:tab/>
        </w:r>
        <w:r w:rsidR="00995626" w:rsidRPr="00A638C2">
          <w:rPr>
            <w:rStyle w:val="Hyperlink"/>
            <w:noProof/>
          </w:rPr>
          <w:t>Measuring reasonable cost</w:t>
        </w:r>
        <w:r w:rsidR="00995626">
          <w:rPr>
            <w:noProof/>
            <w:webHidden/>
          </w:rPr>
          <w:tab/>
        </w:r>
        <w:r w:rsidR="00995626">
          <w:rPr>
            <w:noProof/>
            <w:webHidden/>
          </w:rPr>
          <w:fldChar w:fldCharType="begin"/>
        </w:r>
        <w:r w:rsidR="00995626">
          <w:rPr>
            <w:noProof/>
            <w:webHidden/>
          </w:rPr>
          <w:instrText xml:space="preserve"> PAGEREF _Toc469927327 \h </w:instrText>
        </w:r>
        <w:r w:rsidR="00995626">
          <w:rPr>
            <w:noProof/>
            <w:webHidden/>
          </w:rPr>
        </w:r>
        <w:r w:rsidR="00995626">
          <w:rPr>
            <w:noProof/>
            <w:webHidden/>
          </w:rPr>
          <w:fldChar w:fldCharType="separate"/>
        </w:r>
        <w:r w:rsidR="00595C6E">
          <w:rPr>
            <w:noProof/>
            <w:webHidden/>
          </w:rPr>
          <w:t>56</w:t>
        </w:r>
        <w:r w:rsidR="00995626">
          <w:rPr>
            <w:noProof/>
            <w:webHidden/>
          </w:rPr>
          <w:fldChar w:fldCharType="end"/>
        </w:r>
      </w:hyperlink>
    </w:p>
    <w:p w14:paraId="29B63EF2" w14:textId="3E2FC47F" w:rsidR="00995626" w:rsidRDefault="00C65E81">
      <w:pPr>
        <w:pStyle w:val="TOC2"/>
        <w:rPr>
          <w:rFonts w:asciiTheme="minorHAnsi" w:eastAsiaTheme="minorEastAsia" w:hAnsiTheme="minorHAnsi" w:cstheme="minorBidi"/>
          <w:sz w:val="22"/>
          <w:szCs w:val="22"/>
          <w:lang w:eastAsia="en-AU"/>
        </w:rPr>
      </w:pPr>
      <w:hyperlink w:anchor="_Toc469927328" w:history="1">
        <w:r w:rsidR="00995626" w:rsidRPr="00A638C2">
          <w:rPr>
            <w:rStyle w:val="Hyperlink"/>
            <w:rFonts w:cs="Arial"/>
          </w:rPr>
          <w:t>5.1</w:t>
        </w:r>
        <w:r w:rsidR="00995626">
          <w:rPr>
            <w:rFonts w:asciiTheme="minorHAnsi" w:eastAsiaTheme="minorEastAsia" w:hAnsiTheme="minorHAnsi" w:cstheme="minorBidi"/>
            <w:sz w:val="22"/>
            <w:szCs w:val="22"/>
            <w:lang w:eastAsia="en-AU"/>
          </w:rPr>
          <w:tab/>
        </w:r>
        <w:r w:rsidR="00995626" w:rsidRPr="00A638C2">
          <w:rPr>
            <w:rStyle w:val="Hyperlink"/>
          </w:rPr>
          <w:t>Modelling results</w:t>
        </w:r>
        <w:r w:rsidR="00995626">
          <w:rPr>
            <w:webHidden/>
          </w:rPr>
          <w:tab/>
        </w:r>
        <w:r w:rsidR="00995626">
          <w:rPr>
            <w:webHidden/>
          </w:rPr>
          <w:fldChar w:fldCharType="begin"/>
        </w:r>
        <w:r w:rsidR="00995626">
          <w:rPr>
            <w:webHidden/>
          </w:rPr>
          <w:instrText xml:space="preserve"> PAGEREF _Toc469927328 \h </w:instrText>
        </w:r>
        <w:r w:rsidR="00995626">
          <w:rPr>
            <w:webHidden/>
          </w:rPr>
        </w:r>
        <w:r w:rsidR="00995626">
          <w:rPr>
            <w:webHidden/>
          </w:rPr>
          <w:fldChar w:fldCharType="separate"/>
        </w:r>
        <w:r w:rsidR="00595C6E">
          <w:rPr>
            <w:webHidden/>
          </w:rPr>
          <w:t>57</w:t>
        </w:r>
        <w:r w:rsidR="00995626">
          <w:rPr>
            <w:webHidden/>
          </w:rPr>
          <w:fldChar w:fldCharType="end"/>
        </w:r>
      </w:hyperlink>
    </w:p>
    <w:p w14:paraId="4F999A9C" w14:textId="49920950" w:rsidR="00995626" w:rsidRDefault="00C65E81">
      <w:pPr>
        <w:pStyle w:val="TOC2"/>
        <w:rPr>
          <w:rFonts w:asciiTheme="minorHAnsi" w:eastAsiaTheme="minorEastAsia" w:hAnsiTheme="minorHAnsi" w:cstheme="minorBidi"/>
          <w:sz w:val="22"/>
          <w:szCs w:val="22"/>
          <w:lang w:eastAsia="en-AU"/>
        </w:rPr>
      </w:pPr>
      <w:hyperlink w:anchor="_Toc469927329" w:history="1">
        <w:r w:rsidR="00995626" w:rsidRPr="00A638C2">
          <w:rPr>
            <w:rStyle w:val="Hyperlink"/>
            <w:rFonts w:cs="Arial"/>
          </w:rPr>
          <w:t>5.2</w:t>
        </w:r>
        <w:r w:rsidR="00995626">
          <w:rPr>
            <w:rFonts w:asciiTheme="minorHAnsi" w:eastAsiaTheme="minorEastAsia" w:hAnsiTheme="minorHAnsi" w:cstheme="minorBidi"/>
            <w:sz w:val="22"/>
            <w:szCs w:val="22"/>
            <w:lang w:eastAsia="en-AU"/>
          </w:rPr>
          <w:tab/>
        </w:r>
        <w:r w:rsidR="00995626" w:rsidRPr="00A638C2">
          <w:rPr>
            <w:rStyle w:val="Hyperlink"/>
          </w:rPr>
          <w:t>Obtaining indications of reasonable cost</w:t>
        </w:r>
        <w:r w:rsidR="00995626">
          <w:rPr>
            <w:webHidden/>
          </w:rPr>
          <w:tab/>
        </w:r>
        <w:r w:rsidR="00995626">
          <w:rPr>
            <w:webHidden/>
          </w:rPr>
          <w:fldChar w:fldCharType="begin"/>
        </w:r>
        <w:r w:rsidR="00995626">
          <w:rPr>
            <w:webHidden/>
          </w:rPr>
          <w:instrText xml:space="preserve"> PAGEREF _Toc469927329 \h </w:instrText>
        </w:r>
        <w:r w:rsidR="00995626">
          <w:rPr>
            <w:webHidden/>
          </w:rPr>
        </w:r>
        <w:r w:rsidR="00995626">
          <w:rPr>
            <w:webHidden/>
          </w:rPr>
          <w:fldChar w:fldCharType="separate"/>
        </w:r>
        <w:r w:rsidR="00595C6E">
          <w:rPr>
            <w:webHidden/>
          </w:rPr>
          <w:t>65</w:t>
        </w:r>
        <w:r w:rsidR="00995626">
          <w:rPr>
            <w:webHidden/>
          </w:rPr>
          <w:fldChar w:fldCharType="end"/>
        </w:r>
      </w:hyperlink>
    </w:p>
    <w:p w14:paraId="52CD4490" w14:textId="027C1F5A" w:rsidR="00995626" w:rsidRDefault="00C65E81">
      <w:pPr>
        <w:pStyle w:val="TOC1"/>
        <w:rPr>
          <w:rFonts w:asciiTheme="minorHAnsi" w:eastAsiaTheme="minorEastAsia" w:hAnsiTheme="minorHAnsi" w:cstheme="minorBidi"/>
          <w:noProof/>
          <w:lang w:eastAsia="en-AU"/>
        </w:rPr>
      </w:pPr>
      <w:hyperlink w:anchor="_Toc469927330" w:history="1">
        <w:r w:rsidR="00995626" w:rsidRPr="00A638C2">
          <w:rPr>
            <w:rStyle w:val="Hyperlink"/>
            <w:noProof/>
          </w:rPr>
          <w:t>6</w:t>
        </w:r>
        <w:r w:rsidR="00995626">
          <w:rPr>
            <w:rFonts w:asciiTheme="minorHAnsi" w:eastAsiaTheme="minorEastAsia" w:hAnsiTheme="minorHAnsi" w:cstheme="minorBidi"/>
            <w:noProof/>
            <w:lang w:eastAsia="en-AU"/>
          </w:rPr>
          <w:tab/>
        </w:r>
        <w:r w:rsidR="00995626" w:rsidRPr="00A638C2">
          <w:rPr>
            <w:rStyle w:val="Hyperlink"/>
            <w:noProof/>
          </w:rPr>
          <w:t>International benchmarking</w:t>
        </w:r>
        <w:r w:rsidR="00995626">
          <w:rPr>
            <w:noProof/>
            <w:webHidden/>
          </w:rPr>
          <w:tab/>
        </w:r>
        <w:r w:rsidR="00995626">
          <w:rPr>
            <w:noProof/>
            <w:webHidden/>
          </w:rPr>
          <w:fldChar w:fldCharType="begin"/>
        </w:r>
        <w:r w:rsidR="00995626">
          <w:rPr>
            <w:noProof/>
            <w:webHidden/>
          </w:rPr>
          <w:instrText xml:space="preserve"> PAGEREF _Toc469927330 \h </w:instrText>
        </w:r>
        <w:r w:rsidR="00995626">
          <w:rPr>
            <w:noProof/>
            <w:webHidden/>
          </w:rPr>
        </w:r>
        <w:r w:rsidR="00995626">
          <w:rPr>
            <w:noProof/>
            <w:webHidden/>
          </w:rPr>
          <w:fldChar w:fldCharType="separate"/>
        </w:r>
        <w:r w:rsidR="00595C6E">
          <w:rPr>
            <w:noProof/>
            <w:webHidden/>
          </w:rPr>
          <w:t>74</w:t>
        </w:r>
        <w:r w:rsidR="00995626">
          <w:rPr>
            <w:noProof/>
            <w:webHidden/>
          </w:rPr>
          <w:fldChar w:fldCharType="end"/>
        </w:r>
      </w:hyperlink>
    </w:p>
    <w:p w14:paraId="27CC25C0" w14:textId="6ECB78A3" w:rsidR="00995626" w:rsidRDefault="00C65E81">
      <w:pPr>
        <w:pStyle w:val="TOC2"/>
        <w:rPr>
          <w:rFonts w:asciiTheme="minorHAnsi" w:eastAsiaTheme="minorEastAsia" w:hAnsiTheme="minorHAnsi" w:cstheme="minorBidi"/>
          <w:sz w:val="22"/>
          <w:szCs w:val="22"/>
          <w:lang w:eastAsia="en-AU"/>
        </w:rPr>
      </w:pPr>
      <w:hyperlink w:anchor="_Toc469927331" w:history="1">
        <w:r w:rsidR="00995626" w:rsidRPr="00A638C2">
          <w:rPr>
            <w:rStyle w:val="Hyperlink"/>
            <w:rFonts w:cs="Arial"/>
          </w:rPr>
          <w:t>6.1</w:t>
        </w:r>
        <w:r w:rsidR="00995626">
          <w:rPr>
            <w:rFonts w:asciiTheme="minorHAnsi" w:eastAsiaTheme="minorEastAsia" w:hAnsiTheme="minorHAnsi" w:cstheme="minorBidi"/>
            <w:sz w:val="22"/>
            <w:szCs w:val="22"/>
            <w:lang w:eastAsia="en-AU"/>
          </w:rPr>
          <w:tab/>
        </w:r>
        <w:r w:rsidR="00995626" w:rsidRPr="00A638C2">
          <w:rPr>
            <w:rStyle w:val="Hyperlink"/>
          </w:rPr>
          <w:t>International funding systems: a brief overview</w:t>
        </w:r>
        <w:r w:rsidR="00995626">
          <w:rPr>
            <w:webHidden/>
          </w:rPr>
          <w:tab/>
        </w:r>
        <w:r w:rsidR="00995626">
          <w:rPr>
            <w:webHidden/>
          </w:rPr>
          <w:fldChar w:fldCharType="begin"/>
        </w:r>
        <w:r w:rsidR="00995626">
          <w:rPr>
            <w:webHidden/>
          </w:rPr>
          <w:instrText xml:space="preserve"> PAGEREF _Toc469927331 \h </w:instrText>
        </w:r>
        <w:r w:rsidR="00995626">
          <w:rPr>
            <w:webHidden/>
          </w:rPr>
        </w:r>
        <w:r w:rsidR="00995626">
          <w:rPr>
            <w:webHidden/>
          </w:rPr>
          <w:fldChar w:fldCharType="separate"/>
        </w:r>
        <w:r w:rsidR="00595C6E">
          <w:rPr>
            <w:webHidden/>
          </w:rPr>
          <w:t>74</w:t>
        </w:r>
        <w:r w:rsidR="00995626">
          <w:rPr>
            <w:webHidden/>
          </w:rPr>
          <w:fldChar w:fldCharType="end"/>
        </w:r>
      </w:hyperlink>
    </w:p>
    <w:p w14:paraId="5DD0FDA1" w14:textId="0EE00739" w:rsidR="00995626" w:rsidRDefault="00C65E81">
      <w:pPr>
        <w:pStyle w:val="TOC2"/>
        <w:rPr>
          <w:rFonts w:asciiTheme="minorHAnsi" w:eastAsiaTheme="minorEastAsia" w:hAnsiTheme="minorHAnsi" w:cstheme="minorBidi"/>
          <w:sz w:val="22"/>
          <w:szCs w:val="22"/>
          <w:lang w:eastAsia="en-AU"/>
        </w:rPr>
      </w:pPr>
      <w:hyperlink w:anchor="_Toc469927332" w:history="1">
        <w:r w:rsidR="00995626" w:rsidRPr="00A638C2">
          <w:rPr>
            <w:rStyle w:val="Hyperlink"/>
            <w:rFonts w:cs="Arial"/>
          </w:rPr>
          <w:t>6.2</w:t>
        </w:r>
        <w:r w:rsidR="00995626">
          <w:rPr>
            <w:rFonts w:asciiTheme="minorHAnsi" w:eastAsiaTheme="minorEastAsia" w:hAnsiTheme="minorHAnsi" w:cstheme="minorBidi"/>
            <w:sz w:val="22"/>
            <w:szCs w:val="22"/>
            <w:lang w:eastAsia="en-AU"/>
          </w:rPr>
          <w:tab/>
        </w:r>
        <w:r w:rsidR="00995626" w:rsidRPr="00A638C2">
          <w:rPr>
            <w:rStyle w:val="Hyperlink"/>
          </w:rPr>
          <w:t>International costing systems: a brief overview</w:t>
        </w:r>
        <w:r w:rsidR="00995626">
          <w:rPr>
            <w:webHidden/>
          </w:rPr>
          <w:tab/>
        </w:r>
        <w:r w:rsidR="00995626">
          <w:rPr>
            <w:webHidden/>
          </w:rPr>
          <w:fldChar w:fldCharType="begin"/>
        </w:r>
        <w:r w:rsidR="00995626">
          <w:rPr>
            <w:webHidden/>
          </w:rPr>
          <w:instrText xml:space="preserve"> PAGEREF _Toc469927332 \h </w:instrText>
        </w:r>
        <w:r w:rsidR="00995626">
          <w:rPr>
            <w:webHidden/>
          </w:rPr>
        </w:r>
        <w:r w:rsidR="00995626">
          <w:rPr>
            <w:webHidden/>
          </w:rPr>
          <w:fldChar w:fldCharType="separate"/>
        </w:r>
        <w:r w:rsidR="00595C6E">
          <w:rPr>
            <w:webHidden/>
          </w:rPr>
          <w:t>76</w:t>
        </w:r>
        <w:r w:rsidR="00995626">
          <w:rPr>
            <w:webHidden/>
          </w:rPr>
          <w:fldChar w:fldCharType="end"/>
        </w:r>
      </w:hyperlink>
    </w:p>
    <w:p w14:paraId="359F033F" w14:textId="4381BF71" w:rsidR="00995626" w:rsidRDefault="00C65E81">
      <w:pPr>
        <w:pStyle w:val="TOC2"/>
        <w:rPr>
          <w:rFonts w:asciiTheme="minorHAnsi" w:eastAsiaTheme="minorEastAsia" w:hAnsiTheme="minorHAnsi" w:cstheme="minorBidi"/>
          <w:sz w:val="22"/>
          <w:szCs w:val="22"/>
          <w:lang w:eastAsia="en-AU"/>
        </w:rPr>
      </w:pPr>
      <w:hyperlink w:anchor="_Toc469927333" w:history="1">
        <w:r w:rsidR="00995626" w:rsidRPr="00A638C2">
          <w:rPr>
            <w:rStyle w:val="Hyperlink"/>
            <w:rFonts w:cs="Arial"/>
          </w:rPr>
          <w:t>6.3</w:t>
        </w:r>
        <w:r w:rsidR="00995626">
          <w:rPr>
            <w:rFonts w:asciiTheme="minorHAnsi" w:eastAsiaTheme="minorEastAsia" w:hAnsiTheme="minorHAnsi" w:cstheme="minorBidi"/>
            <w:sz w:val="22"/>
            <w:szCs w:val="22"/>
            <w:lang w:eastAsia="en-AU"/>
          </w:rPr>
          <w:tab/>
        </w:r>
        <w:r w:rsidR="00995626" w:rsidRPr="00A638C2">
          <w:rPr>
            <w:rStyle w:val="Hyperlink"/>
          </w:rPr>
          <w:t>Comparison methodology</w:t>
        </w:r>
        <w:r w:rsidR="00995626">
          <w:rPr>
            <w:webHidden/>
          </w:rPr>
          <w:tab/>
        </w:r>
        <w:r w:rsidR="00995626">
          <w:rPr>
            <w:webHidden/>
          </w:rPr>
          <w:fldChar w:fldCharType="begin"/>
        </w:r>
        <w:r w:rsidR="00995626">
          <w:rPr>
            <w:webHidden/>
          </w:rPr>
          <w:instrText xml:space="preserve"> PAGEREF _Toc469927333 \h </w:instrText>
        </w:r>
        <w:r w:rsidR="00995626">
          <w:rPr>
            <w:webHidden/>
          </w:rPr>
        </w:r>
        <w:r w:rsidR="00995626">
          <w:rPr>
            <w:webHidden/>
          </w:rPr>
          <w:fldChar w:fldCharType="separate"/>
        </w:r>
        <w:r w:rsidR="00595C6E">
          <w:rPr>
            <w:webHidden/>
          </w:rPr>
          <w:t>77</w:t>
        </w:r>
        <w:r w:rsidR="00995626">
          <w:rPr>
            <w:webHidden/>
          </w:rPr>
          <w:fldChar w:fldCharType="end"/>
        </w:r>
      </w:hyperlink>
    </w:p>
    <w:p w14:paraId="304C6819" w14:textId="639A328E" w:rsidR="00995626" w:rsidRDefault="00C65E81">
      <w:pPr>
        <w:pStyle w:val="TOC2"/>
        <w:rPr>
          <w:rFonts w:asciiTheme="minorHAnsi" w:eastAsiaTheme="minorEastAsia" w:hAnsiTheme="minorHAnsi" w:cstheme="minorBidi"/>
          <w:sz w:val="22"/>
          <w:szCs w:val="22"/>
          <w:lang w:eastAsia="en-AU"/>
        </w:rPr>
      </w:pPr>
      <w:hyperlink w:anchor="_Toc469927334" w:history="1">
        <w:r w:rsidR="00995626" w:rsidRPr="00A638C2">
          <w:rPr>
            <w:rStyle w:val="Hyperlink"/>
            <w:rFonts w:cs="Arial"/>
          </w:rPr>
          <w:t>6.4</w:t>
        </w:r>
        <w:r w:rsidR="00995626">
          <w:rPr>
            <w:rFonts w:asciiTheme="minorHAnsi" w:eastAsiaTheme="minorEastAsia" w:hAnsiTheme="minorHAnsi" w:cstheme="minorBidi"/>
            <w:sz w:val="22"/>
            <w:szCs w:val="22"/>
            <w:lang w:eastAsia="en-AU"/>
          </w:rPr>
          <w:tab/>
        </w:r>
        <w:r w:rsidR="00995626" w:rsidRPr="00A638C2">
          <w:rPr>
            <w:rStyle w:val="Hyperlink"/>
          </w:rPr>
          <w:t>Results</w:t>
        </w:r>
        <w:r w:rsidR="00995626">
          <w:rPr>
            <w:webHidden/>
          </w:rPr>
          <w:tab/>
        </w:r>
        <w:r w:rsidR="00995626">
          <w:rPr>
            <w:webHidden/>
          </w:rPr>
          <w:fldChar w:fldCharType="begin"/>
        </w:r>
        <w:r w:rsidR="00995626">
          <w:rPr>
            <w:webHidden/>
          </w:rPr>
          <w:instrText xml:space="preserve"> PAGEREF _Toc469927334 \h </w:instrText>
        </w:r>
        <w:r w:rsidR="00995626">
          <w:rPr>
            <w:webHidden/>
          </w:rPr>
        </w:r>
        <w:r w:rsidR="00995626">
          <w:rPr>
            <w:webHidden/>
          </w:rPr>
          <w:fldChar w:fldCharType="separate"/>
        </w:r>
        <w:r w:rsidR="00595C6E">
          <w:rPr>
            <w:webHidden/>
          </w:rPr>
          <w:t>81</w:t>
        </w:r>
        <w:r w:rsidR="00995626">
          <w:rPr>
            <w:webHidden/>
          </w:rPr>
          <w:fldChar w:fldCharType="end"/>
        </w:r>
      </w:hyperlink>
    </w:p>
    <w:p w14:paraId="7E42433F" w14:textId="2D926FFE" w:rsidR="00995626" w:rsidRDefault="00C65E81">
      <w:pPr>
        <w:pStyle w:val="TOC1"/>
        <w:rPr>
          <w:rFonts w:asciiTheme="minorHAnsi" w:eastAsiaTheme="minorEastAsia" w:hAnsiTheme="minorHAnsi" w:cstheme="minorBidi"/>
          <w:noProof/>
          <w:lang w:eastAsia="en-AU"/>
        </w:rPr>
      </w:pPr>
      <w:hyperlink w:anchor="_Toc469927335" w:history="1">
        <w:r w:rsidR="00995626" w:rsidRPr="00A638C2">
          <w:rPr>
            <w:rStyle w:val="Hyperlink"/>
            <w:noProof/>
          </w:rPr>
          <w:t>7</w:t>
        </w:r>
        <w:r w:rsidR="00995626">
          <w:rPr>
            <w:rFonts w:asciiTheme="minorHAnsi" w:eastAsiaTheme="minorEastAsia" w:hAnsiTheme="minorHAnsi" w:cstheme="minorBidi"/>
            <w:noProof/>
            <w:lang w:eastAsia="en-AU"/>
          </w:rPr>
          <w:tab/>
        </w:r>
        <w:r w:rsidR="00995626" w:rsidRPr="00A638C2">
          <w:rPr>
            <w:rStyle w:val="Hyperlink"/>
            <w:noProof/>
          </w:rPr>
          <w:t>Findings and conclusions</w:t>
        </w:r>
        <w:r w:rsidR="00995626">
          <w:rPr>
            <w:noProof/>
            <w:webHidden/>
          </w:rPr>
          <w:tab/>
        </w:r>
        <w:r w:rsidR="00995626">
          <w:rPr>
            <w:noProof/>
            <w:webHidden/>
          </w:rPr>
          <w:fldChar w:fldCharType="begin"/>
        </w:r>
        <w:r w:rsidR="00995626">
          <w:rPr>
            <w:noProof/>
            <w:webHidden/>
          </w:rPr>
          <w:instrText xml:space="preserve"> PAGEREF _Toc469927335 \h </w:instrText>
        </w:r>
        <w:r w:rsidR="00995626">
          <w:rPr>
            <w:noProof/>
            <w:webHidden/>
          </w:rPr>
        </w:r>
        <w:r w:rsidR="00995626">
          <w:rPr>
            <w:noProof/>
            <w:webHidden/>
          </w:rPr>
          <w:fldChar w:fldCharType="separate"/>
        </w:r>
        <w:r w:rsidR="00595C6E">
          <w:rPr>
            <w:noProof/>
            <w:webHidden/>
          </w:rPr>
          <w:t>86</w:t>
        </w:r>
        <w:r w:rsidR="00995626">
          <w:rPr>
            <w:noProof/>
            <w:webHidden/>
          </w:rPr>
          <w:fldChar w:fldCharType="end"/>
        </w:r>
      </w:hyperlink>
    </w:p>
    <w:p w14:paraId="4F1AC29E" w14:textId="65DF2728" w:rsidR="00995626" w:rsidRDefault="00C65E81">
      <w:pPr>
        <w:pStyle w:val="TOC2"/>
        <w:rPr>
          <w:rFonts w:asciiTheme="minorHAnsi" w:eastAsiaTheme="minorEastAsia" w:hAnsiTheme="minorHAnsi" w:cstheme="minorBidi"/>
          <w:sz w:val="22"/>
          <w:szCs w:val="22"/>
          <w:lang w:eastAsia="en-AU"/>
        </w:rPr>
      </w:pPr>
      <w:hyperlink w:anchor="_Toc469927336" w:history="1">
        <w:r w:rsidR="00995626" w:rsidRPr="00A638C2">
          <w:rPr>
            <w:rStyle w:val="Hyperlink"/>
            <w:rFonts w:cs="Arial"/>
          </w:rPr>
          <w:t>7.1</w:t>
        </w:r>
        <w:r w:rsidR="00995626">
          <w:rPr>
            <w:rFonts w:asciiTheme="minorHAnsi" w:eastAsiaTheme="minorEastAsia" w:hAnsiTheme="minorHAnsi" w:cstheme="minorBidi"/>
            <w:sz w:val="22"/>
            <w:szCs w:val="22"/>
            <w:lang w:eastAsia="en-AU"/>
          </w:rPr>
          <w:tab/>
        </w:r>
        <w:r w:rsidR="00995626" w:rsidRPr="00A638C2">
          <w:rPr>
            <w:rStyle w:val="Hyperlink"/>
          </w:rPr>
          <w:t>Key findings and conclusions</w:t>
        </w:r>
        <w:r w:rsidR="00995626">
          <w:rPr>
            <w:webHidden/>
          </w:rPr>
          <w:tab/>
        </w:r>
        <w:r w:rsidR="00995626">
          <w:rPr>
            <w:webHidden/>
          </w:rPr>
          <w:fldChar w:fldCharType="begin"/>
        </w:r>
        <w:r w:rsidR="00995626">
          <w:rPr>
            <w:webHidden/>
          </w:rPr>
          <w:instrText xml:space="preserve"> PAGEREF _Toc469927336 \h </w:instrText>
        </w:r>
        <w:r w:rsidR="00995626">
          <w:rPr>
            <w:webHidden/>
          </w:rPr>
        </w:r>
        <w:r w:rsidR="00995626">
          <w:rPr>
            <w:webHidden/>
          </w:rPr>
          <w:fldChar w:fldCharType="separate"/>
        </w:r>
        <w:r w:rsidR="00595C6E">
          <w:rPr>
            <w:webHidden/>
          </w:rPr>
          <w:t>86</w:t>
        </w:r>
        <w:r w:rsidR="00995626">
          <w:rPr>
            <w:webHidden/>
          </w:rPr>
          <w:fldChar w:fldCharType="end"/>
        </w:r>
      </w:hyperlink>
    </w:p>
    <w:p w14:paraId="50A9159E" w14:textId="3CEE191A" w:rsidR="00995626" w:rsidRDefault="00C65E81">
      <w:pPr>
        <w:pStyle w:val="TOC2"/>
        <w:rPr>
          <w:rFonts w:asciiTheme="minorHAnsi" w:eastAsiaTheme="minorEastAsia" w:hAnsiTheme="minorHAnsi" w:cstheme="minorBidi"/>
          <w:sz w:val="22"/>
          <w:szCs w:val="22"/>
          <w:lang w:eastAsia="en-AU"/>
        </w:rPr>
      </w:pPr>
      <w:hyperlink w:anchor="_Toc469927337" w:history="1">
        <w:r w:rsidR="00995626" w:rsidRPr="00A638C2">
          <w:rPr>
            <w:rStyle w:val="Hyperlink"/>
            <w:rFonts w:cs="Arial"/>
          </w:rPr>
          <w:t>7.2</w:t>
        </w:r>
        <w:r w:rsidR="00995626">
          <w:rPr>
            <w:rFonts w:asciiTheme="minorHAnsi" w:eastAsiaTheme="minorEastAsia" w:hAnsiTheme="minorHAnsi" w:cstheme="minorBidi"/>
            <w:sz w:val="22"/>
            <w:szCs w:val="22"/>
            <w:lang w:eastAsia="en-AU"/>
          </w:rPr>
          <w:tab/>
        </w:r>
        <w:r w:rsidR="00995626" w:rsidRPr="00A638C2">
          <w:rPr>
            <w:rStyle w:val="Hyperlink"/>
          </w:rPr>
          <w:t>Directions for further work</w:t>
        </w:r>
        <w:r w:rsidR="00995626">
          <w:rPr>
            <w:webHidden/>
          </w:rPr>
          <w:tab/>
        </w:r>
        <w:r w:rsidR="00995626">
          <w:rPr>
            <w:webHidden/>
          </w:rPr>
          <w:fldChar w:fldCharType="begin"/>
        </w:r>
        <w:r w:rsidR="00995626">
          <w:rPr>
            <w:webHidden/>
          </w:rPr>
          <w:instrText xml:space="preserve"> PAGEREF _Toc469927337 \h </w:instrText>
        </w:r>
        <w:r w:rsidR="00995626">
          <w:rPr>
            <w:webHidden/>
          </w:rPr>
        </w:r>
        <w:r w:rsidR="00995626">
          <w:rPr>
            <w:webHidden/>
          </w:rPr>
          <w:fldChar w:fldCharType="separate"/>
        </w:r>
        <w:r w:rsidR="00595C6E">
          <w:rPr>
            <w:webHidden/>
          </w:rPr>
          <w:t>91</w:t>
        </w:r>
        <w:r w:rsidR="00995626">
          <w:rPr>
            <w:webHidden/>
          </w:rPr>
          <w:fldChar w:fldCharType="end"/>
        </w:r>
      </w:hyperlink>
    </w:p>
    <w:p w14:paraId="01AF2FA9" w14:textId="1545BFAF" w:rsidR="00995626" w:rsidRDefault="00C65E81">
      <w:pPr>
        <w:pStyle w:val="TOC1"/>
        <w:rPr>
          <w:rFonts w:asciiTheme="minorHAnsi" w:eastAsiaTheme="minorEastAsia" w:hAnsiTheme="minorHAnsi" w:cstheme="minorBidi"/>
          <w:noProof/>
          <w:lang w:eastAsia="en-AU"/>
        </w:rPr>
      </w:pPr>
      <w:hyperlink w:anchor="_Toc469927338" w:history="1">
        <w:r w:rsidR="00995626" w:rsidRPr="00A638C2">
          <w:rPr>
            <w:rStyle w:val="Hyperlink"/>
            <w:noProof/>
            <w:lang w:eastAsia="en-AU"/>
          </w:rPr>
          <w:t>References</w:t>
        </w:r>
        <w:r w:rsidR="00995626">
          <w:rPr>
            <w:noProof/>
            <w:webHidden/>
          </w:rPr>
          <w:tab/>
        </w:r>
        <w:r w:rsidR="00995626">
          <w:rPr>
            <w:noProof/>
            <w:webHidden/>
          </w:rPr>
          <w:fldChar w:fldCharType="begin"/>
        </w:r>
        <w:r w:rsidR="00995626">
          <w:rPr>
            <w:noProof/>
            <w:webHidden/>
          </w:rPr>
          <w:instrText xml:space="preserve"> PAGEREF _Toc469927338 \h </w:instrText>
        </w:r>
        <w:r w:rsidR="00995626">
          <w:rPr>
            <w:noProof/>
            <w:webHidden/>
          </w:rPr>
        </w:r>
        <w:r w:rsidR="00995626">
          <w:rPr>
            <w:noProof/>
            <w:webHidden/>
          </w:rPr>
          <w:fldChar w:fldCharType="separate"/>
        </w:r>
        <w:r w:rsidR="00595C6E">
          <w:rPr>
            <w:noProof/>
            <w:webHidden/>
          </w:rPr>
          <w:t>93</w:t>
        </w:r>
        <w:r w:rsidR="00995626">
          <w:rPr>
            <w:noProof/>
            <w:webHidden/>
          </w:rPr>
          <w:fldChar w:fldCharType="end"/>
        </w:r>
      </w:hyperlink>
    </w:p>
    <w:p w14:paraId="38C41108" w14:textId="2FD749C2" w:rsidR="00995626" w:rsidRDefault="00C65E81">
      <w:pPr>
        <w:pStyle w:val="TOC1"/>
        <w:rPr>
          <w:rFonts w:asciiTheme="minorHAnsi" w:eastAsiaTheme="minorEastAsia" w:hAnsiTheme="minorHAnsi" w:cstheme="minorBidi"/>
          <w:noProof/>
          <w:lang w:eastAsia="en-AU"/>
        </w:rPr>
      </w:pPr>
      <w:hyperlink w:anchor="_Toc469927339" w:history="1">
        <w:r w:rsidR="00995626" w:rsidRPr="00A638C2">
          <w:rPr>
            <w:rStyle w:val="Hyperlink"/>
            <w:noProof/>
          </w:rPr>
          <w:t>Appendix A : Approaches to analysing reasonable costs</w:t>
        </w:r>
        <w:r w:rsidR="00995626">
          <w:rPr>
            <w:noProof/>
            <w:webHidden/>
          </w:rPr>
          <w:tab/>
        </w:r>
        <w:r w:rsidR="00995626">
          <w:rPr>
            <w:noProof/>
            <w:webHidden/>
          </w:rPr>
          <w:fldChar w:fldCharType="begin"/>
        </w:r>
        <w:r w:rsidR="00995626">
          <w:rPr>
            <w:noProof/>
            <w:webHidden/>
          </w:rPr>
          <w:instrText xml:space="preserve"> PAGEREF _Toc469927339 \h </w:instrText>
        </w:r>
        <w:r w:rsidR="00995626">
          <w:rPr>
            <w:noProof/>
            <w:webHidden/>
          </w:rPr>
        </w:r>
        <w:r w:rsidR="00995626">
          <w:rPr>
            <w:noProof/>
            <w:webHidden/>
          </w:rPr>
          <w:fldChar w:fldCharType="separate"/>
        </w:r>
        <w:r w:rsidR="00595C6E">
          <w:rPr>
            <w:noProof/>
            <w:webHidden/>
          </w:rPr>
          <w:t>96</w:t>
        </w:r>
        <w:r w:rsidR="00995626">
          <w:rPr>
            <w:noProof/>
            <w:webHidden/>
          </w:rPr>
          <w:fldChar w:fldCharType="end"/>
        </w:r>
      </w:hyperlink>
    </w:p>
    <w:p w14:paraId="54CE20F2" w14:textId="71355F41" w:rsidR="00995626" w:rsidRPr="00995626" w:rsidRDefault="00995626" w:rsidP="00942D30">
      <w:pPr>
        <w:pStyle w:val="TOC1"/>
        <w:tabs>
          <w:tab w:val="clear" w:pos="8505"/>
          <w:tab w:val="right" w:leader="dot" w:pos="8504"/>
        </w:tabs>
        <w:rPr>
          <w:rFonts w:asciiTheme="minorHAnsi" w:eastAsiaTheme="minorEastAsia" w:hAnsiTheme="minorHAnsi" w:cstheme="minorBidi"/>
          <w:noProof/>
          <w:sz w:val="20"/>
          <w:lang w:eastAsia="en-AU"/>
        </w:rPr>
      </w:pPr>
      <w:r w:rsidRPr="00995626">
        <w:rPr>
          <w:rStyle w:val="Hyperlink"/>
          <w:noProof/>
          <w:sz w:val="20"/>
        </w:rPr>
        <w:tab/>
      </w:r>
      <w:hyperlink w:anchor="_Toc469927340" w:history="1">
        <w:r w:rsidRPr="00995626">
          <w:rPr>
            <w:rStyle w:val="Hyperlink"/>
            <w:noProof/>
            <w:sz w:val="20"/>
          </w:rPr>
          <w:t>Previous approaches in the literature</w:t>
        </w:r>
        <w:r w:rsidRPr="00995626">
          <w:rPr>
            <w:noProof/>
            <w:webHidden/>
            <w:sz w:val="20"/>
          </w:rPr>
          <w:tab/>
        </w:r>
        <w:r w:rsidRPr="00995626">
          <w:rPr>
            <w:noProof/>
            <w:webHidden/>
            <w:sz w:val="20"/>
          </w:rPr>
          <w:fldChar w:fldCharType="begin"/>
        </w:r>
        <w:r w:rsidRPr="00995626">
          <w:rPr>
            <w:noProof/>
            <w:webHidden/>
            <w:sz w:val="20"/>
          </w:rPr>
          <w:instrText xml:space="preserve"> PAGEREF _Toc469927340 \h </w:instrText>
        </w:r>
        <w:r w:rsidRPr="00995626">
          <w:rPr>
            <w:noProof/>
            <w:webHidden/>
            <w:sz w:val="20"/>
          </w:rPr>
        </w:r>
        <w:r w:rsidRPr="00995626">
          <w:rPr>
            <w:noProof/>
            <w:webHidden/>
            <w:sz w:val="20"/>
          </w:rPr>
          <w:fldChar w:fldCharType="separate"/>
        </w:r>
        <w:r w:rsidR="00595C6E">
          <w:rPr>
            <w:noProof/>
            <w:webHidden/>
            <w:sz w:val="20"/>
          </w:rPr>
          <w:t>96</w:t>
        </w:r>
        <w:r w:rsidRPr="00995626">
          <w:rPr>
            <w:noProof/>
            <w:webHidden/>
            <w:sz w:val="20"/>
          </w:rPr>
          <w:fldChar w:fldCharType="end"/>
        </w:r>
      </w:hyperlink>
    </w:p>
    <w:p w14:paraId="02D2C7DF" w14:textId="27944144" w:rsidR="00995626" w:rsidRPr="00995626" w:rsidRDefault="00995626" w:rsidP="00942D30">
      <w:pPr>
        <w:pStyle w:val="TOC1"/>
        <w:tabs>
          <w:tab w:val="clear" w:pos="8505"/>
          <w:tab w:val="right" w:leader="dot" w:pos="8504"/>
        </w:tabs>
        <w:rPr>
          <w:rFonts w:asciiTheme="minorHAnsi" w:eastAsiaTheme="minorEastAsia" w:hAnsiTheme="minorHAnsi" w:cstheme="minorBidi"/>
          <w:noProof/>
          <w:sz w:val="20"/>
          <w:lang w:eastAsia="en-AU"/>
        </w:rPr>
      </w:pPr>
      <w:r w:rsidRPr="00995626">
        <w:rPr>
          <w:rStyle w:val="Hyperlink"/>
          <w:noProof/>
          <w:sz w:val="20"/>
        </w:rPr>
        <w:tab/>
      </w:r>
      <w:hyperlink w:anchor="_Toc469927341" w:history="1">
        <w:r w:rsidRPr="00995626">
          <w:rPr>
            <w:rStyle w:val="Hyperlink"/>
            <w:noProof/>
            <w:sz w:val="20"/>
          </w:rPr>
          <w:t>Exploratory analysis using DEA</w:t>
        </w:r>
        <w:r w:rsidRPr="00995626">
          <w:rPr>
            <w:noProof/>
            <w:webHidden/>
            <w:sz w:val="20"/>
          </w:rPr>
          <w:tab/>
        </w:r>
        <w:r w:rsidRPr="00995626">
          <w:rPr>
            <w:noProof/>
            <w:webHidden/>
            <w:sz w:val="20"/>
          </w:rPr>
          <w:fldChar w:fldCharType="begin"/>
        </w:r>
        <w:r w:rsidRPr="00995626">
          <w:rPr>
            <w:noProof/>
            <w:webHidden/>
            <w:sz w:val="20"/>
          </w:rPr>
          <w:instrText xml:space="preserve"> PAGEREF _Toc469927341 \h </w:instrText>
        </w:r>
        <w:r w:rsidRPr="00995626">
          <w:rPr>
            <w:noProof/>
            <w:webHidden/>
            <w:sz w:val="20"/>
          </w:rPr>
        </w:r>
        <w:r w:rsidRPr="00995626">
          <w:rPr>
            <w:noProof/>
            <w:webHidden/>
            <w:sz w:val="20"/>
          </w:rPr>
          <w:fldChar w:fldCharType="separate"/>
        </w:r>
        <w:r w:rsidR="00595C6E">
          <w:rPr>
            <w:noProof/>
            <w:webHidden/>
            <w:sz w:val="20"/>
          </w:rPr>
          <w:t>97</w:t>
        </w:r>
        <w:r w:rsidRPr="00995626">
          <w:rPr>
            <w:noProof/>
            <w:webHidden/>
            <w:sz w:val="20"/>
          </w:rPr>
          <w:fldChar w:fldCharType="end"/>
        </w:r>
      </w:hyperlink>
    </w:p>
    <w:p w14:paraId="6B4A7553" w14:textId="7D98A2E5" w:rsidR="00995626" w:rsidRPr="00995626" w:rsidRDefault="00995626" w:rsidP="00942D30">
      <w:pPr>
        <w:pStyle w:val="TOC1"/>
        <w:tabs>
          <w:tab w:val="clear" w:pos="8505"/>
          <w:tab w:val="right" w:leader="dot" w:pos="8504"/>
        </w:tabs>
        <w:rPr>
          <w:rFonts w:asciiTheme="minorHAnsi" w:eastAsiaTheme="minorEastAsia" w:hAnsiTheme="minorHAnsi" w:cstheme="minorBidi"/>
          <w:noProof/>
          <w:sz w:val="20"/>
          <w:lang w:eastAsia="en-AU"/>
        </w:rPr>
      </w:pPr>
      <w:r w:rsidRPr="00995626">
        <w:rPr>
          <w:rStyle w:val="Hyperlink"/>
          <w:noProof/>
          <w:sz w:val="20"/>
        </w:rPr>
        <w:tab/>
      </w:r>
      <w:hyperlink w:anchor="_Toc469927342" w:history="1">
        <w:r w:rsidRPr="00995626">
          <w:rPr>
            <w:rStyle w:val="Hyperlink"/>
            <w:noProof/>
            <w:sz w:val="20"/>
          </w:rPr>
          <w:t>Limitations of the analysis</w:t>
        </w:r>
        <w:r w:rsidRPr="00995626">
          <w:rPr>
            <w:noProof/>
            <w:webHidden/>
            <w:sz w:val="20"/>
          </w:rPr>
          <w:tab/>
        </w:r>
        <w:r w:rsidRPr="00995626">
          <w:rPr>
            <w:noProof/>
            <w:webHidden/>
            <w:sz w:val="20"/>
          </w:rPr>
          <w:fldChar w:fldCharType="begin"/>
        </w:r>
        <w:r w:rsidRPr="00995626">
          <w:rPr>
            <w:noProof/>
            <w:webHidden/>
            <w:sz w:val="20"/>
          </w:rPr>
          <w:instrText xml:space="preserve"> PAGEREF _Toc469927342 \h </w:instrText>
        </w:r>
        <w:r w:rsidRPr="00995626">
          <w:rPr>
            <w:noProof/>
            <w:webHidden/>
            <w:sz w:val="20"/>
          </w:rPr>
        </w:r>
        <w:r w:rsidRPr="00995626">
          <w:rPr>
            <w:noProof/>
            <w:webHidden/>
            <w:sz w:val="20"/>
          </w:rPr>
          <w:fldChar w:fldCharType="separate"/>
        </w:r>
        <w:r w:rsidR="00595C6E">
          <w:rPr>
            <w:noProof/>
            <w:webHidden/>
            <w:sz w:val="20"/>
          </w:rPr>
          <w:t>101</w:t>
        </w:r>
        <w:r w:rsidRPr="00995626">
          <w:rPr>
            <w:noProof/>
            <w:webHidden/>
            <w:sz w:val="20"/>
          </w:rPr>
          <w:fldChar w:fldCharType="end"/>
        </w:r>
      </w:hyperlink>
    </w:p>
    <w:p w14:paraId="2283DDA7" w14:textId="63AE192F" w:rsidR="00995626" w:rsidRDefault="00C65E81">
      <w:pPr>
        <w:pStyle w:val="TOC1"/>
        <w:rPr>
          <w:rFonts w:asciiTheme="minorHAnsi" w:eastAsiaTheme="minorEastAsia" w:hAnsiTheme="minorHAnsi" w:cstheme="minorBidi"/>
          <w:noProof/>
          <w:lang w:eastAsia="en-AU"/>
        </w:rPr>
      </w:pPr>
      <w:hyperlink w:anchor="_Toc469927343" w:history="1">
        <w:r w:rsidR="00995626" w:rsidRPr="00A638C2">
          <w:rPr>
            <w:rStyle w:val="Hyperlink"/>
            <w:noProof/>
          </w:rPr>
          <w:t>Appendix B : Fields in data collection template and qualitative questions</w:t>
        </w:r>
        <w:r w:rsidR="00995626">
          <w:rPr>
            <w:noProof/>
            <w:webHidden/>
          </w:rPr>
          <w:tab/>
        </w:r>
        <w:r w:rsidR="00995626">
          <w:rPr>
            <w:noProof/>
            <w:webHidden/>
          </w:rPr>
          <w:fldChar w:fldCharType="begin"/>
        </w:r>
        <w:r w:rsidR="00995626">
          <w:rPr>
            <w:noProof/>
            <w:webHidden/>
          </w:rPr>
          <w:instrText xml:space="preserve"> PAGEREF _Toc469927343 \h </w:instrText>
        </w:r>
        <w:r w:rsidR="00995626">
          <w:rPr>
            <w:noProof/>
            <w:webHidden/>
          </w:rPr>
        </w:r>
        <w:r w:rsidR="00995626">
          <w:rPr>
            <w:noProof/>
            <w:webHidden/>
          </w:rPr>
          <w:fldChar w:fldCharType="separate"/>
        </w:r>
        <w:r w:rsidR="00595C6E">
          <w:rPr>
            <w:noProof/>
            <w:webHidden/>
          </w:rPr>
          <w:t>106</w:t>
        </w:r>
        <w:r w:rsidR="00995626">
          <w:rPr>
            <w:noProof/>
            <w:webHidden/>
          </w:rPr>
          <w:fldChar w:fldCharType="end"/>
        </w:r>
      </w:hyperlink>
    </w:p>
    <w:p w14:paraId="37DB1AD2" w14:textId="290912CB" w:rsidR="00995626" w:rsidRDefault="00C65E81">
      <w:pPr>
        <w:pStyle w:val="TOC2"/>
        <w:rPr>
          <w:rFonts w:asciiTheme="minorHAnsi" w:eastAsiaTheme="minorEastAsia" w:hAnsiTheme="minorHAnsi" w:cstheme="minorBidi"/>
          <w:sz w:val="22"/>
          <w:szCs w:val="22"/>
          <w:lang w:eastAsia="en-AU"/>
        </w:rPr>
      </w:pPr>
      <w:hyperlink w:anchor="_Toc469927344" w:history="1">
        <w:r w:rsidR="00995626" w:rsidRPr="00A638C2">
          <w:rPr>
            <w:rStyle w:val="Hyperlink"/>
          </w:rPr>
          <w:t>Limitation of our work</w:t>
        </w:r>
        <w:r w:rsidR="00995626">
          <w:rPr>
            <w:webHidden/>
          </w:rPr>
          <w:tab/>
        </w:r>
        <w:r w:rsidR="00995626">
          <w:rPr>
            <w:webHidden/>
          </w:rPr>
          <w:fldChar w:fldCharType="begin"/>
        </w:r>
        <w:r w:rsidR="00995626">
          <w:rPr>
            <w:webHidden/>
          </w:rPr>
          <w:instrText xml:space="preserve"> PAGEREF _Toc469927344 \h </w:instrText>
        </w:r>
        <w:r w:rsidR="00995626">
          <w:rPr>
            <w:webHidden/>
          </w:rPr>
        </w:r>
        <w:r w:rsidR="00995626">
          <w:rPr>
            <w:webHidden/>
          </w:rPr>
          <w:fldChar w:fldCharType="separate"/>
        </w:r>
        <w:r w:rsidR="00595C6E">
          <w:rPr>
            <w:webHidden/>
          </w:rPr>
          <w:t>111</w:t>
        </w:r>
        <w:r w:rsidR="00995626">
          <w:rPr>
            <w:webHidden/>
          </w:rPr>
          <w:fldChar w:fldCharType="end"/>
        </w:r>
      </w:hyperlink>
    </w:p>
    <w:p w14:paraId="081EF04E" w14:textId="77777777" w:rsidR="00F41CBD" w:rsidRPr="00A65BA3" w:rsidRDefault="00F41CBD" w:rsidP="00F41CBD">
      <w:pPr>
        <w:pStyle w:val="Contents-Minor"/>
      </w:pPr>
      <w:r w:rsidRPr="00A65BA3">
        <w:rPr>
          <w:rFonts w:cs="Arial"/>
          <w:b/>
          <w:caps/>
          <w:szCs w:val="22"/>
        </w:rPr>
        <w:lastRenderedPageBreak/>
        <w:fldChar w:fldCharType="end"/>
      </w:r>
      <w:r w:rsidRPr="00A65BA3">
        <w:t>Charts</w:t>
      </w:r>
    </w:p>
    <w:p w14:paraId="7B56F7BD" w14:textId="77777777" w:rsidR="00995626" w:rsidRDefault="00F41CBD">
      <w:pPr>
        <w:pStyle w:val="TOC1"/>
        <w:rPr>
          <w:rFonts w:asciiTheme="minorHAnsi" w:eastAsiaTheme="minorEastAsia" w:hAnsiTheme="minorHAnsi" w:cstheme="minorBidi"/>
          <w:noProof/>
          <w:lang w:eastAsia="en-AU"/>
        </w:rPr>
      </w:pPr>
      <w:r w:rsidRPr="00A65BA3">
        <w:rPr>
          <w:sz w:val="24"/>
          <w:szCs w:val="20"/>
        </w:rPr>
        <w:fldChar w:fldCharType="begin"/>
      </w:r>
      <w:r w:rsidRPr="00A65BA3">
        <w:rPr>
          <w:sz w:val="24"/>
          <w:szCs w:val="20"/>
        </w:rPr>
        <w:instrText xml:space="preserve"> TOC \h \z \t "Appendix Chart Caption,1,Caption_Chart,1" </w:instrText>
      </w:r>
      <w:r w:rsidRPr="00A65BA3">
        <w:rPr>
          <w:sz w:val="24"/>
          <w:szCs w:val="20"/>
        </w:rPr>
        <w:fldChar w:fldCharType="separate"/>
      </w:r>
      <w:hyperlink w:anchor="_Toc469927345" w:history="1">
        <w:r w:rsidR="00995626" w:rsidRPr="009A7611">
          <w:rPr>
            <w:rStyle w:val="Hyperlink"/>
            <w:noProof/>
          </w:rPr>
          <w:t>Chart 1.1 : Student enrolments over time, by field of education (count)</w:t>
        </w:r>
        <w:r w:rsidR="00995626">
          <w:rPr>
            <w:noProof/>
            <w:webHidden/>
          </w:rPr>
          <w:tab/>
        </w:r>
        <w:r w:rsidR="00995626">
          <w:rPr>
            <w:noProof/>
            <w:webHidden/>
          </w:rPr>
          <w:fldChar w:fldCharType="begin"/>
        </w:r>
        <w:r w:rsidR="00995626">
          <w:rPr>
            <w:noProof/>
            <w:webHidden/>
          </w:rPr>
          <w:instrText xml:space="preserve"> PAGEREF _Toc469927345 \h </w:instrText>
        </w:r>
        <w:r w:rsidR="00995626">
          <w:rPr>
            <w:noProof/>
            <w:webHidden/>
          </w:rPr>
        </w:r>
        <w:r w:rsidR="00995626">
          <w:rPr>
            <w:noProof/>
            <w:webHidden/>
          </w:rPr>
          <w:fldChar w:fldCharType="separate"/>
        </w:r>
        <w:r w:rsidR="00595C6E">
          <w:rPr>
            <w:noProof/>
            <w:webHidden/>
          </w:rPr>
          <w:t>8</w:t>
        </w:r>
        <w:r w:rsidR="00995626">
          <w:rPr>
            <w:noProof/>
            <w:webHidden/>
          </w:rPr>
          <w:fldChar w:fldCharType="end"/>
        </w:r>
      </w:hyperlink>
    </w:p>
    <w:p w14:paraId="526B00AD" w14:textId="77777777" w:rsidR="00995626" w:rsidRDefault="00C65E81">
      <w:pPr>
        <w:pStyle w:val="TOC1"/>
        <w:rPr>
          <w:rFonts w:asciiTheme="minorHAnsi" w:eastAsiaTheme="minorEastAsia" w:hAnsiTheme="minorHAnsi" w:cstheme="minorBidi"/>
          <w:noProof/>
          <w:lang w:eastAsia="en-AU"/>
        </w:rPr>
      </w:pPr>
      <w:hyperlink w:anchor="_Toc469927346" w:history="1">
        <w:r w:rsidR="00995626" w:rsidRPr="009A7611">
          <w:rPr>
            <w:rStyle w:val="Hyperlink"/>
            <w:noProof/>
          </w:rPr>
          <w:t>Chart 1.2 : Student enrolments over time, by state (count)</w:t>
        </w:r>
        <w:r w:rsidR="00995626">
          <w:rPr>
            <w:noProof/>
            <w:webHidden/>
          </w:rPr>
          <w:tab/>
        </w:r>
        <w:r w:rsidR="00995626">
          <w:rPr>
            <w:noProof/>
            <w:webHidden/>
          </w:rPr>
          <w:fldChar w:fldCharType="begin"/>
        </w:r>
        <w:r w:rsidR="00995626">
          <w:rPr>
            <w:noProof/>
            <w:webHidden/>
          </w:rPr>
          <w:instrText xml:space="preserve"> PAGEREF _Toc469927346 \h </w:instrText>
        </w:r>
        <w:r w:rsidR="00995626">
          <w:rPr>
            <w:noProof/>
            <w:webHidden/>
          </w:rPr>
        </w:r>
        <w:r w:rsidR="00995626">
          <w:rPr>
            <w:noProof/>
            <w:webHidden/>
          </w:rPr>
          <w:fldChar w:fldCharType="separate"/>
        </w:r>
        <w:r w:rsidR="00595C6E">
          <w:rPr>
            <w:noProof/>
            <w:webHidden/>
          </w:rPr>
          <w:t>8</w:t>
        </w:r>
        <w:r w:rsidR="00995626">
          <w:rPr>
            <w:noProof/>
            <w:webHidden/>
          </w:rPr>
          <w:fldChar w:fldCharType="end"/>
        </w:r>
      </w:hyperlink>
    </w:p>
    <w:p w14:paraId="6E05BFCA" w14:textId="77777777" w:rsidR="00995626" w:rsidRDefault="00C65E81">
      <w:pPr>
        <w:pStyle w:val="TOC1"/>
        <w:rPr>
          <w:rFonts w:asciiTheme="minorHAnsi" w:eastAsiaTheme="minorEastAsia" w:hAnsiTheme="minorHAnsi" w:cstheme="minorBidi"/>
          <w:noProof/>
          <w:lang w:eastAsia="en-AU"/>
        </w:rPr>
      </w:pPr>
      <w:hyperlink w:anchor="_Toc469927347" w:history="1">
        <w:r w:rsidR="00995626" w:rsidRPr="009A7611">
          <w:rPr>
            <w:rStyle w:val="Hyperlink"/>
            <w:noProof/>
            <w:lang w:eastAsia="en-AU"/>
          </w:rPr>
          <w:t>Chart 1.3 : Share of domestic students by liability status (comparison of 2011 and 2015)</w:t>
        </w:r>
        <w:r w:rsidR="00995626">
          <w:rPr>
            <w:noProof/>
            <w:webHidden/>
          </w:rPr>
          <w:tab/>
        </w:r>
        <w:r w:rsidR="00995626">
          <w:rPr>
            <w:noProof/>
            <w:webHidden/>
          </w:rPr>
          <w:fldChar w:fldCharType="begin"/>
        </w:r>
        <w:r w:rsidR="00995626">
          <w:rPr>
            <w:noProof/>
            <w:webHidden/>
          </w:rPr>
          <w:instrText xml:space="preserve"> PAGEREF _Toc469927347 \h </w:instrText>
        </w:r>
        <w:r w:rsidR="00995626">
          <w:rPr>
            <w:noProof/>
            <w:webHidden/>
          </w:rPr>
        </w:r>
        <w:r w:rsidR="00995626">
          <w:rPr>
            <w:noProof/>
            <w:webHidden/>
          </w:rPr>
          <w:fldChar w:fldCharType="separate"/>
        </w:r>
        <w:r w:rsidR="00595C6E">
          <w:rPr>
            <w:noProof/>
            <w:webHidden/>
          </w:rPr>
          <w:t>9</w:t>
        </w:r>
        <w:r w:rsidR="00995626">
          <w:rPr>
            <w:noProof/>
            <w:webHidden/>
          </w:rPr>
          <w:fldChar w:fldCharType="end"/>
        </w:r>
      </w:hyperlink>
    </w:p>
    <w:p w14:paraId="6D9BAB81" w14:textId="77777777" w:rsidR="00995626" w:rsidRDefault="00C65E81">
      <w:pPr>
        <w:pStyle w:val="TOC1"/>
        <w:rPr>
          <w:rFonts w:asciiTheme="minorHAnsi" w:eastAsiaTheme="minorEastAsia" w:hAnsiTheme="minorHAnsi" w:cstheme="minorBidi"/>
          <w:noProof/>
          <w:lang w:eastAsia="en-AU"/>
        </w:rPr>
      </w:pPr>
      <w:hyperlink w:anchor="_Toc469927348" w:history="1">
        <w:r w:rsidR="00995626" w:rsidRPr="009A7611">
          <w:rPr>
            <w:rStyle w:val="Hyperlink"/>
            <w:noProof/>
            <w:lang w:eastAsia="en-AU"/>
          </w:rPr>
          <w:t>Chart 1.4 : Share of student enrolments by delivery mode</w:t>
        </w:r>
        <w:r w:rsidR="00995626">
          <w:rPr>
            <w:noProof/>
            <w:webHidden/>
          </w:rPr>
          <w:tab/>
        </w:r>
        <w:r w:rsidR="00995626">
          <w:rPr>
            <w:noProof/>
            <w:webHidden/>
          </w:rPr>
          <w:fldChar w:fldCharType="begin"/>
        </w:r>
        <w:r w:rsidR="00995626">
          <w:rPr>
            <w:noProof/>
            <w:webHidden/>
          </w:rPr>
          <w:instrText xml:space="preserve"> PAGEREF _Toc469927348 \h </w:instrText>
        </w:r>
        <w:r w:rsidR="00995626">
          <w:rPr>
            <w:noProof/>
            <w:webHidden/>
          </w:rPr>
        </w:r>
        <w:r w:rsidR="00995626">
          <w:rPr>
            <w:noProof/>
            <w:webHidden/>
          </w:rPr>
          <w:fldChar w:fldCharType="separate"/>
        </w:r>
        <w:r w:rsidR="00595C6E">
          <w:rPr>
            <w:noProof/>
            <w:webHidden/>
          </w:rPr>
          <w:t>10</w:t>
        </w:r>
        <w:r w:rsidR="00995626">
          <w:rPr>
            <w:noProof/>
            <w:webHidden/>
          </w:rPr>
          <w:fldChar w:fldCharType="end"/>
        </w:r>
      </w:hyperlink>
    </w:p>
    <w:p w14:paraId="080F6F46" w14:textId="77777777" w:rsidR="00995626" w:rsidRDefault="00C65E81">
      <w:pPr>
        <w:pStyle w:val="TOC1"/>
        <w:rPr>
          <w:rFonts w:asciiTheme="minorHAnsi" w:eastAsiaTheme="minorEastAsia" w:hAnsiTheme="minorHAnsi" w:cstheme="minorBidi"/>
          <w:noProof/>
          <w:lang w:eastAsia="en-AU"/>
        </w:rPr>
      </w:pPr>
      <w:hyperlink w:anchor="_Toc469927349" w:history="1">
        <w:r w:rsidR="00995626" w:rsidRPr="009A7611">
          <w:rPr>
            <w:rStyle w:val="Hyperlink"/>
            <w:noProof/>
          </w:rPr>
          <w:t>Chart 1.5 : International student enrolment counts, by field of education and year</w:t>
        </w:r>
        <w:r w:rsidR="00995626">
          <w:rPr>
            <w:noProof/>
            <w:webHidden/>
          </w:rPr>
          <w:tab/>
        </w:r>
        <w:r w:rsidR="00995626">
          <w:rPr>
            <w:noProof/>
            <w:webHidden/>
          </w:rPr>
          <w:fldChar w:fldCharType="begin"/>
        </w:r>
        <w:r w:rsidR="00995626">
          <w:rPr>
            <w:noProof/>
            <w:webHidden/>
          </w:rPr>
          <w:instrText xml:space="preserve"> PAGEREF _Toc469927349 \h </w:instrText>
        </w:r>
        <w:r w:rsidR="00995626">
          <w:rPr>
            <w:noProof/>
            <w:webHidden/>
          </w:rPr>
        </w:r>
        <w:r w:rsidR="00995626">
          <w:rPr>
            <w:noProof/>
            <w:webHidden/>
          </w:rPr>
          <w:fldChar w:fldCharType="separate"/>
        </w:r>
        <w:r w:rsidR="00595C6E">
          <w:rPr>
            <w:noProof/>
            <w:webHidden/>
          </w:rPr>
          <w:t>11</w:t>
        </w:r>
        <w:r w:rsidR="00995626">
          <w:rPr>
            <w:noProof/>
            <w:webHidden/>
          </w:rPr>
          <w:fldChar w:fldCharType="end"/>
        </w:r>
      </w:hyperlink>
    </w:p>
    <w:p w14:paraId="532C8A33" w14:textId="26581E41" w:rsidR="00995626" w:rsidRDefault="00C65E81">
      <w:pPr>
        <w:pStyle w:val="TOC1"/>
        <w:rPr>
          <w:rFonts w:asciiTheme="minorHAnsi" w:eastAsiaTheme="minorEastAsia" w:hAnsiTheme="minorHAnsi" w:cstheme="minorBidi"/>
          <w:noProof/>
          <w:lang w:eastAsia="en-AU"/>
        </w:rPr>
      </w:pPr>
      <w:hyperlink w:anchor="_Toc469927350" w:history="1">
        <w:r w:rsidR="00995626" w:rsidRPr="009A7611">
          <w:rPr>
            <w:rStyle w:val="Hyperlink"/>
            <w:noProof/>
          </w:rPr>
          <w:t>Chart 1.6 : Enrolment counts of domestic and overseas students</w:t>
        </w:r>
        <w:r w:rsidR="00995626">
          <w:rPr>
            <w:noProof/>
            <w:webHidden/>
          </w:rPr>
          <w:tab/>
        </w:r>
        <w:r w:rsidR="00995626">
          <w:rPr>
            <w:noProof/>
            <w:webHidden/>
          </w:rPr>
          <w:fldChar w:fldCharType="begin"/>
        </w:r>
        <w:r w:rsidR="00995626">
          <w:rPr>
            <w:noProof/>
            <w:webHidden/>
          </w:rPr>
          <w:instrText xml:space="preserve"> PAGEREF _Toc469927350 \h </w:instrText>
        </w:r>
        <w:r w:rsidR="00995626">
          <w:rPr>
            <w:noProof/>
            <w:webHidden/>
          </w:rPr>
        </w:r>
        <w:r w:rsidR="00995626">
          <w:rPr>
            <w:noProof/>
            <w:webHidden/>
          </w:rPr>
          <w:fldChar w:fldCharType="separate"/>
        </w:r>
        <w:r w:rsidR="00595C6E">
          <w:rPr>
            <w:noProof/>
            <w:webHidden/>
          </w:rPr>
          <w:t>11</w:t>
        </w:r>
        <w:r w:rsidR="00995626">
          <w:rPr>
            <w:noProof/>
            <w:webHidden/>
          </w:rPr>
          <w:fldChar w:fldCharType="end"/>
        </w:r>
      </w:hyperlink>
    </w:p>
    <w:p w14:paraId="6EBEA216" w14:textId="77777777" w:rsidR="00995626" w:rsidRDefault="00C65E81">
      <w:pPr>
        <w:pStyle w:val="TOC1"/>
        <w:rPr>
          <w:rFonts w:asciiTheme="minorHAnsi" w:eastAsiaTheme="minorEastAsia" w:hAnsiTheme="minorHAnsi" w:cstheme="minorBidi"/>
          <w:noProof/>
          <w:lang w:eastAsia="en-AU"/>
        </w:rPr>
      </w:pPr>
      <w:hyperlink w:anchor="_Toc469927351" w:history="1">
        <w:r w:rsidR="00995626" w:rsidRPr="009A7611">
          <w:rPr>
            <w:rStyle w:val="Hyperlink"/>
            <w:noProof/>
          </w:rPr>
          <w:t>Chart 1.7 : Academic pay ranges</w:t>
        </w:r>
        <w:r w:rsidR="00995626">
          <w:rPr>
            <w:noProof/>
            <w:webHidden/>
          </w:rPr>
          <w:tab/>
        </w:r>
        <w:r w:rsidR="00995626">
          <w:rPr>
            <w:noProof/>
            <w:webHidden/>
          </w:rPr>
          <w:fldChar w:fldCharType="begin"/>
        </w:r>
        <w:r w:rsidR="00995626">
          <w:rPr>
            <w:noProof/>
            <w:webHidden/>
          </w:rPr>
          <w:instrText xml:space="preserve"> PAGEREF _Toc469927351 \h </w:instrText>
        </w:r>
        <w:r w:rsidR="00995626">
          <w:rPr>
            <w:noProof/>
            <w:webHidden/>
          </w:rPr>
        </w:r>
        <w:r w:rsidR="00995626">
          <w:rPr>
            <w:noProof/>
            <w:webHidden/>
          </w:rPr>
          <w:fldChar w:fldCharType="separate"/>
        </w:r>
        <w:r w:rsidR="00595C6E">
          <w:rPr>
            <w:noProof/>
            <w:webHidden/>
          </w:rPr>
          <w:t>12</w:t>
        </w:r>
        <w:r w:rsidR="00995626">
          <w:rPr>
            <w:noProof/>
            <w:webHidden/>
          </w:rPr>
          <w:fldChar w:fldCharType="end"/>
        </w:r>
      </w:hyperlink>
    </w:p>
    <w:p w14:paraId="225D24D9" w14:textId="1D8D694D" w:rsidR="00995626" w:rsidRDefault="00C65E81">
      <w:pPr>
        <w:pStyle w:val="TOC1"/>
        <w:rPr>
          <w:rFonts w:asciiTheme="minorHAnsi" w:eastAsiaTheme="minorEastAsia" w:hAnsiTheme="minorHAnsi" w:cstheme="minorBidi"/>
          <w:noProof/>
          <w:lang w:eastAsia="en-AU"/>
        </w:rPr>
      </w:pPr>
      <w:hyperlink w:anchor="_Toc469927352" w:history="1">
        <w:r w:rsidR="00995626" w:rsidRPr="009A7611">
          <w:rPr>
            <w:rStyle w:val="Hyperlink"/>
            <w:noProof/>
          </w:rPr>
          <w:t>Chart 1.8 : Student-to-staff ratio</w:t>
        </w:r>
        <w:r w:rsidR="00995626">
          <w:rPr>
            <w:noProof/>
            <w:webHidden/>
          </w:rPr>
          <w:tab/>
        </w:r>
        <w:r w:rsidR="00995626">
          <w:rPr>
            <w:noProof/>
            <w:webHidden/>
          </w:rPr>
          <w:fldChar w:fldCharType="begin"/>
        </w:r>
        <w:r w:rsidR="00995626">
          <w:rPr>
            <w:noProof/>
            <w:webHidden/>
          </w:rPr>
          <w:instrText xml:space="preserve"> PAGEREF _Toc469927352 \h </w:instrText>
        </w:r>
        <w:r w:rsidR="00995626">
          <w:rPr>
            <w:noProof/>
            <w:webHidden/>
          </w:rPr>
        </w:r>
        <w:r w:rsidR="00995626">
          <w:rPr>
            <w:noProof/>
            <w:webHidden/>
          </w:rPr>
          <w:fldChar w:fldCharType="separate"/>
        </w:r>
        <w:r w:rsidR="00595C6E">
          <w:rPr>
            <w:noProof/>
            <w:webHidden/>
          </w:rPr>
          <w:t>12</w:t>
        </w:r>
        <w:r w:rsidR="00995626">
          <w:rPr>
            <w:noProof/>
            <w:webHidden/>
          </w:rPr>
          <w:fldChar w:fldCharType="end"/>
        </w:r>
      </w:hyperlink>
    </w:p>
    <w:p w14:paraId="6A5B603D" w14:textId="77777777" w:rsidR="00995626" w:rsidRDefault="00C65E81">
      <w:pPr>
        <w:pStyle w:val="TOC1"/>
        <w:rPr>
          <w:rFonts w:asciiTheme="minorHAnsi" w:eastAsiaTheme="minorEastAsia" w:hAnsiTheme="minorHAnsi" w:cstheme="minorBidi"/>
          <w:noProof/>
          <w:lang w:eastAsia="en-AU"/>
        </w:rPr>
      </w:pPr>
      <w:hyperlink w:anchor="_Toc469927353" w:history="1">
        <w:r w:rsidR="00995626" w:rsidRPr="009A7611">
          <w:rPr>
            <w:rStyle w:val="Hyperlink"/>
            <w:noProof/>
          </w:rPr>
          <w:t>Chart 1.9 : Total expenses and net operating result for Australian public universities,  by category (2010-2015), $billions</w:t>
        </w:r>
        <w:r w:rsidR="00995626">
          <w:rPr>
            <w:noProof/>
            <w:webHidden/>
          </w:rPr>
          <w:tab/>
        </w:r>
        <w:r w:rsidR="00995626">
          <w:rPr>
            <w:noProof/>
            <w:webHidden/>
          </w:rPr>
          <w:fldChar w:fldCharType="begin"/>
        </w:r>
        <w:r w:rsidR="00995626">
          <w:rPr>
            <w:noProof/>
            <w:webHidden/>
          </w:rPr>
          <w:instrText xml:space="preserve"> PAGEREF _Toc469927353 \h </w:instrText>
        </w:r>
        <w:r w:rsidR="00995626">
          <w:rPr>
            <w:noProof/>
            <w:webHidden/>
          </w:rPr>
        </w:r>
        <w:r w:rsidR="00995626">
          <w:rPr>
            <w:noProof/>
            <w:webHidden/>
          </w:rPr>
          <w:fldChar w:fldCharType="separate"/>
        </w:r>
        <w:r w:rsidR="00595C6E">
          <w:rPr>
            <w:noProof/>
            <w:webHidden/>
          </w:rPr>
          <w:t>14</w:t>
        </w:r>
        <w:r w:rsidR="00995626">
          <w:rPr>
            <w:noProof/>
            <w:webHidden/>
          </w:rPr>
          <w:fldChar w:fldCharType="end"/>
        </w:r>
      </w:hyperlink>
    </w:p>
    <w:p w14:paraId="4E87E1F8" w14:textId="56FB2A3A" w:rsidR="00995626" w:rsidRDefault="00C65E81" w:rsidP="00787233">
      <w:pPr>
        <w:pStyle w:val="TOC1"/>
        <w:tabs>
          <w:tab w:val="clear" w:pos="8505"/>
          <w:tab w:val="right" w:leader="dot" w:pos="8504"/>
        </w:tabs>
        <w:rPr>
          <w:rFonts w:asciiTheme="minorHAnsi" w:eastAsiaTheme="minorEastAsia" w:hAnsiTheme="minorHAnsi" w:cstheme="minorBidi"/>
          <w:noProof/>
          <w:lang w:eastAsia="en-AU"/>
        </w:rPr>
      </w:pPr>
      <w:hyperlink w:anchor="_Toc469927354" w:history="1">
        <w:r w:rsidR="00995626" w:rsidRPr="009A7611">
          <w:rPr>
            <w:rStyle w:val="Hyperlink"/>
            <w:noProof/>
          </w:rPr>
          <w:t>Chart 1.10 : Total revenue for Australian public universities,  by category (2010-2015), $billions</w:t>
        </w:r>
        <w:r w:rsidR="00787233">
          <w:rPr>
            <w:rStyle w:val="Hyperlink"/>
            <w:noProof/>
          </w:rPr>
          <w:t xml:space="preserve"> </w:t>
        </w:r>
        <w:r w:rsidR="00787233">
          <w:rPr>
            <w:rStyle w:val="Hyperlink"/>
            <w:noProof/>
          </w:rPr>
          <w:br/>
          <w:t>…………</w:t>
        </w:r>
        <w:r w:rsidR="00995626">
          <w:rPr>
            <w:noProof/>
            <w:webHidden/>
          </w:rPr>
          <w:tab/>
        </w:r>
        <w:r w:rsidR="00995626">
          <w:rPr>
            <w:noProof/>
            <w:webHidden/>
          </w:rPr>
          <w:fldChar w:fldCharType="begin"/>
        </w:r>
        <w:r w:rsidR="00995626">
          <w:rPr>
            <w:noProof/>
            <w:webHidden/>
          </w:rPr>
          <w:instrText xml:space="preserve"> PAGEREF _Toc469927354 \h </w:instrText>
        </w:r>
        <w:r w:rsidR="00995626">
          <w:rPr>
            <w:noProof/>
            <w:webHidden/>
          </w:rPr>
        </w:r>
        <w:r w:rsidR="00995626">
          <w:rPr>
            <w:noProof/>
            <w:webHidden/>
          </w:rPr>
          <w:fldChar w:fldCharType="separate"/>
        </w:r>
        <w:r w:rsidR="00595C6E">
          <w:rPr>
            <w:noProof/>
            <w:webHidden/>
          </w:rPr>
          <w:t>14</w:t>
        </w:r>
        <w:r w:rsidR="00995626">
          <w:rPr>
            <w:noProof/>
            <w:webHidden/>
          </w:rPr>
          <w:fldChar w:fldCharType="end"/>
        </w:r>
      </w:hyperlink>
    </w:p>
    <w:p w14:paraId="4DF4D0D1" w14:textId="7D196C5C" w:rsidR="00995626" w:rsidRDefault="00C65E81">
      <w:pPr>
        <w:pStyle w:val="TOC1"/>
        <w:rPr>
          <w:rFonts w:asciiTheme="minorHAnsi" w:eastAsiaTheme="minorEastAsia" w:hAnsiTheme="minorHAnsi" w:cstheme="minorBidi"/>
          <w:noProof/>
          <w:lang w:eastAsia="en-AU"/>
        </w:rPr>
      </w:pPr>
      <w:hyperlink w:anchor="_Toc469927355" w:history="1">
        <w:r w:rsidR="00995626" w:rsidRPr="009A7611">
          <w:rPr>
            <w:rStyle w:val="Hyperlink"/>
            <w:noProof/>
          </w:rPr>
          <w:t>Chart 1.11 : Average growth in expenses per EFTSL (2010-2015)</w:t>
        </w:r>
        <w:r w:rsidR="00995626">
          <w:rPr>
            <w:noProof/>
            <w:webHidden/>
          </w:rPr>
          <w:tab/>
        </w:r>
        <w:r w:rsidR="00995626">
          <w:rPr>
            <w:noProof/>
            <w:webHidden/>
          </w:rPr>
          <w:fldChar w:fldCharType="begin"/>
        </w:r>
        <w:r w:rsidR="00995626">
          <w:rPr>
            <w:noProof/>
            <w:webHidden/>
          </w:rPr>
          <w:instrText xml:space="preserve"> PAGEREF _Toc469927355 \h </w:instrText>
        </w:r>
        <w:r w:rsidR="00995626">
          <w:rPr>
            <w:noProof/>
            <w:webHidden/>
          </w:rPr>
        </w:r>
        <w:r w:rsidR="00995626">
          <w:rPr>
            <w:noProof/>
            <w:webHidden/>
          </w:rPr>
          <w:fldChar w:fldCharType="separate"/>
        </w:r>
        <w:r w:rsidR="00595C6E">
          <w:rPr>
            <w:noProof/>
            <w:webHidden/>
          </w:rPr>
          <w:t>15</w:t>
        </w:r>
        <w:r w:rsidR="00995626">
          <w:rPr>
            <w:noProof/>
            <w:webHidden/>
          </w:rPr>
          <w:fldChar w:fldCharType="end"/>
        </w:r>
      </w:hyperlink>
    </w:p>
    <w:p w14:paraId="43FBC714" w14:textId="77777777" w:rsidR="00995626" w:rsidRDefault="00C65E81">
      <w:pPr>
        <w:pStyle w:val="TOC1"/>
        <w:rPr>
          <w:rFonts w:asciiTheme="minorHAnsi" w:eastAsiaTheme="minorEastAsia" w:hAnsiTheme="minorHAnsi" w:cstheme="minorBidi"/>
          <w:noProof/>
          <w:lang w:eastAsia="en-AU"/>
        </w:rPr>
      </w:pPr>
      <w:hyperlink w:anchor="_Toc469927356" w:history="1">
        <w:r w:rsidR="00995626" w:rsidRPr="009A7611">
          <w:rPr>
            <w:rStyle w:val="Hyperlink"/>
            <w:noProof/>
          </w:rPr>
          <w:t>Chart 1.12 : Average growth in revenue per EFTSL (2010-2015)</w:t>
        </w:r>
        <w:r w:rsidR="00995626">
          <w:rPr>
            <w:noProof/>
            <w:webHidden/>
          </w:rPr>
          <w:tab/>
        </w:r>
        <w:r w:rsidR="00995626">
          <w:rPr>
            <w:noProof/>
            <w:webHidden/>
          </w:rPr>
          <w:fldChar w:fldCharType="begin"/>
        </w:r>
        <w:r w:rsidR="00995626">
          <w:rPr>
            <w:noProof/>
            <w:webHidden/>
          </w:rPr>
          <w:instrText xml:space="preserve"> PAGEREF _Toc469927356 \h </w:instrText>
        </w:r>
        <w:r w:rsidR="00995626">
          <w:rPr>
            <w:noProof/>
            <w:webHidden/>
          </w:rPr>
        </w:r>
        <w:r w:rsidR="00995626">
          <w:rPr>
            <w:noProof/>
            <w:webHidden/>
          </w:rPr>
          <w:fldChar w:fldCharType="separate"/>
        </w:r>
        <w:r w:rsidR="00595C6E">
          <w:rPr>
            <w:noProof/>
            <w:webHidden/>
          </w:rPr>
          <w:t>15</w:t>
        </w:r>
        <w:r w:rsidR="00995626">
          <w:rPr>
            <w:noProof/>
            <w:webHidden/>
          </w:rPr>
          <w:fldChar w:fldCharType="end"/>
        </w:r>
      </w:hyperlink>
    </w:p>
    <w:p w14:paraId="2D112C59" w14:textId="535F0852" w:rsidR="00995626" w:rsidRDefault="00C65E81">
      <w:pPr>
        <w:pStyle w:val="TOC1"/>
        <w:rPr>
          <w:rFonts w:asciiTheme="minorHAnsi" w:eastAsiaTheme="minorEastAsia" w:hAnsiTheme="minorHAnsi" w:cstheme="minorBidi"/>
          <w:noProof/>
          <w:lang w:eastAsia="en-AU"/>
        </w:rPr>
      </w:pPr>
      <w:hyperlink w:anchor="_Toc469927357" w:history="1">
        <w:r w:rsidR="00995626" w:rsidRPr="009A7611">
          <w:rPr>
            <w:rStyle w:val="Hyperlink"/>
            <w:noProof/>
          </w:rPr>
          <w:t>Chart 1.13 : Cost and EFTSL growth (2010-2015)</w:t>
        </w:r>
        <w:r w:rsidR="00995626">
          <w:rPr>
            <w:noProof/>
            <w:webHidden/>
          </w:rPr>
          <w:tab/>
        </w:r>
        <w:r w:rsidR="00995626">
          <w:rPr>
            <w:noProof/>
            <w:webHidden/>
          </w:rPr>
          <w:fldChar w:fldCharType="begin"/>
        </w:r>
        <w:r w:rsidR="00995626">
          <w:rPr>
            <w:noProof/>
            <w:webHidden/>
          </w:rPr>
          <w:instrText xml:space="preserve"> PAGEREF _Toc469927357 \h </w:instrText>
        </w:r>
        <w:r w:rsidR="00995626">
          <w:rPr>
            <w:noProof/>
            <w:webHidden/>
          </w:rPr>
        </w:r>
        <w:r w:rsidR="00995626">
          <w:rPr>
            <w:noProof/>
            <w:webHidden/>
          </w:rPr>
          <w:fldChar w:fldCharType="separate"/>
        </w:r>
        <w:r w:rsidR="00595C6E">
          <w:rPr>
            <w:noProof/>
            <w:webHidden/>
          </w:rPr>
          <w:t>16</w:t>
        </w:r>
        <w:r w:rsidR="00995626">
          <w:rPr>
            <w:noProof/>
            <w:webHidden/>
          </w:rPr>
          <w:fldChar w:fldCharType="end"/>
        </w:r>
      </w:hyperlink>
    </w:p>
    <w:p w14:paraId="06DF2342" w14:textId="77777777" w:rsidR="00995626" w:rsidRDefault="00C65E81">
      <w:pPr>
        <w:pStyle w:val="TOC1"/>
        <w:rPr>
          <w:rFonts w:asciiTheme="minorHAnsi" w:eastAsiaTheme="minorEastAsia" w:hAnsiTheme="minorHAnsi" w:cstheme="minorBidi"/>
          <w:noProof/>
          <w:lang w:eastAsia="en-AU"/>
        </w:rPr>
      </w:pPr>
      <w:hyperlink w:anchor="_Toc469927358" w:history="1">
        <w:r w:rsidR="00995626" w:rsidRPr="009A7611">
          <w:rPr>
            <w:rStyle w:val="Hyperlink"/>
            <w:noProof/>
          </w:rPr>
          <w:t>Chart 1.14 : Cost and FTE growth (2010-2015)</w:t>
        </w:r>
        <w:r w:rsidR="00995626">
          <w:rPr>
            <w:noProof/>
            <w:webHidden/>
          </w:rPr>
          <w:tab/>
        </w:r>
        <w:r w:rsidR="00995626">
          <w:rPr>
            <w:noProof/>
            <w:webHidden/>
          </w:rPr>
          <w:fldChar w:fldCharType="begin"/>
        </w:r>
        <w:r w:rsidR="00995626">
          <w:rPr>
            <w:noProof/>
            <w:webHidden/>
          </w:rPr>
          <w:instrText xml:space="preserve"> PAGEREF _Toc469927358 \h </w:instrText>
        </w:r>
        <w:r w:rsidR="00995626">
          <w:rPr>
            <w:noProof/>
            <w:webHidden/>
          </w:rPr>
        </w:r>
        <w:r w:rsidR="00995626">
          <w:rPr>
            <w:noProof/>
            <w:webHidden/>
          </w:rPr>
          <w:fldChar w:fldCharType="separate"/>
        </w:r>
        <w:r w:rsidR="00595C6E">
          <w:rPr>
            <w:noProof/>
            <w:webHidden/>
          </w:rPr>
          <w:t>17</w:t>
        </w:r>
        <w:r w:rsidR="00995626">
          <w:rPr>
            <w:noProof/>
            <w:webHidden/>
          </w:rPr>
          <w:fldChar w:fldCharType="end"/>
        </w:r>
      </w:hyperlink>
    </w:p>
    <w:p w14:paraId="3958550C" w14:textId="77777777" w:rsidR="00995626" w:rsidRDefault="00C65E81">
      <w:pPr>
        <w:pStyle w:val="TOC1"/>
        <w:rPr>
          <w:rFonts w:asciiTheme="minorHAnsi" w:eastAsiaTheme="minorEastAsia" w:hAnsiTheme="minorHAnsi" w:cstheme="minorBidi"/>
          <w:noProof/>
          <w:lang w:eastAsia="en-AU"/>
        </w:rPr>
      </w:pPr>
      <w:hyperlink w:anchor="_Toc469927359" w:history="1">
        <w:r w:rsidR="00995626" w:rsidRPr="009A7611">
          <w:rPr>
            <w:rStyle w:val="Hyperlink"/>
            <w:noProof/>
          </w:rPr>
          <w:t>Chart 2.1 : Australian universities by affiliation and geography</w:t>
        </w:r>
        <w:r w:rsidR="00995626">
          <w:rPr>
            <w:noProof/>
            <w:webHidden/>
          </w:rPr>
          <w:tab/>
        </w:r>
        <w:r w:rsidR="00995626">
          <w:rPr>
            <w:noProof/>
            <w:webHidden/>
          </w:rPr>
          <w:fldChar w:fldCharType="begin"/>
        </w:r>
        <w:r w:rsidR="00995626">
          <w:rPr>
            <w:noProof/>
            <w:webHidden/>
          </w:rPr>
          <w:instrText xml:space="preserve"> PAGEREF _Toc469927359 \h </w:instrText>
        </w:r>
        <w:r w:rsidR="00995626">
          <w:rPr>
            <w:noProof/>
            <w:webHidden/>
          </w:rPr>
        </w:r>
        <w:r w:rsidR="00995626">
          <w:rPr>
            <w:noProof/>
            <w:webHidden/>
          </w:rPr>
          <w:fldChar w:fldCharType="separate"/>
        </w:r>
        <w:r w:rsidR="00595C6E">
          <w:rPr>
            <w:noProof/>
            <w:webHidden/>
          </w:rPr>
          <w:t>25</w:t>
        </w:r>
        <w:r w:rsidR="00995626">
          <w:rPr>
            <w:noProof/>
            <w:webHidden/>
          </w:rPr>
          <w:fldChar w:fldCharType="end"/>
        </w:r>
      </w:hyperlink>
    </w:p>
    <w:p w14:paraId="0CC37E6F" w14:textId="77777777" w:rsidR="00995626" w:rsidRDefault="00C65E81">
      <w:pPr>
        <w:pStyle w:val="TOC1"/>
        <w:rPr>
          <w:rFonts w:asciiTheme="minorHAnsi" w:eastAsiaTheme="minorEastAsia" w:hAnsiTheme="minorHAnsi" w:cstheme="minorBidi"/>
          <w:noProof/>
          <w:lang w:eastAsia="en-AU"/>
        </w:rPr>
      </w:pPr>
      <w:hyperlink w:anchor="_Toc469927360" w:history="1">
        <w:r w:rsidR="00995626" w:rsidRPr="009A7611">
          <w:rPr>
            <w:rStyle w:val="Hyperlink"/>
            <w:noProof/>
          </w:rPr>
          <w:t>Chart 2.2 : Australian universities by remoteness and EFTSL</w:t>
        </w:r>
        <w:r w:rsidR="00995626">
          <w:rPr>
            <w:noProof/>
            <w:webHidden/>
          </w:rPr>
          <w:tab/>
        </w:r>
        <w:r w:rsidR="00995626">
          <w:rPr>
            <w:noProof/>
            <w:webHidden/>
          </w:rPr>
          <w:fldChar w:fldCharType="begin"/>
        </w:r>
        <w:r w:rsidR="00995626">
          <w:rPr>
            <w:noProof/>
            <w:webHidden/>
          </w:rPr>
          <w:instrText xml:space="preserve"> PAGEREF _Toc469927360 \h </w:instrText>
        </w:r>
        <w:r w:rsidR="00995626">
          <w:rPr>
            <w:noProof/>
            <w:webHidden/>
          </w:rPr>
        </w:r>
        <w:r w:rsidR="00995626">
          <w:rPr>
            <w:noProof/>
            <w:webHidden/>
          </w:rPr>
          <w:fldChar w:fldCharType="separate"/>
        </w:r>
        <w:r w:rsidR="00595C6E">
          <w:rPr>
            <w:noProof/>
            <w:webHidden/>
          </w:rPr>
          <w:t>25</w:t>
        </w:r>
        <w:r w:rsidR="00995626">
          <w:rPr>
            <w:noProof/>
            <w:webHidden/>
          </w:rPr>
          <w:fldChar w:fldCharType="end"/>
        </w:r>
      </w:hyperlink>
    </w:p>
    <w:p w14:paraId="42D63055" w14:textId="77777777" w:rsidR="00995626" w:rsidRDefault="00C65E81">
      <w:pPr>
        <w:pStyle w:val="TOC1"/>
        <w:rPr>
          <w:rFonts w:asciiTheme="minorHAnsi" w:eastAsiaTheme="minorEastAsia" w:hAnsiTheme="minorHAnsi" w:cstheme="minorBidi"/>
          <w:noProof/>
          <w:lang w:eastAsia="en-AU"/>
        </w:rPr>
      </w:pPr>
      <w:hyperlink w:anchor="_Toc469927361" w:history="1">
        <w:r w:rsidR="00995626" w:rsidRPr="009A7611">
          <w:rPr>
            <w:rStyle w:val="Hyperlink"/>
            <w:noProof/>
          </w:rPr>
          <w:t>Chart 2.3 : Australian universities by 2015 enrolments (count)</w:t>
        </w:r>
        <w:r w:rsidR="00995626">
          <w:rPr>
            <w:noProof/>
            <w:webHidden/>
          </w:rPr>
          <w:tab/>
        </w:r>
        <w:r w:rsidR="00995626">
          <w:rPr>
            <w:noProof/>
            <w:webHidden/>
          </w:rPr>
          <w:fldChar w:fldCharType="begin"/>
        </w:r>
        <w:r w:rsidR="00995626">
          <w:rPr>
            <w:noProof/>
            <w:webHidden/>
          </w:rPr>
          <w:instrText xml:space="preserve"> PAGEREF _Toc469927361 \h </w:instrText>
        </w:r>
        <w:r w:rsidR="00995626">
          <w:rPr>
            <w:noProof/>
            <w:webHidden/>
          </w:rPr>
        </w:r>
        <w:r w:rsidR="00995626">
          <w:rPr>
            <w:noProof/>
            <w:webHidden/>
          </w:rPr>
          <w:fldChar w:fldCharType="separate"/>
        </w:r>
        <w:r w:rsidR="00595C6E">
          <w:rPr>
            <w:noProof/>
            <w:webHidden/>
          </w:rPr>
          <w:t>26</w:t>
        </w:r>
        <w:r w:rsidR="00995626">
          <w:rPr>
            <w:noProof/>
            <w:webHidden/>
          </w:rPr>
          <w:fldChar w:fldCharType="end"/>
        </w:r>
      </w:hyperlink>
    </w:p>
    <w:p w14:paraId="2E08F5B6" w14:textId="77777777" w:rsidR="00995626" w:rsidRDefault="00C65E81">
      <w:pPr>
        <w:pStyle w:val="TOC1"/>
        <w:rPr>
          <w:rFonts w:asciiTheme="minorHAnsi" w:eastAsiaTheme="minorEastAsia" w:hAnsiTheme="minorHAnsi" w:cstheme="minorBidi"/>
          <w:noProof/>
          <w:lang w:eastAsia="en-AU"/>
        </w:rPr>
      </w:pPr>
      <w:hyperlink w:anchor="_Toc469927362" w:history="1">
        <w:r w:rsidR="00995626" w:rsidRPr="009A7611">
          <w:rPr>
            <w:rStyle w:val="Hyperlink"/>
            <w:noProof/>
          </w:rPr>
          <w:t>Chart 2.4 : Australian universities by ranking</w:t>
        </w:r>
        <w:r w:rsidR="00995626">
          <w:rPr>
            <w:noProof/>
            <w:webHidden/>
          </w:rPr>
          <w:tab/>
        </w:r>
        <w:r w:rsidR="00995626">
          <w:rPr>
            <w:noProof/>
            <w:webHidden/>
          </w:rPr>
          <w:fldChar w:fldCharType="begin"/>
        </w:r>
        <w:r w:rsidR="00995626">
          <w:rPr>
            <w:noProof/>
            <w:webHidden/>
          </w:rPr>
          <w:instrText xml:space="preserve"> PAGEREF _Toc469927362 \h </w:instrText>
        </w:r>
        <w:r w:rsidR="00995626">
          <w:rPr>
            <w:noProof/>
            <w:webHidden/>
          </w:rPr>
        </w:r>
        <w:r w:rsidR="00995626">
          <w:rPr>
            <w:noProof/>
            <w:webHidden/>
          </w:rPr>
          <w:fldChar w:fldCharType="separate"/>
        </w:r>
        <w:r w:rsidR="00595C6E">
          <w:rPr>
            <w:noProof/>
            <w:webHidden/>
          </w:rPr>
          <w:t>27</w:t>
        </w:r>
        <w:r w:rsidR="00995626">
          <w:rPr>
            <w:noProof/>
            <w:webHidden/>
          </w:rPr>
          <w:fldChar w:fldCharType="end"/>
        </w:r>
      </w:hyperlink>
    </w:p>
    <w:p w14:paraId="28C70FE0" w14:textId="77777777" w:rsidR="00995626" w:rsidRDefault="00C65E81">
      <w:pPr>
        <w:pStyle w:val="TOC1"/>
        <w:rPr>
          <w:rFonts w:asciiTheme="minorHAnsi" w:eastAsiaTheme="minorEastAsia" w:hAnsiTheme="minorHAnsi" w:cstheme="minorBidi"/>
          <w:noProof/>
          <w:lang w:eastAsia="en-AU"/>
        </w:rPr>
      </w:pPr>
      <w:hyperlink w:anchor="_Toc469927363" w:history="1">
        <w:r w:rsidR="00995626" w:rsidRPr="009A7611">
          <w:rPr>
            <w:rStyle w:val="Hyperlink"/>
            <w:noProof/>
          </w:rPr>
          <w:t>Chart 2.5 : Australian universities by dual sector status</w:t>
        </w:r>
        <w:r w:rsidR="00995626">
          <w:rPr>
            <w:noProof/>
            <w:webHidden/>
          </w:rPr>
          <w:tab/>
        </w:r>
        <w:r w:rsidR="00995626">
          <w:rPr>
            <w:noProof/>
            <w:webHidden/>
          </w:rPr>
          <w:fldChar w:fldCharType="begin"/>
        </w:r>
        <w:r w:rsidR="00995626">
          <w:rPr>
            <w:noProof/>
            <w:webHidden/>
          </w:rPr>
          <w:instrText xml:space="preserve"> PAGEREF _Toc469927363 \h </w:instrText>
        </w:r>
        <w:r w:rsidR="00995626">
          <w:rPr>
            <w:noProof/>
            <w:webHidden/>
          </w:rPr>
        </w:r>
        <w:r w:rsidR="00995626">
          <w:rPr>
            <w:noProof/>
            <w:webHidden/>
          </w:rPr>
          <w:fldChar w:fldCharType="separate"/>
        </w:r>
        <w:r w:rsidR="00595C6E">
          <w:rPr>
            <w:noProof/>
            <w:webHidden/>
          </w:rPr>
          <w:t>28</w:t>
        </w:r>
        <w:r w:rsidR="00995626">
          <w:rPr>
            <w:noProof/>
            <w:webHidden/>
          </w:rPr>
          <w:fldChar w:fldCharType="end"/>
        </w:r>
      </w:hyperlink>
    </w:p>
    <w:p w14:paraId="77B8C629" w14:textId="77777777" w:rsidR="00995626" w:rsidRDefault="00C65E81">
      <w:pPr>
        <w:pStyle w:val="TOC1"/>
        <w:rPr>
          <w:rFonts w:asciiTheme="minorHAnsi" w:eastAsiaTheme="minorEastAsia" w:hAnsiTheme="minorHAnsi" w:cstheme="minorBidi"/>
          <w:noProof/>
          <w:lang w:eastAsia="en-AU"/>
        </w:rPr>
      </w:pPr>
      <w:hyperlink w:anchor="_Toc469927364" w:history="1">
        <w:r w:rsidR="00995626" w:rsidRPr="009A7611">
          <w:rPr>
            <w:rStyle w:val="Hyperlink"/>
            <w:noProof/>
          </w:rPr>
          <w:t>Chart 2.6 : Australian universities by number of campuses</w:t>
        </w:r>
        <w:r w:rsidR="00995626">
          <w:rPr>
            <w:noProof/>
            <w:webHidden/>
          </w:rPr>
          <w:tab/>
        </w:r>
        <w:r w:rsidR="00995626">
          <w:rPr>
            <w:noProof/>
            <w:webHidden/>
          </w:rPr>
          <w:fldChar w:fldCharType="begin"/>
        </w:r>
        <w:r w:rsidR="00995626">
          <w:rPr>
            <w:noProof/>
            <w:webHidden/>
          </w:rPr>
          <w:instrText xml:space="preserve"> PAGEREF _Toc469927364 \h </w:instrText>
        </w:r>
        <w:r w:rsidR="00995626">
          <w:rPr>
            <w:noProof/>
            <w:webHidden/>
          </w:rPr>
        </w:r>
        <w:r w:rsidR="00995626">
          <w:rPr>
            <w:noProof/>
            <w:webHidden/>
          </w:rPr>
          <w:fldChar w:fldCharType="separate"/>
        </w:r>
        <w:r w:rsidR="00595C6E">
          <w:rPr>
            <w:noProof/>
            <w:webHidden/>
          </w:rPr>
          <w:t>28</w:t>
        </w:r>
        <w:r w:rsidR="00995626">
          <w:rPr>
            <w:noProof/>
            <w:webHidden/>
          </w:rPr>
          <w:fldChar w:fldCharType="end"/>
        </w:r>
      </w:hyperlink>
    </w:p>
    <w:p w14:paraId="0696FF2B" w14:textId="77777777" w:rsidR="00995626" w:rsidRDefault="00C65E81">
      <w:pPr>
        <w:pStyle w:val="TOC1"/>
        <w:rPr>
          <w:rFonts w:asciiTheme="minorHAnsi" w:eastAsiaTheme="minorEastAsia" w:hAnsiTheme="minorHAnsi" w:cstheme="minorBidi"/>
          <w:noProof/>
          <w:lang w:eastAsia="en-AU"/>
        </w:rPr>
      </w:pPr>
      <w:hyperlink w:anchor="_Toc469927365" w:history="1">
        <w:r w:rsidR="00995626" w:rsidRPr="009A7611">
          <w:rPr>
            <w:rStyle w:val="Hyperlink"/>
            <w:noProof/>
          </w:rPr>
          <w:t>Chart 2.7 : Australian universities by external or mixed-mode share of attendance</w:t>
        </w:r>
        <w:r w:rsidR="00995626">
          <w:rPr>
            <w:noProof/>
            <w:webHidden/>
          </w:rPr>
          <w:tab/>
        </w:r>
        <w:r w:rsidR="00995626">
          <w:rPr>
            <w:noProof/>
            <w:webHidden/>
          </w:rPr>
          <w:fldChar w:fldCharType="begin"/>
        </w:r>
        <w:r w:rsidR="00995626">
          <w:rPr>
            <w:noProof/>
            <w:webHidden/>
          </w:rPr>
          <w:instrText xml:space="preserve"> PAGEREF _Toc469927365 \h </w:instrText>
        </w:r>
        <w:r w:rsidR="00995626">
          <w:rPr>
            <w:noProof/>
            <w:webHidden/>
          </w:rPr>
        </w:r>
        <w:r w:rsidR="00995626">
          <w:rPr>
            <w:noProof/>
            <w:webHidden/>
          </w:rPr>
          <w:fldChar w:fldCharType="separate"/>
        </w:r>
        <w:r w:rsidR="00595C6E">
          <w:rPr>
            <w:noProof/>
            <w:webHidden/>
          </w:rPr>
          <w:t>29</w:t>
        </w:r>
        <w:r w:rsidR="00995626">
          <w:rPr>
            <w:noProof/>
            <w:webHidden/>
          </w:rPr>
          <w:fldChar w:fldCharType="end"/>
        </w:r>
      </w:hyperlink>
    </w:p>
    <w:p w14:paraId="69C7DA3A" w14:textId="77777777" w:rsidR="00995626" w:rsidRDefault="00C65E81">
      <w:pPr>
        <w:pStyle w:val="TOC1"/>
        <w:rPr>
          <w:rFonts w:asciiTheme="minorHAnsi" w:eastAsiaTheme="minorEastAsia" w:hAnsiTheme="minorHAnsi" w:cstheme="minorBidi"/>
          <w:noProof/>
          <w:lang w:eastAsia="en-AU"/>
        </w:rPr>
      </w:pPr>
      <w:hyperlink w:anchor="_Toc469927366" w:history="1">
        <w:r w:rsidR="00995626" w:rsidRPr="009A7611">
          <w:rPr>
            <w:rStyle w:val="Hyperlink"/>
            <w:noProof/>
          </w:rPr>
          <w:t>Chart 2.8 : Participating universities by share of international students</w:t>
        </w:r>
        <w:r w:rsidR="00995626">
          <w:rPr>
            <w:noProof/>
            <w:webHidden/>
          </w:rPr>
          <w:tab/>
        </w:r>
        <w:r w:rsidR="00995626">
          <w:rPr>
            <w:noProof/>
            <w:webHidden/>
          </w:rPr>
          <w:fldChar w:fldCharType="begin"/>
        </w:r>
        <w:r w:rsidR="00995626">
          <w:rPr>
            <w:noProof/>
            <w:webHidden/>
          </w:rPr>
          <w:instrText xml:space="preserve"> PAGEREF _Toc469927366 \h </w:instrText>
        </w:r>
        <w:r w:rsidR="00995626">
          <w:rPr>
            <w:noProof/>
            <w:webHidden/>
          </w:rPr>
        </w:r>
        <w:r w:rsidR="00995626">
          <w:rPr>
            <w:noProof/>
            <w:webHidden/>
          </w:rPr>
          <w:fldChar w:fldCharType="separate"/>
        </w:r>
        <w:r w:rsidR="00595C6E">
          <w:rPr>
            <w:noProof/>
            <w:webHidden/>
          </w:rPr>
          <w:t>30</w:t>
        </w:r>
        <w:r w:rsidR="00995626">
          <w:rPr>
            <w:noProof/>
            <w:webHidden/>
          </w:rPr>
          <w:fldChar w:fldCharType="end"/>
        </w:r>
      </w:hyperlink>
    </w:p>
    <w:p w14:paraId="330BD975" w14:textId="77777777" w:rsidR="00995626" w:rsidRDefault="00C65E81">
      <w:pPr>
        <w:pStyle w:val="TOC1"/>
        <w:rPr>
          <w:rFonts w:asciiTheme="minorHAnsi" w:eastAsiaTheme="minorEastAsia" w:hAnsiTheme="minorHAnsi" w:cstheme="minorBidi"/>
          <w:noProof/>
          <w:lang w:eastAsia="en-AU"/>
        </w:rPr>
      </w:pPr>
      <w:hyperlink w:anchor="_Toc469927367" w:history="1">
        <w:r w:rsidR="00995626" w:rsidRPr="009A7611">
          <w:rPr>
            <w:rStyle w:val="Hyperlink"/>
            <w:noProof/>
          </w:rPr>
          <w:t>Chart 2.9 : Australian universities by share of revenue allocated to maintenance costs</w:t>
        </w:r>
        <w:r w:rsidR="00995626">
          <w:rPr>
            <w:noProof/>
            <w:webHidden/>
          </w:rPr>
          <w:tab/>
        </w:r>
        <w:r w:rsidR="00995626">
          <w:rPr>
            <w:noProof/>
            <w:webHidden/>
          </w:rPr>
          <w:fldChar w:fldCharType="begin"/>
        </w:r>
        <w:r w:rsidR="00995626">
          <w:rPr>
            <w:noProof/>
            <w:webHidden/>
          </w:rPr>
          <w:instrText xml:space="preserve"> PAGEREF _Toc469927367 \h </w:instrText>
        </w:r>
        <w:r w:rsidR="00995626">
          <w:rPr>
            <w:noProof/>
            <w:webHidden/>
          </w:rPr>
        </w:r>
        <w:r w:rsidR="00995626">
          <w:rPr>
            <w:noProof/>
            <w:webHidden/>
          </w:rPr>
          <w:fldChar w:fldCharType="separate"/>
        </w:r>
        <w:r w:rsidR="00595C6E">
          <w:rPr>
            <w:noProof/>
            <w:webHidden/>
          </w:rPr>
          <w:t>31</w:t>
        </w:r>
        <w:r w:rsidR="00995626">
          <w:rPr>
            <w:noProof/>
            <w:webHidden/>
          </w:rPr>
          <w:fldChar w:fldCharType="end"/>
        </w:r>
      </w:hyperlink>
    </w:p>
    <w:p w14:paraId="68A2370B" w14:textId="77777777" w:rsidR="00995626" w:rsidRDefault="00C65E81">
      <w:pPr>
        <w:pStyle w:val="TOC1"/>
        <w:rPr>
          <w:rFonts w:asciiTheme="minorHAnsi" w:eastAsiaTheme="minorEastAsia" w:hAnsiTheme="minorHAnsi" w:cstheme="minorBidi"/>
          <w:noProof/>
          <w:lang w:eastAsia="en-AU"/>
        </w:rPr>
      </w:pPr>
      <w:hyperlink w:anchor="_Toc469927368" w:history="1">
        <w:r w:rsidR="00995626" w:rsidRPr="009A7611">
          <w:rPr>
            <w:rStyle w:val="Hyperlink"/>
            <w:noProof/>
          </w:rPr>
          <w:t>Chart 2.10 : Participating universities share of total enrolment</w:t>
        </w:r>
        <w:r w:rsidR="00995626">
          <w:rPr>
            <w:noProof/>
            <w:webHidden/>
          </w:rPr>
          <w:tab/>
        </w:r>
        <w:r w:rsidR="00995626">
          <w:rPr>
            <w:noProof/>
            <w:webHidden/>
          </w:rPr>
          <w:fldChar w:fldCharType="begin"/>
        </w:r>
        <w:r w:rsidR="00995626">
          <w:rPr>
            <w:noProof/>
            <w:webHidden/>
          </w:rPr>
          <w:instrText xml:space="preserve"> PAGEREF _Toc469927368 \h </w:instrText>
        </w:r>
        <w:r w:rsidR="00995626">
          <w:rPr>
            <w:noProof/>
            <w:webHidden/>
          </w:rPr>
        </w:r>
        <w:r w:rsidR="00995626">
          <w:rPr>
            <w:noProof/>
            <w:webHidden/>
          </w:rPr>
          <w:fldChar w:fldCharType="separate"/>
        </w:r>
        <w:r w:rsidR="00595C6E">
          <w:rPr>
            <w:noProof/>
            <w:webHidden/>
          </w:rPr>
          <w:t>32</w:t>
        </w:r>
        <w:r w:rsidR="00995626">
          <w:rPr>
            <w:noProof/>
            <w:webHidden/>
          </w:rPr>
          <w:fldChar w:fldCharType="end"/>
        </w:r>
      </w:hyperlink>
    </w:p>
    <w:p w14:paraId="32267D29" w14:textId="77777777" w:rsidR="00995626" w:rsidRDefault="00C65E81">
      <w:pPr>
        <w:pStyle w:val="TOC1"/>
        <w:rPr>
          <w:rFonts w:asciiTheme="minorHAnsi" w:eastAsiaTheme="minorEastAsia" w:hAnsiTheme="minorHAnsi" w:cstheme="minorBidi"/>
          <w:noProof/>
          <w:lang w:eastAsia="en-AU"/>
        </w:rPr>
      </w:pPr>
      <w:hyperlink w:anchor="_Toc469927369" w:history="1">
        <w:r w:rsidR="00995626" w:rsidRPr="009A7611">
          <w:rPr>
            <w:rStyle w:val="Hyperlink"/>
            <w:noProof/>
          </w:rPr>
          <w:t>Chart 2.11 : Participating universities share of postgraduate coursework enrolment</w:t>
        </w:r>
        <w:r w:rsidR="00995626">
          <w:rPr>
            <w:noProof/>
            <w:webHidden/>
          </w:rPr>
          <w:tab/>
        </w:r>
        <w:r w:rsidR="00995626">
          <w:rPr>
            <w:noProof/>
            <w:webHidden/>
          </w:rPr>
          <w:fldChar w:fldCharType="begin"/>
        </w:r>
        <w:r w:rsidR="00995626">
          <w:rPr>
            <w:noProof/>
            <w:webHidden/>
          </w:rPr>
          <w:instrText xml:space="preserve"> PAGEREF _Toc469927369 \h </w:instrText>
        </w:r>
        <w:r w:rsidR="00995626">
          <w:rPr>
            <w:noProof/>
            <w:webHidden/>
          </w:rPr>
        </w:r>
        <w:r w:rsidR="00995626">
          <w:rPr>
            <w:noProof/>
            <w:webHidden/>
          </w:rPr>
          <w:fldChar w:fldCharType="separate"/>
        </w:r>
        <w:r w:rsidR="00595C6E">
          <w:rPr>
            <w:noProof/>
            <w:webHidden/>
          </w:rPr>
          <w:t>32</w:t>
        </w:r>
        <w:r w:rsidR="00995626">
          <w:rPr>
            <w:noProof/>
            <w:webHidden/>
          </w:rPr>
          <w:fldChar w:fldCharType="end"/>
        </w:r>
      </w:hyperlink>
    </w:p>
    <w:p w14:paraId="099C5169" w14:textId="77777777" w:rsidR="00995626" w:rsidRDefault="00C65E81">
      <w:pPr>
        <w:pStyle w:val="TOC1"/>
        <w:rPr>
          <w:rFonts w:asciiTheme="minorHAnsi" w:eastAsiaTheme="minorEastAsia" w:hAnsiTheme="minorHAnsi" w:cstheme="minorBidi"/>
          <w:noProof/>
          <w:lang w:eastAsia="en-AU"/>
        </w:rPr>
      </w:pPr>
      <w:hyperlink w:anchor="_Toc469927370" w:history="1">
        <w:r w:rsidR="00995626" w:rsidRPr="009A7611">
          <w:rPr>
            <w:rStyle w:val="Hyperlink"/>
            <w:noProof/>
          </w:rPr>
          <w:t>Chart 2.12 : Participating universities share of sub-bachelor enrolment (incl. enabling)</w:t>
        </w:r>
        <w:r w:rsidR="00995626">
          <w:rPr>
            <w:noProof/>
            <w:webHidden/>
          </w:rPr>
          <w:tab/>
        </w:r>
        <w:r w:rsidR="00995626">
          <w:rPr>
            <w:noProof/>
            <w:webHidden/>
          </w:rPr>
          <w:fldChar w:fldCharType="begin"/>
        </w:r>
        <w:r w:rsidR="00995626">
          <w:rPr>
            <w:noProof/>
            <w:webHidden/>
          </w:rPr>
          <w:instrText xml:space="preserve"> PAGEREF _Toc469927370 \h </w:instrText>
        </w:r>
        <w:r w:rsidR="00995626">
          <w:rPr>
            <w:noProof/>
            <w:webHidden/>
          </w:rPr>
        </w:r>
        <w:r w:rsidR="00995626">
          <w:rPr>
            <w:noProof/>
            <w:webHidden/>
          </w:rPr>
          <w:fldChar w:fldCharType="separate"/>
        </w:r>
        <w:r w:rsidR="00595C6E">
          <w:rPr>
            <w:noProof/>
            <w:webHidden/>
          </w:rPr>
          <w:t>33</w:t>
        </w:r>
        <w:r w:rsidR="00995626">
          <w:rPr>
            <w:noProof/>
            <w:webHidden/>
          </w:rPr>
          <w:fldChar w:fldCharType="end"/>
        </w:r>
      </w:hyperlink>
    </w:p>
    <w:p w14:paraId="4CEBCF82" w14:textId="77777777" w:rsidR="00995626" w:rsidRDefault="00C65E81">
      <w:pPr>
        <w:pStyle w:val="TOC1"/>
        <w:rPr>
          <w:rFonts w:asciiTheme="minorHAnsi" w:eastAsiaTheme="minorEastAsia" w:hAnsiTheme="minorHAnsi" w:cstheme="minorBidi"/>
          <w:noProof/>
          <w:lang w:eastAsia="en-AU"/>
        </w:rPr>
      </w:pPr>
      <w:hyperlink w:anchor="_Toc469927371" w:history="1">
        <w:r w:rsidR="00995626" w:rsidRPr="009A7611">
          <w:rPr>
            <w:rStyle w:val="Hyperlink"/>
            <w:noProof/>
          </w:rPr>
          <w:t>Chart 3.1 : Bachelor costs per EFTSL, 2010 vs 2015</w:t>
        </w:r>
        <w:r w:rsidR="00995626">
          <w:rPr>
            <w:noProof/>
            <w:webHidden/>
          </w:rPr>
          <w:tab/>
        </w:r>
        <w:r w:rsidR="00995626">
          <w:rPr>
            <w:noProof/>
            <w:webHidden/>
          </w:rPr>
          <w:fldChar w:fldCharType="begin"/>
        </w:r>
        <w:r w:rsidR="00995626">
          <w:rPr>
            <w:noProof/>
            <w:webHidden/>
          </w:rPr>
          <w:instrText xml:space="preserve"> PAGEREF _Toc469927371 \h </w:instrText>
        </w:r>
        <w:r w:rsidR="00995626">
          <w:rPr>
            <w:noProof/>
            <w:webHidden/>
          </w:rPr>
        </w:r>
        <w:r w:rsidR="00995626">
          <w:rPr>
            <w:noProof/>
            <w:webHidden/>
          </w:rPr>
          <w:fldChar w:fldCharType="separate"/>
        </w:r>
        <w:r w:rsidR="00595C6E">
          <w:rPr>
            <w:noProof/>
            <w:webHidden/>
          </w:rPr>
          <w:t>35</w:t>
        </w:r>
        <w:r w:rsidR="00995626">
          <w:rPr>
            <w:noProof/>
            <w:webHidden/>
          </w:rPr>
          <w:fldChar w:fldCharType="end"/>
        </w:r>
      </w:hyperlink>
    </w:p>
    <w:p w14:paraId="0D848812" w14:textId="77777777" w:rsidR="00995626" w:rsidRDefault="00C65E81">
      <w:pPr>
        <w:pStyle w:val="TOC1"/>
        <w:rPr>
          <w:rFonts w:asciiTheme="minorHAnsi" w:eastAsiaTheme="minorEastAsia" w:hAnsiTheme="minorHAnsi" w:cstheme="minorBidi"/>
          <w:noProof/>
          <w:lang w:eastAsia="en-AU"/>
        </w:rPr>
      </w:pPr>
      <w:hyperlink w:anchor="_Toc469927372" w:history="1">
        <w:r w:rsidR="00995626" w:rsidRPr="009A7611">
          <w:rPr>
            <w:rStyle w:val="Hyperlink"/>
            <w:noProof/>
          </w:rPr>
          <w:t>Chart 3.2 : Postgraduate costs per EFTSL, 2010 vs 2015</w:t>
        </w:r>
        <w:r w:rsidR="00995626">
          <w:rPr>
            <w:noProof/>
            <w:webHidden/>
          </w:rPr>
          <w:tab/>
        </w:r>
        <w:r w:rsidR="00995626">
          <w:rPr>
            <w:noProof/>
            <w:webHidden/>
          </w:rPr>
          <w:fldChar w:fldCharType="begin"/>
        </w:r>
        <w:r w:rsidR="00995626">
          <w:rPr>
            <w:noProof/>
            <w:webHidden/>
          </w:rPr>
          <w:instrText xml:space="preserve"> PAGEREF _Toc469927372 \h </w:instrText>
        </w:r>
        <w:r w:rsidR="00995626">
          <w:rPr>
            <w:noProof/>
            <w:webHidden/>
          </w:rPr>
        </w:r>
        <w:r w:rsidR="00995626">
          <w:rPr>
            <w:noProof/>
            <w:webHidden/>
          </w:rPr>
          <w:fldChar w:fldCharType="separate"/>
        </w:r>
        <w:r w:rsidR="00595C6E">
          <w:rPr>
            <w:noProof/>
            <w:webHidden/>
          </w:rPr>
          <w:t>36</w:t>
        </w:r>
        <w:r w:rsidR="00995626">
          <w:rPr>
            <w:noProof/>
            <w:webHidden/>
          </w:rPr>
          <w:fldChar w:fldCharType="end"/>
        </w:r>
      </w:hyperlink>
    </w:p>
    <w:p w14:paraId="3064C5D9" w14:textId="77777777" w:rsidR="00995626" w:rsidRDefault="00C65E81">
      <w:pPr>
        <w:pStyle w:val="TOC1"/>
        <w:rPr>
          <w:rFonts w:asciiTheme="minorHAnsi" w:eastAsiaTheme="minorEastAsia" w:hAnsiTheme="minorHAnsi" w:cstheme="minorBidi"/>
          <w:noProof/>
          <w:lang w:eastAsia="en-AU"/>
        </w:rPr>
      </w:pPr>
      <w:hyperlink w:anchor="_Toc469927373" w:history="1">
        <w:r w:rsidR="00995626" w:rsidRPr="009A7611">
          <w:rPr>
            <w:rStyle w:val="Hyperlink"/>
            <w:noProof/>
          </w:rPr>
          <w:t>Chart 3.3 : Total cost per EFTSL (bachelor level, outliers removed)</w:t>
        </w:r>
        <w:r w:rsidR="00995626">
          <w:rPr>
            <w:noProof/>
            <w:webHidden/>
          </w:rPr>
          <w:tab/>
        </w:r>
        <w:r w:rsidR="00995626">
          <w:rPr>
            <w:noProof/>
            <w:webHidden/>
          </w:rPr>
          <w:fldChar w:fldCharType="begin"/>
        </w:r>
        <w:r w:rsidR="00995626">
          <w:rPr>
            <w:noProof/>
            <w:webHidden/>
          </w:rPr>
          <w:instrText xml:space="preserve"> PAGEREF _Toc469927373 \h </w:instrText>
        </w:r>
        <w:r w:rsidR="00995626">
          <w:rPr>
            <w:noProof/>
            <w:webHidden/>
          </w:rPr>
        </w:r>
        <w:r w:rsidR="00995626">
          <w:rPr>
            <w:noProof/>
            <w:webHidden/>
          </w:rPr>
          <w:fldChar w:fldCharType="separate"/>
        </w:r>
        <w:r w:rsidR="00595C6E">
          <w:rPr>
            <w:noProof/>
            <w:webHidden/>
          </w:rPr>
          <w:t>37</w:t>
        </w:r>
        <w:r w:rsidR="00995626">
          <w:rPr>
            <w:noProof/>
            <w:webHidden/>
          </w:rPr>
          <w:fldChar w:fldCharType="end"/>
        </w:r>
      </w:hyperlink>
    </w:p>
    <w:p w14:paraId="2506EF39" w14:textId="77777777" w:rsidR="00995626" w:rsidRDefault="00C65E81">
      <w:pPr>
        <w:pStyle w:val="TOC1"/>
        <w:rPr>
          <w:rFonts w:asciiTheme="minorHAnsi" w:eastAsiaTheme="minorEastAsia" w:hAnsiTheme="minorHAnsi" w:cstheme="minorBidi"/>
          <w:noProof/>
          <w:lang w:eastAsia="en-AU"/>
        </w:rPr>
      </w:pPr>
      <w:hyperlink w:anchor="_Toc469927374" w:history="1">
        <w:r w:rsidR="00995626" w:rsidRPr="009A7611">
          <w:rPr>
            <w:rStyle w:val="Hyperlink"/>
            <w:noProof/>
          </w:rPr>
          <w:t>Chart 3.4 : Total cost per EFTSL (postgraduate level, outliers removed)</w:t>
        </w:r>
        <w:r w:rsidR="00995626">
          <w:rPr>
            <w:noProof/>
            <w:webHidden/>
          </w:rPr>
          <w:tab/>
        </w:r>
        <w:r w:rsidR="00995626">
          <w:rPr>
            <w:noProof/>
            <w:webHidden/>
          </w:rPr>
          <w:fldChar w:fldCharType="begin"/>
        </w:r>
        <w:r w:rsidR="00995626">
          <w:rPr>
            <w:noProof/>
            <w:webHidden/>
          </w:rPr>
          <w:instrText xml:space="preserve"> PAGEREF _Toc469927374 \h </w:instrText>
        </w:r>
        <w:r w:rsidR="00995626">
          <w:rPr>
            <w:noProof/>
            <w:webHidden/>
          </w:rPr>
        </w:r>
        <w:r w:rsidR="00995626">
          <w:rPr>
            <w:noProof/>
            <w:webHidden/>
          </w:rPr>
          <w:fldChar w:fldCharType="separate"/>
        </w:r>
        <w:r w:rsidR="00595C6E">
          <w:rPr>
            <w:noProof/>
            <w:webHidden/>
          </w:rPr>
          <w:t>38</w:t>
        </w:r>
        <w:r w:rsidR="00995626">
          <w:rPr>
            <w:noProof/>
            <w:webHidden/>
          </w:rPr>
          <w:fldChar w:fldCharType="end"/>
        </w:r>
      </w:hyperlink>
    </w:p>
    <w:p w14:paraId="16142BEF" w14:textId="77777777" w:rsidR="00995626" w:rsidRDefault="00C65E81">
      <w:pPr>
        <w:pStyle w:val="TOC1"/>
        <w:rPr>
          <w:rFonts w:asciiTheme="minorHAnsi" w:eastAsiaTheme="minorEastAsia" w:hAnsiTheme="minorHAnsi" w:cstheme="minorBidi"/>
          <w:noProof/>
          <w:lang w:eastAsia="en-AU"/>
        </w:rPr>
      </w:pPr>
      <w:hyperlink w:anchor="_Toc469927375" w:history="1">
        <w:r w:rsidR="00995626" w:rsidRPr="009A7611">
          <w:rPr>
            <w:rStyle w:val="Hyperlink"/>
            <w:noProof/>
          </w:rPr>
          <w:t>Chart 3.5 : Total cost per EFTSL (sub-bachelor, outliers removed)</w:t>
        </w:r>
        <w:r w:rsidR="00995626">
          <w:rPr>
            <w:noProof/>
            <w:webHidden/>
          </w:rPr>
          <w:tab/>
        </w:r>
        <w:r w:rsidR="00995626">
          <w:rPr>
            <w:noProof/>
            <w:webHidden/>
          </w:rPr>
          <w:fldChar w:fldCharType="begin"/>
        </w:r>
        <w:r w:rsidR="00995626">
          <w:rPr>
            <w:noProof/>
            <w:webHidden/>
          </w:rPr>
          <w:instrText xml:space="preserve"> PAGEREF _Toc469927375 \h </w:instrText>
        </w:r>
        <w:r w:rsidR="00995626">
          <w:rPr>
            <w:noProof/>
            <w:webHidden/>
          </w:rPr>
        </w:r>
        <w:r w:rsidR="00995626">
          <w:rPr>
            <w:noProof/>
            <w:webHidden/>
          </w:rPr>
          <w:fldChar w:fldCharType="separate"/>
        </w:r>
        <w:r w:rsidR="00595C6E">
          <w:rPr>
            <w:noProof/>
            <w:webHidden/>
          </w:rPr>
          <w:t>38</w:t>
        </w:r>
        <w:r w:rsidR="00995626">
          <w:rPr>
            <w:noProof/>
            <w:webHidden/>
          </w:rPr>
          <w:fldChar w:fldCharType="end"/>
        </w:r>
      </w:hyperlink>
    </w:p>
    <w:p w14:paraId="1EE63B94" w14:textId="77777777" w:rsidR="00995626" w:rsidRDefault="00C65E81">
      <w:pPr>
        <w:pStyle w:val="TOC1"/>
        <w:rPr>
          <w:rFonts w:asciiTheme="minorHAnsi" w:eastAsiaTheme="minorEastAsia" w:hAnsiTheme="minorHAnsi" w:cstheme="minorBidi"/>
          <w:noProof/>
          <w:lang w:eastAsia="en-AU"/>
        </w:rPr>
      </w:pPr>
      <w:hyperlink w:anchor="_Toc469927376" w:history="1">
        <w:r w:rsidR="00995626" w:rsidRPr="009A7611">
          <w:rPr>
            <w:rStyle w:val="Hyperlink"/>
            <w:noProof/>
          </w:rPr>
          <w:t>Chart 3.6 : Cost-funding comparison with 2010 (bachelor level, outliers removed)</w:t>
        </w:r>
        <w:r w:rsidR="00995626">
          <w:rPr>
            <w:noProof/>
            <w:webHidden/>
          </w:rPr>
          <w:tab/>
        </w:r>
        <w:r w:rsidR="00995626">
          <w:rPr>
            <w:noProof/>
            <w:webHidden/>
          </w:rPr>
          <w:fldChar w:fldCharType="begin"/>
        </w:r>
        <w:r w:rsidR="00995626">
          <w:rPr>
            <w:noProof/>
            <w:webHidden/>
          </w:rPr>
          <w:instrText xml:space="preserve"> PAGEREF _Toc469927376 \h </w:instrText>
        </w:r>
        <w:r w:rsidR="00995626">
          <w:rPr>
            <w:noProof/>
            <w:webHidden/>
          </w:rPr>
        </w:r>
        <w:r w:rsidR="00995626">
          <w:rPr>
            <w:noProof/>
            <w:webHidden/>
          </w:rPr>
          <w:fldChar w:fldCharType="separate"/>
        </w:r>
        <w:r w:rsidR="00595C6E">
          <w:rPr>
            <w:noProof/>
            <w:webHidden/>
          </w:rPr>
          <w:t>39</w:t>
        </w:r>
        <w:r w:rsidR="00995626">
          <w:rPr>
            <w:noProof/>
            <w:webHidden/>
          </w:rPr>
          <w:fldChar w:fldCharType="end"/>
        </w:r>
      </w:hyperlink>
    </w:p>
    <w:p w14:paraId="018868BF" w14:textId="77777777" w:rsidR="00995626" w:rsidRDefault="00C65E81">
      <w:pPr>
        <w:pStyle w:val="TOC1"/>
        <w:rPr>
          <w:rFonts w:asciiTheme="minorHAnsi" w:eastAsiaTheme="minorEastAsia" w:hAnsiTheme="minorHAnsi" w:cstheme="minorBidi"/>
          <w:noProof/>
          <w:lang w:eastAsia="en-AU"/>
        </w:rPr>
      </w:pPr>
      <w:hyperlink w:anchor="_Toc469927377" w:history="1">
        <w:r w:rsidR="00995626" w:rsidRPr="009A7611">
          <w:rPr>
            <w:rStyle w:val="Hyperlink"/>
            <w:noProof/>
          </w:rPr>
          <w:t>Chart 3.7 : Cost-funding per EFTSL (bachelor level, outliers removed)</w:t>
        </w:r>
        <w:r w:rsidR="00995626">
          <w:rPr>
            <w:noProof/>
            <w:webHidden/>
          </w:rPr>
          <w:tab/>
        </w:r>
        <w:r w:rsidR="00995626">
          <w:rPr>
            <w:noProof/>
            <w:webHidden/>
          </w:rPr>
          <w:fldChar w:fldCharType="begin"/>
        </w:r>
        <w:r w:rsidR="00995626">
          <w:rPr>
            <w:noProof/>
            <w:webHidden/>
          </w:rPr>
          <w:instrText xml:space="preserve"> PAGEREF _Toc469927377 \h </w:instrText>
        </w:r>
        <w:r w:rsidR="00995626">
          <w:rPr>
            <w:noProof/>
            <w:webHidden/>
          </w:rPr>
        </w:r>
        <w:r w:rsidR="00995626">
          <w:rPr>
            <w:noProof/>
            <w:webHidden/>
          </w:rPr>
          <w:fldChar w:fldCharType="separate"/>
        </w:r>
        <w:r w:rsidR="00595C6E">
          <w:rPr>
            <w:noProof/>
            <w:webHidden/>
          </w:rPr>
          <w:t>40</w:t>
        </w:r>
        <w:r w:rsidR="00995626">
          <w:rPr>
            <w:noProof/>
            <w:webHidden/>
          </w:rPr>
          <w:fldChar w:fldCharType="end"/>
        </w:r>
      </w:hyperlink>
    </w:p>
    <w:p w14:paraId="692721E7" w14:textId="77777777" w:rsidR="00995626" w:rsidRDefault="00C65E81">
      <w:pPr>
        <w:pStyle w:val="TOC1"/>
        <w:rPr>
          <w:rFonts w:asciiTheme="minorHAnsi" w:eastAsiaTheme="minorEastAsia" w:hAnsiTheme="minorHAnsi" w:cstheme="minorBidi"/>
          <w:noProof/>
          <w:lang w:eastAsia="en-AU"/>
        </w:rPr>
      </w:pPr>
      <w:hyperlink w:anchor="_Toc469927378" w:history="1">
        <w:r w:rsidR="00995626" w:rsidRPr="009A7611">
          <w:rPr>
            <w:rStyle w:val="Hyperlink"/>
            <w:noProof/>
          </w:rPr>
          <w:t>Chart 3.8 : Total number of teaching and scholarship staff (FTEs) per EFTSL, by field</w:t>
        </w:r>
        <w:r w:rsidR="00995626">
          <w:rPr>
            <w:noProof/>
            <w:webHidden/>
          </w:rPr>
          <w:tab/>
        </w:r>
        <w:r w:rsidR="00995626">
          <w:rPr>
            <w:noProof/>
            <w:webHidden/>
          </w:rPr>
          <w:fldChar w:fldCharType="begin"/>
        </w:r>
        <w:r w:rsidR="00995626">
          <w:rPr>
            <w:noProof/>
            <w:webHidden/>
          </w:rPr>
          <w:instrText xml:space="preserve"> PAGEREF _Toc469927378 \h </w:instrText>
        </w:r>
        <w:r w:rsidR="00995626">
          <w:rPr>
            <w:noProof/>
            <w:webHidden/>
          </w:rPr>
        </w:r>
        <w:r w:rsidR="00995626">
          <w:rPr>
            <w:noProof/>
            <w:webHidden/>
          </w:rPr>
          <w:fldChar w:fldCharType="separate"/>
        </w:r>
        <w:r w:rsidR="00595C6E">
          <w:rPr>
            <w:noProof/>
            <w:webHidden/>
          </w:rPr>
          <w:t>40</w:t>
        </w:r>
        <w:r w:rsidR="00995626">
          <w:rPr>
            <w:noProof/>
            <w:webHidden/>
          </w:rPr>
          <w:fldChar w:fldCharType="end"/>
        </w:r>
      </w:hyperlink>
    </w:p>
    <w:p w14:paraId="1D4C95CE" w14:textId="77777777" w:rsidR="00995626" w:rsidRDefault="00C65E81">
      <w:pPr>
        <w:pStyle w:val="TOC1"/>
        <w:rPr>
          <w:rFonts w:asciiTheme="minorHAnsi" w:eastAsiaTheme="minorEastAsia" w:hAnsiTheme="minorHAnsi" w:cstheme="minorBidi"/>
          <w:noProof/>
          <w:lang w:eastAsia="en-AU"/>
        </w:rPr>
      </w:pPr>
      <w:hyperlink w:anchor="_Toc469927379" w:history="1">
        <w:r w:rsidR="00995626" w:rsidRPr="009A7611">
          <w:rPr>
            <w:rStyle w:val="Hyperlink"/>
            <w:noProof/>
          </w:rPr>
          <w:t>Chart 3.9 : Labour costs as a share of total costs, by FOE</w:t>
        </w:r>
        <w:r w:rsidR="00995626">
          <w:rPr>
            <w:noProof/>
            <w:webHidden/>
          </w:rPr>
          <w:tab/>
        </w:r>
        <w:r w:rsidR="00995626">
          <w:rPr>
            <w:noProof/>
            <w:webHidden/>
          </w:rPr>
          <w:fldChar w:fldCharType="begin"/>
        </w:r>
        <w:r w:rsidR="00995626">
          <w:rPr>
            <w:noProof/>
            <w:webHidden/>
          </w:rPr>
          <w:instrText xml:space="preserve"> PAGEREF _Toc469927379 \h </w:instrText>
        </w:r>
        <w:r w:rsidR="00995626">
          <w:rPr>
            <w:noProof/>
            <w:webHidden/>
          </w:rPr>
        </w:r>
        <w:r w:rsidR="00995626">
          <w:rPr>
            <w:noProof/>
            <w:webHidden/>
          </w:rPr>
          <w:fldChar w:fldCharType="separate"/>
        </w:r>
        <w:r w:rsidR="00595C6E">
          <w:rPr>
            <w:noProof/>
            <w:webHidden/>
          </w:rPr>
          <w:t>41</w:t>
        </w:r>
        <w:r w:rsidR="00995626">
          <w:rPr>
            <w:noProof/>
            <w:webHidden/>
          </w:rPr>
          <w:fldChar w:fldCharType="end"/>
        </w:r>
      </w:hyperlink>
    </w:p>
    <w:p w14:paraId="1E1BBA95" w14:textId="77777777" w:rsidR="00995626" w:rsidRDefault="00C65E81">
      <w:pPr>
        <w:pStyle w:val="TOC1"/>
        <w:rPr>
          <w:rFonts w:asciiTheme="minorHAnsi" w:eastAsiaTheme="minorEastAsia" w:hAnsiTheme="minorHAnsi" w:cstheme="minorBidi"/>
          <w:noProof/>
          <w:lang w:eastAsia="en-AU"/>
        </w:rPr>
      </w:pPr>
      <w:hyperlink w:anchor="_Toc469927380" w:history="1">
        <w:r w:rsidR="00995626" w:rsidRPr="009A7611">
          <w:rPr>
            <w:rStyle w:val="Hyperlink"/>
            <w:noProof/>
          </w:rPr>
          <w:t>Chart 3.10 : Example mapping cost (via EFTSL) from Colleges to FOEs</w:t>
        </w:r>
        <w:r w:rsidR="00995626">
          <w:rPr>
            <w:noProof/>
            <w:webHidden/>
          </w:rPr>
          <w:tab/>
        </w:r>
        <w:r w:rsidR="00995626">
          <w:rPr>
            <w:noProof/>
            <w:webHidden/>
          </w:rPr>
          <w:fldChar w:fldCharType="begin"/>
        </w:r>
        <w:r w:rsidR="00995626">
          <w:rPr>
            <w:noProof/>
            <w:webHidden/>
          </w:rPr>
          <w:instrText xml:space="preserve"> PAGEREF _Toc469927380 \h </w:instrText>
        </w:r>
        <w:r w:rsidR="00995626">
          <w:rPr>
            <w:noProof/>
            <w:webHidden/>
          </w:rPr>
        </w:r>
        <w:r w:rsidR="00995626">
          <w:rPr>
            <w:noProof/>
            <w:webHidden/>
          </w:rPr>
          <w:fldChar w:fldCharType="separate"/>
        </w:r>
        <w:r w:rsidR="00595C6E">
          <w:rPr>
            <w:noProof/>
            <w:webHidden/>
          </w:rPr>
          <w:t>43</w:t>
        </w:r>
        <w:r w:rsidR="00995626">
          <w:rPr>
            <w:noProof/>
            <w:webHidden/>
          </w:rPr>
          <w:fldChar w:fldCharType="end"/>
        </w:r>
      </w:hyperlink>
    </w:p>
    <w:p w14:paraId="28D1A931" w14:textId="7FCF1836" w:rsidR="00995626" w:rsidRDefault="00C65E81">
      <w:pPr>
        <w:pStyle w:val="TOC1"/>
        <w:rPr>
          <w:rFonts w:asciiTheme="minorHAnsi" w:eastAsiaTheme="minorEastAsia" w:hAnsiTheme="minorHAnsi" w:cstheme="minorBidi"/>
          <w:noProof/>
          <w:lang w:eastAsia="en-AU"/>
        </w:rPr>
      </w:pPr>
      <w:hyperlink w:anchor="_Toc469927381" w:history="1">
        <w:r w:rsidR="00995626" w:rsidRPr="009A7611">
          <w:rPr>
            <w:rStyle w:val="Hyperlink"/>
            <w:noProof/>
          </w:rPr>
          <w:t>Chart 5.1 : The relative effect of cost drivers by variation from the 25</w:t>
        </w:r>
        <w:r w:rsidR="00995626" w:rsidRPr="009A7611">
          <w:rPr>
            <w:rStyle w:val="Hyperlink"/>
            <w:noProof/>
            <w:vertAlign w:val="superscript"/>
          </w:rPr>
          <w:t>th</w:t>
        </w:r>
        <w:r w:rsidR="00995626" w:rsidRPr="009A7611">
          <w:rPr>
            <w:rStyle w:val="Hyperlink"/>
            <w:noProof/>
          </w:rPr>
          <w:t xml:space="preserve"> to 75</w:t>
        </w:r>
        <w:r w:rsidR="00995626" w:rsidRPr="009A7611">
          <w:rPr>
            <w:rStyle w:val="Hyperlink"/>
            <w:noProof/>
            <w:vertAlign w:val="superscript"/>
          </w:rPr>
          <w:t>th</w:t>
        </w:r>
        <w:r w:rsidR="00995626" w:rsidRPr="009A7611">
          <w:rPr>
            <w:rStyle w:val="Hyperlink"/>
            <w:noProof/>
          </w:rPr>
          <w:t xml:space="preserve"> percentile (averaged across all fields of education, OLS model, bachelor level)</w:t>
        </w:r>
        <w:r w:rsidR="00995626">
          <w:rPr>
            <w:noProof/>
            <w:webHidden/>
          </w:rPr>
          <w:tab/>
        </w:r>
        <w:r w:rsidR="00995626">
          <w:rPr>
            <w:noProof/>
            <w:webHidden/>
          </w:rPr>
          <w:fldChar w:fldCharType="begin"/>
        </w:r>
        <w:r w:rsidR="00995626">
          <w:rPr>
            <w:noProof/>
            <w:webHidden/>
          </w:rPr>
          <w:instrText xml:space="preserve"> PAGEREF _Toc469927381 \h </w:instrText>
        </w:r>
        <w:r w:rsidR="00995626">
          <w:rPr>
            <w:noProof/>
            <w:webHidden/>
          </w:rPr>
        </w:r>
        <w:r w:rsidR="00995626">
          <w:rPr>
            <w:noProof/>
            <w:webHidden/>
          </w:rPr>
          <w:fldChar w:fldCharType="separate"/>
        </w:r>
        <w:r w:rsidR="00595C6E">
          <w:rPr>
            <w:noProof/>
            <w:webHidden/>
          </w:rPr>
          <w:t>63</w:t>
        </w:r>
        <w:r w:rsidR="00995626">
          <w:rPr>
            <w:noProof/>
            <w:webHidden/>
          </w:rPr>
          <w:fldChar w:fldCharType="end"/>
        </w:r>
      </w:hyperlink>
    </w:p>
    <w:p w14:paraId="0E548616" w14:textId="46E0DB6F" w:rsidR="00995626" w:rsidRDefault="00C65E81">
      <w:pPr>
        <w:pStyle w:val="TOC1"/>
        <w:rPr>
          <w:rFonts w:asciiTheme="minorHAnsi" w:eastAsiaTheme="minorEastAsia" w:hAnsiTheme="minorHAnsi" w:cstheme="minorBidi"/>
          <w:noProof/>
          <w:lang w:eastAsia="en-AU"/>
        </w:rPr>
      </w:pPr>
      <w:hyperlink w:anchor="_Toc469927382" w:history="1">
        <w:r w:rsidR="00995626" w:rsidRPr="009A7611">
          <w:rPr>
            <w:rStyle w:val="Hyperlink"/>
            <w:noProof/>
          </w:rPr>
          <w:t>Chart 5.2 : Cost estimates - Total cost per EFTSL (bachelor level, 2015)</w:t>
        </w:r>
        <w:r w:rsidR="00995626">
          <w:rPr>
            <w:noProof/>
            <w:webHidden/>
          </w:rPr>
          <w:tab/>
        </w:r>
        <w:r w:rsidR="00995626">
          <w:rPr>
            <w:noProof/>
            <w:webHidden/>
          </w:rPr>
          <w:fldChar w:fldCharType="begin"/>
        </w:r>
        <w:r w:rsidR="00995626">
          <w:rPr>
            <w:noProof/>
            <w:webHidden/>
          </w:rPr>
          <w:instrText xml:space="preserve"> PAGEREF _Toc469927382 \h </w:instrText>
        </w:r>
        <w:r w:rsidR="00995626">
          <w:rPr>
            <w:noProof/>
            <w:webHidden/>
          </w:rPr>
        </w:r>
        <w:r w:rsidR="00995626">
          <w:rPr>
            <w:noProof/>
            <w:webHidden/>
          </w:rPr>
          <w:fldChar w:fldCharType="separate"/>
        </w:r>
        <w:r w:rsidR="00595C6E">
          <w:rPr>
            <w:noProof/>
            <w:webHidden/>
          </w:rPr>
          <w:t>68</w:t>
        </w:r>
        <w:r w:rsidR="00995626">
          <w:rPr>
            <w:noProof/>
            <w:webHidden/>
          </w:rPr>
          <w:fldChar w:fldCharType="end"/>
        </w:r>
      </w:hyperlink>
    </w:p>
    <w:p w14:paraId="5BA89FD4" w14:textId="3B4F0911" w:rsidR="00995626" w:rsidRDefault="00C65E81">
      <w:pPr>
        <w:pStyle w:val="TOC1"/>
        <w:rPr>
          <w:rFonts w:asciiTheme="minorHAnsi" w:eastAsiaTheme="minorEastAsia" w:hAnsiTheme="minorHAnsi" w:cstheme="minorBidi"/>
          <w:noProof/>
          <w:lang w:eastAsia="en-AU"/>
        </w:rPr>
      </w:pPr>
      <w:hyperlink w:anchor="_Toc469927383" w:history="1">
        <w:r w:rsidR="00995626" w:rsidRPr="009A7611">
          <w:rPr>
            <w:rStyle w:val="Hyperlink"/>
            <w:noProof/>
          </w:rPr>
          <w:t>Chart 5.3 : Reasonable cost - Cost drivers vs Field effects by field (bachelor level)</w:t>
        </w:r>
        <w:r w:rsidR="00995626">
          <w:rPr>
            <w:noProof/>
            <w:webHidden/>
          </w:rPr>
          <w:tab/>
        </w:r>
        <w:r w:rsidR="00995626">
          <w:rPr>
            <w:noProof/>
            <w:webHidden/>
          </w:rPr>
          <w:fldChar w:fldCharType="begin"/>
        </w:r>
        <w:r w:rsidR="00995626">
          <w:rPr>
            <w:noProof/>
            <w:webHidden/>
          </w:rPr>
          <w:instrText xml:space="preserve"> PAGEREF _Toc469927383 \h </w:instrText>
        </w:r>
        <w:r w:rsidR="00995626">
          <w:rPr>
            <w:noProof/>
            <w:webHidden/>
          </w:rPr>
        </w:r>
        <w:r w:rsidR="00995626">
          <w:rPr>
            <w:noProof/>
            <w:webHidden/>
          </w:rPr>
          <w:fldChar w:fldCharType="separate"/>
        </w:r>
        <w:r w:rsidR="00595C6E">
          <w:rPr>
            <w:noProof/>
            <w:webHidden/>
          </w:rPr>
          <w:t>70</w:t>
        </w:r>
        <w:r w:rsidR="00995626">
          <w:rPr>
            <w:noProof/>
            <w:webHidden/>
          </w:rPr>
          <w:fldChar w:fldCharType="end"/>
        </w:r>
      </w:hyperlink>
    </w:p>
    <w:p w14:paraId="6F087DCD" w14:textId="621B9F8D" w:rsidR="00995626" w:rsidRDefault="00C65E81">
      <w:pPr>
        <w:pStyle w:val="TOC1"/>
        <w:rPr>
          <w:rFonts w:asciiTheme="minorHAnsi" w:eastAsiaTheme="minorEastAsia" w:hAnsiTheme="minorHAnsi" w:cstheme="minorBidi"/>
          <w:noProof/>
          <w:lang w:eastAsia="en-AU"/>
        </w:rPr>
      </w:pPr>
      <w:hyperlink w:anchor="_Toc469927384" w:history="1">
        <w:r w:rsidR="00995626" w:rsidRPr="009A7611">
          <w:rPr>
            <w:rStyle w:val="Hyperlink"/>
            <w:noProof/>
          </w:rPr>
          <w:t>Chart 5.4 : Cost estimates - Total cost per EFTSL (Management and Commerce, bachelor level, 2015)</w:t>
        </w:r>
        <w:r w:rsidR="00995626">
          <w:rPr>
            <w:noProof/>
            <w:webHidden/>
          </w:rPr>
          <w:tab/>
        </w:r>
        <w:r w:rsidR="00995626">
          <w:rPr>
            <w:noProof/>
            <w:webHidden/>
          </w:rPr>
          <w:tab/>
        </w:r>
        <w:r w:rsidR="00995626">
          <w:rPr>
            <w:noProof/>
            <w:webHidden/>
          </w:rPr>
          <w:fldChar w:fldCharType="begin"/>
        </w:r>
        <w:r w:rsidR="00995626">
          <w:rPr>
            <w:noProof/>
            <w:webHidden/>
          </w:rPr>
          <w:instrText xml:space="preserve"> PAGEREF _Toc469927384 \h </w:instrText>
        </w:r>
        <w:r w:rsidR="00995626">
          <w:rPr>
            <w:noProof/>
            <w:webHidden/>
          </w:rPr>
        </w:r>
        <w:r w:rsidR="00995626">
          <w:rPr>
            <w:noProof/>
            <w:webHidden/>
          </w:rPr>
          <w:fldChar w:fldCharType="separate"/>
        </w:r>
        <w:r w:rsidR="00595C6E">
          <w:rPr>
            <w:noProof/>
            <w:webHidden/>
          </w:rPr>
          <w:t>71</w:t>
        </w:r>
        <w:r w:rsidR="00995626">
          <w:rPr>
            <w:noProof/>
            <w:webHidden/>
          </w:rPr>
          <w:fldChar w:fldCharType="end"/>
        </w:r>
      </w:hyperlink>
    </w:p>
    <w:p w14:paraId="33CF0FFE" w14:textId="58C4BDE9" w:rsidR="00995626" w:rsidRDefault="00C65E81">
      <w:pPr>
        <w:pStyle w:val="TOC1"/>
        <w:rPr>
          <w:rFonts w:asciiTheme="minorHAnsi" w:eastAsiaTheme="minorEastAsia" w:hAnsiTheme="minorHAnsi" w:cstheme="minorBidi"/>
          <w:noProof/>
          <w:lang w:eastAsia="en-AU"/>
        </w:rPr>
      </w:pPr>
      <w:hyperlink w:anchor="_Toc469927385" w:history="1">
        <w:r w:rsidR="00995626" w:rsidRPr="009A7611">
          <w:rPr>
            <w:rStyle w:val="Hyperlink"/>
            <w:noProof/>
          </w:rPr>
          <w:t>Chart 6.1 : Higher education funding by benchmark countries</w:t>
        </w:r>
        <w:r w:rsidR="00995626">
          <w:rPr>
            <w:noProof/>
            <w:webHidden/>
          </w:rPr>
          <w:tab/>
        </w:r>
        <w:r w:rsidR="00995626">
          <w:rPr>
            <w:noProof/>
            <w:webHidden/>
          </w:rPr>
          <w:fldChar w:fldCharType="begin"/>
        </w:r>
        <w:r w:rsidR="00995626">
          <w:rPr>
            <w:noProof/>
            <w:webHidden/>
          </w:rPr>
          <w:instrText xml:space="preserve"> PAGEREF _Toc469927385 \h </w:instrText>
        </w:r>
        <w:r w:rsidR="00995626">
          <w:rPr>
            <w:noProof/>
            <w:webHidden/>
          </w:rPr>
        </w:r>
        <w:r w:rsidR="00995626">
          <w:rPr>
            <w:noProof/>
            <w:webHidden/>
          </w:rPr>
          <w:fldChar w:fldCharType="separate"/>
        </w:r>
        <w:r w:rsidR="00595C6E">
          <w:rPr>
            <w:noProof/>
            <w:webHidden/>
          </w:rPr>
          <w:t>76</w:t>
        </w:r>
        <w:r w:rsidR="00995626">
          <w:rPr>
            <w:noProof/>
            <w:webHidden/>
          </w:rPr>
          <w:fldChar w:fldCharType="end"/>
        </w:r>
      </w:hyperlink>
    </w:p>
    <w:p w14:paraId="29A55A1E" w14:textId="0EB67DBF" w:rsidR="00995626" w:rsidRDefault="00C65E81">
      <w:pPr>
        <w:pStyle w:val="TOC1"/>
        <w:rPr>
          <w:rFonts w:asciiTheme="minorHAnsi" w:eastAsiaTheme="minorEastAsia" w:hAnsiTheme="minorHAnsi" w:cstheme="minorBidi"/>
          <w:noProof/>
          <w:lang w:eastAsia="en-AU"/>
        </w:rPr>
      </w:pPr>
      <w:hyperlink w:anchor="_Toc469927386" w:history="1">
        <w:r w:rsidR="00995626" w:rsidRPr="009A7611">
          <w:rPr>
            <w:rStyle w:val="Hyperlink"/>
            <w:noProof/>
          </w:rPr>
          <w:t>Chart 6.2 : Average teaching and scholarship costs by field of education (Cost of Management and Commerce = 1)</w:t>
        </w:r>
        <w:r w:rsidR="00995626">
          <w:rPr>
            <w:noProof/>
            <w:webHidden/>
          </w:rPr>
          <w:tab/>
        </w:r>
        <w:r w:rsidR="00995626">
          <w:rPr>
            <w:noProof/>
            <w:webHidden/>
          </w:rPr>
          <w:fldChar w:fldCharType="begin"/>
        </w:r>
        <w:r w:rsidR="00995626">
          <w:rPr>
            <w:noProof/>
            <w:webHidden/>
          </w:rPr>
          <w:instrText xml:space="preserve"> PAGEREF _Toc469927386 \h </w:instrText>
        </w:r>
        <w:r w:rsidR="00995626">
          <w:rPr>
            <w:noProof/>
            <w:webHidden/>
          </w:rPr>
        </w:r>
        <w:r w:rsidR="00995626">
          <w:rPr>
            <w:noProof/>
            <w:webHidden/>
          </w:rPr>
          <w:fldChar w:fldCharType="separate"/>
        </w:r>
        <w:r w:rsidR="00595C6E">
          <w:rPr>
            <w:noProof/>
            <w:webHidden/>
          </w:rPr>
          <w:t>82</w:t>
        </w:r>
        <w:r w:rsidR="00995626">
          <w:rPr>
            <w:noProof/>
            <w:webHidden/>
          </w:rPr>
          <w:fldChar w:fldCharType="end"/>
        </w:r>
      </w:hyperlink>
    </w:p>
    <w:p w14:paraId="477EF861" w14:textId="0A02C3A9" w:rsidR="00995626" w:rsidRDefault="00C65E81">
      <w:pPr>
        <w:pStyle w:val="TOC1"/>
        <w:rPr>
          <w:rFonts w:asciiTheme="minorHAnsi" w:eastAsiaTheme="minorEastAsia" w:hAnsiTheme="minorHAnsi" w:cstheme="minorBidi"/>
          <w:noProof/>
          <w:lang w:eastAsia="en-AU"/>
        </w:rPr>
      </w:pPr>
      <w:hyperlink w:anchor="_Toc469927387" w:history="1">
        <w:r w:rsidR="00995626" w:rsidRPr="009A7611">
          <w:rPr>
            <w:rStyle w:val="Hyperlink"/>
            <w:noProof/>
          </w:rPr>
          <w:t xml:space="preserve">Chart 6.3 : Average teaching and scholarship costs by field of education (Cost of Management and Commerce </w:t>
        </w:r>
        <w:r w:rsidR="00995626" w:rsidRPr="009A7611">
          <w:rPr>
            <w:rStyle w:val="Hyperlink"/>
            <w:i/>
            <w:noProof/>
          </w:rPr>
          <w:t>undergraduate</w:t>
        </w:r>
        <w:r w:rsidR="00995626" w:rsidRPr="009A7611">
          <w:rPr>
            <w:rStyle w:val="Hyperlink"/>
            <w:noProof/>
          </w:rPr>
          <w:t xml:space="preserve"> = 1)</w:t>
        </w:r>
        <w:r w:rsidR="00995626">
          <w:rPr>
            <w:noProof/>
            <w:webHidden/>
          </w:rPr>
          <w:tab/>
        </w:r>
        <w:r w:rsidR="00995626">
          <w:rPr>
            <w:noProof/>
            <w:webHidden/>
          </w:rPr>
          <w:fldChar w:fldCharType="begin"/>
        </w:r>
        <w:r w:rsidR="00995626">
          <w:rPr>
            <w:noProof/>
            <w:webHidden/>
          </w:rPr>
          <w:instrText xml:space="preserve"> PAGEREF _Toc469927387 \h </w:instrText>
        </w:r>
        <w:r w:rsidR="00995626">
          <w:rPr>
            <w:noProof/>
            <w:webHidden/>
          </w:rPr>
        </w:r>
        <w:r w:rsidR="00995626">
          <w:rPr>
            <w:noProof/>
            <w:webHidden/>
          </w:rPr>
          <w:fldChar w:fldCharType="separate"/>
        </w:r>
        <w:r w:rsidR="00595C6E">
          <w:rPr>
            <w:noProof/>
            <w:webHidden/>
          </w:rPr>
          <w:t>84</w:t>
        </w:r>
        <w:r w:rsidR="00995626">
          <w:rPr>
            <w:noProof/>
            <w:webHidden/>
          </w:rPr>
          <w:fldChar w:fldCharType="end"/>
        </w:r>
      </w:hyperlink>
    </w:p>
    <w:p w14:paraId="6D0B8604" w14:textId="2718D182" w:rsidR="00995626" w:rsidRDefault="00C65E81">
      <w:pPr>
        <w:pStyle w:val="TOC1"/>
        <w:rPr>
          <w:rFonts w:asciiTheme="minorHAnsi" w:eastAsiaTheme="minorEastAsia" w:hAnsiTheme="minorHAnsi" w:cstheme="minorBidi"/>
          <w:noProof/>
          <w:lang w:eastAsia="en-AU"/>
        </w:rPr>
      </w:pPr>
      <w:hyperlink w:anchor="_Toc469927388" w:history="1">
        <w:r w:rsidR="00995626" w:rsidRPr="009A7611">
          <w:rPr>
            <w:rStyle w:val="Hyperlink"/>
            <w:noProof/>
          </w:rPr>
          <w:t>Chart 6.4 : Average costs by funding cluster (Cost of Funding Cluster 1 = 100%)</w:t>
        </w:r>
        <w:r w:rsidR="00995626">
          <w:rPr>
            <w:noProof/>
            <w:webHidden/>
          </w:rPr>
          <w:tab/>
        </w:r>
        <w:r w:rsidR="00995626">
          <w:rPr>
            <w:noProof/>
            <w:webHidden/>
          </w:rPr>
          <w:fldChar w:fldCharType="begin"/>
        </w:r>
        <w:r w:rsidR="00995626">
          <w:rPr>
            <w:noProof/>
            <w:webHidden/>
          </w:rPr>
          <w:instrText xml:space="preserve"> PAGEREF _Toc469927388 \h </w:instrText>
        </w:r>
        <w:r w:rsidR="00995626">
          <w:rPr>
            <w:noProof/>
            <w:webHidden/>
          </w:rPr>
        </w:r>
        <w:r w:rsidR="00995626">
          <w:rPr>
            <w:noProof/>
            <w:webHidden/>
          </w:rPr>
          <w:fldChar w:fldCharType="separate"/>
        </w:r>
        <w:r w:rsidR="00595C6E">
          <w:rPr>
            <w:noProof/>
            <w:webHidden/>
          </w:rPr>
          <w:t>85</w:t>
        </w:r>
        <w:r w:rsidR="00995626">
          <w:rPr>
            <w:noProof/>
            <w:webHidden/>
          </w:rPr>
          <w:fldChar w:fldCharType="end"/>
        </w:r>
      </w:hyperlink>
    </w:p>
    <w:p w14:paraId="6E212D0E" w14:textId="7E2A3B05" w:rsidR="00995626" w:rsidRDefault="00C65E81">
      <w:pPr>
        <w:pStyle w:val="TOC1"/>
        <w:rPr>
          <w:rFonts w:asciiTheme="minorHAnsi" w:eastAsiaTheme="minorEastAsia" w:hAnsiTheme="minorHAnsi" w:cstheme="minorBidi"/>
          <w:noProof/>
          <w:lang w:eastAsia="en-AU"/>
        </w:rPr>
      </w:pPr>
      <w:hyperlink w:anchor="_Toc469927389" w:history="1">
        <w:r w:rsidR="00995626" w:rsidRPr="009A7611">
          <w:rPr>
            <w:rStyle w:val="Hyperlink"/>
            <w:noProof/>
          </w:rPr>
          <w:t>Chart A.1 : DEA result visualisation by field, benchmark model</w:t>
        </w:r>
        <w:r w:rsidR="00995626">
          <w:rPr>
            <w:noProof/>
            <w:webHidden/>
          </w:rPr>
          <w:tab/>
        </w:r>
        <w:r w:rsidR="00995626">
          <w:rPr>
            <w:noProof/>
            <w:webHidden/>
          </w:rPr>
          <w:fldChar w:fldCharType="begin"/>
        </w:r>
        <w:r w:rsidR="00995626">
          <w:rPr>
            <w:noProof/>
            <w:webHidden/>
          </w:rPr>
          <w:instrText xml:space="preserve"> PAGEREF _Toc469927389 \h </w:instrText>
        </w:r>
        <w:r w:rsidR="00995626">
          <w:rPr>
            <w:noProof/>
            <w:webHidden/>
          </w:rPr>
        </w:r>
        <w:r w:rsidR="00995626">
          <w:rPr>
            <w:noProof/>
            <w:webHidden/>
          </w:rPr>
          <w:fldChar w:fldCharType="separate"/>
        </w:r>
        <w:r w:rsidR="00595C6E">
          <w:rPr>
            <w:noProof/>
            <w:webHidden/>
          </w:rPr>
          <w:t>98</w:t>
        </w:r>
        <w:r w:rsidR="00995626">
          <w:rPr>
            <w:noProof/>
            <w:webHidden/>
          </w:rPr>
          <w:fldChar w:fldCharType="end"/>
        </w:r>
      </w:hyperlink>
    </w:p>
    <w:p w14:paraId="09CA579E" w14:textId="35272401" w:rsidR="00995626" w:rsidRDefault="00C65E81">
      <w:pPr>
        <w:pStyle w:val="TOC1"/>
        <w:rPr>
          <w:rFonts w:asciiTheme="minorHAnsi" w:eastAsiaTheme="minorEastAsia" w:hAnsiTheme="minorHAnsi" w:cstheme="minorBidi"/>
          <w:noProof/>
          <w:lang w:eastAsia="en-AU"/>
        </w:rPr>
      </w:pPr>
      <w:hyperlink w:anchor="_Toc469927390" w:history="1">
        <w:r w:rsidR="00995626" w:rsidRPr="009A7611">
          <w:rPr>
            <w:rStyle w:val="Hyperlink"/>
            <w:noProof/>
          </w:rPr>
          <w:t>Chart A.2 : Scatter plot of Cost per EFTSL and SESCEQ by FOEs</w:t>
        </w:r>
        <w:r w:rsidR="00995626">
          <w:rPr>
            <w:noProof/>
            <w:webHidden/>
          </w:rPr>
          <w:tab/>
        </w:r>
        <w:r w:rsidR="00995626">
          <w:rPr>
            <w:noProof/>
            <w:webHidden/>
          </w:rPr>
          <w:fldChar w:fldCharType="begin"/>
        </w:r>
        <w:r w:rsidR="00995626">
          <w:rPr>
            <w:noProof/>
            <w:webHidden/>
          </w:rPr>
          <w:instrText xml:space="preserve"> PAGEREF _Toc469927390 \h </w:instrText>
        </w:r>
        <w:r w:rsidR="00995626">
          <w:rPr>
            <w:noProof/>
            <w:webHidden/>
          </w:rPr>
        </w:r>
        <w:r w:rsidR="00995626">
          <w:rPr>
            <w:noProof/>
            <w:webHidden/>
          </w:rPr>
          <w:fldChar w:fldCharType="separate"/>
        </w:r>
        <w:r w:rsidR="00595C6E">
          <w:rPr>
            <w:noProof/>
            <w:webHidden/>
          </w:rPr>
          <w:t>99</w:t>
        </w:r>
        <w:r w:rsidR="00995626">
          <w:rPr>
            <w:noProof/>
            <w:webHidden/>
          </w:rPr>
          <w:fldChar w:fldCharType="end"/>
        </w:r>
      </w:hyperlink>
    </w:p>
    <w:p w14:paraId="329000AC" w14:textId="399D1780" w:rsidR="00995626" w:rsidRDefault="00C65E81">
      <w:pPr>
        <w:pStyle w:val="TOC1"/>
        <w:rPr>
          <w:rFonts w:asciiTheme="minorHAnsi" w:eastAsiaTheme="minorEastAsia" w:hAnsiTheme="minorHAnsi" w:cstheme="minorBidi"/>
          <w:noProof/>
          <w:lang w:eastAsia="en-AU"/>
        </w:rPr>
      </w:pPr>
      <w:hyperlink w:anchor="_Toc469927391" w:history="1">
        <w:r w:rsidR="00995626" w:rsidRPr="009A7611">
          <w:rPr>
            <w:rStyle w:val="Hyperlink"/>
            <w:noProof/>
          </w:rPr>
          <w:t>Chart A.3 : DEA result visualisation by field using SESCEQ as output</w:t>
        </w:r>
        <w:r w:rsidR="00995626">
          <w:rPr>
            <w:noProof/>
            <w:webHidden/>
          </w:rPr>
          <w:tab/>
        </w:r>
        <w:r w:rsidR="00995626">
          <w:rPr>
            <w:noProof/>
            <w:webHidden/>
          </w:rPr>
          <w:fldChar w:fldCharType="begin"/>
        </w:r>
        <w:r w:rsidR="00995626">
          <w:rPr>
            <w:noProof/>
            <w:webHidden/>
          </w:rPr>
          <w:instrText xml:space="preserve"> PAGEREF _Toc469927391 \h </w:instrText>
        </w:r>
        <w:r w:rsidR="00995626">
          <w:rPr>
            <w:noProof/>
            <w:webHidden/>
          </w:rPr>
        </w:r>
        <w:r w:rsidR="00995626">
          <w:rPr>
            <w:noProof/>
            <w:webHidden/>
          </w:rPr>
          <w:fldChar w:fldCharType="separate"/>
        </w:r>
        <w:r w:rsidR="00595C6E">
          <w:rPr>
            <w:noProof/>
            <w:webHidden/>
          </w:rPr>
          <w:t>100</w:t>
        </w:r>
        <w:r w:rsidR="00995626">
          <w:rPr>
            <w:noProof/>
            <w:webHidden/>
          </w:rPr>
          <w:fldChar w:fldCharType="end"/>
        </w:r>
      </w:hyperlink>
    </w:p>
    <w:p w14:paraId="39E08A70" w14:textId="77777777" w:rsidR="00F41CBD" w:rsidRPr="00A65BA3" w:rsidRDefault="00F41CBD" w:rsidP="00F41CBD">
      <w:pPr>
        <w:pStyle w:val="Contents-Minor"/>
      </w:pPr>
      <w:r w:rsidRPr="00A65BA3">
        <w:rPr>
          <w:rFonts w:cs="Arial"/>
          <w:sz w:val="24"/>
          <w:szCs w:val="20"/>
        </w:rPr>
        <w:fldChar w:fldCharType="end"/>
      </w:r>
      <w:r w:rsidRPr="00A65BA3">
        <w:t>Tables</w:t>
      </w:r>
    </w:p>
    <w:p w14:paraId="20EF6230" w14:textId="77777777" w:rsidR="00995626" w:rsidRDefault="00F41CBD">
      <w:pPr>
        <w:pStyle w:val="TOC1"/>
        <w:rPr>
          <w:rFonts w:asciiTheme="minorHAnsi" w:eastAsiaTheme="minorEastAsia" w:hAnsiTheme="minorHAnsi" w:cstheme="minorBidi"/>
          <w:noProof/>
          <w:lang w:eastAsia="en-AU"/>
        </w:rPr>
      </w:pPr>
      <w:r w:rsidRPr="00A65BA3">
        <w:rPr>
          <w:rFonts w:cs="Times New Roman"/>
          <w:sz w:val="24"/>
          <w:szCs w:val="20"/>
        </w:rPr>
        <w:fldChar w:fldCharType="begin"/>
      </w:r>
      <w:r w:rsidRPr="00A65BA3">
        <w:rPr>
          <w:sz w:val="24"/>
          <w:szCs w:val="20"/>
        </w:rPr>
        <w:instrText xml:space="preserve"> TOC \h \z \t "Appendix Table Caption,1,Caption_Table,1" </w:instrText>
      </w:r>
      <w:r w:rsidRPr="00A65BA3">
        <w:rPr>
          <w:rFonts w:cs="Times New Roman"/>
          <w:sz w:val="24"/>
          <w:szCs w:val="20"/>
        </w:rPr>
        <w:fldChar w:fldCharType="separate"/>
      </w:r>
      <w:hyperlink w:anchor="_Toc469927392" w:history="1">
        <w:r w:rsidR="00995626" w:rsidRPr="00776A6D">
          <w:rPr>
            <w:rStyle w:val="Hyperlink"/>
            <w:noProof/>
          </w:rPr>
          <w:t>Table 2.1 : The participant subset of Australian universities</w:t>
        </w:r>
        <w:r w:rsidR="00995626">
          <w:rPr>
            <w:noProof/>
            <w:webHidden/>
          </w:rPr>
          <w:tab/>
        </w:r>
        <w:r w:rsidR="00995626">
          <w:rPr>
            <w:noProof/>
            <w:webHidden/>
          </w:rPr>
          <w:fldChar w:fldCharType="begin"/>
        </w:r>
        <w:r w:rsidR="00995626">
          <w:rPr>
            <w:noProof/>
            <w:webHidden/>
          </w:rPr>
          <w:instrText xml:space="preserve"> PAGEREF _Toc469927392 \h </w:instrText>
        </w:r>
        <w:r w:rsidR="00995626">
          <w:rPr>
            <w:noProof/>
            <w:webHidden/>
          </w:rPr>
        </w:r>
        <w:r w:rsidR="00995626">
          <w:rPr>
            <w:noProof/>
            <w:webHidden/>
          </w:rPr>
          <w:fldChar w:fldCharType="separate"/>
        </w:r>
        <w:r w:rsidR="00595C6E">
          <w:rPr>
            <w:noProof/>
            <w:webHidden/>
          </w:rPr>
          <w:t>24</w:t>
        </w:r>
        <w:r w:rsidR="00995626">
          <w:rPr>
            <w:noProof/>
            <w:webHidden/>
          </w:rPr>
          <w:fldChar w:fldCharType="end"/>
        </w:r>
      </w:hyperlink>
    </w:p>
    <w:p w14:paraId="1A969D09" w14:textId="77777777" w:rsidR="00995626" w:rsidRDefault="00C65E81">
      <w:pPr>
        <w:pStyle w:val="TOC1"/>
        <w:rPr>
          <w:rFonts w:asciiTheme="minorHAnsi" w:eastAsiaTheme="minorEastAsia" w:hAnsiTheme="minorHAnsi" w:cstheme="minorBidi"/>
          <w:noProof/>
          <w:lang w:eastAsia="en-AU"/>
        </w:rPr>
      </w:pPr>
      <w:hyperlink w:anchor="_Toc469927393" w:history="1">
        <w:r w:rsidR="00995626" w:rsidRPr="00776A6D">
          <w:rPr>
            <w:rStyle w:val="Hyperlink"/>
            <w:noProof/>
          </w:rPr>
          <w:t>Table 3.1 : FOE-weighted average costs per EFTSL</w:t>
        </w:r>
        <w:r w:rsidR="00995626">
          <w:rPr>
            <w:noProof/>
            <w:webHidden/>
          </w:rPr>
          <w:tab/>
        </w:r>
        <w:r w:rsidR="00995626">
          <w:rPr>
            <w:noProof/>
            <w:webHidden/>
          </w:rPr>
          <w:fldChar w:fldCharType="begin"/>
        </w:r>
        <w:r w:rsidR="00995626">
          <w:rPr>
            <w:noProof/>
            <w:webHidden/>
          </w:rPr>
          <w:instrText xml:space="preserve"> PAGEREF _Toc469927393 \h </w:instrText>
        </w:r>
        <w:r w:rsidR="00995626">
          <w:rPr>
            <w:noProof/>
            <w:webHidden/>
          </w:rPr>
        </w:r>
        <w:r w:rsidR="00995626">
          <w:rPr>
            <w:noProof/>
            <w:webHidden/>
          </w:rPr>
          <w:fldChar w:fldCharType="separate"/>
        </w:r>
        <w:r w:rsidR="00595C6E">
          <w:rPr>
            <w:noProof/>
            <w:webHidden/>
          </w:rPr>
          <w:t>36</w:t>
        </w:r>
        <w:r w:rsidR="00995626">
          <w:rPr>
            <w:noProof/>
            <w:webHidden/>
          </w:rPr>
          <w:fldChar w:fldCharType="end"/>
        </w:r>
      </w:hyperlink>
    </w:p>
    <w:p w14:paraId="1F1334B1" w14:textId="50372568" w:rsidR="00995626" w:rsidRDefault="00C65E81">
      <w:pPr>
        <w:pStyle w:val="TOC1"/>
        <w:rPr>
          <w:rFonts w:asciiTheme="minorHAnsi" w:eastAsiaTheme="minorEastAsia" w:hAnsiTheme="minorHAnsi" w:cstheme="minorBidi"/>
          <w:noProof/>
          <w:lang w:eastAsia="en-AU"/>
        </w:rPr>
      </w:pPr>
      <w:hyperlink w:anchor="_Toc469927394" w:history="1">
        <w:r w:rsidR="00995626" w:rsidRPr="00776A6D">
          <w:rPr>
            <w:rStyle w:val="Hyperlink"/>
            <w:noProof/>
          </w:rPr>
          <w:t>Table 4.1 : Potential cost drivers</w:t>
        </w:r>
        <w:r w:rsidR="00995626">
          <w:rPr>
            <w:noProof/>
            <w:webHidden/>
          </w:rPr>
          <w:tab/>
        </w:r>
        <w:r w:rsidR="00995626">
          <w:rPr>
            <w:noProof/>
            <w:webHidden/>
          </w:rPr>
          <w:fldChar w:fldCharType="begin"/>
        </w:r>
        <w:r w:rsidR="00995626">
          <w:rPr>
            <w:noProof/>
            <w:webHidden/>
          </w:rPr>
          <w:instrText xml:space="preserve"> PAGEREF _Toc469927394 \h </w:instrText>
        </w:r>
        <w:r w:rsidR="00995626">
          <w:rPr>
            <w:noProof/>
            <w:webHidden/>
          </w:rPr>
        </w:r>
        <w:r w:rsidR="00995626">
          <w:rPr>
            <w:noProof/>
            <w:webHidden/>
          </w:rPr>
          <w:fldChar w:fldCharType="separate"/>
        </w:r>
        <w:r w:rsidR="00595C6E">
          <w:rPr>
            <w:noProof/>
            <w:webHidden/>
          </w:rPr>
          <w:t>51</w:t>
        </w:r>
        <w:r w:rsidR="00995626">
          <w:rPr>
            <w:noProof/>
            <w:webHidden/>
          </w:rPr>
          <w:fldChar w:fldCharType="end"/>
        </w:r>
      </w:hyperlink>
    </w:p>
    <w:p w14:paraId="3ED93CA6" w14:textId="6EA2E902" w:rsidR="00995626" w:rsidRDefault="00C65E81">
      <w:pPr>
        <w:pStyle w:val="TOC1"/>
        <w:rPr>
          <w:rFonts w:asciiTheme="minorHAnsi" w:eastAsiaTheme="minorEastAsia" w:hAnsiTheme="minorHAnsi" w:cstheme="minorBidi"/>
          <w:noProof/>
          <w:lang w:eastAsia="en-AU"/>
        </w:rPr>
      </w:pPr>
      <w:hyperlink w:anchor="_Toc469927395" w:history="1">
        <w:r w:rsidR="00995626" w:rsidRPr="00776A6D">
          <w:rPr>
            <w:rStyle w:val="Hyperlink"/>
            <w:noProof/>
          </w:rPr>
          <w:t>Table 5.1 : Fixed effects results: Total cost per EFTSL (bachelor level)</w:t>
        </w:r>
        <w:r w:rsidR="00995626">
          <w:rPr>
            <w:noProof/>
            <w:webHidden/>
          </w:rPr>
          <w:tab/>
        </w:r>
        <w:r w:rsidR="00995626">
          <w:rPr>
            <w:noProof/>
            <w:webHidden/>
          </w:rPr>
          <w:fldChar w:fldCharType="begin"/>
        </w:r>
        <w:r w:rsidR="00995626">
          <w:rPr>
            <w:noProof/>
            <w:webHidden/>
          </w:rPr>
          <w:instrText xml:space="preserve"> PAGEREF _Toc469927395 \h </w:instrText>
        </w:r>
        <w:r w:rsidR="00995626">
          <w:rPr>
            <w:noProof/>
            <w:webHidden/>
          </w:rPr>
        </w:r>
        <w:r w:rsidR="00995626">
          <w:rPr>
            <w:noProof/>
            <w:webHidden/>
          </w:rPr>
          <w:fldChar w:fldCharType="separate"/>
        </w:r>
        <w:r w:rsidR="00595C6E">
          <w:rPr>
            <w:noProof/>
            <w:webHidden/>
          </w:rPr>
          <w:t>58</w:t>
        </w:r>
        <w:r w:rsidR="00995626">
          <w:rPr>
            <w:noProof/>
            <w:webHidden/>
          </w:rPr>
          <w:fldChar w:fldCharType="end"/>
        </w:r>
      </w:hyperlink>
    </w:p>
    <w:p w14:paraId="2EF877AF" w14:textId="7AD1F6F2" w:rsidR="00995626" w:rsidRDefault="00C65E81">
      <w:pPr>
        <w:pStyle w:val="TOC1"/>
        <w:rPr>
          <w:rFonts w:asciiTheme="minorHAnsi" w:eastAsiaTheme="minorEastAsia" w:hAnsiTheme="minorHAnsi" w:cstheme="minorBidi"/>
          <w:noProof/>
          <w:lang w:eastAsia="en-AU"/>
        </w:rPr>
      </w:pPr>
      <w:hyperlink w:anchor="_Toc469927396" w:history="1">
        <w:r w:rsidR="00995626" w:rsidRPr="00776A6D">
          <w:rPr>
            <w:rStyle w:val="Hyperlink"/>
            <w:noProof/>
          </w:rPr>
          <w:t>Table 5.2 : Descriptive statistics: Cost drivers by RUN status (bachelor level)</w:t>
        </w:r>
        <w:r w:rsidR="00995626">
          <w:rPr>
            <w:noProof/>
            <w:webHidden/>
          </w:rPr>
          <w:tab/>
        </w:r>
        <w:r w:rsidR="00995626">
          <w:rPr>
            <w:noProof/>
            <w:webHidden/>
          </w:rPr>
          <w:fldChar w:fldCharType="begin"/>
        </w:r>
        <w:r w:rsidR="00995626">
          <w:rPr>
            <w:noProof/>
            <w:webHidden/>
          </w:rPr>
          <w:instrText xml:space="preserve"> PAGEREF _Toc469927396 \h </w:instrText>
        </w:r>
        <w:r w:rsidR="00995626">
          <w:rPr>
            <w:noProof/>
            <w:webHidden/>
          </w:rPr>
        </w:r>
        <w:r w:rsidR="00995626">
          <w:rPr>
            <w:noProof/>
            <w:webHidden/>
          </w:rPr>
          <w:fldChar w:fldCharType="separate"/>
        </w:r>
        <w:r w:rsidR="00595C6E">
          <w:rPr>
            <w:noProof/>
            <w:webHidden/>
          </w:rPr>
          <w:t>61</w:t>
        </w:r>
        <w:r w:rsidR="00995626">
          <w:rPr>
            <w:noProof/>
            <w:webHidden/>
          </w:rPr>
          <w:fldChar w:fldCharType="end"/>
        </w:r>
      </w:hyperlink>
    </w:p>
    <w:p w14:paraId="0D144414" w14:textId="63FBA09E" w:rsidR="00995626" w:rsidRDefault="00C65E81">
      <w:pPr>
        <w:pStyle w:val="TOC1"/>
        <w:rPr>
          <w:rFonts w:asciiTheme="minorHAnsi" w:eastAsiaTheme="minorEastAsia" w:hAnsiTheme="minorHAnsi" w:cstheme="minorBidi"/>
          <w:noProof/>
          <w:lang w:eastAsia="en-AU"/>
        </w:rPr>
      </w:pPr>
      <w:hyperlink w:anchor="_Toc469927397" w:history="1">
        <w:r w:rsidR="00995626" w:rsidRPr="00776A6D">
          <w:rPr>
            <w:rStyle w:val="Hyperlink"/>
            <w:noProof/>
          </w:rPr>
          <w:t>Table 5.3 : OLS results: Total cost per EFTSL (bachelor level)</w:t>
        </w:r>
        <w:r w:rsidR="00995626">
          <w:rPr>
            <w:noProof/>
            <w:webHidden/>
          </w:rPr>
          <w:tab/>
        </w:r>
        <w:r w:rsidR="00995626">
          <w:rPr>
            <w:noProof/>
            <w:webHidden/>
          </w:rPr>
          <w:fldChar w:fldCharType="begin"/>
        </w:r>
        <w:r w:rsidR="00995626">
          <w:rPr>
            <w:noProof/>
            <w:webHidden/>
          </w:rPr>
          <w:instrText xml:space="preserve"> PAGEREF _Toc469927397 \h </w:instrText>
        </w:r>
        <w:r w:rsidR="00995626">
          <w:rPr>
            <w:noProof/>
            <w:webHidden/>
          </w:rPr>
        </w:r>
        <w:r w:rsidR="00995626">
          <w:rPr>
            <w:noProof/>
            <w:webHidden/>
          </w:rPr>
          <w:fldChar w:fldCharType="separate"/>
        </w:r>
        <w:r w:rsidR="00595C6E">
          <w:rPr>
            <w:noProof/>
            <w:webHidden/>
          </w:rPr>
          <w:t>62</w:t>
        </w:r>
        <w:r w:rsidR="00995626">
          <w:rPr>
            <w:noProof/>
            <w:webHidden/>
          </w:rPr>
          <w:fldChar w:fldCharType="end"/>
        </w:r>
      </w:hyperlink>
    </w:p>
    <w:p w14:paraId="5D845C06" w14:textId="474DAD3B" w:rsidR="00995626" w:rsidRDefault="00C65E81">
      <w:pPr>
        <w:pStyle w:val="TOC1"/>
        <w:rPr>
          <w:rFonts w:asciiTheme="minorHAnsi" w:eastAsiaTheme="minorEastAsia" w:hAnsiTheme="minorHAnsi" w:cstheme="minorBidi"/>
          <w:noProof/>
          <w:lang w:eastAsia="en-AU"/>
        </w:rPr>
      </w:pPr>
      <w:hyperlink w:anchor="_Toc469927398" w:history="1">
        <w:r w:rsidR="00995626" w:rsidRPr="00776A6D">
          <w:rPr>
            <w:rStyle w:val="Hyperlink"/>
            <w:noProof/>
          </w:rPr>
          <w:t>Table 5.4 : Descriptive statistics - Cost drivers (bachelor level)</w:t>
        </w:r>
        <w:r w:rsidR="00995626">
          <w:rPr>
            <w:noProof/>
            <w:webHidden/>
          </w:rPr>
          <w:tab/>
        </w:r>
        <w:r w:rsidR="00995626">
          <w:rPr>
            <w:noProof/>
            <w:webHidden/>
          </w:rPr>
          <w:fldChar w:fldCharType="begin"/>
        </w:r>
        <w:r w:rsidR="00995626">
          <w:rPr>
            <w:noProof/>
            <w:webHidden/>
          </w:rPr>
          <w:instrText xml:space="preserve"> PAGEREF _Toc469927398 \h </w:instrText>
        </w:r>
        <w:r w:rsidR="00995626">
          <w:rPr>
            <w:noProof/>
            <w:webHidden/>
          </w:rPr>
        </w:r>
        <w:r w:rsidR="00995626">
          <w:rPr>
            <w:noProof/>
            <w:webHidden/>
          </w:rPr>
          <w:fldChar w:fldCharType="separate"/>
        </w:r>
        <w:r w:rsidR="00595C6E">
          <w:rPr>
            <w:noProof/>
            <w:webHidden/>
          </w:rPr>
          <w:t>64</w:t>
        </w:r>
        <w:r w:rsidR="00995626">
          <w:rPr>
            <w:noProof/>
            <w:webHidden/>
          </w:rPr>
          <w:fldChar w:fldCharType="end"/>
        </w:r>
      </w:hyperlink>
    </w:p>
    <w:p w14:paraId="39CB4B31" w14:textId="09FB967D" w:rsidR="00995626" w:rsidRDefault="00C65E81">
      <w:pPr>
        <w:pStyle w:val="TOC1"/>
        <w:rPr>
          <w:rFonts w:asciiTheme="minorHAnsi" w:eastAsiaTheme="minorEastAsia" w:hAnsiTheme="minorHAnsi" w:cstheme="minorBidi"/>
          <w:noProof/>
          <w:lang w:eastAsia="en-AU"/>
        </w:rPr>
      </w:pPr>
      <w:hyperlink w:anchor="_Toc469927399" w:history="1">
        <w:r w:rsidR="00995626" w:rsidRPr="00776A6D">
          <w:rPr>
            <w:rStyle w:val="Hyperlink"/>
            <w:noProof/>
          </w:rPr>
          <w:t>Table 5.5 : Reasonable vs raw cost by field (bachelor level)</w:t>
        </w:r>
        <w:r w:rsidR="00995626">
          <w:rPr>
            <w:noProof/>
            <w:webHidden/>
          </w:rPr>
          <w:tab/>
        </w:r>
        <w:r w:rsidR="00995626">
          <w:rPr>
            <w:noProof/>
            <w:webHidden/>
          </w:rPr>
          <w:fldChar w:fldCharType="begin"/>
        </w:r>
        <w:r w:rsidR="00995626">
          <w:rPr>
            <w:noProof/>
            <w:webHidden/>
          </w:rPr>
          <w:instrText xml:space="preserve"> PAGEREF _Toc469927399 \h </w:instrText>
        </w:r>
        <w:r w:rsidR="00995626">
          <w:rPr>
            <w:noProof/>
            <w:webHidden/>
          </w:rPr>
        </w:r>
        <w:r w:rsidR="00995626">
          <w:rPr>
            <w:noProof/>
            <w:webHidden/>
          </w:rPr>
          <w:fldChar w:fldCharType="separate"/>
        </w:r>
        <w:r w:rsidR="00595C6E">
          <w:rPr>
            <w:noProof/>
            <w:webHidden/>
          </w:rPr>
          <w:t>69</w:t>
        </w:r>
        <w:r w:rsidR="00995626">
          <w:rPr>
            <w:noProof/>
            <w:webHidden/>
          </w:rPr>
          <w:fldChar w:fldCharType="end"/>
        </w:r>
      </w:hyperlink>
    </w:p>
    <w:p w14:paraId="471057B0" w14:textId="13C8FC06" w:rsidR="00995626" w:rsidRDefault="00C65E81">
      <w:pPr>
        <w:pStyle w:val="TOC1"/>
        <w:rPr>
          <w:rFonts w:asciiTheme="minorHAnsi" w:eastAsiaTheme="minorEastAsia" w:hAnsiTheme="minorHAnsi" w:cstheme="minorBidi"/>
          <w:noProof/>
          <w:lang w:eastAsia="en-AU"/>
        </w:rPr>
      </w:pPr>
      <w:hyperlink w:anchor="_Toc469927400" w:history="1">
        <w:r w:rsidR="00995626" w:rsidRPr="00776A6D">
          <w:rPr>
            <w:rStyle w:val="Hyperlink"/>
            <w:noProof/>
          </w:rPr>
          <w:t>Table 6.1 : Summary of international cost data sources</w:t>
        </w:r>
        <w:r w:rsidR="00995626">
          <w:rPr>
            <w:noProof/>
            <w:webHidden/>
          </w:rPr>
          <w:tab/>
        </w:r>
        <w:r w:rsidR="00995626">
          <w:rPr>
            <w:noProof/>
            <w:webHidden/>
          </w:rPr>
          <w:fldChar w:fldCharType="begin"/>
        </w:r>
        <w:r w:rsidR="00995626">
          <w:rPr>
            <w:noProof/>
            <w:webHidden/>
          </w:rPr>
          <w:instrText xml:space="preserve"> PAGEREF _Toc469927400 \h </w:instrText>
        </w:r>
        <w:r w:rsidR="00995626">
          <w:rPr>
            <w:noProof/>
            <w:webHidden/>
          </w:rPr>
        </w:r>
        <w:r w:rsidR="00995626">
          <w:rPr>
            <w:noProof/>
            <w:webHidden/>
          </w:rPr>
          <w:fldChar w:fldCharType="separate"/>
        </w:r>
        <w:r w:rsidR="00595C6E">
          <w:rPr>
            <w:noProof/>
            <w:webHidden/>
          </w:rPr>
          <w:t>78</w:t>
        </w:r>
        <w:r w:rsidR="00995626">
          <w:rPr>
            <w:noProof/>
            <w:webHidden/>
          </w:rPr>
          <w:fldChar w:fldCharType="end"/>
        </w:r>
      </w:hyperlink>
    </w:p>
    <w:p w14:paraId="5900E050" w14:textId="20793804" w:rsidR="00995626" w:rsidRDefault="00C65E81">
      <w:pPr>
        <w:pStyle w:val="TOC1"/>
        <w:rPr>
          <w:rFonts w:asciiTheme="minorHAnsi" w:eastAsiaTheme="minorEastAsia" w:hAnsiTheme="minorHAnsi" w:cstheme="minorBidi"/>
          <w:noProof/>
          <w:lang w:eastAsia="en-AU"/>
        </w:rPr>
      </w:pPr>
      <w:hyperlink w:anchor="_Toc469927401" w:history="1">
        <w:r w:rsidR="00995626" w:rsidRPr="00776A6D">
          <w:rPr>
            <w:rStyle w:val="Hyperlink"/>
            <w:noProof/>
          </w:rPr>
          <w:t>Table 6.2 : Mapping between HESA and DET clusters</w:t>
        </w:r>
        <w:r w:rsidR="00995626">
          <w:rPr>
            <w:noProof/>
            <w:webHidden/>
          </w:rPr>
          <w:tab/>
        </w:r>
        <w:r w:rsidR="00995626">
          <w:rPr>
            <w:noProof/>
            <w:webHidden/>
          </w:rPr>
          <w:fldChar w:fldCharType="begin"/>
        </w:r>
        <w:r w:rsidR="00995626">
          <w:rPr>
            <w:noProof/>
            <w:webHidden/>
          </w:rPr>
          <w:instrText xml:space="preserve"> PAGEREF _Toc469927401 \h </w:instrText>
        </w:r>
        <w:r w:rsidR="00995626">
          <w:rPr>
            <w:noProof/>
            <w:webHidden/>
          </w:rPr>
        </w:r>
        <w:r w:rsidR="00995626">
          <w:rPr>
            <w:noProof/>
            <w:webHidden/>
          </w:rPr>
          <w:fldChar w:fldCharType="separate"/>
        </w:r>
        <w:r w:rsidR="00595C6E">
          <w:rPr>
            <w:noProof/>
            <w:webHidden/>
          </w:rPr>
          <w:t>79</w:t>
        </w:r>
        <w:r w:rsidR="00995626">
          <w:rPr>
            <w:noProof/>
            <w:webHidden/>
          </w:rPr>
          <w:fldChar w:fldCharType="end"/>
        </w:r>
      </w:hyperlink>
    </w:p>
    <w:p w14:paraId="11AA540D" w14:textId="6566B004" w:rsidR="00995626" w:rsidRDefault="00C65E81">
      <w:pPr>
        <w:pStyle w:val="TOC1"/>
        <w:rPr>
          <w:rFonts w:asciiTheme="minorHAnsi" w:eastAsiaTheme="minorEastAsia" w:hAnsiTheme="minorHAnsi" w:cstheme="minorBidi"/>
          <w:noProof/>
          <w:lang w:eastAsia="en-AU"/>
        </w:rPr>
      </w:pPr>
      <w:hyperlink w:anchor="_Toc469927402" w:history="1">
        <w:r w:rsidR="00995626" w:rsidRPr="00776A6D">
          <w:rPr>
            <w:rStyle w:val="Hyperlink"/>
            <w:noProof/>
          </w:rPr>
          <w:t>Table 6.3 : 2016 Australian funding clusters</w:t>
        </w:r>
        <w:r w:rsidR="00995626">
          <w:rPr>
            <w:noProof/>
            <w:webHidden/>
          </w:rPr>
          <w:tab/>
        </w:r>
        <w:r w:rsidR="00995626">
          <w:rPr>
            <w:noProof/>
            <w:webHidden/>
          </w:rPr>
          <w:fldChar w:fldCharType="begin"/>
        </w:r>
        <w:r w:rsidR="00995626">
          <w:rPr>
            <w:noProof/>
            <w:webHidden/>
          </w:rPr>
          <w:instrText xml:space="preserve"> PAGEREF _Toc469927402 \h </w:instrText>
        </w:r>
        <w:r w:rsidR="00995626">
          <w:rPr>
            <w:noProof/>
            <w:webHidden/>
          </w:rPr>
        </w:r>
        <w:r w:rsidR="00995626">
          <w:rPr>
            <w:noProof/>
            <w:webHidden/>
          </w:rPr>
          <w:fldChar w:fldCharType="separate"/>
        </w:r>
        <w:r w:rsidR="00595C6E">
          <w:rPr>
            <w:noProof/>
            <w:webHidden/>
          </w:rPr>
          <w:t>80</w:t>
        </w:r>
        <w:r w:rsidR="00995626">
          <w:rPr>
            <w:noProof/>
            <w:webHidden/>
          </w:rPr>
          <w:fldChar w:fldCharType="end"/>
        </w:r>
      </w:hyperlink>
    </w:p>
    <w:p w14:paraId="4E673B48" w14:textId="2F7B7CFE" w:rsidR="00995626" w:rsidRDefault="00C65E81">
      <w:pPr>
        <w:pStyle w:val="TOC1"/>
        <w:rPr>
          <w:rFonts w:asciiTheme="minorHAnsi" w:eastAsiaTheme="minorEastAsia" w:hAnsiTheme="minorHAnsi" w:cstheme="minorBidi"/>
          <w:noProof/>
          <w:lang w:eastAsia="en-AU"/>
        </w:rPr>
      </w:pPr>
      <w:hyperlink w:anchor="_Toc469927403" w:history="1">
        <w:r w:rsidR="00995626" w:rsidRPr="00776A6D">
          <w:rPr>
            <w:rStyle w:val="Hyperlink"/>
            <w:noProof/>
          </w:rPr>
          <w:t>Table A.1 : Descriptive statistics: Cost drivers by field (bachelor level)</w:t>
        </w:r>
        <w:r w:rsidR="00995626">
          <w:rPr>
            <w:noProof/>
            <w:webHidden/>
          </w:rPr>
          <w:tab/>
        </w:r>
        <w:r w:rsidR="00995626">
          <w:rPr>
            <w:noProof/>
            <w:webHidden/>
          </w:rPr>
          <w:fldChar w:fldCharType="begin"/>
        </w:r>
        <w:r w:rsidR="00995626">
          <w:rPr>
            <w:noProof/>
            <w:webHidden/>
          </w:rPr>
          <w:instrText xml:space="preserve"> PAGEREF _Toc469927403 \h </w:instrText>
        </w:r>
        <w:r w:rsidR="00995626">
          <w:rPr>
            <w:noProof/>
            <w:webHidden/>
          </w:rPr>
        </w:r>
        <w:r w:rsidR="00995626">
          <w:rPr>
            <w:noProof/>
            <w:webHidden/>
          </w:rPr>
          <w:fldChar w:fldCharType="separate"/>
        </w:r>
        <w:r w:rsidR="00595C6E">
          <w:rPr>
            <w:noProof/>
            <w:webHidden/>
          </w:rPr>
          <w:t>102</w:t>
        </w:r>
        <w:r w:rsidR="00995626">
          <w:rPr>
            <w:noProof/>
            <w:webHidden/>
          </w:rPr>
          <w:fldChar w:fldCharType="end"/>
        </w:r>
      </w:hyperlink>
    </w:p>
    <w:p w14:paraId="695A1AB6" w14:textId="2F76F98F" w:rsidR="00995626" w:rsidRDefault="00C65E81">
      <w:pPr>
        <w:pStyle w:val="TOC1"/>
        <w:rPr>
          <w:rFonts w:asciiTheme="minorHAnsi" w:eastAsiaTheme="minorEastAsia" w:hAnsiTheme="minorHAnsi" w:cstheme="minorBidi"/>
          <w:noProof/>
          <w:lang w:eastAsia="en-AU"/>
        </w:rPr>
      </w:pPr>
      <w:hyperlink w:anchor="_Toc469927404" w:history="1">
        <w:r w:rsidR="00995626" w:rsidRPr="00776A6D">
          <w:rPr>
            <w:rStyle w:val="Hyperlink"/>
            <w:noProof/>
          </w:rPr>
          <w:t>Table A.2 : OLS results: Total cost per EFTSL</w:t>
        </w:r>
        <w:r w:rsidR="00995626">
          <w:rPr>
            <w:noProof/>
            <w:webHidden/>
          </w:rPr>
          <w:tab/>
        </w:r>
        <w:r w:rsidR="00995626">
          <w:rPr>
            <w:noProof/>
            <w:webHidden/>
          </w:rPr>
          <w:fldChar w:fldCharType="begin"/>
        </w:r>
        <w:r w:rsidR="00995626">
          <w:rPr>
            <w:noProof/>
            <w:webHidden/>
          </w:rPr>
          <w:instrText xml:space="preserve"> PAGEREF _Toc469927404 \h </w:instrText>
        </w:r>
        <w:r w:rsidR="00995626">
          <w:rPr>
            <w:noProof/>
            <w:webHidden/>
          </w:rPr>
        </w:r>
        <w:r w:rsidR="00995626">
          <w:rPr>
            <w:noProof/>
            <w:webHidden/>
          </w:rPr>
          <w:fldChar w:fldCharType="separate"/>
        </w:r>
        <w:r w:rsidR="00595C6E">
          <w:rPr>
            <w:noProof/>
            <w:webHidden/>
          </w:rPr>
          <w:t>103</w:t>
        </w:r>
        <w:r w:rsidR="00995626">
          <w:rPr>
            <w:noProof/>
            <w:webHidden/>
          </w:rPr>
          <w:fldChar w:fldCharType="end"/>
        </w:r>
      </w:hyperlink>
    </w:p>
    <w:p w14:paraId="40BFA4FD" w14:textId="0250C243" w:rsidR="00995626" w:rsidRDefault="00C65E81">
      <w:pPr>
        <w:pStyle w:val="TOC1"/>
        <w:rPr>
          <w:rFonts w:asciiTheme="minorHAnsi" w:eastAsiaTheme="minorEastAsia" w:hAnsiTheme="minorHAnsi" w:cstheme="minorBidi"/>
          <w:noProof/>
          <w:lang w:eastAsia="en-AU"/>
        </w:rPr>
      </w:pPr>
      <w:hyperlink w:anchor="_Toc469927405" w:history="1">
        <w:r w:rsidR="00995626" w:rsidRPr="00776A6D">
          <w:rPr>
            <w:rStyle w:val="Hyperlink"/>
            <w:noProof/>
          </w:rPr>
          <w:t>Table B.1 : Definitions and explanations</w:t>
        </w:r>
        <w:r w:rsidR="00995626">
          <w:rPr>
            <w:noProof/>
            <w:webHidden/>
          </w:rPr>
          <w:tab/>
        </w:r>
        <w:r w:rsidR="00995626">
          <w:rPr>
            <w:noProof/>
            <w:webHidden/>
          </w:rPr>
          <w:fldChar w:fldCharType="begin"/>
        </w:r>
        <w:r w:rsidR="00995626">
          <w:rPr>
            <w:noProof/>
            <w:webHidden/>
          </w:rPr>
          <w:instrText xml:space="preserve"> PAGEREF _Toc469927405 \h </w:instrText>
        </w:r>
        <w:r w:rsidR="00995626">
          <w:rPr>
            <w:noProof/>
            <w:webHidden/>
          </w:rPr>
        </w:r>
        <w:r w:rsidR="00995626">
          <w:rPr>
            <w:noProof/>
            <w:webHidden/>
          </w:rPr>
          <w:fldChar w:fldCharType="separate"/>
        </w:r>
        <w:r w:rsidR="00595C6E">
          <w:rPr>
            <w:noProof/>
            <w:webHidden/>
          </w:rPr>
          <w:t>106</w:t>
        </w:r>
        <w:r w:rsidR="00995626">
          <w:rPr>
            <w:noProof/>
            <w:webHidden/>
          </w:rPr>
          <w:fldChar w:fldCharType="end"/>
        </w:r>
      </w:hyperlink>
    </w:p>
    <w:p w14:paraId="132954D4" w14:textId="6F39399C" w:rsidR="00995626" w:rsidRDefault="00C65E81">
      <w:pPr>
        <w:pStyle w:val="TOC1"/>
        <w:rPr>
          <w:rFonts w:asciiTheme="minorHAnsi" w:eastAsiaTheme="minorEastAsia" w:hAnsiTheme="minorHAnsi" w:cstheme="minorBidi"/>
          <w:noProof/>
          <w:lang w:eastAsia="en-AU"/>
        </w:rPr>
      </w:pPr>
      <w:hyperlink w:anchor="_Toc469927406" w:history="1">
        <w:r w:rsidR="00995626" w:rsidRPr="00776A6D">
          <w:rPr>
            <w:rStyle w:val="Hyperlink"/>
            <w:noProof/>
          </w:rPr>
          <w:t>Table B.2 : Overview of input fields in data collection template</w:t>
        </w:r>
        <w:r w:rsidR="00995626">
          <w:rPr>
            <w:noProof/>
            <w:webHidden/>
          </w:rPr>
          <w:tab/>
        </w:r>
        <w:r w:rsidR="00995626">
          <w:rPr>
            <w:noProof/>
            <w:webHidden/>
          </w:rPr>
          <w:fldChar w:fldCharType="begin"/>
        </w:r>
        <w:r w:rsidR="00995626">
          <w:rPr>
            <w:noProof/>
            <w:webHidden/>
          </w:rPr>
          <w:instrText xml:space="preserve"> PAGEREF _Toc469927406 \h </w:instrText>
        </w:r>
        <w:r w:rsidR="00995626">
          <w:rPr>
            <w:noProof/>
            <w:webHidden/>
          </w:rPr>
        </w:r>
        <w:r w:rsidR="00995626">
          <w:rPr>
            <w:noProof/>
            <w:webHidden/>
          </w:rPr>
          <w:fldChar w:fldCharType="separate"/>
        </w:r>
        <w:r w:rsidR="00595C6E">
          <w:rPr>
            <w:noProof/>
            <w:webHidden/>
          </w:rPr>
          <w:t>108</w:t>
        </w:r>
        <w:r w:rsidR="00995626">
          <w:rPr>
            <w:noProof/>
            <w:webHidden/>
          </w:rPr>
          <w:fldChar w:fldCharType="end"/>
        </w:r>
      </w:hyperlink>
    </w:p>
    <w:p w14:paraId="0C487372" w14:textId="77777777" w:rsidR="00F41CBD" w:rsidRPr="00A65BA3" w:rsidRDefault="00F41CBD" w:rsidP="00F41CBD">
      <w:pPr>
        <w:pStyle w:val="Contents-Minor"/>
      </w:pPr>
      <w:r w:rsidRPr="00A65BA3">
        <w:rPr>
          <w:rFonts w:cs="Arial"/>
          <w:sz w:val="24"/>
          <w:szCs w:val="20"/>
        </w:rPr>
        <w:fldChar w:fldCharType="end"/>
      </w:r>
      <w:r w:rsidRPr="00A65BA3">
        <w:t>Figures</w:t>
      </w:r>
    </w:p>
    <w:p w14:paraId="78BF53F8" w14:textId="5F338B91" w:rsidR="00995626" w:rsidRDefault="00DE151F">
      <w:pPr>
        <w:pStyle w:val="TOC1"/>
        <w:rPr>
          <w:rFonts w:asciiTheme="minorHAnsi" w:eastAsiaTheme="minorEastAsia" w:hAnsiTheme="minorHAnsi" w:cstheme="minorBidi"/>
          <w:noProof/>
          <w:lang w:eastAsia="en-AU"/>
        </w:rPr>
      </w:pPr>
      <w:r>
        <w:fldChar w:fldCharType="begin"/>
      </w:r>
      <w:r>
        <w:instrText xml:space="preserve"> TOC \h \z \t "Appendix Figure Caption,1,Caption_Figure,1" </w:instrText>
      </w:r>
      <w:r>
        <w:fldChar w:fldCharType="separate"/>
      </w:r>
      <w:hyperlink w:anchor="_Toc469927407" w:history="1">
        <w:r w:rsidR="00995626" w:rsidRPr="00293CE1">
          <w:rPr>
            <w:rStyle w:val="Hyperlink"/>
            <w:noProof/>
          </w:rPr>
          <w:t>Figure 6.1 : Costs captured under international benchmarks</w:t>
        </w:r>
        <w:r w:rsidR="00995626">
          <w:rPr>
            <w:noProof/>
            <w:webHidden/>
          </w:rPr>
          <w:tab/>
        </w:r>
        <w:r w:rsidR="00995626">
          <w:rPr>
            <w:noProof/>
            <w:webHidden/>
          </w:rPr>
          <w:fldChar w:fldCharType="begin"/>
        </w:r>
        <w:r w:rsidR="00995626">
          <w:rPr>
            <w:noProof/>
            <w:webHidden/>
          </w:rPr>
          <w:instrText xml:space="preserve"> PAGEREF _Toc469927407 \h </w:instrText>
        </w:r>
        <w:r w:rsidR="00995626">
          <w:rPr>
            <w:noProof/>
            <w:webHidden/>
          </w:rPr>
        </w:r>
        <w:r w:rsidR="00995626">
          <w:rPr>
            <w:noProof/>
            <w:webHidden/>
          </w:rPr>
          <w:fldChar w:fldCharType="separate"/>
        </w:r>
        <w:r w:rsidR="00595C6E">
          <w:rPr>
            <w:noProof/>
            <w:webHidden/>
          </w:rPr>
          <w:t>77</w:t>
        </w:r>
        <w:r w:rsidR="00995626">
          <w:rPr>
            <w:noProof/>
            <w:webHidden/>
          </w:rPr>
          <w:fldChar w:fldCharType="end"/>
        </w:r>
      </w:hyperlink>
    </w:p>
    <w:p w14:paraId="4DE4A1BC" w14:textId="77777777" w:rsidR="000175EC" w:rsidRPr="00A65BA3" w:rsidRDefault="00DE151F" w:rsidP="00C93BF3">
      <w:pPr>
        <w:pStyle w:val="Contents-Major"/>
        <w:sectPr w:rsidR="000175EC" w:rsidRPr="00A65BA3" w:rsidSect="00153E58">
          <w:footerReference w:type="default" r:id="rId15"/>
          <w:headerReference w:type="first" r:id="rId16"/>
          <w:footerReference w:type="first" r:id="rId17"/>
          <w:pgSz w:w="11906" w:h="16838" w:code="9"/>
          <w:pgMar w:top="1701" w:right="1701" w:bottom="1701" w:left="1701" w:header="720" w:footer="720" w:gutter="0"/>
          <w:pgNumType w:fmt="lowerRoman" w:start="1"/>
          <w:cols w:space="720"/>
          <w:titlePg/>
          <w:docGrid w:linePitch="360"/>
        </w:sectPr>
      </w:pPr>
      <w:r>
        <w:rPr>
          <w:b/>
          <w:bCs/>
          <w:noProof/>
          <w:lang w:val="en-US"/>
        </w:rPr>
        <w:fldChar w:fldCharType="end"/>
      </w:r>
    </w:p>
    <w:p w14:paraId="571D884E" w14:textId="77777777" w:rsidR="00F41CBD" w:rsidRPr="00A65BA3" w:rsidRDefault="00F41CBD" w:rsidP="00F41CBD">
      <w:pPr>
        <w:pStyle w:val="Glossary"/>
      </w:pPr>
      <w:bookmarkStart w:id="0" w:name="_Toc469927312"/>
      <w:bookmarkStart w:id="1" w:name="_Toc228005204"/>
      <w:bookmarkStart w:id="2" w:name="_Toc288198023"/>
      <w:r w:rsidRPr="00A65BA3">
        <w:lastRenderedPageBreak/>
        <w:t>Glossary</w:t>
      </w:r>
      <w:bookmarkEnd w:id="0"/>
    </w:p>
    <w:p w14:paraId="2302FE77" w14:textId="77777777" w:rsidR="00F41CBD" w:rsidRPr="00A65BA3" w:rsidRDefault="00F41CBD" w:rsidP="00F41CBD">
      <w:pPr>
        <w:pStyle w:val="BodyText"/>
      </w:pPr>
    </w:p>
    <w:bookmarkEnd w:id="1"/>
    <w:bookmarkEnd w:id="2"/>
    <w:p w14:paraId="44E8E4CF" w14:textId="77777777" w:rsidR="000175EC" w:rsidRPr="00A65BA3" w:rsidRDefault="000175EC" w:rsidP="009B4B43">
      <w:pPr>
        <w:pStyle w:val="SingleLeft"/>
      </w:pPr>
    </w:p>
    <w:tbl>
      <w:tblPr>
        <w:tblW w:w="6237" w:type="dxa"/>
        <w:tblLook w:val="04A0" w:firstRow="1" w:lastRow="0" w:firstColumn="1" w:lastColumn="0" w:noHBand="0" w:noVBand="1"/>
      </w:tblPr>
      <w:tblGrid>
        <w:gridCol w:w="1134"/>
        <w:gridCol w:w="5103"/>
      </w:tblGrid>
      <w:tr w:rsidR="001578D1" w:rsidRPr="001578D1" w14:paraId="385618F4" w14:textId="77777777" w:rsidTr="00950107">
        <w:trPr>
          <w:trHeight w:val="315"/>
        </w:trPr>
        <w:tc>
          <w:tcPr>
            <w:tcW w:w="1134" w:type="dxa"/>
            <w:tcBorders>
              <w:top w:val="single" w:sz="12" w:space="0" w:color="002776"/>
              <w:left w:val="nil"/>
              <w:bottom w:val="nil"/>
              <w:right w:val="nil"/>
            </w:tcBorders>
            <w:shd w:val="clear" w:color="auto" w:fill="auto"/>
            <w:vAlign w:val="center"/>
            <w:hideMark/>
          </w:tcPr>
          <w:p w14:paraId="359EC147" w14:textId="77777777" w:rsidR="001578D1" w:rsidRPr="001578D1" w:rsidRDefault="001578D1" w:rsidP="001578D1">
            <w:pPr>
              <w:rPr>
                <w:rFonts w:cs="Arial"/>
                <w:szCs w:val="22"/>
                <w:lang w:eastAsia="en-AU"/>
              </w:rPr>
            </w:pPr>
            <w:r w:rsidRPr="001578D1">
              <w:rPr>
                <w:rFonts w:cs="Arial"/>
                <w:szCs w:val="22"/>
                <w:lang w:eastAsia="en-AU"/>
              </w:rPr>
              <w:t>ABC</w:t>
            </w:r>
          </w:p>
        </w:tc>
        <w:tc>
          <w:tcPr>
            <w:tcW w:w="5103" w:type="dxa"/>
            <w:tcBorders>
              <w:top w:val="single" w:sz="12" w:space="0" w:color="002776"/>
              <w:left w:val="nil"/>
              <w:bottom w:val="nil"/>
              <w:right w:val="nil"/>
            </w:tcBorders>
            <w:shd w:val="clear" w:color="auto" w:fill="auto"/>
            <w:vAlign w:val="center"/>
            <w:hideMark/>
          </w:tcPr>
          <w:p w14:paraId="26697FBC" w14:textId="77777777" w:rsidR="001578D1" w:rsidRPr="001578D1" w:rsidRDefault="001578D1" w:rsidP="001578D1">
            <w:pPr>
              <w:rPr>
                <w:rFonts w:cs="Arial"/>
                <w:szCs w:val="22"/>
                <w:lang w:eastAsia="en-AU"/>
              </w:rPr>
            </w:pPr>
            <w:r w:rsidRPr="001578D1">
              <w:rPr>
                <w:rFonts w:cs="Arial"/>
                <w:szCs w:val="22"/>
                <w:lang w:eastAsia="en-AU"/>
              </w:rPr>
              <w:t>Activity Based Costing</w:t>
            </w:r>
          </w:p>
        </w:tc>
      </w:tr>
      <w:tr w:rsidR="001578D1" w:rsidRPr="001578D1" w14:paraId="0374B57D" w14:textId="77777777" w:rsidTr="00950107">
        <w:trPr>
          <w:trHeight w:val="300"/>
        </w:trPr>
        <w:tc>
          <w:tcPr>
            <w:tcW w:w="1134" w:type="dxa"/>
            <w:tcBorders>
              <w:top w:val="nil"/>
              <w:left w:val="nil"/>
              <w:bottom w:val="nil"/>
              <w:right w:val="nil"/>
            </w:tcBorders>
            <w:shd w:val="clear" w:color="auto" w:fill="auto"/>
            <w:vAlign w:val="center"/>
            <w:hideMark/>
          </w:tcPr>
          <w:p w14:paraId="5A081152" w14:textId="77777777" w:rsidR="001578D1" w:rsidRPr="001578D1" w:rsidRDefault="001578D1" w:rsidP="001578D1">
            <w:pPr>
              <w:rPr>
                <w:rFonts w:cs="Arial"/>
                <w:szCs w:val="22"/>
                <w:lang w:eastAsia="en-AU"/>
              </w:rPr>
            </w:pPr>
            <w:r w:rsidRPr="001578D1">
              <w:rPr>
                <w:rFonts w:cs="Arial"/>
                <w:szCs w:val="22"/>
                <w:lang w:eastAsia="en-AU"/>
              </w:rPr>
              <w:t>ARC</w:t>
            </w:r>
          </w:p>
        </w:tc>
        <w:tc>
          <w:tcPr>
            <w:tcW w:w="5103" w:type="dxa"/>
            <w:tcBorders>
              <w:top w:val="nil"/>
              <w:left w:val="nil"/>
              <w:bottom w:val="nil"/>
              <w:right w:val="nil"/>
            </w:tcBorders>
            <w:shd w:val="clear" w:color="auto" w:fill="auto"/>
            <w:vAlign w:val="center"/>
            <w:hideMark/>
          </w:tcPr>
          <w:p w14:paraId="028D57FA" w14:textId="77777777" w:rsidR="001578D1" w:rsidRPr="001578D1" w:rsidRDefault="001578D1" w:rsidP="001578D1">
            <w:pPr>
              <w:rPr>
                <w:rFonts w:cs="Arial"/>
                <w:szCs w:val="22"/>
                <w:lang w:eastAsia="en-AU"/>
              </w:rPr>
            </w:pPr>
            <w:r w:rsidRPr="001578D1">
              <w:rPr>
                <w:rFonts w:cs="Arial"/>
                <w:szCs w:val="22"/>
                <w:lang w:eastAsia="en-AU"/>
              </w:rPr>
              <w:t>Australian Research Council</w:t>
            </w:r>
          </w:p>
        </w:tc>
      </w:tr>
      <w:tr w:rsidR="001578D1" w:rsidRPr="001578D1" w14:paraId="1AC877A0" w14:textId="77777777" w:rsidTr="00950107">
        <w:trPr>
          <w:trHeight w:val="300"/>
        </w:trPr>
        <w:tc>
          <w:tcPr>
            <w:tcW w:w="1134" w:type="dxa"/>
            <w:tcBorders>
              <w:top w:val="nil"/>
              <w:left w:val="nil"/>
              <w:bottom w:val="nil"/>
              <w:right w:val="nil"/>
            </w:tcBorders>
            <w:shd w:val="clear" w:color="auto" w:fill="auto"/>
            <w:vAlign w:val="center"/>
            <w:hideMark/>
          </w:tcPr>
          <w:p w14:paraId="2F634193" w14:textId="77777777" w:rsidR="001578D1" w:rsidRPr="001578D1" w:rsidRDefault="001578D1" w:rsidP="001578D1">
            <w:pPr>
              <w:rPr>
                <w:rFonts w:cs="Arial"/>
                <w:szCs w:val="22"/>
                <w:lang w:eastAsia="en-AU"/>
              </w:rPr>
            </w:pPr>
            <w:r w:rsidRPr="001578D1">
              <w:rPr>
                <w:rFonts w:cs="Arial"/>
                <w:szCs w:val="22"/>
                <w:lang w:eastAsia="en-AU"/>
              </w:rPr>
              <w:t>ASCED</w:t>
            </w:r>
          </w:p>
        </w:tc>
        <w:tc>
          <w:tcPr>
            <w:tcW w:w="5103" w:type="dxa"/>
            <w:tcBorders>
              <w:top w:val="nil"/>
              <w:left w:val="nil"/>
              <w:bottom w:val="nil"/>
              <w:right w:val="nil"/>
            </w:tcBorders>
            <w:shd w:val="clear" w:color="auto" w:fill="auto"/>
            <w:vAlign w:val="center"/>
            <w:hideMark/>
          </w:tcPr>
          <w:p w14:paraId="0DD7619D" w14:textId="77777777" w:rsidR="001578D1" w:rsidRPr="001578D1" w:rsidRDefault="001578D1" w:rsidP="001578D1">
            <w:pPr>
              <w:rPr>
                <w:rFonts w:cs="Arial"/>
                <w:szCs w:val="22"/>
                <w:lang w:eastAsia="en-AU"/>
              </w:rPr>
            </w:pPr>
            <w:r w:rsidRPr="001578D1">
              <w:rPr>
                <w:rFonts w:cs="Arial"/>
                <w:szCs w:val="22"/>
                <w:lang w:eastAsia="en-AU"/>
              </w:rPr>
              <w:t>Australian Standard Classification of Education</w:t>
            </w:r>
          </w:p>
        </w:tc>
      </w:tr>
      <w:tr w:rsidR="001578D1" w:rsidRPr="001578D1" w14:paraId="63616176" w14:textId="77777777" w:rsidTr="00950107">
        <w:trPr>
          <w:trHeight w:val="300"/>
        </w:trPr>
        <w:tc>
          <w:tcPr>
            <w:tcW w:w="1134" w:type="dxa"/>
            <w:tcBorders>
              <w:top w:val="nil"/>
              <w:left w:val="nil"/>
              <w:bottom w:val="nil"/>
              <w:right w:val="nil"/>
            </w:tcBorders>
            <w:shd w:val="clear" w:color="auto" w:fill="auto"/>
            <w:vAlign w:val="center"/>
            <w:hideMark/>
          </w:tcPr>
          <w:p w14:paraId="17A1FE12" w14:textId="77777777" w:rsidR="001578D1" w:rsidRPr="001578D1" w:rsidRDefault="001578D1" w:rsidP="001578D1">
            <w:pPr>
              <w:rPr>
                <w:rFonts w:cs="Arial"/>
                <w:szCs w:val="22"/>
                <w:lang w:eastAsia="en-AU"/>
              </w:rPr>
            </w:pPr>
            <w:r w:rsidRPr="001578D1">
              <w:rPr>
                <w:rFonts w:cs="Arial"/>
                <w:szCs w:val="22"/>
                <w:lang w:eastAsia="en-AU"/>
              </w:rPr>
              <w:t>CEQ</w:t>
            </w:r>
          </w:p>
        </w:tc>
        <w:tc>
          <w:tcPr>
            <w:tcW w:w="5103" w:type="dxa"/>
            <w:tcBorders>
              <w:top w:val="nil"/>
              <w:left w:val="nil"/>
              <w:bottom w:val="nil"/>
              <w:right w:val="nil"/>
            </w:tcBorders>
            <w:shd w:val="clear" w:color="auto" w:fill="auto"/>
            <w:vAlign w:val="center"/>
            <w:hideMark/>
          </w:tcPr>
          <w:p w14:paraId="3C9CB891" w14:textId="77777777" w:rsidR="001578D1" w:rsidRPr="001578D1" w:rsidRDefault="001578D1" w:rsidP="001578D1">
            <w:pPr>
              <w:rPr>
                <w:rFonts w:cs="Arial"/>
                <w:szCs w:val="22"/>
                <w:lang w:eastAsia="en-AU"/>
              </w:rPr>
            </w:pPr>
            <w:r w:rsidRPr="001578D1">
              <w:rPr>
                <w:rFonts w:cs="Arial"/>
                <w:szCs w:val="22"/>
                <w:lang w:eastAsia="en-AU"/>
              </w:rPr>
              <w:t>Course Experience Questionnaire</w:t>
            </w:r>
          </w:p>
        </w:tc>
      </w:tr>
      <w:tr w:rsidR="001578D1" w:rsidRPr="001578D1" w14:paraId="270C0F54" w14:textId="77777777" w:rsidTr="00950107">
        <w:trPr>
          <w:trHeight w:val="300"/>
        </w:trPr>
        <w:tc>
          <w:tcPr>
            <w:tcW w:w="1134" w:type="dxa"/>
            <w:tcBorders>
              <w:top w:val="nil"/>
              <w:left w:val="nil"/>
              <w:bottom w:val="nil"/>
              <w:right w:val="nil"/>
            </w:tcBorders>
            <w:shd w:val="clear" w:color="auto" w:fill="auto"/>
            <w:vAlign w:val="center"/>
            <w:hideMark/>
          </w:tcPr>
          <w:p w14:paraId="29E4D8AA" w14:textId="77777777" w:rsidR="001578D1" w:rsidRPr="001578D1" w:rsidRDefault="001578D1" w:rsidP="001578D1">
            <w:pPr>
              <w:rPr>
                <w:rFonts w:cs="Arial"/>
                <w:szCs w:val="22"/>
                <w:lang w:eastAsia="en-AU"/>
              </w:rPr>
            </w:pPr>
            <w:r w:rsidRPr="001578D1">
              <w:rPr>
                <w:rFonts w:cs="Arial"/>
                <w:szCs w:val="22"/>
                <w:lang w:eastAsia="en-AU"/>
              </w:rPr>
              <w:t>CGS</w:t>
            </w:r>
          </w:p>
        </w:tc>
        <w:tc>
          <w:tcPr>
            <w:tcW w:w="5103" w:type="dxa"/>
            <w:tcBorders>
              <w:top w:val="nil"/>
              <w:left w:val="nil"/>
              <w:bottom w:val="nil"/>
              <w:right w:val="nil"/>
            </w:tcBorders>
            <w:shd w:val="clear" w:color="auto" w:fill="auto"/>
            <w:vAlign w:val="center"/>
            <w:hideMark/>
          </w:tcPr>
          <w:p w14:paraId="4B58C1B5" w14:textId="77777777" w:rsidR="001578D1" w:rsidRPr="001578D1" w:rsidRDefault="001578D1" w:rsidP="001578D1">
            <w:pPr>
              <w:rPr>
                <w:rFonts w:cs="Arial"/>
                <w:szCs w:val="22"/>
                <w:lang w:eastAsia="en-AU"/>
              </w:rPr>
            </w:pPr>
            <w:r w:rsidRPr="001578D1">
              <w:rPr>
                <w:rFonts w:cs="Arial"/>
                <w:szCs w:val="22"/>
                <w:lang w:eastAsia="en-AU"/>
              </w:rPr>
              <w:t>Commonwealth Grant Scheme</w:t>
            </w:r>
          </w:p>
        </w:tc>
      </w:tr>
      <w:tr w:rsidR="001578D1" w:rsidRPr="001578D1" w14:paraId="0A6E08E7" w14:textId="77777777" w:rsidTr="00950107">
        <w:trPr>
          <w:trHeight w:val="300"/>
        </w:trPr>
        <w:tc>
          <w:tcPr>
            <w:tcW w:w="1134" w:type="dxa"/>
            <w:tcBorders>
              <w:top w:val="nil"/>
              <w:left w:val="nil"/>
              <w:bottom w:val="nil"/>
              <w:right w:val="nil"/>
            </w:tcBorders>
            <w:shd w:val="clear" w:color="auto" w:fill="auto"/>
            <w:vAlign w:val="center"/>
            <w:hideMark/>
          </w:tcPr>
          <w:p w14:paraId="14B4C370" w14:textId="77777777" w:rsidR="001578D1" w:rsidRPr="001578D1" w:rsidRDefault="001578D1" w:rsidP="001578D1">
            <w:pPr>
              <w:rPr>
                <w:rFonts w:cs="Arial"/>
                <w:szCs w:val="22"/>
                <w:lang w:eastAsia="en-AU"/>
              </w:rPr>
            </w:pPr>
            <w:r w:rsidRPr="001578D1">
              <w:rPr>
                <w:rFonts w:cs="Arial"/>
                <w:szCs w:val="22"/>
                <w:lang w:eastAsia="en-AU"/>
              </w:rPr>
              <w:t>CSP</w:t>
            </w:r>
          </w:p>
        </w:tc>
        <w:tc>
          <w:tcPr>
            <w:tcW w:w="5103" w:type="dxa"/>
            <w:tcBorders>
              <w:top w:val="nil"/>
              <w:left w:val="nil"/>
              <w:bottom w:val="nil"/>
              <w:right w:val="nil"/>
            </w:tcBorders>
            <w:shd w:val="clear" w:color="auto" w:fill="auto"/>
            <w:vAlign w:val="center"/>
            <w:hideMark/>
          </w:tcPr>
          <w:p w14:paraId="75BA62D2" w14:textId="77777777" w:rsidR="001578D1" w:rsidRPr="001578D1" w:rsidRDefault="001578D1" w:rsidP="001578D1">
            <w:pPr>
              <w:rPr>
                <w:rFonts w:cs="Arial"/>
                <w:szCs w:val="22"/>
                <w:lang w:eastAsia="en-AU"/>
              </w:rPr>
            </w:pPr>
            <w:r w:rsidRPr="001578D1">
              <w:rPr>
                <w:rFonts w:cs="Arial"/>
                <w:szCs w:val="22"/>
                <w:lang w:eastAsia="en-AU"/>
              </w:rPr>
              <w:t>Commonwealth Supported Place</w:t>
            </w:r>
          </w:p>
        </w:tc>
      </w:tr>
      <w:tr w:rsidR="001578D1" w:rsidRPr="001578D1" w14:paraId="76BE57FF" w14:textId="77777777" w:rsidTr="00950107">
        <w:trPr>
          <w:trHeight w:val="300"/>
        </w:trPr>
        <w:tc>
          <w:tcPr>
            <w:tcW w:w="1134" w:type="dxa"/>
            <w:tcBorders>
              <w:top w:val="nil"/>
              <w:left w:val="nil"/>
              <w:bottom w:val="nil"/>
              <w:right w:val="nil"/>
            </w:tcBorders>
            <w:shd w:val="clear" w:color="auto" w:fill="auto"/>
            <w:vAlign w:val="center"/>
            <w:hideMark/>
          </w:tcPr>
          <w:p w14:paraId="3A584E13" w14:textId="77777777" w:rsidR="001578D1" w:rsidRPr="001578D1" w:rsidRDefault="001578D1" w:rsidP="001578D1">
            <w:pPr>
              <w:rPr>
                <w:rFonts w:cs="Arial"/>
                <w:szCs w:val="22"/>
                <w:lang w:eastAsia="en-AU"/>
              </w:rPr>
            </w:pPr>
            <w:r w:rsidRPr="001578D1">
              <w:rPr>
                <w:rFonts w:cs="Arial"/>
                <w:szCs w:val="22"/>
                <w:lang w:eastAsia="en-AU"/>
              </w:rPr>
              <w:t>DEA</w:t>
            </w:r>
          </w:p>
        </w:tc>
        <w:tc>
          <w:tcPr>
            <w:tcW w:w="5103" w:type="dxa"/>
            <w:tcBorders>
              <w:top w:val="nil"/>
              <w:left w:val="nil"/>
              <w:bottom w:val="nil"/>
              <w:right w:val="nil"/>
            </w:tcBorders>
            <w:shd w:val="clear" w:color="auto" w:fill="auto"/>
            <w:vAlign w:val="center"/>
            <w:hideMark/>
          </w:tcPr>
          <w:p w14:paraId="68B805AB" w14:textId="77777777" w:rsidR="001578D1" w:rsidRPr="001578D1" w:rsidRDefault="001578D1" w:rsidP="001578D1">
            <w:pPr>
              <w:rPr>
                <w:rFonts w:cs="Arial"/>
                <w:szCs w:val="22"/>
                <w:lang w:eastAsia="en-AU"/>
              </w:rPr>
            </w:pPr>
            <w:r w:rsidRPr="001578D1">
              <w:rPr>
                <w:rFonts w:cs="Arial"/>
                <w:szCs w:val="22"/>
                <w:lang w:eastAsia="en-AU"/>
              </w:rPr>
              <w:t>Data Envelopment Analysis</w:t>
            </w:r>
          </w:p>
        </w:tc>
      </w:tr>
      <w:tr w:rsidR="00AF15ED" w:rsidRPr="001578D1" w14:paraId="611565C2" w14:textId="77777777" w:rsidTr="00950107">
        <w:trPr>
          <w:trHeight w:val="300"/>
        </w:trPr>
        <w:tc>
          <w:tcPr>
            <w:tcW w:w="1134" w:type="dxa"/>
            <w:tcBorders>
              <w:top w:val="nil"/>
              <w:left w:val="nil"/>
              <w:bottom w:val="nil"/>
              <w:right w:val="nil"/>
            </w:tcBorders>
            <w:shd w:val="clear" w:color="auto" w:fill="auto"/>
            <w:vAlign w:val="center"/>
          </w:tcPr>
          <w:p w14:paraId="7F42BA88" w14:textId="77777777" w:rsidR="00AF15ED" w:rsidRPr="001578D1" w:rsidRDefault="00AF15ED" w:rsidP="001578D1">
            <w:pPr>
              <w:rPr>
                <w:rFonts w:cs="Arial"/>
                <w:szCs w:val="22"/>
                <w:lang w:eastAsia="en-AU"/>
              </w:rPr>
            </w:pPr>
            <w:r>
              <w:rPr>
                <w:rFonts w:cs="Arial"/>
                <w:szCs w:val="22"/>
                <w:lang w:eastAsia="en-AU"/>
              </w:rPr>
              <w:t>DET</w:t>
            </w:r>
          </w:p>
        </w:tc>
        <w:tc>
          <w:tcPr>
            <w:tcW w:w="5103" w:type="dxa"/>
            <w:tcBorders>
              <w:top w:val="nil"/>
              <w:left w:val="nil"/>
              <w:bottom w:val="nil"/>
              <w:right w:val="nil"/>
            </w:tcBorders>
            <w:shd w:val="clear" w:color="auto" w:fill="auto"/>
            <w:vAlign w:val="center"/>
          </w:tcPr>
          <w:p w14:paraId="3DFAFF00" w14:textId="77777777" w:rsidR="00AF15ED" w:rsidRPr="001578D1" w:rsidRDefault="00AF15ED" w:rsidP="001578D1">
            <w:pPr>
              <w:rPr>
                <w:rFonts w:cs="Arial"/>
                <w:szCs w:val="22"/>
                <w:lang w:eastAsia="en-AU"/>
              </w:rPr>
            </w:pPr>
            <w:r>
              <w:rPr>
                <w:rFonts w:cs="Arial"/>
                <w:szCs w:val="22"/>
                <w:lang w:eastAsia="en-AU"/>
              </w:rPr>
              <w:t>Department of Education and Training</w:t>
            </w:r>
          </w:p>
        </w:tc>
      </w:tr>
      <w:tr w:rsidR="00AF15ED" w:rsidRPr="001578D1" w14:paraId="0685255A" w14:textId="77777777" w:rsidTr="00950107">
        <w:trPr>
          <w:trHeight w:val="300"/>
        </w:trPr>
        <w:tc>
          <w:tcPr>
            <w:tcW w:w="1134" w:type="dxa"/>
            <w:tcBorders>
              <w:top w:val="nil"/>
              <w:left w:val="nil"/>
              <w:bottom w:val="nil"/>
              <w:right w:val="nil"/>
            </w:tcBorders>
            <w:shd w:val="clear" w:color="auto" w:fill="auto"/>
            <w:vAlign w:val="center"/>
          </w:tcPr>
          <w:p w14:paraId="0CEDBD9D" w14:textId="77777777" w:rsidR="00AF15ED" w:rsidRDefault="00AF15ED" w:rsidP="001578D1">
            <w:pPr>
              <w:rPr>
                <w:rFonts w:cs="Arial"/>
                <w:szCs w:val="22"/>
                <w:lang w:eastAsia="en-AU"/>
              </w:rPr>
            </w:pPr>
            <w:r>
              <w:rPr>
                <w:rFonts w:cs="Arial"/>
                <w:szCs w:val="22"/>
                <w:lang w:eastAsia="en-AU"/>
              </w:rPr>
              <w:t>EFTSL</w:t>
            </w:r>
          </w:p>
        </w:tc>
        <w:tc>
          <w:tcPr>
            <w:tcW w:w="5103" w:type="dxa"/>
            <w:tcBorders>
              <w:top w:val="nil"/>
              <w:left w:val="nil"/>
              <w:bottom w:val="nil"/>
              <w:right w:val="nil"/>
            </w:tcBorders>
            <w:shd w:val="clear" w:color="auto" w:fill="auto"/>
            <w:vAlign w:val="center"/>
          </w:tcPr>
          <w:p w14:paraId="178FE65C" w14:textId="77777777" w:rsidR="00AF15ED" w:rsidRDefault="00AF15ED" w:rsidP="001578D1">
            <w:pPr>
              <w:rPr>
                <w:rFonts w:cs="Arial"/>
                <w:szCs w:val="22"/>
                <w:lang w:eastAsia="en-AU"/>
              </w:rPr>
            </w:pPr>
            <w:r>
              <w:rPr>
                <w:rFonts w:cs="Arial"/>
                <w:szCs w:val="22"/>
                <w:lang w:eastAsia="en-AU"/>
              </w:rPr>
              <w:t>Equivalent Full Time Student Load</w:t>
            </w:r>
          </w:p>
        </w:tc>
      </w:tr>
      <w:tr w:rsidR="001578D1" w:rsidRPr="001578D1" w14:paraId="3716B9AB" w14:textId="77777777" w:rsidTr="00950107">
        <w:trPr>
          <w:trHeight w:val="300"/>
        </w:trPr>
        <w:tc>
          <w:tcPr>
            <w:tcW w:w="1134" w:type="dxa"/>
            <w:tcBorders>
              <w:top w:val="nil"/>
              <w:left w:val="nil"/>
              <w:bottom w:val="nil"/>
              <w:right w:val="nil"/>
            </w:tcBorders>
            <w:shd w:val="clear" w:color="auto" w:fill="auto"/>
            <w:vAlign w:val="center"/>
            <w:hideMark/>
          </w:tcPr>
          <w:p w14:paraId="3CF69D93" w14:textId="77777777" w:rsidR="001578D1" w:rsidRPr="001578D1" w:rsidRDefault="001578D1" w:rsidP="001578D1">
            <w:pPr>
              <w:rPr>
                <w:rFonts w:cs="Arial"/>
                <w:szCs w:val="22"/>
                <w:lang w:eastAsia="en-AU"/>
              </w:rPr>
            </w:pPr>
            <w:r w:rsidRPr="001578D1">
              <w:rPr>
                <w:rFonts w:cs="Arial"/>
                <w:szCs w:val="22"/>
                <w:lang w:eastAsia="en-AU"/>
              </w:rPr>
              <w:t>FOE</w:t>
            </w:r>
          </w:p>
        </w:tc>
        <w:tc>
          <w:tcPr>
            <w:tcW w:w="5103" w:type="dxa"/>
            <w:tcBorders>
              <w:top w:val="nil"/>
              <w:left w:val="nil"/>
              <w:bottom w:val="nil"/>
              <w:right w:val="nil"/>
            </w:tcBorders>
            <w:shd w:val="clear" w:color="auto" w:fill="auto"/>
            <w:vAlign w:val="center"/>
            <w:hideMark/>
          </w:tcPr>
          <w:p w14:paraId="5C07ECDD" w14:textId="77777777" w:rsidR="001578D1" w:rsidRPr="001578D1" w:rsidRDefault="001578D1" w:rsidP="001578D1">
            <w:pPr>
              <w:rPr>
                <w:rFonts w:cs="Arial"/>
                <w:szCs w:val="22"/>
                <w:lang w:eastAsia="en-AU"/>
              </w:rPr>
            </w:pPr>
            <w:r w:rsidRPr="001578D1">
              <w:rPr>
                <w:rFonts w:cs="Arial"/>
                <w:szCs w:val="22"/>
                <w:lang w:eastAsia="en-AU"/>
              </w:rPr>
              <w:t>Field of Education</w:t>
            </w:r>
          </w:p>
        </w:tc>
      </w:tr>
      <w:tr w:rsidR="001578D1" w:rsidRPr="001578D1" w14:paraId="10C6EF4F" w14:textId="77777777" w:rsidTr="00950107">
        <w:trPr>
          <w:trHeight w:val="300"/>
        </w:trPr>
        <w:tc>
          <w:tcPr>
            <w:tcW w:w="1134" w:type="dxa"/>
            <w:tcBorders>
              <w:top w:val="nil"/>
              <w:left w:val="nil"/>
              <w:bottom w:val="nil"/>
              <w:right w:val="nil"/>
            </w:tcBorders>
            <w:shd w:val="clear" w:color="auto" w:fill="auto"/>
            <w:vAlign w:val="center"/>
            <w:hideMark/>
          </w:tcPr>
          <w:p w14:paraId="7DDDB7B9" w14:textId="77777777" w:rsidR="001578D1" w:rsidRPr="001578D1" w:rsidRDefault="001578D1" w:rsidP="001578D1">
            <w:pPr>
              <w:rPr>
                <w:rFonts w:cs="Arial"/>
                <w:szCs w:val="22"/>
                <w:lang w:eastAsia="en-AU"/>
              </w:rPr>
            </w:pPr>
            <w:r w:rsidRPr="001578D1">
              <w:rPr>
                <w:rFonts w:cs="Arial"/>
                <w:szCs w:val="22"/>
                <w:lang w:eastAsia="en-AU"/>
              </w:rPr>
              <w:t>FTE</w:t>
            </w:r>
          </w:p>
        </w:tc>
        <w:tc>
          <w:tcPr>
            <w:tcW w:w="5103" w:type="dxa"/>
            <w:tcBorders>
              <w:top w:val="nil"/>
              <w:left w:val="nil"/>
              <w:bottom w:val="nil"/>
              <w:right w:val="nil"/>
            </w:tcBorders>
            <w:shd w:val="clear" w:color="auto" w:fill="auto"/>
            <w:vAlign w:val="center"/>
            <w:hideMark/>
          </w:tcPr>
          <w:p w14:paraId="3DDE35E9" w14:textId="77777777" w:rsidR="001578D1" w:rsidRPr="001578D1" w:rsidRDefault="001578D1" w:rsidP="001578D1">
            <w:pPr>
              <w:rPr>
                <w:rFonts w:cs="Arial"/>
                <w:szCs w:val="22"/>
                <w:lang w:eastAsia="en-AU"/>
              </w:rPr>
            </w:pPr>
            <w:r w:rsidRPr="001578D1">
              <w:rPr>
                <w:rFonts w:cs="Arial"/>
                <w:szCs w:val="22"/>
                <w:lang w:eastAsia="en-AU"/>
              </w:rPr>
              <w:t>Full-Time Equivalent</w:t>
            </w:r>
          </w:p>
        </w:tc>
      </w:tr>
      <w:tr w:rsidR="001578D1" w:rsidRPr="001578D1" w14:paraId="2B507B01" w14:textId="77777777" w:rsidTr="00950107">
        <w:trPr>
          <w:trHeight w:val="300"/>
        </w:trPr>
        <w:tc>
          <w:tcPr>
            <w:tcW w:w="1134" w:type="dxa"/>
            <w:tcBorders>
              <w:top w:val="nil"/>
              <w:left w:val="nil"/>
              <w:bottom w:val="nil"/>
              <w:right w:val="nil"/>
            </w:tcBorders>
            <w:shd w:val="clear" w:color="auto" w:fill="auto"/>
            <w:vAlign w:val="center"/>
            <w:hideMark/>
          </w:tcPr>
          <w:p w14:paraId="3AD75E00" w14:textId="77777777" w:rsidR="001578D1" w:rsidRPr="001578D1" w:rsidRDefault="001578D1" w:rsidP="001578D1">
            <w:pPr>
              <w:rPr>
                <w:rFonts w:cs="Arial"/>
                <w:szCs w:val="22"/>
                <w:lang w:eastAsia="en-AU"/>
              </w:rPr>
            </w:pPr>
            <w:r w:rsidRPr="001578D1">
              <w:rPr>
                <w:rFonts w:cs="Arial"/>
                <w:szCs w:val="22"/>
                <w:lang w:eastAsia="en-AU"/>
              </w:rPr>
              <w:t>HDR</w:t>
            </w:r>
          </w:p>
        </w:tc>
        <w:tc>
          <w:tcPr>
            <w:tcW w:w="5103" w:type="dxa"/>
            <w:tcBorders>
              <w:top w:val="nil"/>
              <w:left w:val="nil"/>
              <w:bottom w:val="nil"/>
              <w:right w:val="nil"/>
            </w:tcBorders>
            <w:shd w:val="clear" w:color="auto" w:fill="auto"/>
            <w:vAlign w:val="center"/>
            <w:hideMark/>
          </w:tcPr>
          <w:p w14:paraId="733DF798" w14:textId="77777777" w:rsidR="001578D1" w:rsidRPr="001578D1" w:rsidRDefault="001578D1" w:rsidP="001578D1">
            <w:pPr>
              <w:rPr>
                <w:rFonts w:cs="Arial"/>
                <w:szCs w:val="22"/>
                <w:lang w:eastAsia="en-AU"/>
              </w:rPr>
            </w:pPr>
            <w:r w:rsidRPr="001578D1">
              <w:rPr>
                <w:rFonts w:cs="Arial"/>
                <w:szCs w:val="22"/>
                <w:lang w:eastAsia="en-AU"/>
              </w:rPr>
              <w:t>Higher Degree Research</w:t>
            </w:r>
          </w:p>
        </w:tc>
      </w:tr>
      <w:tr w:rsidR="001578D1" w:rsidRPr="001578D1" w14:paraId="5D2523A2" w14:textId="77777777" w:rsidTr="00950107">
        <w:trPr>
          <w:trHeight w:val="300"/>
        </w:trPr>
        <w:tc>
          <w:tcPr>
            <w:tcW w:w="1134" w:type="dxa"/>
            <w:tcBorders>
              <w:top w:val="nil"/>
              <w:left w:val="nil"/>
              <w:bottom w:val="nil"/>
              <w:right w:val="nil"/>
            </w:tcBorders>
            <w:shd w:val="clear" w:color="auto" w:fill="auto"/>
            <w:vAlign w:val="center"/>
            <w:hideMark/>
          </w:tcPr>
          <w:p w14:paraId="498BA7B6" w14:textId="77777777" w:rsidR="001578D1" w:rsidRPr="001578D1" w:rsidRDefault="001578D1" w:rsidP="001578D1">
            <w:pPr>
              <w:rPr>
                <w:rFonts w:cs="Arial"/>
                <w:szCs w:val="22"/>
                <w:lang w:eastAsia="en-AU"/>
              </w:rPr>
            </w:pPr>
            <w:r w:rsidRPr="001578D1">
              <w:rPr>
                <w:rFonts w:cs="Arial"/>
                <w:szCs w:val="22"/>
                <w:lang w:eastAsia="en-AU"/>
              </w:rPr>
              <w:t>HECS</w:t>
            </w:r>
          </w:p>
        </w:tc>
        <w:tc>
          <w:tcPr>
            <w:tcW w:w="5103" w:type="dxa"/>
            <w:tcBorders>
              <w:top w:val="nil"/>
              <w:left w:val="nil"/>
              <w:bottom w:val="nil"/>
              <w:right w:val="nil"/>
            </w:tcBorders>
            <w:shd w:val="clear" w:color="auto" w:fill="auto"/>
            <w:vAlign w:val="center"/>
            <w:hideMark/>
          </w:tcPr>
          <w:p w14:paraId="0DADBC80" w14:textId="77777777" w:rsidR="001578D1" w:rsidRPr="001578D1" w:rsidRDefault="001578D1" w:rsidP="001578D1">
            <w:pPr>
              <w:rPr>
                <w:rFonts w:cs="Arial"/>
                <w:szCs w:val="22"/>
                <w:lang w:eastAsia="en-AU"/>
              </w:rPr>
            </w:pPr>
            <w:r w:rsidRPr="001578D1">
              <w:rPr>
                <w:rFonts w:cs="Arial"/>
                <w:szCs w:val="22"/>
                <w:lang w:eastAsia="en-AU"/>
              </w:rPr>
              <w:t>Higher Education Contribution Scheme</w:t>
            </w:r>
          </w:p>
        </w:tc>
      </w:tr>
      <w:tr w:rsidR="001578D1" w:rsidRPr="001578D1" w14:paraId="09BD3594" w14:textId="77777777" w:rsidTr="00950107">
        <w:trPr>
          <w:trHeight w:val="300"/>
        </w:trPr>
        <w:tc>
          <w:tcPr>
            <w:tcW w:w="1134" w:type="dxa"/>
            <w:tcBorders>
              <w:top w:val="nil"/>
              <w:left w:val="nil"/>
              <w:bottom w:val="nil"/>
              <w:right w:val="nil"/>
            </w:tcBorders>
            <w:shd w:val="clear" w:color="auto" w:fill="auto"/>
            <w:vAlign w:val="center"/>
            <w:hideMark/>
          </w:tcPr>
          <w:p w14:paraId="74D4F356" w14:textId="77777777" w:rsidR="001578D1" w:rsidRPr="001578D1" w:rsidRDefault="001578D1" w:rsidP="001578D1">
            <w:pPr>
              <w:rPr>
                <w:rFonts w:cs="Arial"/>
                <w:szCs w:val="22"/>
                <w:lang w:eastAsia="en-AU"/>
              </w:rPr>
            </w:pPr>
            <w:r w:rsidRPr="001578D1">
              <w:rPr>
                <w:rFonts w:cs="Arial"/>
                <w:szCs w:val="22"/>
                <w:lang w:eastAsia="en-AU"/>
              </w:rPr>
              <w:t>HEFCE</w:t>
            </w:r>
          </w:p>
        </w:tc>
        <w:tc>
          <w:tcPr>
            <w:tcW w:w="5103" w:type="dxa"/>
            <w:tcBorders>
              <w:top w:val="nil"/>
              <w:left w:val="nil"/>
              <w:bottom w:val="nil"/>
              <w:right w:val="nil"/>
            </w:tcBorders>
            <w:shd w:val="clear" w:color="auto" w:fill="auto"/>
            <w:vAlign w:val="center"/>
            <w:hideMark/>
          </w:tcPr>
          <w:p w14:paraId="28882341" w14:textId="77777777" w:rsidR="001578D1" w:rsidRPr="001578D1" w:rsidRDefault="001578D1" w:rsidP="001578D1">
            <w:pPr>
              <w:rPr>
                <w:rFonts w:cs="Arial"/>
                <w:szCs w:val="22"/>
                <w:lang w:eastAsia="en-AU"/>
              </w:rPr>
            </w:pPr>
            <w:r w:rsidRPr="001578D1">
              <w:rPr>
                <w:rFonts w:cs="Arial"/>
                <w:szCs w:val="22"/>
                <w:lang w:eastAsia="en-AU"/>
              </w:rPr>
              <w:t>Higher Education Funding Council for England</w:t>
            </w:r>
          </w:p>
        </w:tc>
      </w:tr>
      <w:tr w:rsidR="001578D1" w:rsidRPr="001578D1" w14:paraId="3ECE608C" w14:textId="77777777" w:rsidTr="00950107">
        <w:trPr>
          <w:trHeight w:val="300"/>
        </w:trPr>
        <w:tc>
          <w:tcPr>
            <w:tcW w:w="1134" w:type="dxa"/>
            <w:tcBorders>
              <w:top w:val="nil"/>
              <w:left w:val="nil"/>
              <w:bottom w:val="nil"/>
              <w:right w:val="nil"/>
            </w:tcBorders>
            <w:shd w:val="clear" w:color="auto" w:fill="auto"/>
            <w:vAlign w:val="center"/>
            <w:hideMark/>
          </w:tcPr>
          <w:p w14:paraId="3ABD34C0" w14:textId="77777777" w:rsidR="001578D1" w:rsidRPr="001578D1" w:rsidRDefault="001578D1" w:rsidP="001578D1">
            <w:pPr>
              <w:rPr>
                <w:rFonts w:cs="Arial"/>
                <w:szCs w:val="22"/>
                <w:lang w:eastAsia="en-AU"/>
              </w:rPr>
            </w:pPr>
            <w:r w:rsidRPr="001578D1">
              <w:rPr>
                <w:rFonts w:cs="Arial"/>
                <w:szCs w:val="22"/>
                <w:lang w:eastAsia="en-AU"/>
              </w:rPr>
              <w:t>HEIMS</w:t>
            </w:r>
          </w:p>
        </w:tc>
        <w:tc>
          <w:tcPr>
            <w:tcW w:w="5103" w:type="dxa"/>
            <w:tcBorders>
              <w:top w:val="nil"/>
              <w:left w:val="nil"/>
              <w:bottom w:val="nil"/>
              <w:right w:val="nil"/>
            </w:tcBorders>
            <w:shd w:val="clear" w:color="auto" w:fill="auto"/>
            <w:vAlign w:val="center"/>
            <w:hideMark/>
          </w:tcPr>
          <w:p w14:paraId="079D7641" w14:textId="77777777" w:rsidR="001578D1" w:rsidRPr="001578D1" w:rsidRDefault="001578D1" w:rsidP="001578D1">
            <w:pPr>
              <w:rPr>
                <w:rFonts w:cs="Arial"/>
                <w:szCs w:val="22"/>
                <w:lang w:eastAsia="en-AU"/>
              </w:rPr>
            </w:pPr>
            <w:r w:rsidRPr="001578D1">
              <w:rPr>
                <w:rFonts w:cs="Arial"/>
                <w:szCs w:val="22"/>
                <w:lang w:eastAsia="en-AU"/>
              </w:rPr>
              <w:t>Higher Educatio</w:t>
            </w:r>
            <w:r w:rsidR="00593960">
              <w:rPr>
                <w:rFonts w:cs="Arial"/>
                <w:szCs w:val="22"/>
                <w:lang w:eastAsia="en-AU"/>
              </w:rPr>
              <w:t>n Information Management System</w:t>
            </w:r>
          </w:p>
        </w:tc>
      </w:tr>
      <w:tr w:rsidR="001578D1" w:rsidRPr="001578D1" w14:paraId="0268BE4C" w14:textId="77777777" w:rsidTr="00950107">
        <w:trPr>
          <w:trHeight w:val="300"/>
        </w:trPr>
        <w:tc>
          <w:tcPr>
            <w:tcW w:w="1134" w:type="dxa"/>
            <w:tcBorders>
              <w:top w:val="nil"/>
              <w:left w:val="nil"/>
              <w:bottom w:val="nil"/>
              <w:right w:val="nil"/>
            </w:tcBorders>
            <w:shd w:val="clear" w:color="auto" w:fill="auto"/>
            <w:vAlign w:val="center"/>
            <w:hideMark/>
          </w:tcPr>
          <w:p w14:paraId="0E5AB8E6" w14:textId="77777777" w:rsidR="001578D1" w:rsidRPr="001578D1" w:rsidRDefault="001578D1" w:rsidP="001578D1">
            <w:pPr>
              <w:rPr>
                <w:rFonts w:cs="Arial"/>
                <w:szCs w:val="22"/>
                <w:lang w:eastAsia="en-AU"/>
              </w:rPr>
            </w:pPr>
            <w:r w:rsidRPr="001578D1">
              <w:rPr>
                <w:rFonts w:cs="Arial"/>
                <w:szCs w:val="22"/>
                <w:lang w:eastAsia="en-AU"/>
              </w:rPr>
              <w:t>HELP</w:t>
            </w:r>
          </w:p>
        </w:tc>
        <w:tc>
          <w:tcPr>
            <w:tcW w:w="5103" w:type="dxa"/>
            <w:tcBorders>
              <w:top w:val="nil"/>
              <w:left w:val="nil"/>
              <w:bottom w:val="nil"/>
              <w:right w:val="nil"/>
            </w:tcBorders>
            <w:shd w:val="clear" w:color="auto" w:fill="auto"/>
            <w:vAlign w:val="center"/>
            <w:hideMark/>
          </w:tcPr>
          <w:p w14:paraId="49740175" w14:textId="77777777" w:rsidR="001578D1" w:rsidRPr="001578D1" w:rsidRDefault="001578D1" w:rsidP="001578D1">
            <w:pPr>
              <w:rPr>
                <w:rFonts w:cs="Arial"/>
                <w:szCs w:val="22"/>
                <w:lang w:eastAsia="en-AU"/>
              </w:rPr>
            </w:pPr>
            <w:r w:rsidRPr="001578D1">
              <w:rPr>
                <w:rFonts w:cs="Arial"/>
                <w:szCs w:val="22"/>
                <w:lang w:eastAsia="en-AU"/>
              </w:rPr>
              <w:t>Higher Education Loan Program</w:t>
            </w:r>
          </w:p>
        </w:tc>
      </w:tr>
      <w:tr w:rsidR="001578D1" w:rsidRPr="001578D1" w14:paraId="5F116C79" w14:textId="77777777" w:rsidTr="00950107">
        <w:trPr>
          <w:trHeight w:val="300"/>
        </w:trPr>
        <w:tc>
          <w:tcPr>
            <w:tcW w:w="1134" w:type="dxa"/>
            <w:tcBorders>
              <w:top w:val="nil"/>
              <w:left w:val="nil"/>
              <w:bottom w:val="nil"/>
              <w:right w:val="nil"/>
            </w:tcBorders>
            <w:shd w:val="clear" w:color="auto" w:fill="auto"/>
            <w:vAlign w:val="center"/>
            <w:hideMark/>
          </w:tcPr>
          <w:p w14:paraId="07592674" w14:textId="77777777" w:rsidR="001578D1" w:rsidRPr="001578D1" w:rsidRDefault="001578D1" w:rsidP="001578D1">
            <w:pPr>
              <w:rPr>
                <w:rFonts w:cs="Arial"/>
                <w:szCs w:val="22"/>
                <w:lang w:eastAsia="en-AU"/>
              </w:rPr>
            </w:pPr>
            <w:r w:rsidRPr="001578D1">
              <w:rPr>
                <w:rFonts w:cs="Arial"/>
                <w:szCs w:val="22"/>
                <w:lang w:eastAsia="en-AU"/>
              </w:rPr>
              <w:t>IQR</w:t>
            </w:r>
          </w:p>
        </w:tc>
        <w:tc>
          <w:tcPr>
            <w:tcW w:w="5103" w:type="dxa"/>
            <w:tcBorders>
              <w:top w:val="nil"/>
              <w:left w:val="nil"/>
              <w:bottom w:val="nil"/>
              <w:right w:val="nil"/>
            </w:tcBorders>
            <w:shd w:val="clear" w:color="auto" w:fill="auto"/>
            <w:vAlign w:val="center"/>
            <w:hideMark/>
          </w:tcPr>
          <w:p w14:paraId="0224F681" w14:textId="77777777" w:rsidR="001578D1" w:rsidRPr="001578D1" w:rsidRDefault="001578D1" w:rsidP="001578D1">
            <w:pPr>
              <w:rPr>
                <w:rFonts w:cs="Arial"/>
                <w:szCs w:val="22"/>
                <w:lang w:eastAsia="en-AU"/>
              </w:rPr>
            </w:pPr>
            <w:r w:rsidRPr="001578D1">
              <w:rPr>
                <w:rFonts w:cs="Arial"/>
                <w:szCs w:val="22"/>
                <w:lang w:eastAsia="en-AU"/>
              </w:rPr>
              <w:t>Interquartile Range</w:t>
            </w:r>
          </w:p>
        </w:tc>
      </w:tr>
      <w:tr w:rsidR="001578D1" w:rsidRPr="001578D1" w14:paraId="78A82E2E" w14:textId="77777777" w:rsidTr="00950107">
        <w:trPr>
          <w:trHeight w:val="300"/>
        </w:trPr>
        <w:tc>
          <w:tcPr>
            <w:tcW w:w="1134" w:type="dxa"/>
            <w:tcBorders>
              <w:top w:val="nil"/>
              <w:left w:val="nil"/>
              <w:bottom w:val="nil"/>
              <w:right w:val="nil"/>
            </w:tcBorders>
            <w:shd w:val="clear" w:color="auto" w:fill="auto"/>
            <w:vAlign w:val="center"/>
            <w:hideMark/>
          </w:tcPr>
          <w:p w14:paraId="3A7B42B1" w14:textId="77777777" w:rsidR="001578D1" w:rsidRPr="001578D1" w:rsidRDefault="001578D1" w:rsidP="001578D1">
            <w:pPr>
              <w:rPr>
                <w:rFonts w:cs="Arial"/>
                <w:szCs w:val="22"/>
                <w:lang w:eastAsia="en-AU"/>
              </w:rPr>
            </w:pPr>
            <w:r w:rsidRPr="001578D1">
              <w:rPr>
                <w:rFonts w:cs="Arial"/>
                <w:szCs w:val="22"/>
                <w:lang w:eastAsia="en-AU"/>
              </w:rPr>
              <w:t>NZBT</w:t>
            </w:r>
          </w:p>
        </w:tc>
        <w:tc>
          <w:tcPr>
            <w:tcW w:w="5103" w:type="dxa"/>
            <w:tcBorders>
              <w:top w:val="nil"/>
              <w:left w:val="nil"/>
              <w:bottom w:val="nil"/>
              <w:right w:val="nil"/>
            </w:tcBorders>
            <w:shd w:val="clear" w:color="auto" w:fill="auto"/>
            <w:vAlign w:val="center"/>
            <w:hideMark/>
          </w:tcPr>
          <w:p w14:paraId="25BA56FF" w14:textId="77777777" w:rsidR="001578D1" w:rsidRPr="001578D1" w:rsidRDefault="001578D1" w:rsidP="001578D1">
            <w:pPr>
              <w:rPr>
                <w:rFonts w:cs="Arial"/>
                <w:szCs w:val="22"/>
                <w:lang w:eastAsia="en-AU"/>
              </w:rPr>
            </w:pPr>
            <w:r w:rsidRPr="001578D1">
              <w:rPr>
                <w:rFonts w:cs="Arial"/>
                <w:szCs w:val="22"/>
                <w:lang w:eastAsia="en-AU"/>
              </w:rPr>
              <w:t>New Zealand Benchmarking Tool </w:t>
            </w:r>
          </w:p>
        </w:tc>
      </w:tr>
      <w:tr w:rsidR="001578D1" w:rsidRPr="001578D1" w14:paraId="07DBEC77" w14:textId="77777777" w:rsidTr="00950107">
        <w:trPr>
          <w:trHeight w:val="300"/>
        </w:trPr>
        <w:tc>
          <w:tcPr>
            <w:tcW w:w="1134" w:type="dxa"/>
            <w:tcBorders>
              <w:top w:val="nil"/>
              <w:left w:val="nil"/>
              <w:bottom w:val="nil"/>
              <w:right w:val="nil"/>
            </w:tcBorders>
            <w:shd w:val="clear" w:color="auto" w:fill="auto"/>
            <w:vAlign w:val="center"/>
            <w:hideMark/>
          </w:tcPr>
          <w:p w14:paraId="670087BB" w14:textId="77777777" w:rsidR="001578D1" w:rsidRPr="001578D1" w:rsidRDefault="001578D1" w:rsidP="001578D1">
            <w:pPr>
              <w:rPr>
                <w:rFonts w:cs="Arial"/>
                <w:szCs w:val="22"/>
                <w:lang w:eastAsia="en-AU"/>
              </w:rPr>
            </w:pPr>
            <w:r w:rsidRPr="001578D1">
              <w:rPr>
                <w:rFonts w:cs="Arial"/>
                <w:szCs w:val="22"/>
                <w:lang w:eastAsia="en-AU"/>
              </w:rPr>
              <w:t>OLS</w:t>
            </w:r>
          </w:p>
        </w:tc>
        <w:tc>
          <w:tcPr>
            <w:tcW w:w="5103" w:type="dxa"/>
            <w:tcBorders>
              <w:top w:val="nil"/>
              <w:left w:val="nil"/>
              <w:bottom w:val="nil"/>
              <w:right w:val="nil"/>
            </w:tcBorders>
            <w:shd w:val="clear" w:color="auto" w:fill="auto"/>
            <w:vAlign w:val="center"/>
            <w:hideMark/>
          </w:tcPr>
          <w:p w14:paraId="1A63F5DD" w14:textId="77777777" w:rsidR="001578D1" w:rsidRPr="001578D1" w:rsidRDefault="001578D1" w:rsidP="001578D1">
            <w:pPr>
              <w:rPr>
                <w:rFonts w:cs="Arial"/>
                <w:szCs w:val="22"/>
                <w:lang w:eastAsia="en-AU"/>
              </w:rPr>
            </w:pPr>
            <w:r w:rsidRPr="001578D1">
              <w:rPr>
                <w:rFonts w:cs="Arial"/>
                <w:szCs w:val="22"/>
                <w:lang w:eastAsia="en-AU"/>
              </w:rPr>
              <w:t>Ordinary Least Squares</w:t>
            </w:r>
          </w:p>
        </w:tc>
      </w:tr>
      <w:tr w:rsidR="001578D1" w:rsidRPr="001578D1" w14:paraId="001926F6" w14:textId="77777777" w:rsidTr="00950107">
        <w:trPr>
          <w:trHeight w:val="300"/>
        </w:trPr>
        <w:tc>
          <w:tcPr>
            <w:tcW w:w="1134" w:type="dxa"/>
            <w:tcBorders>
              <w:top w:val="nil"/>
              <w:left w:val="nil"/>
              <w:bottom w:val="nil"/>
              <w:right w:val="nil"/>
            </w:tcBorders>
            <w:shd w:val="clear" w:color="auto" w:fill="auto"/>
            <w:vAlign w:val="center"/>
            <w:hideMark/>
          </w:tcPr>
          <w:p w14:paraId="1B0B4828" w14:textId="77777777" w:rsidR="001578D1" w:rsidRPr="001578D1" w:rsidRDefault="001578D1" w:rsidP="001578D1">
            <w:pPr>
              <w:rPr>
                <w:rFonts w:cs="Arial"/>
                <w:szCs w:val="22"/>
                <w:lang w:eastAsia="en-AU"/>
              </w:rPr>
            </w:pPr>
            <w:r w:rsidRPr="001578D1">
              <w:rPr>
                <w:rFonts w:cs="Arial"/>
                <w:szCs w:val="22"/>
                <w:lang w:eastAsia="en-AU"/>
              </w:rPr>
              <w:t>RFM</w:t>
            </w:r>
          </w:p>
        </w:tc>
        <w:tc>
          <w:tcPr>
            <w:tcW w:w="5103" w:type="dxa"/>
            <w:tcBorders>
              <w:top w:val="nil"/>
              <w:left w:val="nil"/>
              <w:bottom w:val="nil"/>
              <w:right w:val="nil"/>
            </w:tcBorders>
            <w:shd w:val="clear" w:color="auto" w:fill="auto"/>
            <w:vAlign w:val="center"/>
            <w:hideMark/>
          </w:tcPr>
          <w:p w14:paraId="1ADBDF7B" w14:textId="77777777" w:rsidR="001578D1" w:rsidRPr="001578D1" w:rsidRDefault="001578D1" w:rsidP="001578D1">
            <w:pPr>
              <w:rPr>
                <w:rFonts w:cs="Arial"/>
                <w:szCs w:val="22"/>
                <w:lang w:eastAsia="en-AU"/>
              </w:rPr>
            </w:pPr>
            <w:r w:rsidRPr="001578D1">
              <w:rPr>
                <w:rFonts w:cs="Arial"/>
                <w:szCs w:val="22"/>
                <w:lang w:eastAsia="en-AU"/>
              </w:rPr>
              <w:t>Relative Funding Model</w:t>
            </w:r>
          </w:p>
        </w:tc>
      </w:tr>
      <w:tr w:rsidR="001578D1" w:rsidRPr="001578D1" w14:paraId="57A58FE7" w14:textId="77777777" w:rsidTr="00950107">
        <w:trPr>
          <w:trHeight w:val="300"/>
        </w:trPr>
        <w:tc>
          <w:tcPr>
            <w:tcW w:w="1134" w:type="dxa"/>
            <w:tcBorders>
              <w:top w:val="nil"/>
              <w:left w:val="nil"/>
              <w:bottom w:val="nil"/>
              <w:right w:val="nil"/>
            </w:tcBorders>
            <w:shd w:val="clear" w:color="auto" w:fill="auto"/>
            <w:vAlign w:val="center"/>
            <w:hideMark/>
          </w:tcPr>
          <w:p w14:paraId="5FF86476" w14:textId="77777777" w:rsidR="001578D1" w:rsidRPr="001578D1" w:rsidRDefault="001578D1" w:rsidP="001578D1">
            <w:pPr>
              <w:rPr>
                <w:rFonts w:cs="Arial"/>
                <w:szCs w:val="22"/>
                <w:lang w:eastAsia="en-AU"/>
              </w:rPr>
            </w:pPr>
            <w:r w:rsidRPr="001578D1">
              <w:rPr>
                <w:rFonts w:cs="Arial"/>
                <w:szCs w:val="22"/>
                <w:lang w:eastAsia="en-AU"/>
              </w:rPr>
              <w:t>SAC</w:t>
            </w:r>
          </w:p>
        </w:tc>
        <w:tc>
          <w:tcPr>
            <w:tcW w:w="5103" w:type="dxa"/>
            <w:tcBorders>
              <w:top w:val="nil"/>
              <w:left w:val="nil"/>
              <w:bottom w:val="nil"/>
              <w:right w:val="nil"/>
            </w:tcBorders>
            <w:shd w:val="clear" w:color="auto" w:fill="auto"/>
            <w:vAlign w:val="center"/>
            <w:hideMark/>
          </w:tcPr>
          <w:p w14:paraId="5732EC71" w14:textId="77777777" w:rsidR="001578D1" w:rsidRPr="001578D1" w:rsidRDefault="001578D1" w:rsidP="001578D1">
            <w:pPr>
              <w:rPr>
                <w:rFonts w:cs="Arial"/>
                <w:szCs w:val="22"/>
                <w:lang w:eastAsia="en-AU"/>
              </w:rPr>
            </w:pPr>
            <w:r w:rsidRPr="001578D1">
              <w:rPr>
                <w:rFonts w:cs="Arial"/>
                <w:szCs w:val="22"/>
                <w:lang w:eastAsia="en-AU"/>
              </w:rPr>
              <w:t>Student Achievement Component</w:t>
            </w:r>
          </w:p>
        </w:tc>
      </w:tr>
      <w:tr w:rsidR="001578D1" w:rsidRPr="001578D1" w14:paraId="78F901DB" w14:textId="77777777" w:rsidTr="00950107">
        <w:trPr>
          <w:trHeight w:val="300"/>
        </w:trPr>
        <w:tc>
          <w:tcPr>
            <w:tcW w:w="1134" w:type="dxa"/>
            <w:tcBorders>
              <w:top w:val="nil"/>
              <w:left w:val="nil"/>
              <w:bottom w:val="nil"/>
              <w:right w:val="nil"/>
            </w:tcBorders>
            <w:shd w:val="clear" w:color="auto" w:fill="auto"/>
            <w:vAlign w:val="center"/>
            <w:hideMark/>
          </w:tcPr>
          <w:p w14:paraId="058E7D7E" w14:textId="77777777" w:rsidR="001578D1" w:rsidRPr="001578D1" w:rsidRDefault="001578D1" w:rsidP="001578D1">
            <w:pPr>
              <w:rPr>
                <w:rFonts w:cs="Arial"/>
                <w:szCs w:val="22"/>
                <w:lang w:eastAsia="en-AU"/>
              </w:rPr>
            </w:pPr>
            <w:r w:rsidRPr="001578D1">
              <w:rPr>
                <w:rFonts w:cs="Arial"/>
                <w:szCs w:val="22"/>
                <w:lang w:eastAsia="en-AU"/>
              </w:rPr>
              <w:t>SES</w:t>
            </w:r>
          </w:p>
        </w:tc>
        <w:tc>
          <w:tcPr>
            <w:tcW w:w="5103" w:type="dxa"/>
            <w:tcBorders>
              <w:top w:val="nil"/>
              <w:left w:val="nil"/>
              <w:bottom w:val="nil"/>
              <w:right w:val="nil"/>
            </w:tcBorders>
            <w:shd w:val="clear" w:color="auto" w:fill="auto"/>
            <w:vAlign w:val="center"/>
            <w:hideMark/>
          </w:tcPr>
          <w:p w14:paraId="467105D1" w14:textId="77777777" w:rsidR="001578D1" w:rsidRPr="001578D1" w:rsidRDefault="001578D1" w:rsidP="001578D1">
            <w:pPr>
              <w:rPr>
                <w:rFonts w:cs="Arial"/>
                <w:szCs w:val="22"/>
                <w:lang w:eastAsia="en-AU"/>
              </w:rPr>
            </w:pPr>
            <w:r w:rsidRPr="001578D1">
              <w:rPr>
                <w:rFonts w:cs="Arial"/>
                <w:szCs w:val="22"/>
                <w:lang w:eastAsia="en-AU"/>
              </w:rPr>
              <w:t>Student Experience Survey</w:t>
            </w:r>
          </w:p>
        </w:tc>
      </w:tr>
      <w:tr w:rsidR="001578D1" w:rsidRPr="001578D1" w14:paraId="1E5A58F6" w14:textId="77777777" w:rsidTr="00950107">
        <w:trPr>
          <w:trHeight w:val="300"/>
        </w:trPr>
        <w:tc>
          <w:tcPr>
            <w:tcW w:w="1134" w:type="dxa"/>
            <w:tcBorders>
              <w:top w:val="nil"/>
              <w:left w:val="nil"/>
              <w:bottom w:val="nil"/>
              <w:right w:val="nil"/>
            </w:tcBorders>
            <w:shd w:val="clear" w:color="auto" w:fill="auto"/>
            <w:vAlign w:val="center"/>
            <w:hideMark/>
          </w:tcPr>
          <w:p w14:paraId="03C93416" w14:textId="77777777" w:rsidR="001578D1" w:rsidRPr="001578D1" w:rsidRDefault="001578D1" w:rsidP="001578D1">
            <w:pPr>
              <w:rPr>
                <w:rFonts w:cs="Arial"/>
                <w:szCs w:val="22"/>
                <w:lang w:eastAsia="en-AU"/>
              </w:rPr>
            </w:pPr>
            <w:r w:rsidRPr="001578D1">
              <w:rPr>
                <w:rFonts w:cs="Arial"/>
                <w:szCs w:val="22"/>
                <w:lang w:eastAsia="en-AU"/>
              </w:rPr>
              <w:t>SFA</w:t>
            </w:r>
          </w:p>
        </w:tc>
        <w:tc>
          <w:tcPr>
            <w:tcW w:w="5103" w:type="dxa"/>
            <w:tcBorders>
              <w:top w:val="nil"/>
              <w:left w:val="nil"/>
              <w:bottom w:val="nil"/>
              <w:right w:val="nil"/>
            </w:tcBorders>
            <w:shd w:val="clear" w:color="auto" w:fill="auto"/>
            <w:vAlign w:val="center"/>
            <w:hideMark/>
          </w:tcPr>
          <w:p w14:paraId="58DFD77A" w14:textId="77777777" w:rsidR="001578D1" w:rsidRPr="001578D1" w:rsidRDefault="001578D1" w:rsidP="001578D1">
            <w:pPr>
              <w:rPr>
                <w:rFonts w:cs="Arial"/>
                <w:szCs w:val="22"/>
                <w:lang w:eastAsia="en-AU"/>
              </w:rPr>
            </w:pPr>
            <w:r w:rsidRPr="001578D1">
              <w:rPr>
                <w:rFonts w:cs="Arial"/>
                <w:szCs w:val="22"/>
                <w:lang w:eastAsia="en-AU"/>
              </w:rPr>
              <w:t>Stochastic Frontier Analysis</w:t>
            </w:r>
          </w:p>
        </w:tc>
      </w:tr>
      <w:tr w:rsidR="001578D1" w:rsidRPr="001578D1" w14:paraId="0A1BB0A2" w14:textId="77777777" w:rsidTr="00950107">
        <w:trPr>
          <w:trHeight w:val="300"/>
        </w:trPr>
        <w:tc>
          <w:tcPr>
            <w:tcW w:w="1134" w:type="dxa"/>
            <w:tcBorders>
              <w:top w:val="nil"/>
              <w:left w:val="nil"/>
              <w:bottom w:val="nil"/>
              <w:right w:val="nil"/>
            </w:tcBorders>
            <w:shd w:val="clear" w:color="auto" w:fill="auto"/>
            <w:vAlign w:val="center"/>
            <w:hideMark/>
          </w:tcPr>
          <w:p w14:paraId="0B138F97" w14:textId="77777777" w:rsidR="001578D1" w:rsidRPr="001578D1" w:rsidRDefault="001578D1" w:rsidP="001578D1">
            <w:pPr>
              <w:rPr>
                <w:rFonts w:cs="Arial"/>
                <w:szCs w:val="22"/>
                <w:lang w:eastAsia="en-AU"/>
              </w:rPr>
            </w:pPr>
            <w:r w:rsidRPr="001578D1">
              <w:rPr>
                <w:rFonts w:cs="Arial"/>
                <w:szCs w:val="22"/>
                <w:lang w:eastAsia="en-AU"/>
              </w:rPr>
              <w:t>TEQSA</w:t>
            </w:r>
          </w:p>
        </w:tc>
        <w:tc>
          <w:tcPr>
            <w:tcW w:w="5103" w:type="dxa"/>
            <w:tcBorders>
              <w:top w:val="nil"/>
              <w:left w:val="nil"/>
              <w:bottom w:val="nil"/>
              <w:right w:val="nil"/>
            </w:tcBorders>
            <w:shd w:val="clear" w:color="auto" w:fill="auto"/>
            <w:vAlign w:val="center"/>
            <w:hideMark/>
          </w:tcPr>
          <w:p w14:paraId="08784C81" w14:textId="77777777" w:rsidR="001578D1" w:rsidRPr="001578D1" w:rsidRDefault="001578D1" w:rsidP="001578D1">
            <w:pPr>
              <w:rPr>
                <w:rFonts w:cs="Arial"/>
                <w:szCs w:val="22"/>
                <w:lang w:eastAsia="en-AU"/>
              </w:rPr>
            </w:pPr>
            <w:r w:rsidRPr="001578D1">
              <w:rPr>
                <w:rFonts w:cs="Arial"/>
                <w:szCs w:val="22"/>
                <w:lang w:eastAsia="en-AU"/>
              </w:rPr>
              <w:t xml:space="preserve">Tertiary Education Quality </w:t>
            </w:r>
            <w:r w:rsidR="00593960">
              <w:rPr>
                <w:rFonts w:cs="Arial"/>
                <w:szCs w:val="22"/>
                <w:lang w:eastAsia="en-AU"/>
              </w:rPr>
              <w:t xml:space="preserve">and </w:t>
            </w:r>
            <w:r w:rsidRPr="001578D1">
              <w:rPr>
                <w:rFonts w:cs="Arial"/>
                <w:szCs w:val="22"/>
                <w:lang w:eastAsia="en-AU"/>
              </w:rPr>
              <w:t>Standards Authority</w:t>
            </w:r>
          </w:p>
        </w:tc>
      </w:tr>
      <w:tr w:rsidR="001578D1" w:rsidRPr="001578D1" w14:paraId="45B3CA8E" w14:textId="77777777" w:rsidTr="00950107">
        <w:trPr>
          <w:trHeight w:val="315"/>
        </w:trPr>
        <w:tc>
          <w:tcPr>
            <w:tcW w:w="1134" w:type="dxa"/>
            <w:tcBorders>
              <w:top w:val="nil"/>
              <w:left w:val="nil"/>
              <w:bottom w:val="single" w:sz="12" w:space="0" w:color="002776"/>
              <w:right w:val="nil"/>
            </w:tcBorders>
            <w:shd w:val="clear" w:color="auto" w:fill="auto"/>
            <w:vAlign w:val="center"/>
            <w:hideMark/>
          </w:tcPr>
          <w:p w14:paraId="6353DA11" w14:textId="77777777" w:rsidR="001578D1" w:rsidRPr="001578D1" w:rsidRDefault="001578D1" w:rsidP="001578D1">
            <w:pPr>
              <w:rPr>
                <w:rFonts w:cs="Arial"/>
                <w:szCs w:val="22"/>
                <w:lang w:eastAsia="en-AU"/>
              </w:rPr>
            </w:pPr>
            <w:r w:rsidRPr="001578D1">
              <w:rPr>
                <w:rFonts w:cs="Arial"/>
                <w:szCs w:val="22"/>
                <w:lang w:eastAsia="en-AU"/>
              </w:rPr>
              <w:t>TRAC</w:t>
            </w:r>
          </w:p>
        </w:tc>
        <w:tc>
          <w:tcPr>
            <w:tcW w:w="5103" w:type="dxa"/>
            <w:tcBorders>
              <w:top w:val="nil"/>
              <w:left w:val="nil"/>
              <w:bottom w:val="single" w:sz="12" w:space="0" w:color="002776"/>
              <w:right w:val="nil"/>
            </w:tcBorders>
            <w:shd w:val="clear" w:color="auto" w:fill="auto"/>
            <w:vAlign w:val="center"/>
            <w:hideMark/>
          </w:tcPr>
          <w:p w14:paraId="22E1A641" w14:textId="77777777" w:rsidR="001578D1" w:rsidRPr="001578D1" w:rsidRDefault="001578D1" w:rsidP="001578D1">
            <w:pPr>
              <w:rPr>
                <w:rFonts w:cs="Arial"/>
                <w:szCs w:val="22"/>
                <w:lang w:eastAsia="en-AU"/>
              </w:rPr>
            </w:pPr>
            <w:r w:rsidRPr="001578D1">
              <w:rPr>
                <w:rFonts w:cs="Arial"/>
                <w:szCs w:val="22"/>
                <w:lang w:eastAsia="en-AU"/>
              </w:rPr>
              <w:t>Transparent Approach to Costing</w:t>
            </w:r>
          </w:p>
        </w:tc>
      </w:tr>
    </w:tbl>
    <w:p w14:paraId="1D6E733E" w14:textId="77777777" w:rsidR="00E17841" w:rsidRDefault="00E17841" w:rsidP="009B4B43">
      <w:pPr>
        <w:pStyle w:val="SingleLeft"/>
      </w:pPr>
    </w:p>
    <w:p w14:paraId="3147DA35" w14:textId="77777777" w:rsidR="00E17841" w:rsidRPr="005F2DE1" w:rsidRDefault="00E17841" w:rsidP="00950107"/>
    <w:p w14:paraId="2C8ADE13" w14:textId="77777777" w:rsidR="00E17841" w:rsidRPr="00327AA3" w:rsidRDefault="00E17841" w:rsidP="00950107"/>
    <w:p w14:paraId="667648EE" w14:textId="77777777" w:rsidR="00E17841" w:rsidRPr="00520AA3" w:rsidRDefault="00E17841" w:rsidP="00950107"/>
    <w:p w14:paraId="62D8BDFB" w14:textId="77777777" w:rsidR="00E17841" w:rsidRPr="008A079E" w:rsidRDefault="00E17841" w:rsidP="00950107"/>
    <w:p w14:paraId="2FFD3920" w14:textId="77777777" w:rsidR="00E17841" w:rsidRPr="004E7CC3" w:rsidRDefault="00E17841" w:rsidP="00950107"/>
    <w:p w14:paraId="20854C88" w14:textId="77777777" w:rsidR="00E17841" w:rsidRDefault="00E17841" w:rsidP="00950107">
      <w:pPr>
        <w:tabs>
          <w:tab w:val="left" w:pos="2445"/>
        </w:tabs>
      </w:pPr>
      <w:r>
        <w:tab/>
      </w:r>
    </w:p>
    <w:p w14:paraId="34D5B0F5" w14:textId="77777777" w:rsidR="002E7FF6" w:rsidRPr="005F2DE1" w:rsidRDefault="00E17841" w:rsidP="00950107">
      <w:pPr>
        <w:tabs>
          <w:tab w:val="left" w:pos="2445"/>
        </w:tabs>
        <w:sectPr w:rsidR="002E7FF6" w:rsidRPr="005F2DE1" w:rsidSect="000175EC">
          <w:footerReference w:type="first" r:id="rId18"/>
          <w:pgSz w:w="11906" w:h="16838" w:code="9"/>
          <w:pgMar w:top="2268" w:right="1134" w:bottom="1134" w:left="2552" w:header="720" w:footer="720" w:gutter="0"/>
          <w:pgNumType w:fmt="lowerRoman" w:start="1"/>
          <w:cols w:space="720"/>
          <w:titlePg/>
          <w:docGrid w:linePitch="360"/>
        </w:sectPr>
      </w:pPr>
      <w:r>
        <w:tab/>
      </w:r>
    </w:p>
    <w:tbl>
      <w:tblPr>
        <w:tblStyle w:val="TableGrid"/>
        <w:tblW w:w="9782" w:type="dxa"/>
        <w:tblInd w:w="-1281" w:type="dxa"/>
        <w:shd w:val="clear" w:color="auto" w:fill="D9D9D9" w:themeFill="background1" w:themeFillShade="D9"/>
        <w:tblLook w:val="04A0" w:firstRow="1" w:lastRow="0" w:firstColumn="1" w:lastColumn="0" w:noHBand="0" w:noVBand="1"/>
      </w:tblPr>
      <w:tblGrid>
        <w:gridCol w:w="9782"/>
      </w:tblGrid>
      <w:tr w:rsidR="004163F7" w14:paraId="652A6D70" w14:textId="77777777" w:rsidTr="00B764EC">
        <w:trPr>
          <w:cantSplit w:val="0"/>
        </w:trPr>
        <w:tc>
          <w:tcPr>
            <w:tcW w:w="97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27FA6" w14:textId="77777777" w:rsidR="00C52B1C" w:rsidRPr="00E00D70" w:rsidRDefault="00C52B1C" w:rsidP="00C52B1C">
            <w:pPr>
              <w:pStyle w:val="HeadingC"/>
              <w:keepNext w:val="0"/>
              <w:keepLines w:val="0"/>
              <w:spacing w:before="120"/>
              <w:rPr>
                <w:sz w:val="28"/>
              </w:rPr>
            </w:pPr>
            <w:bookmarkStart w:id="3" w:name="_Toc215906318"/>
            <w:bookmarkStart w:id="4" w:name="_Toc227746675"/>
            <w:bookmarkStart w:id="5" w:name="_Toc227746679"/>
            <w:bookmarkStart w:id="6" w:name="_Toc227746683"/>
            <w:bookmarkStart w:id="7" w:name="_Toc227746687"/>
            <w:bookmarkStart w:id="8" w:name="_Toc227748309"/>
            <w:bookmarkStart w:id="9" w:name="_Toc227748327"/>
            <w:bookmarkStart w:id="10" w:name="_Toc227748331"/>
            <w:bookmarkStart w:id="11" w:name="_Toc227748335"/>
            <w:bookmarkStart w:id="12" w:name="_Toc227748374"/>
            <w:bookmarkStart w:id="13" w:name="_Toc227748378"/>
            <w:bookmarkStart w:id="14" w:name="_Toc227748382"/>
            <w:bookmarkStart w:id="15" w:name="_Toc227748494"/>
            <w:bookmarkStart w:id="16" w:name="_Toc227748498"/>
            <w:bookmarkStart w:id="17" w:name="_Toc228005205"/>
            <w:bookmarkStart w:id="18" w:name="_Toc228092496"/>
            <w:bookmarkStart w:id="19" w:name="_Toc228264951"/>
            <w:bookmarkStart w:id="20" w:name="_Toc228264973"/>
            <w:bookmarkStart w:id="21" w:name="_Toc228264977"/>
            <w:bookmarkStart w:id="22" w:name="_Toc228264981"/>
            <w:bookmarkStart w:id="23" w:name="_Toc228264985"/>
            <w:bookmarkStart w:id="24" w:name="_Toc228265215"/>
            <w:bookmarkStart w:id="25" w:name="_Toc288198024"/>
            <w:r w:rsidRPr="00E00D70">
              <w:rPr>
                <w:sz w:val="28"/>
              </w:rPr>
              <w:lastRenderedPageBreak/>
              <w:t xml:space="preserve">Key points </w:t>
            </w:r>
          </w:p>
          <w:p w14:paraId="6617B235" w14:textId="4089C764" w:rsidR="00C52B1C" w:rsidRDefault="00C52B1C" w:rsidP="0063150D">
            <w:pPr>
              <w:pStyle w:val="BodyText"/>
              <w:spacing w:before="120"/>
            </w:pPr>
            <w:r>
              <w:t xml:space="preserve">Deloitte Access Economics was commissioned by the </w:t>
            </w:r>
            <w:r w:rsidR="002402C7">
              <w:t xml:space="preserve">Australian </w:t>
            </w:r>
            <w:r>
              <w:t>Department of Education and Training to estimate and analyse the reasonable cost of higher education teaching and scholarship. This report contains the results of this research.</w:t>
            </w:r>
          </w:p>
          <w:p w14:paraId="361C9038" w14:textId="77777777" w:rsidR="00C52B1C" w:rsidRDefault="00C52B1C" w:rsidP="00C52B1C">
            <w:pPr>
              <w:pStyle w:val="HeadingC"/>
              <w:keepNext w:val="0"/>
              <w:keepLines w:val="0"/>
              <w:spacing w:before="120"/>
            </w:pPr>
            <w:r>
              <w:t>Understanding the current cost of university teaching is important</w:t>
            </w:r>
          </w:p>
          <w:p w14:paraId="00D57C94" w14:textId="746502C4" w:rsidR="00C52B1C" w:rsidRDefault="002402C7" w:rsidP="0063150D">
            <w:pPr>
              <w:pStyle w:val="Bullet1"/>
            </w:pPr>
            <w:r>
              <w:t>As with any organisation</w:t>
            </w:r>
            <w:r w:rsidR="00C52B1C">
              <w:t xml:space="preserve">, </w:t>
            </w:r>
            <w:r w:rsidR="00C52B1C" w:rsidRPr="00164FAF">
              <w:rPr>
                <w:rFonts w:cs="Times New Roman"/>
                <w:b/>
                <w:color w:val="002776"/>
                <w:szCs w:val="22"/>
              </w:rPr>
              <w:t>universities respond to incentives</w:t>
            </w:r>
            <w:r w:rsidR="00C52B1C">
              <w:t xml:space="preserve">. The funding </w:t>
            </w:r>
            <w:r w:rsidR="001538A0">
              <w:t xml:space="preserve">universities </w:t>
            </w:r>
            <w:r w:rsidR="00C52B1C">
              <w:t>receive influences both the scope and scale of the teaching and research activities they undertake. Optimal funding arrangements will be driven by a range of factors, one of which is the cost of provision.</w:t>
            </w:r>
          </w:p>
          <w:p w14:paraId="1918F124" w14:textId="39E36725" w:rsidR="00C52B1C" w:rsidRDefault="00D52A5D" w:rsidP="0063150D">
            <w:pPr>
              <w:pStyle w:val="Bullet1"/>
            </w:pPr>
            <w:r>
              <w:t>D</w:t>
            </w:r>
            <w:r w:rsidR="00C52B1C">
              <w:t xml:space="preserve">espite its importance, </w:t>
            </w:r>
            <w:r w:rsidR="00C52B1C" w:rsidRPr="00164FAF">
              <w:rPr>
                <w:rFonts w:cs="Times New Roman"/>
                <w:b/>
                <w:color w:val="002776"/>
                <w:szCs w:val="22"/>
              </w:rPr>
              <w:t>there is relatively little contemporary evidence on the cost of teaching</w:t>
            </w:r>
            <w:r w:rsidR="00C52B1C">
              <w:t xml:space="preserve"> at Australia</w:t>
            </w:r>
            <w:r w:rsidR="001538A0">
              <w:t>n</w:t>
            </w:r>
            <w:r w:rsidR="00C52B1C">
              <w:t xml:space="preserve"> universities. </w:t>
            </w:r>
            <w:r w:rsidR="001538A0">
              <w:t>In fact, t</w:t>
            </w:r>
            <w:r w:rsidR="00C52B1C">
              <w:t xml:space="preserve">he </w:t>
            </w:r>
            <w:r w:rsidR="001538A0">
              <w:t xml:space="preserve">leading </w:t>
            </w:r>
            <w:r w:rsidR="009C621E">
              <w:t>s</w:t>
            </w:r>
            <w:r w:rsidR="00C52B1C">
              <w:t xml:space="preserve">ource of </w:t>
            </w:r>
            <w:r w:rsidR="001538A0">
              <w:t xml:space="preserve">evidence </w:t>
            </w:r>
            <w:r w:rsidR="00C52B1C">
              <w:t>is</w:t>
            </w:r>
            <w:r w:rsidR="001538A0">
              <w:t xml:space="preserve"> an </w:t>
            </w:r>
            <w:r w:rsidR="00C52B1C">
              <w:t>analysis</w:t>
            </w:r>
            <w:r w:rsidR="009C621E">
              <w:t xml:space="preserve"> based on data from eight universities </w:t>
            </w:r>
            <w:r w:rsidR="001538A0">
              <w:t>conducted</w:t>
            </w:r>
            <w:r w:rsidR="00C52B1C">
              <w:t xml:space="preserve"> by Deloitte Access Economics for the Department in 2011</w:t>
            </w:r>
            <w:r w:rsidR="009C621E">
              <w:t>.</w:t>
            </w:r>
            <w:r w:rsidR="00C52B1C">
              <w:t xml:space="preserve"> </w:t>
            </w:r>
          </w:p>
          <w:p w14:paraId="6CE7AE78" w14:textId="5B4FAC58" w:rsidR="00C52B1C" w:rsidRDefault="00C52B1C" w:rsidP="0063150D">
            <w:pPr>
              <w:pStyle w:val="Bullet1"/>
            </w:pPr>
            <w:r>
              <w:t xml:space="preserve">A number of </w:t>
            </w:r>
            <w:r w:rsidRPr="00164FAF">
              <w:rPr>
                <w:rFonts w:cs="Times New Roman"/>
                <w:b/>
                <w:color w:val="002776"/>
                <w:szCs w:val="22"/>
              </w:rPr>
              <w:t>trends are likely to have driven changes in costs</w:t>
            </w:r>
            <w:r>
              <w:t xml:space="preserve"> over the intervening period</w:t>
            </w:r>
            <w:r w:rsidRPr="00804B7E">
              <w:t>:</w:t>
            </w:r>
          </w:p>
          <w:p w14:paraId="0863759C" w14:textId="5B009C09" w:rsidR="001538A0" w:rsidRDefault="00C52B1C" w:rsidP="0063150D">
            <w:pPr>
              <w:pStyle w:val="Bullet2"/>
            </w:pPr>
            <w:r>
              <w:t xml:space="preserve">The demand driven system has increased student numbers </w:t>
            </w:r>
            <w:r w:rsidR="001538A0">
              <w:t>and changed the composition of the student mix.</w:t>
            </w:r>
          </w:p>
          <w:p w14:paraId="0F1D265F" w14:textId="416EDEA9" w:rsidR="00C52B1C" w:rsidRPr="008E0E82" w:rsidRDefault="001538A0" w:rsidP="0063150D">
            <w:pPr>
              <w:pStyle w:val="Bullet2"/>
            </w:pPr>
            <w:r>
              <w:t xml:space="preserve">Technology has continued to </w:t>
            </w:r>
            <w:r w:rsidR="00D52A5D">
              <w:t>transform</w:t>
            </w:r>
            <w:r>
              <w:t xml:space="preserve"> the way higher education is accessed and delivered. </w:t>
            </w:r>
          </w:p>
          <w:p w14:paraId="6C55D49D" w14:textId="44DA0A33" w:rsidR="00EC1C2B" w:rsidRDefault="00D52A5D" w:rsidP="0063150D">
            <w:pPr>
              <w:pStyle w:val="Bullet2"/>
            </w:pPr>
            <w:r>
              <w:t>Cost growth – such as growth in salaries – has seen unit costs grow at or above the rate of inflation.</w:t>
            </w:r>
          </w:p>
          <w:p w14:paraId="33CA7D87" w14:textId="19905978" w:rsidR="00C52B1C" w:rsidRDefault="00C52B1C" w:rsidP="0063150D">
            <w:pPr>
              <w:pStyle w:val="Bullet1"/>
            </w:pPr>
            <w:r>
              <w:t xml:space="preserve">A robust and </w:t>
            </w:r>
            <w:r w:rsidR="001538A0">
              <w:t xml:space="preserve">contemporary </w:t>
            </w:r>
            <w:r>
              <w:t xml:space="preserve">analysis of teaching costs is therefore needed to assist in </w:t>
            </w:r>
            <w:r w:rsidR="001538A0">
              <w:t xml:space="preserve">optimising </w:t>
            </w:r>
            <w:r>
              <w:t>funding settings</w:t>
            </w:r>
            <w:r w:rsidR="001538A0">
              <w:t xml:space="preserve"> and to</w:t>
            </w:r>
            <w:r>
              <w:t xml:space="preserve"> </w:t>
            </w:r>
            <w:r w:rsidR="001538A0">
              <w:t xml:space="preserve">ensure </w:t>
            </w:r>
            <w:r>
              <w:t xml:space="preserve">universities continue to </w:t>
            </w:r>
            <w:r w:rsidR="001538A0">
              <w:t>face incentives that encourage the</w:t>
            </w:r>
            <w:r w:rsidR="00D52A5D">
              <w:t xml:space="preserve"> sector</w:t>
            </w:r>
            <w:r w:rsidR="001538A0">
              <w:t xml:space="preserve"> to </w:t>
            </w:r>
            <w:r>
              <w:t xml:space="preserve">meet the </w:t>
            </w:r>
            <w:r w:rsidR="001538A0">
              <w:t xml:space="preserve">ever-changing </w:t>
            </w:r>
            <w:r>
              <w:t>demands of students and industry.</w:t>
            </w:r>
          </w:p>
          <w:p w14:paraId="7A3E6C7F" w14:textId="77777777" w:rsidR="00C52B1C" w:rsidRDefault="00C52B1C" w:rsidP="00C52B1C">
            <w:pPr>
              <w:pStyle w:val="HeadingC"/>
              <w:keepNext w:val="0"/>
              <w:keepLines w:val="0"/>
              <w:spacing w:before="120"/>
            </w:pPr>
            <w:r>
              <w:t>The data used in this report</w:t>
            </w:r>
          </w:p>
          <w:p w14:paraId="47D536C7" w14:textId="603B61DB" w:rsidR="00C52B1C" w:rsidRDefault="00C52B1C" w:rsidP="0063150D">
            <w:pPr>
              <w:pStyle w:val="Bullet1"/>
            </w:pPr>
            <w:r>
              <w:t xml:space="preserve">The analysis </w:t>
            </w:r>
            <w:r w:rsidR="00F765F3">
              <w:t xml:space="preserve">in this report </w:t>
            </w:r>
            <w:r>
              <w:t xml:space="preserve">is based on cost data provided by 17 universities. This is more than twice the number in the 2011 exercise and </w:t>
            </w:r>
            <w:r w:rsidR="00F765F3">
              <w:t xml:space="preserve">represents </w:t>
            </w:r>
            <w:r>
              <w:t>half of the sector</w:t>
            </w:r>
            <w:r w:rsidR="00235E7F">
              <w:t xml:space="preserve"> by enrolment</w:t>
            </w:r>
            <w:r w:rsidR="00D52A5D">
              <w:t>s</w:t>
            </w:r>
            <w:r>
              <w:t xml:space="preserve">. Participating universities were emailed a costing spreadsheet asking them to divide costs into salary and non-salary costs by field of education (FOE). </w:t>
            </w:r>
          </w:p>
          <w:p w14:paraId="59A346D5" w14:textId="67124C45" w:rsidR="00C52B1C" w:rsidRPr="00A03C70" w:rsidRDefault="00C52B1C" w:rsidP="00D52A5D">
            <w:pPr>
              <w:pStyle w:val="Bullet1"/>
            </w:pPr>
            <w:r>
              <w:t xml:space="preserve">This is necessarily a complex exercise and various assumptions were made by universities in order to make the provision of data tractable. </w:t>
            </w:r>
            <w:r w:rsidR="00D52A5D">
              <w:t xml:space="preserve"> These assumptions were documented alongside the provision of the data and discussed and explored during consultations with each participating university.  This </w:t>
            </w:r>
            <w:r>
              <w:t xml:space="preserve">process limited the extent to which results are influenced by differences in approach, but </w:t>
            </w:r>
            <w:r w:rsidR="00D52A5D">
              <w:t>some approach-driven differences may nevertheless remain</w:t>
            </w:r>
            <w:r>
              <w:t>.</w:t>
            </w:r>
          </w:p>
          <w:p w14:paraId="67E151B6" w14:textId="77777777" w:rsidR="00C52B1C" w:rsidRDefault="00C52B1C" w:rsidP="00C52B1C">
            <w:pPr>
              <w:pStyle w:val="HeadingC"/>
              <w:keepNext w:val="0"/>
              <w:keepLines w:val="0"/>
              <w:spacing w:before="120"/>
            </w:pPr>
            <w:r>
              <w:t>There are a wide range of costs across universities and FOEs</w:t>
            </w:r>
          </w:p>
          <w:p w14:paraId="4A08A861" w14:textId="77777777" w:rsidR="00C52B1C" w:rsidRDefault="00C52B1C" w:rsidP="0063150D">
            <w:pPr>
              <w:pStyle w:val="Bullet1"/>
            </w:pPr>
            <w:r>
              <w:t xml:space="preserve">The data </w:t>
            </w:r>
            <w:r w:rsidRPr="00021E75">
              <w:t xml:space="preserve">reveals a </w:t>
            </w:r>
            <w:r w:rsidRPr="00804B7E">
              <w:t>relatively</w:t>
            </w:r>
            <w:r w:rsidRPr="00021E75">
              <w:t xml:space="preserve"> wide range of reported costs, both across the 19 FOEs, and across universities within each</w:t>
            </w:r>
            <w:r>
              <w:t xml:space="preserve"> FOE (see the chart below).</w:t>
            </w:r>
          </w:p>
          <w:p w14:paraId="49307558" w14:textId="5385B4B0" w:rsidR="00C52B1C" w:rsidRDefault="00C52B1C" w:rsidP="0063150D">
            <w:pPr>
              <w:pStyle w:val="Bullet1"/>
            </w:pPr>
            <w:r w:rsidRPr="001D07E0">
              <w:rPr>
                <w:b/>
                <w:color w:val="002776"/>
                <w:szCs w:val="22"/>
              </w:rPr>
              <w:t xml:space="preserve">Veterinary </w:t>
            </w:r>
            <w:r w:rsidR="00FF7656">
              <w:rPr>
                <w:b/>
                <w:color w:val="002776"/>
                <w:szCs w:val="22"/>
              </w:rPr>
              <w:t>Studies</w:t>
            </w:r>
            <w:r w:rsidRPr="001D07E0">
              <w:rPr>
                <w:b/>
                <w:color w:val="002776"/>
                <w:szCs w:val="22"/>
              </w:rPr>
              <w:t xml:space="preserve"> ha</w:t>
            </w:r>
            <w:r>
              <w:rPr>
                <w:b/>
                <w:color w:val="002776"/>
                <w:szCs w:val="22"/>
              </w:rPr>
              <w:t>s</w:t>
            </w:r>
            <w:r w:rsidRPr="001D07E0">
              <w:rPr>
                <w:b/>
                <w:color w:val="002776"/>
                <w:szCs w:val="22"/>
              </w:rPr>
              <w:t xml:space="preserve"> the highest </w:t>
            </w:r>
            <w:r w:rsidR="000071B5">
              <w:rPr>
                <w:b/>
                <w:color w:val="002776"/>
                <w:szCs w:val="22"/>
              </w:rPr>
              <w:t>mean</w:t>
            </w:r>
            <w:r w:rsidR="000071B5" w:rsidRPr="001D07E0">
              <w:rPr>
                <w:b/>
                <w:color w:val="002776"/>
                <w:szCs w:val="22"/>
              </w:rPr>
              <w:t xml:space="preserve"> </w:t>
            </w:r>
            <w:r w:rsidRPr="001D07E0">
              <w:rPr>
                <w:b/>
                <w:color w:val="002776"/>
                <w:szCs w:val="22"/>
              </w:rPr>
              <w:t>cost</w:t>
            </w:r>
            <w:r>
              <w:t xml:space="preserve"> of bachelor provision across all FOEs, at around $</w:t>
            </w:r>
            <w:r w:rsidR="000071B5">
              <w:t>49</w:t>
            </w:r>
            <w:r>
              <w:t xml:space="preserve">,000 per EFTSL. This is followed by Dental </w:t>
            </w:r>
            <w:r w:rsidR="00FF7656">
              <w:t>Studies</w:t>
            </w:r>
            <w:r>
              <w:t xml:space="preserve"> at around $4</w:t>
            </w:r>
            <w:r w:rsidR="000071B5">
              <w:t>6</w:t>
            </w:r>
            <w:r>
              <w:t xml:space="preserve">,000, with those </w:t>
            </w:r>
            <w:r w:rsidRPr="001D07E0">
              <w:rPr>
                <w:b/>
                <w:color w:val="002776"/>
                <w:szCs w:val="22"/>
              </w:rPr>
              <w:t>FOEs with lower non-salary costs</w:t>
            </w:r>
            <w:r w:rsidR="003B747C">
              <w:rPr>
                <w:b/>
                <w:color w:val="002776"/>
                <w:szCs w:val="22"/>
              </w:rPr>
              <w:t xml:space="preserve">, such as </w:t>
            </w:r>
            <w:r w:rsidR="00CC5F24">
              <w:rPr>
                <w:b/>
                <w:color w:val="002776"/>
                <w:szCs w:val="22"/>
              </w:rPr>
              <w:t>Education</w:t>
            </w:r>
            <w:r w:rsidR="008B0C64">
              <w:rPr>
                <w:b/>
                <w:color w:val="002776"/>
                <w:szCs w:val="22"/>
              </w:rPr>
              <w:t>,</w:t>
            </w:r>
            <w:r w:rsidRPr="001D07E0">
              <w:rPr>
                <w:b/>
                <w:color w:val="002776"/>
                <w:szCs w:val="22"/>
              </w:rPr>
              <w:t xml:space="preserve"> at the lower end</w:t>
            </w:r>
            <w:r>
              <w:t xml:space="preserve"> of the cost range (around $1</w:t>
            </w:r>
            <w:r w:rsidR="000071B5">
              <w:t>2,000-1</w:t>
            </w:r>
            <w:r>
              <w:t>5,000).</w:t>
            </w:r>
          </w:p>
          <w:p w14:paraId="63127E38" w14:textId="6397EF31" w:rsidR="00C52B1C" w:rsidRDefault="00C52B1C" w:rsidP="0063150D">
            <w:pPr>
              <w:pStyle w:val="Bullet1"/>
            </w:pPr>
            <w:r w:rsidRPr="001D07E0">
              <w:t>At the postgraduate level (not shown</w:t>
            </w:r>
            <w:r>
              <w:t xml:space="preserve">), Dental Studies, Other Agricultural and Environmental Studies and Veterinary Studies display the highest average costs, with the range of costs within each </w:t>
            </w:r>
            <w:r w:rsidR="008B0C64">
              <w:t>FOE</w:t>
            </w:r>
            <w:r w:rsidR="003B747C">
              <w:t xml:space="preserve"> </w:t>
            </w:r>
            <w:r>
              <w:t xml:space="preserve">being generally greater at the postgraduate level. </w:t>
            </w:r>
          </w:p>
          <w:p w14:paraId="57810E99" w14:textId="3CEE196C" w:rsidR="00C52B1C" w:rsidRDefault="00C52B1C" w:rsidP="0063150D">
            <w:pPr>
              <w:pStyle w:val="Bullet1"/>
            </w:pPr>
            <w:r>
              <w:t xml:space="preserve">The relative ranking of FOEs is largely unchanged from the 2011 </w:t>
            </w:r>
            <w:r w:rsidR="0019726C">
              <w:t xml:space="preserve">analysis </w:t>
            </w:r>
            <w:r>
              <w:t xml:space="preserve">– </w:t>
            </w:r>
            <w:r w:rsidR="0063150D">
              <w:t xml:space="preserve">using </w:t>
            </w:r>
            <w:r>
              <w:t xml:space="preserve">2010 data – at both the bachelor and postgraduate level. However, the relatively small (and different) sample used in the 2011 study makes accurate comparisons </w:t>
            </w:r>
            <w:r w:rsidR="008B0C64">
              <w:t>infeasible</w:t>
            </w:r>
            <w:r>
              <w:t>.</w:t>
            </w:r>
          </w:p>
          <w:p w14:paraId="0D19DEC6" w14:textId="77777777" w:rsidR="00C52B1C" w:rsidRDefault="00C52B1C" w:rsidP="0063150D">
            <w:pPr>
              <w:pStyle w:val="Bullet1"/>
            </w:pPr>
            <w:r>
              <w:lastRenderedPageBreak/>
              <w:t>The existence of a range of costs across universities within each FOE should not be interpreted as indicating differing level</w:t>
            </w:r>
            <w:r w:rsidR="002402C7">
              <w:t>s</w:t>
            </w:r>
            <w:r>
              <w:t xml:space="preserve"> of efficiency. Costs may legitimately vary based on a range of factors:</w:t>
            </w:r>
          </w:p>
          <w:p w14:paraId="34840794" w14:textId="77777777" w:rsidR="00C52B1C" w:rsidRDefault="00C52B1C" w:rsidP="0063150D">
            <w:pPr>
              <w:pStyle w:val="Bullet2"/>
            </w:pPr>
            <w:r w:rsidRPr="000C25F1">
              <w:rPr>
                <w:b/>
                <w:color w:val="002776"/>
                <w:szCs w:val="22"/>
              </w:rPr>
              <w:t>Various contextual factors</w:t>
            </w:r>
            <w:r>
              <w:t>, such as student intake characteristics, may alter the costs of providing higher education.</w:t>
            </w:r>
          </w:p>
          <w:p w14:paraId="482394B4" w14:textId="77777777" w:rsidR="00C52B1C" w:rsidRDefault="00C52B1C" w:rsidP="0063150D">
            <w:pPr>
              <w:pStyle w:val="Bullet2"/>
            </w:pPr>
            <w:r>
              <w:t xml:space="preserve">Universities may </w:t>
            </w:r>
            <w:r w:rsidRPr="000C25F1">
              <w:rPr>
                <w:b/>
                <w:color w:val="002776"/>
                <w:szCs w:val="22"/>
              </w:rPr>
              <w:t>choose to offer varying degrees of quality</w:t>
            </w:r>
            <w:r>
              <w:t>, such as through a higher ratio of students to staff, with this driving cost variances in the data.</w:t>
            </w:r>
          </w:p>
          <w:p w14:paraId="180C925D" w14:textId="77777777" w:rsidR="00C52B1C" w:rsidRDefault="00C52B1C" w:rsidP="0063150D">
            <w:pPr>
              <w:pStyle w:val="Bullet1"/>
            </w:pPr>
            <w:r>
              <w:t xml:space="preserve">Once these factors have been accounted for, the </w:t>
            </w:r>
            <w:r w:rsidRPr="000C25F1">
              <w:rPr>
                <w:b/>
                <w:color w:val="002776"/>
                <w:szCs w:val="22"/>
              </w:rPr>
              <w:t>residual variance in costs may be an indicator of efficiency</w:t>
            </w:r>
            <w:r>
              <w:t xml:space="preserve"> at the institutional level to be reflected in funding decisions. </w:t>
            </w:r>
          </w:p>
          <w:p w14:paraId="3557AC83" w14:textId="77777777" w:rsidR="00C52B1C" w:rsidRPr="001D07E0" w:rsidRDefault="00C52B1C" w:rsidP="00FC3C09">
            <w:pPr>
              <w:pStyle w:val="Bullet2"/>
              <w:numPr>
                <w:ilvl w:val="0"/>
                <w:numId w:val="0"/>
              </w:numPr>
              <w:spacing w:after="120"/>
              <w:jc w:val="center"/>
              <w:rPr>
                <w:b/>
                <w:color w:val="002776"/>
                <w:szCs w:val="22"/>
              </w:rPr>
            </w:pPr>
            <w:r w:rsidRPr="001D07E0">
              <w:rPr>
                <w:b/>
                <w:color w:val="002776"/>
                <w:szCs w:val="22"/>
              </w:rPr>
              <w:t>Chart: Total cost per EFTSL (bachelor, outliers removed</w:t>
            </w:r>
            <w:r>
              <w:rPr>
                <w:b/>
                <w:color w:val="002776"/>
                <w:szCs w:val="22"/>
              </w:rPr>
              <w:t>)</w:t>
            </w:r>
          </w:p>
          <w:p w14:paraId="7F81F64D" w14:textId="77777777" w:rsidR="00C52B1C" w:rsidRDefault="00C52B1C" w:rsidP="00FC3C09">
            <w:pPr>
              <w:pStyle w:val="Bullet2"/>
              <w:numPr>
                <w:ilvl w:val="0"/>
                <w:numId w:val="0"/>
              </w:numPr>
              <w:jc w:val="center"/>
            </w:pPr>
            <w:r>
              <w:rPr>
                <w:noProof/>
                <w:lang w:eastAsia="en-AU"/>
              </w:rPr>
              <w:drawing>
                <wp:inline distT="0" distB="0" distL="0" distR="0" wp14:anchorId="7C0623A0" wp14:editId="45BB5468">
                  <wp:extent cx="4719286" cy="2362511"/>
                  <wp:effectExtent l="19050" t="19050" r="24765" b="19050"/>
                  <wp:docPr id="390" name="Picture 390" descr="Distribution of total cost per EFTSL at the bachelor level, by FOE" title="Total cost per EFTSL, bachelor, outliers remov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26770" cy="2366257"/>
                          </a:xfrm>
                          <a:prstGeom prst="rect">
                            <a:avLst/>
                          </a:prstGeom>
                          <a:noFill/>
                          <a:ln>
                            <a:solidFill>
                              <a:schemeClr val="bg1">
                                <a:lumMod val="50000"/>
                              </a:schemeClr>
                            </a:solidFill>
                          </a:ln>
                        </pic:spPr>
                      </pic:pic>
                    </a:graphicData>
                  </a:graphic>
                </wp:inline>
              </w:drawing>
            </w:r>
          </w:p>
          <w:p w14:paraId="37D2EA93" w14:textId="77777777" w:rsidR="00C52B1C" w:rsidRDefault="00C52B1C" w:rsidP="00C52B1C">
            <w:pPr>
              <w:pStyle w:val="Source"/>
              <w:ind w:left="1026"/>
            </w:pPr>
            <w:r>
              <w:t>Source: Deloitte Access Economics</w:t>
            </w:r>
            <w:r w:rsidR="0049715A">
              <w:t xml:space="preserve"> analysis</w:t>
            </w:r>
          </w:p>
          <w:p w14:paraId="317DD3F5" w14:textId="77777777" w:rsidR="00C52B1C" w:rsidRDefault="00C52B1C" w:rsidP="00C52B1C">
            <w:pPr>
              <w:pStyle w:val="HeadingC"/>
              <w:keepNext w:val="0"/>
              <w:keepLines w:val="0"/>
            </w:pPr>
            <w:r>
              <w:t>Arriving at ‘reasonable costs’</w:t>
            </w:r>
          </w:p>
          <w:p w14:paraId="43392D94" w14:textId="08B7C355" w:rsidR="00C52B1C" w:rsidRDefault="00C52B1C" w:rsidP="00C52B1C">
            <w:pPr>
              <w:pStyle w:val="Bullet1"/>
              <w:jc w:val="left"/>
            </w:pPr>
            <w:r>
              <w:t xml:space="preserve">Because these costs reflect, in part, various contextual factors over which universities may have little control, as well as possibly varying levels of quality, the ‘reasonable cost’ of </w:t>
            </w:r>
            <w:r w:rsidR="00461021">
              <w:t>teaching and scholarship</w:t>
            </w:r>
            <w:r w:rsidR="0063150D">
              <w:t xml:space="preserve"> </w:t>
            </w:r>
            <w:r>
              <w:t>need not be the average cost observed through the data collection.</w:t>
            </w:r>
          </w:p>
          <w:p w14:paraId="03965CDD" w14:textId="77777777" w:rsidR="00C52B1C" w:rsidRDefault="00C52B1C" w:rsidP="00C52B1C">
            <w:pPr>
              <w:pStyle w:val="Bullet1"/>
              <w:jc w:val="left"/>
            </w:pPr>
            <w:r>
              <w:t xml:space="preserve">Instead, it should reflect the expectations that society has in relation to the quality of teaching and support that students receive, and the costs associated with achieving these outcomes. The unique contextual factors each university faces will also mean that this reasonable cost may differ across institutions of different attributes. </w:t>
            </w:r>
          </w:p>
          <w:p w14:paraId="3A753273" w14:textId="77777777" w:rsidR="00C52B1C" w:rsidRDefault="00C52B1C" w:rsidP="00C52B1C">
            <w:pPr>
              <w:pStyle w:val="Bullet1"/>
              <w:jc w:val="left"/>
            </w:pPr>
            <w:r>
              <w:t xml:space="preserve">Recognising these considerations, </w:t>
            </w:r>
            <w:r w:rsidRPr="00021E75">
              <w:rPr>
                <w:rFonts w:cs="Times New Roman"/>
                <w:b/>
                <w:color w:val="002776"/>
                <w:szCs w:val="22"/>
              </w:rPr>
              <w:t>there is no single reasonable cost of delivery that can be estimated through analysis of the data alone</w:t>
            </w:r>
            <w:r>
              <w:t xml:space="preserve">.  Nonetheless, the data can inform the extent to which various factors drive costs, and identify a range of reasonable costs associated with different levels of quality, other contextual factors, and various levels of target efficiency. The modelling in this report demonstrates, </w:t>
            </w:r>
            <w:r w:rsidRPr="00021E75">
              <w:rPr>
                <w:i/>
              </w:rPr>
              <w:t>inter alia</w:t>
            </w:r>
            <w:r>
              <w:t>, that:</w:t>
            </w:r>
          </w:p>
          <w:p w14:paraId="3D1D270A" w14:textId="77777777" w:rsidR="00C52B1C" w:rsidRDefault="00C52B1C" w:rsidP="00C52B1C">
            <w:pPr>
              <w:pStyle w:val="Bullet1"/>
              <w:jc w:val="left"/>
            </w:pPr>
            <w:r>
              <w:t>Most of the variation in observed costs across universities can be explained by contextual and quality factors. In particular, reasonable costs are materially impacted by factors such as:</w:t>
            </w:r>
          </w:p>
          <w:p w14:paraId="226F8C7E" w14:textId="77777777" w:rsidR="00C52B1C" w:rsidRDefault="00C52B1C" w:rsidP="00C52B1C">
            <w:pPr>
              <w:pStyle w:val="Bullet2"/>
              <w:jc w:val="left"/>
            </w:pPr>
            <w:r>
              <w:t>the staff to student ratio; and</w:t>
            </w:r>
          </w:p>
          <w:p w14:paraId="2C6D79CB" w14:textId="77777777" w:rsidR="00C52B1C" w:rsidRDefault="00C52B1C" w:rsidP="00C52B1C">
            <w:pPr>
              <w:pStyle w:val="Bullet2"/>
              <w:jc w:val="left"/>
            </w:pPr>
            <w:r>
              <w:t>the proportion of casual teaching staff.</w:t>
            </w:r>
          </w:p>
          <w:p w14:paraId="7EE6272D" w14:textId="77777777" w:rsidR="00C52B1C" w:rsidRDefault="00C52B1C" w:rsidP="00C52B1C">
            <w:pPr>
              <w:pStyle w:val="Bullet1"/>
              <w:jc w:val="left"/>
            </w:pPr>
            <w:r>
              <w:t xml:space="preserve">There is also a degree of variation in costs that is attributable to underlying differences in costs for different fields of education, which exists even after controlling for the impact of cost drivers. </w:t>
            </w:r>
          </w:p>
          <w:p w14:paraId="5E79DFA8" w14:textId="7168C50E" w:rsidR="00C52B1C" w:rsidRDefault="00C52B1C" w:rsidP="00C52B1C">
            <w:pPr>
              <w:pStyle w:val="Bullet1"/>
              <w:jc w:val="left"/>
            </w:pPr>
            <w:r>
              <w:t xml:space="preserve">The chart below shows both median actual costs and estimates of reasonable costs based on the </w:t>
            </w:r>
            <w:r>
              <w:lastRenderedPageBreak/>
              <w:t>median characteristics of universities in a given field of education. Reasonable costs are estimated using three different models: OLS, quantile regression at the 25</w:t>
            </w:r>
            <w:r w:rsidRPr="00804B7E">
              <w:rPr>
                <w:vertAlign w:val="superscript"/>
              </w:rPr>
              <w:t>th</w:t>
            </w:r>
            <w:r>
              <w:t xml:space="preserve"> percentile</w:t>
            </w:r>
            <w:r w:rsidR="003B747C">
              <w:t>,</w:t>
            </w:r>
            <w:r>
              <w:t xml:space="preserve"> and Stochastic Frontier Analysis (SFA). </w:t>
            </w:r>
            <w:r w:rsidR="0063150D">
              <w:t xml:space="preserve">Going from </w:t>
            </w:r>
            <w:r w:rsidR="00235E7F">
              <w:t xml:space="preserve">an </w:t>
            </w:r>
            <w:r w:rsidR="0063150D">
              <w:t xml:space="preserve">OLS </w:t>
            </w:r>
            <w:r w:rsidR="00235E7F">
              <w:t xml:space="preserve">approach, </w:t>
            </w:r>
            <w:r w:rsidR="0063150D">
              <w:t>to</w:t>
            </w:r>
            <w:r w:rsidR="00235E7F">
              <w:t xml:space="preserve"> quantile regression, then to the</w:t>
            </w:r>
            <w:r w:rsidR="0063150D">
              <w:t xml:space="preserve"> SFA approach, t</w:t>
            </w:r>
            <w:r>
              <w:t>he estimate</w:t>
            </w:r>
            <w:r w:rsidR="00235E7F">
              <w:t>s</w:t>
            </w:r>
            <w:r>
              <w:t xml:space="preserve"> of reasonable cost move closer to </w:t>
            </w:r>
            <w:r w:rsidR="0063150D">
              <w:t xml:space="preserve">an </w:t>
            </w:r>
            <w:r>
              <w:t xml:space="preserve">efficiency frontier. </w:t>
            </w:r>
            <w:r w:rsidR="00886582">
              <w:t>T</w:t>
            </w:r>
            <w:r>
              <w:t xml:space="preserve">he results </w:t>
            </w:r>
            <w:r w:rsidR="00886582">
              <w:t xml:space="preserve">of reasonable cost analysis </w:t>
            </w:r>
            <w:r>
              <w:t>indicate that:</w:t>
            </w:r>
          </w:p>
          <w:p w14:paraId="0486290B" w14:textId="77777777" w:rsidR="00C52B1C" w:rsidRDefault="00C52B1C" w:rsidP="00C52B1C">
            <w:pPr>
              <w:pStyle w:val="Bullet2"/>
              <w:jc w:val="left"/>
            </w:pPr>
            <w:r>
              <w:t xml:space="preserve">Estimates of reasonable cost vary considerably across different fields of education - this reflects differences in both the median value cost drivers (particularly staff to student ratios) as well as differences in underlying costs across fields of education. </w:t>
            </w:r>
          </w:p>
          <w:p w14:paraId="29E14BE3" w14:textId="2BF9DADE" w:rsidR="00C52B1C" w:rsidRDefault="00C52B1C" w:rsidP="00C52B1C">
            <w:pPr>
              <w:pStyle w:val="Bullet2"/>
              <w:jc w:val="left"/>
            </w:pPr>
            <w:r>
              <w:t xml:space="preserve">As a greater level of efficiency is applied, the estimate of reasonable cost falls accordingly. For example, in the Mathematical Science field, the </w:t>
            </w:r>
            <w:r w:rsidR="00CC5F24">
              <w:t>mean</w:t>
            </w:r>
            <w:r>
              <w:t xml:space="preserve"> actual cost per EFTSL is $14,428. The OLS estimate of reasonable cost is $14,</w:t>
            </w:r>
            <w:r w:rsidR="00CC5F24">
              <w:t>004</w:t>
            </w:r>
            <w:r>
              <w:t xml:space="preserve"> but the estimate of reasonable cost using quantile regression at the 25</w:t>
            </w:r>
            <w:r w:rsidRPr="00804B7E">
              <w:rPr>
                <w:vertAlign w:val="superscript"/>
              </w:rPr>
              <w:t>th</w:t>
            </w:r>
            <w:r w:rsidR="00CC5F24">
              <w:t xml:space="preserve"> percentile falls to $12</w:t>
            </w:r>
            <w:r>
              <w:t>,</w:t>
            </w:r>
            <w:r w:rsidR="00CC5F24">
              <w:t>991</w:t>
            </w:r>
            <w:r>
              <w:t xml:space="preserve"> and to $12,</w:t>
            </w:r>
            <w:r w:rsidR="00CC5F24">
              <w:t>004</w:t>
            </w:r>
            <w:r>
              <w:t xml:space="preserve"> when SFA is applied.</w:t>
            </w:r>
          </w:p>
          <w:p w14:paraId="4329027B" w14:textId="77777777" w:rsidR="00C52B1C" w:rsidRDefault="00C52B1C" w:rsidP="00C52B1C">
            <w:pPr>
              <w:pStyle w:val="Bullet1"/>
              <w:numPr>
                <w:ilvl w:val="0"/>
                <w:numId w:val="0"/>
              </w:numPr>
              <w:ind w:left="360" w:hanging="360"/>
              <w:jc w:val="left"/>
            </w:pPr>
          </w:p>
          <w:p w14:paraId="1750F94F" w14:textId="5B5CB168" w:rsidR="00C52B1C" w:rsidRPr="001D07E0" w:rsidRDefault="00C52B1C" w:rsidP="00FC3C09">
            <w:pPr>
              <w:pStyle w:val="Bullet2"/>
              <w:numPr>
                <w:ilvl w:val="0"/>
                <w:numId w:val="0"/>
              </w:numPr>
              <w:spacing w:after="120"/>
              <w:jc w:val="center"/>
              <w:rPr>
                <w:b/>
                <w:color w:val="002776"/>
                <w:szCs w:val="22"/>
              </w:rPr>
            </w:pPr>
            <w:r w:rsidRPr="001D07E0">
              <w:rPr>
                <w:b/>
                <w:color w:val="002776"/>
                <w:szCs w:val="22"/>
              </w:rPr>
              <w:t xml:space="preserve">Chart: Total </w:t>
            </w:r>
            <w:r>
              <w:rPr>
                <w:b/>
                <w:color w:val="002776"/>
                <w:szCs w:val="22"/>
              </w:rPr>
              <w:t xml:space="preserve">‘reasonable’ </w:t>
            </w:r>
            <w:r w:rsidRPr="001D07E0">
              <w:rPr>
                <w:b/>
                <w:color w:val="002776"/>
                <w:szCs w:val="22"/>
              </w:rPr>
              <w:t>cost per EFTSL (</w:t>
            </w:r>
            <w:r w:rsidR="009F6F84">
              <w:rPr>
                <w:b/>
                <w:color w:val="002776"/>
                <w:szCs w:val="22"/>
              </w:rPr>
              <w:t>b</w:t>
            </w:r>
            <w:r w:rsidRPr="001D07E0">
              <w:rPr>
                <w:b/>
                <w:color w:val="002776"/>
                <w:szCs w:val="22"/>
              </w:rPr>
              <w:t>achelor</w:t>
            </w:r>
            <w:r w:rsidR="009F6F84">
              <w:rPr>
                <w:b/>
                <w:color w:val="002776"/>
                <w:szCs w:val="22"/>
              </w:rPr>
              <w:t xml:space="preserve"> level</w:t>
            </w:r>
            <w:r>
              <w:rPr>
                <w:b/>
                <w:color w:val="002776"/>
                <w:szCs w:val="22"/>
              </w:rPr>
              <w:t>)</w:t>
            </w:r>
          </w:p>
          <w:p w14:paraId="18791043" w14:textId="77777777" w:rsidR="00C52B1C" w:rsidRDefault="00C52B1C" w:rsidP="00FC3C09">
            <w:pPr>
              <w:pStyle w:val="Bullet2"/>
              <w:numPr>
                <w:ilvl w:val="0"/>
                <w:numId w:val="0"/>
              </w:numPr>
              <w:jc w:val="center"/>
            </w:pPr>
            <w:r>
              <w:rPr>
                <w:noProof/>
                <w:lang w:eastAsia="en-AU"/>
              </w:rPr>
              <w:drawing>
                <wp:inline distT="0" distB="0" distL="0" distR="0" wp14:anchorId="780DCF20" wp14:editId="71404611">
                  <wp:extent cx="5473000" cy="3136605"/>
                  <wp:effectExtent l="19050" t="19050" r="13970" b="26035"/>
                  <wp:docPr id="426" name="Picture 426" descr="Comparison between the total 'reasonable' cost per EFTSL at the bachelor level, by FOE " title="Total 'Reasonable' cost per EFTSL (bachelor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86516" cy="3144351"/>
                          </a:xfrm>
                          <a:prstGeom prst="rect">
                            <a:avLst/>
                          </a:prstGeom>
                          <a:noFill/>
                          <a:ln>
                            <a:solidFill>
                              <a:schemeClr val="tx1">
                                <a:lumMod val="50000"/>
                                <a:lumOff val="50000"/>
                              </a:schemeClr>
                            </a:solidFill>
                          </a:ln>
                        </pic:spPr>
                      </pic:pic>
                    </a:graphicData>
                  </a:graphic>
                </wp:inline>
              </w:drawing>
            </w:r>
          </w:p>
          <w:p w14:paraId="77719588" w14:textId="77777777" w:rsidR="00C52B1C" w:rsidRDefault="00C52B1C" w:rsidP="00C52B1C">
            <w:pPr>
              <w:pStyle w:val="Source"/>
              <w:ind w:left="1026"/>
            </w:pPr>
            <w:r>
              <w:t>Source: Deloitte Access Economics</w:t>
            </w:r>
            <w:r w:rsidR="0049715A">
              <w:t xml:space="preserve"> analysis</w:t>
            </w:r>
          </w:p>
          <w:p w14:paraId="5B826F47" w14:textId="77777777" w:rsidR="00C52B1C" w:rsidRDefault="00C52B1C" w:rsidP="00C52B1C">
            <w:pPr>
              <w:pStyle w:val="Bullet1"/>
              <w:jc w:val="left"/>
            </w:pPr>
            <w:r w:rsidRPr="00C6120F">
              <w:t>Ultimately</w:t>
            </w:r>
            <w:r>
              <w:t xml:space="preserve">, what constitutes ‘reasonable’ in the context of cost derivation hinges on a defined construct of quality and the efficient cost at which this can be achieved.  </w:t>
            </w:r>
          </w:p>
          <w:p w14:paraId="35F3CDC9" w14:textId="77777777" w:rsidR="003A602B" w:rsidRPr="000C25F1" w:rsidRDefault="00C52B1C" w:rsidP="003A602B">
            <w:pPr>
              <w:pStyle w:val="Bullet1"/>
            </w:pPr>
            <w:r>
              <w:t>Any estimate of reasonable costs is sensitive to the chosen level of staff to student ratios, the proportion of casual teaching staff and the relative level of efficiency applied.</w:t>
            </w:r>
          </w:p>
        </w:tc>
      </w:tr>
    </w:tbl>
    <w:p w14:paraId="27B53E3A" w14:textId="77777777" w:rsidR="004163F7" w:rsidRDefault="004163F7" w:rsidP="004163F7"/>
    <w:p w14:paraId="6F20F70E" w14:textId="77777777" w:rsidR="00B42CB5" w:rsidRPr="00A65BA3" w:rsidRDefault="00014351" w:rsidP="00C22E9A">
      <w:pPr>
        <w:pStyle w:val="MajorHeading"/>
        <w:numPr>
          <w:ilvl w:val="0"/>
          <w:numId w:val="0"/>
        </w:numPr>
      </w:pPr>
      <w:bookmarkStart w:id="26" w:name="_Toc469927313"/>
      <w:r w:rsidRPr="00A65BA3">
        <w:lastRenderedPageBreak/>
        <w:t>Executive Summary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5EB2D8EF" w14:textId="77777777" w:rsidR="00FC6060" w:rsidRDefault="00FC6060" w:rsidP="00FC6060">
      <w:pPr>
        <w:pStyle w:val="BodyText"/>
      </w:pPr>
      <w:r>
        <w:t xml:space="preserve">Ensuring university resources continue to be appropriately directed to teaching and scholarship activities that support Australia’s long term skills and learning requirements is crucial to the higher education sector’s effective ongoing contribution to the nation’s economic and social development. </w:t>
      </w:r>
    </w:p>
    <w:p w14:paraId="0E39249D" w14:textId="77777777" w:rsidR="00FC6060" w:rsidRDefault="00FC6060" w:rsidP="00FC6060">
      <w:pPr>
        <w:pStyle w:val="BodyText"/>
      </w:pPr>
      <w:r>
        <w:t xml:space="preserve">As with any organisation, universities respond to incentives. Funding that is inconsistent with incentivising the efficient and effective provision of higher education risks distorting the decisions that universities make and increases the likelihood that these decisions fail to align with the nation’s economic and social interests. It is therefore crucial that funding appropriately relates to the cost of higher education provision such that the signals </w:t>
      </w:r>
      <w:r w:rsidR="000F1651">
        <w:t xml:space="preserve">that </w:t>
      </w:r>
      <w:r>
        <w:t>funding send</w:t>
      </w:r>
      <w:r w:rsidR="000F1651">
        <w:t>s</w:t>
      </w:r>
      <w:r>
        <w:t xml:space="preserve"> – to both students and providers – positively influence decision making. </w:t>
      </w:r>
    </w:p>
    <w:p w14:paraId="413E6211" w14:textId="77777777" w:rsidR="00FC6060" w:rsidRDefault="00FC6060" w:rsidP="00FC6060">
      <w:pPr>
        <w:pStyle w:val="BodyText"/>
      </w:pPr>
      <w:r>
        <w:t xml:space="preserve">The determination of appropriate cost measures for the purposes of informing funding rates is made challenging by a raft of factors including those associated with observing and measuring concepts like quality, efficiency and the outcomes of university activities. It is also made challenging by the complexity of university operations and the inter-woven nature of their activities across teaching, research and engagement.  Examining these activities, and the strategic considerations their linkages and co-production imply, is important in understanding how costs are incurred across universities and to the determination of an appropriate higher education funding framework. </w:t>
      </w:r>
    </w:p>
    <w:p w14:paraId="11450783" w14:textId="77777777" w:rsidR="00FC6060" w:rsidRDefault="00FC6060" w:rsidP="00FC6060">
      <w:pPr>
        <w:pStyle w:val="BodyText"/>
      </w:pPr>
      <w:r>
        <w:t xml:space="preserve">The </w:t>
      </w:r>
      <w:r w:rsidRPr="00492D57">
        <w:t>current funding arrangement</w:t>
      </w:r>
      <w:r w:rsidR="00593960">
        <w:t xml:space="preserve">s for teaching and scholarship, </w:t>
      </w:r>
      <w:r w:rsidRPr="00492D57">
        <w:t>as part of</w:t>
      </w:r>
      <w:r w:rsidR="00593960">
        <w:t xml:space="preserve"> the Commonwealth Grant Scheme (CGS),</w:t>
      </w:r>
      <w:r w:rsidRPr="00492D57">
        <w:t xml:space="preserve"> find their legacy in the Relative Funding Model (RFM) designed in the mid-1990s. Both the original RFM and the subsequent CGS funding clusters were designed to allocate aggregate base funding amounts to universities that fairly </w:t>
      </w:r>
      <w:r w:rsidRPr="00BF7817">
        <w:t>reflected their respective discipline mixes. This model did not rely on a precise measure of cost at a discip</w:t>
      </w:r>
      <w:r w:rsidRPr="005A019C">
        <w:t xml:space="preserve">line level, rather it focused on capturing relative average costs across disciplines. </w:t>
      </w:r>
      <w:r w:rsidRPr="00076F10">
        <w:t>Since the</w:t>
      </w:r>
      <w:r w:rsidRPr="00804B7E">
        <w:t xml:space="preserve"> development of this model</w:t>
      </w:r>
      <w:r>
        <w:t>,</w:t>
      </w:r>
      <w:r w:rsidRPr="00BF7817">
        <w:t xml:space="preserve"> there has been periodic research into the cost of teaching at universities, with the most recent analysis conducted in 2011.</w:t>
      </w:r>
      <w:r w:rsidRPr="005A019C">
        <w:t xml:space="preserve"> The</w:t>
      </w:r>
      <w:r>
        <w:t xml:space="preserve"> sector has continued to evolve</w:t>
      </w:r>
      <w:r w:rsidRPr="00076F10">
        <w:t xml:space="preserve"> since.</w:t>
      </w:r>
      <w:r>
        <w:t xml:space="preserve"> </w:t>
      </w:r>
    </w:p>
    <w:p w14:paraId="203DDE32" w14:textId="77777777" w:rsidR="00FC6060" w:rsidRPr="00BF7817" w:rsidRDefault="00FC6060" w:rsidP="00FC6060">
      <w:pPr>
        <w:pStyle w:val="BodyText"/>
      </w:pPr>
      <w:r w:rsidRPr="00BF7817">
        <w:t xml:space="preserve">Recognising the importance of costs to </w:t>
      </w:r>
      <w:r>
        <w:t xml:space="preserve">the </w:t>
      </w:r>
      <w:r w:rsidRPr="00BF7817">
        <w:t xml:space="preserve">funding </w:t>
      </w:r>
      <w:r>
        <w:t xml:space="preserve">of higher education teaching and scholarship, </w:t>
      </w:r>
      <w:r w:rsidRPr="00BF7817">
        <w:t xml:space="preserve">and </w:t>
      </w:r>
      <w:r>
        <w:t>acknowledging the prospect</w:t>
      </w:r>
      <w:r w:rsidRPr="00804B7E">
        <w:t xml:space="preserve"> that the current evidence base has lost its currency, this study aims to examine efficient cost of quality teaching by analysing financial data drawn from a sample of Australian universities and benchmarked against a series of comparator international jurisdictions. </w:t>
      </w:r>
    </w:p>
    <w:p w14:paraId="0081E116" w14:textId="77777777" w:rsidR="00FC6060" w:rsidRPr="002C22EF" w:rsidRDefault="00FC6060" w:rsidP="00FC6060">
      <w:pPr>
        <w:pStyle w:val="HeadingC"/>
        <w:rPr>
          <w:sz w:val="28"/>
        </w:rPr>
      </w:pPr>
      <w:r w:rsidRPr="002C22EF">
        <w:rPr>
          <w:sz w:val="28"/>
        </w:rPr>
        <w:t>Approach to evidence collection</w:t>
      </w:r>
    </w:p>
    <w:p w14:paraId="11A4AFF5" w14:textId="4111A7A1" w:rsidR="00FC6060" w:rsidRDefault="00FC6060" w:rsidP="00FC6060">
      <w:pPr>
        <w:pStyle w:val="BodyText"/>
      </w:pPr>
      <w:r>
        <w:t xml:space="preserve">All public universities that receive CGS funding were invited to participate in the data provision exercise. Universities were provided with a costing template by the </w:t>
      </w:r>
      <w:r w:rsidR="00832EC3">
        <w:t xml:space="preserve">Australian </w:t>
      </w:r>
      <w:r>
        <w:t>Department of Education and Training on 1 September 2016 and were required to populate and submit the template by 24 October 2016.  Deloitte Access Economics was commissioned to assist in the collection and analysis of this template data.</w:t>
      </w:r>
    </w:p>
    <w:p w14:paraId="75FF0EDC" w14:textId="33E8023C" w:rsidR="00FC6060" w:rsidRPr="00A762FE" w:rsidRDefault="00FC6060" w:rsidP="00FC6060">
      <w:pPr>
        <w:pStyle w:val="BodyText"/>
      </w:pPr>
      <w:r>
        <w:lastRenderedPageBreak/>
        <w:t>Of the universities given the opportunity to participate, 18 – or around half – chose to submit data</w:t>
      </w:r>
      <w:r w:rsidR="00343EF4">
        <w:t>, of which 17 submitted a full dataset</w:t>
      </w:r>
      <w:r>
        <w:t xml:space="preserve">. The sample of participating universities was broadly representative across dimensions such as university size, affiliation, research intensity, geography, campus numbers, enrolments by discipline and modes of enrolment.  In this sense, it provided a robust foundation for analysing the level of and variation in costs across the sector.  </w:t>
      </w:r>
    </w:p>
    <w:p w14:paraId="54EA16DA" w14:textId="77777777" w:rsidR="00FC6060" w:rsidRDefault="00FC6060" w:rsidP="00FC6060">
      <w:pPr>
        <w:pStyle w:val="BodyText"/>
      </w:pPr>
      <w:r>
        <w:t>Deloitte Access Economics consulted all participating universities over the course of the project to ensure that the template was completed appropriately and in a way that was as consistent as possible across institutions. Following the submission of the template, the data was moderated and synthesised, with follow-up discussions with universities where outliers or other uncertainties were identified.</w:t>
      </w:r>
    </w:p>
    <w:p w14:paraId="337B9445" w14:textId="77777777" w:rsidR="00FC6060" w:rsidRDefault="00FC6060" w:rsidP="00FC6060">
      <w:pPr>
        <w:pStyle w:val="BodyText"/>
      </w:pPr>
      <w:r>
        <w:t xml:space="preserve">Consultations with the participating universities reiterated the complexities associated with attempting to accurately assign costs at a field of education (FOE) level and highlighted the diversity of commercial practices and business models present across the sector. Among the university characteristics identified as impacting on the cost analysis were: </w:t>
      </w:r>
    </w:p>
    <w:p w14:paraId="26F3E433" w14:textId="5D58AD58" w:rsidR="00FC6060" w:rsidRDefault="00FC6060" w:rsidP="00FC6060">
      <w:pPr>
        <w:pStyle w:val="Bullet1"/>
        <w:numPr>
          <w:ilvl w:val="0"/>
          <w:numId w:val="15"/>
        </w:numPr>
        <w:ind w:left="426" w:hanging="426"/>
      </w:pPr>
      <w:r>
        <w:t>Differing degrees of centralisation of university functions, with some institutions undertaking finance, human resources, staff support and IT functions at a central level and others devolving these functions to their various faculties.</w:t>
      </w:r>
    </w:p>
    <w:p w14:paraId="758636CA" w14:textId="77777777" w:rsidR="00FC6060" w:rsidRDefault="00FC6060" w:rsidP="00FC6060">
      <w:pPr>
        <w:pStyle w:val="Bullet1"/>
        <w:ind w:left="426" w:hanging="426"/>
      </w:pPr>
      <w:r>
        <w:t>Linkages with partner institutions – some of which provided teaching for the university’s students – with commensurate transactions between the partners.</w:t>
      </w:r>
    </w:p>
    <w:p w14:paraId="38F0E16A" w14:textId="77777777" w:rsidR="00FC6060" w:rsidRDefault="00FC6060" w:rsidP="00FC6060">
      <w:pPr>
        <w:pStyle w:val="Bullet1"/>
        <w:ind w:left="426" w:hanging="426"/>
      </w:pPr>
      <w:r>
        <w:t>Significant and growing costs associated with clinical placements and other work integrated learning practices.</w:t>
      </w:r>
    </w:p>
    <w:p w14:paraId="0C046711" w14:textId="77777777" w:rsidR="00FC6060" w:rsidRDefault="00FC6060" w:rsidP="00FC6060">
      <w:pPr>
        <w:pStyle w:val="Bullet1"/>
        <w:ind w:left="426" w:hanging="426"/>
      </w:pPr>
      <w:r>
        <w:t>Variations in average student loads across universities leading to difference in the ratio of student headcount to EFTSL (with this ratio tending to be higher in universities that teach a greater proportion of online courses).</w:t>
      </w:r>
    </w:p>
    <w:p w14:paraId="1FF2BC90" w14:textId="77777777" w:rsidR="00FC6060" w:rsidRDefault="00FC6060" w:rsidP="00FC6060">
      <w:pPr>
        <w:pStyle w:val="BodyText"/>
      </w:pPr>
      <w:r>
        <w:t>Participating universities vary in the sophistication of their data collection and reporting ability. Some employ sophisticated Activity Based Costing (ABC) models that are capable of reporting costs at a granular level based on pre-existing data structures such as the general ledger, payroll, t</w:t>
      </w:r>
      <w:r w:rsidR="000F1651">
        <w:t>imetabling, asset registers, among others</w:t>
      </w:r>
      <w:r>
        <w:t xml:space="preserve">. Others collect aggregated information in their finance functions for reporting purposes, but without the ease or sophistication that more detailed models are capable of providing. </w:t>
      </w:r>
    </w:p>
    <w:p w14:paraId="3E389B6E" w14:textId="2DFEEB5A" w:rsidR="00FC6060" w:rsidRDefault="00FC6060" w:rsidP="00FC6060">
      <w:pPr>
        <w:pStyle w:val="BodyText"/>
      </w:pPr>
      <w:r>
        <w:t xml:space="preserve">However, where ABC models are employed, the assumptions on which they are based are not necessarily more realistic than those adopted by institutions that collate data in the absence of such models. Overall, the consultations with the participating universities indicated that broadly similar approaches were used to allocate both budgetary unit level and central costs to individual FOEs.  However, despite the focus on maximising the </w:t>
      </w:r>
      <w:r w:rsidR="00832EC3">
        <w:br/>
      </w:r>
      <w:r>
        <w:t>cross</w:t>
      </w:r>
      <w:r w:rsidR="00832EC3">
        <w:softHyphen/>
        <w:t>-</w:t>
      </w:r>
      <w:r>
        <w:t xml:space="preserve">institution consistency in the dataset, some differences in approach remained.  These are outlined below. </w:t>
      </w:r>
    </w:p>
    <w:p w14:paraId="1CAFB0DE" w14:textId="77777777" w:rsidR="00FC6060" w:rsidRDefault="00FC6060" w:rsidP="00FC6060">
      <w:pPr>
        <w:pStyle w:val="Bullet1"/>
        <w:ind w:left="426" w:hanging="426"/>
      </w:pPr>
      <w:r>
        <w:t>The greatest difference in approaches across institutions was the allocation of staff time across teaching and research activities.</w:t>
      </w:r>
    </w:p>
    <w:p w14:paraId="1B20E953" w14:textId="77777777" w:rsidR="00FC6060" w:rsidRDefault="00FC6060" w:rsidP="00FC6060">
      <w:pPr>
        <w:pStyle w:val="Bullet2"/>
      </w:pPr>
      <w:r>
        <w:t>This was in part because these activities were seen by some to be inextricably linked, with research activities supporting teaching and scholarship requirements.</w:t>
      </w:r>
    </w:p>
    <w:p w14:paraId="58A3E33A" w14:textId="77777777" w:rsidR="00FC6060" w:rsidRDefault="00FC6060" w:rsidP="00FC6060">
      <w:pPr>
        <w:pStyle w:val="Bullet1"/>
        <w:ind w:left="426" w:hanging="426"/>
      </w:pPr>
      <w:r>
        <w:lastRenderedPageBreak/>
        <w:t>Regardless of the sophistication of the approach used, many universities indicated that they did not routinely collect or report data on an FOE basis.</w:t>
      </w:r>
    </w:p>
    <w:p w14:paraId="22510C40" w14:textId="77777777" w:rsidR="00FC6060" w:rsidRDefault="00FC6060" w:rsidP="00FC6060">
      <w:pPr>
        <w:pStyle w:val="Bullet2"/>
      </w:pPr>
      <w:r>
        <w:t xml:space="preserve">As such, additional assumptions were required in transcribing existing data into this form. </w:t>
      </w:r>
    </w:p>
    <w:p w14:paraId="1A4FC779" w14:textId="77777777" w:rsidR="00FC6060" w:rsidRDefault="00FC6060" w:rsidP="00FC6060">
      <w:pPr>
        <w:pStyle w:val="Bullet1"/>
      </w:pPr>
      <w:r>
        <w:t xml:space="preserve">Because universities provide courses, which are more granular than FOEs, the composition of a given FOE varies from university to university. </w:t>
      </w:r>
    </w:p>
    <w:p w14:paraId="01A426BB" w14:textId="77777777" w:rsidR="00FC6060" w:rsidRDefault="00FC6060" w:rsidP="00FC6060">
      <w:pPr>
        <w:pStyle w:val="Bullet2"/>
      </w:pPr>
      <w:r>
        <w:t xml:space="preserve">To the extent that the costs of teaching vary across these courses, so too will – the weighted average – cost of a given FOE. </w:t>
      </w:r>
    </w:p>
    <w:p w14:paraId="116E8923" w14:textId="77777777" w:rsidR="00FC6060" w:rsidRDefault="00FC6060" w:rsidP="00FC6060">
      <w:pPr>
        <w:pStyle w:val="Bullet1"/>
      </w:pPr>
      <w:r>
        <w:t>Concerns were also raised regarding the focus on a single calendar year of observations, noting that costs vary year-to-year in a fashion that is inconsistent across institutions. The most common aspects of this concern related to:</w:t>
      </w:r>
    </w:p>
    <w:p w14:paraId="588FB5D8" w14:textId="77777777" w:rsidR="00FC6060" w:rsidRDefault="00FC6060" w:rsidP="00FC6060">
      <w:pPr>
        <w:pStyle w:val="Bullet2"/>
      </w:pPr>
      <w:r>
        <w:t>general trends in the sector that were leading to increasing costs on a per-EFTSL basis, including rising real salary costs and costs associated with increasingly mixed-mode delivery;</w:t>
      </w:r>
    </w:p>
    <w:p w14:paraId="1C3FF24E" w14:textId="77777777" w:rsidR="00FC6060" w:rsidRDefault="00FC6060" w:rsidP="00FC6060">
      <w:pPr>
        <w:pStyle w:val="Bullet2"/>
      </w:pPr>
      <w:r>
        <w:t>structural reorganisation of support services, or a major alteration of delivery (such as ceasing operations at a campus);</w:t>
      </w:r>
    </w:p>
    <w:p w14:paraId="5C3F596D" w14:textId="77777777" w:rsidR="00FC6060" w:rsidRDefault="00FC6060" w:rsidP="00FC6060">
      <w:pPr>
        <w:pStyle w:val="Bullet2"/>
      </w:pPr>
      <w:r>
        <w:t>rising costs associated with clinical placements; and</w:t>
      </w:r>
    </w:p>
    <w:p w14:paraId="05568231" w14:textId="77777777" w:rsidR="00FC6060" w:rsidRDefault="00FC6060" w:rsidP="00FC6060">
      <w:pPr>
        <w:pStyle w:val="Bullet2"/>
      </w:pPr>
      <w:r>
        <w:t>costs associated with the replacement of (possibly fully depreciated) capital, which could be lumpy over time.</w:t>
      </w:r>
    </w:p>
    <w:p w14:paraId="62CD523D" w14:textId="77777777" w:rsidR="00FC6060" w:rsidRPr="003B3E57" w:rsidRDefault="00FC6060" w:rsidP="00FC6060">
      <w:pPr>
        <w:pStyle w:val="BodyText"/>
      </w:pPr>
      <w:r>
        <w:t xml:space="preserve">The research and empirical methods employed here are directly geared toward minimising the impact of these factors on the robustness of the findings of this analysis.  The degree to which this has been confidently achieved is outlined at various points of the results discussion below.  </w:t>
      </w:r>
    </w:p>
    <w:p w14:paraId="79D8D017" w14:textId="77777777" w:rsidR="00FC6060" w:rsidRPr="002C22EF" w:rsidRDefault="00FC6060" w:rsidP="00FC6060">
      <w:pPr>
        <w:pStyle w:val="HeadingC"/>
        <w:rPr>
          <w:sz w:val="28"/>
        </w:rPr>
      </w:pPr>
      <w:r w:rsidRPr="002C22EF">
        <w:rPr>
          <w:sz w:val="28"/>
        </w:rPr>
        <w:t>Evidence of underlying costs of delivery</w:t>
      </w:r>
    </w:p>
    <w:p w14:paraId="0DB3EBB5" w14:textId="2797A221" w:rsidR="00FC6060" w:rsidRDefault="00FC6060" w:rsidP="00FC6060">
      <w:pPr>
        <w:pStyle w:val="BodyText"/>
      </w:pPr>
      <w:r>
        <w:t>Chart i below shows the spread of the estimated cost per EFTSL across FOEs at the bachelor level</w:t>
      </w:r>
      <w:r>
        <w:rPr>
          <w:rStyle w:val="FootnoteReference"/>
        </w:rPr>
        <w:footnoteReference w:id="2"/>
      </w:r>
      <w:r>
        <w:t xml:space="preserve">. Veterinary </w:t>
      </w:r>
      <w:r w:rsidR="00FF7656">
        <w:t>Studies</w:t>
      </w:r>
      <w:r>
        <w:t xml:space="preserve"> is estimated to have the largest </w:t>
      </w:r>
      <w:r w:rsidR="003C3DD8">
        <w:t xml:space="preserve">mean </w:t>
      </w:r>
      <w:r>
        <w:t>cost of provision per EFTSL, at around $49,000, as well as one of the largest spread of values, with an interquartile range of around $35,000 to $7</w:t>
      </w:r>
      <w:r w:rsidR="004F7B6B">
        <w:t>9</w:t>
      </w:r>
      <w:r>
        <w:t>,000.</w:t>
      </w:r>
      <w:r>
        <w:rPr>
          <w:rStyle w:val="FootnoteReference"/>
        </w:rPr>
        <w:footnoteReference w:id="3"/>
      </w:r>
    </w:p>
    <w:p w14:paraId="4A664137" w14:textId="77777777" w:rsidR="00FC6060" w:rsidRDefault="00FC6060" w:rsidP="00FC6060">
      <w:pPr>
        <w:pStyle w:val="ExecChartCaption"/>
      </w:pPr>
      <w:r>
        <w:lastRenderedPageBreak/>
        <w:t>: Total cost per EFTSL (bachelor, outliers removed</w:t>
      </w:r>
      <w:r>
        <w:rPr>
          <w:rStyle w:val="FootnoteReference"/>
        </w:rPr>
        <w:footnoteReference w:id="4"/>
      </w:r>
      <w:r>
        <w:t>)</w:t>
      </w:r>
    </w:p>
    <w:p w14:paraId="4FE0B93D" w14:textId="77777777" w:rsidR="00FC6060" w:rsidRDefault="00C511FA" w:rsidP="00FC6060">
      <w:pPr>
        <w:pStyle w:val="BodyText"/>
        <w:jc w:val="center"/>
      </w:pPr>
      <w:r>
        <w:rPr>
          <w:noProof/>
          <w:lang w:eastAsia="en-AU"/>
        </w:rPr>
        <w:drawing>
          <wp:inline distT="0" distB="0" distL="0" distR="0" wp14:anchorId="787313BA" wp14:editId="5F7DC424">
            <wp:extent cx="4927962" cy="2466975"/>
            <wp:effectExtent l="0" t="0" r="6350" b="0"/>
            <wp:docPr id="392" name="Picture 392" descr="Distribution of the total cost per EFTSL at the bachelor level, by FOE" title="Total cost per EFTSL (bachelor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41605" cy="2473805"/>
                    </a:xfrm>
                    <a:prstGeom prst="rect">
                      <a:avLst/>
                    </a:prstGeom>
                    <a:noFill/>
                  </pic:spPr>
                </pic:pic>
              </a:graphicData>
            </a:graphic>
          </wp:inline>
        </w:drawing>
      </w:r>
    </w:p>
    <w:p w14:paraId="7B2F4654" w14:textId="77777777" w:rsidR="00FC6060" w:rsidRPr="00EA798B" w:rsidRDefault="00FC6060" w:rsidP="00FC6060">
      <w:pPr>
        <w:pStyle w:val="Source"/>
      </w:pPr>
      <w:r w:rsidRPr="00EA798B">
        <w:t>Source: Deloitte Access Economics analysis.</w:t>
      </w:r>
    </w:p>
    <w:p w14:paraId="5FA9F74E" w14:textId="3F38973F" w:rsidR="00FC6060" w:rsidRDefault="00C511FA" w:rsidP="00FC6060">
      <w:pPr>
        <w:pStyle w:val="BodyText"/>
      </w:pPr>
      <w:r>
        <w:t>Dental S</w:t>
      </w:r>
      <w:r w:rsidR="00FC6060">
        <w:t>tudies,</w:t>
      </w:r>
      <w:r>
        <w:t xml:space="preserve"> Medical Studies and the Other Agriculture and Environmental S</w:t>
      </w:r>
      <w:r w:rsidR="00FC6060">
        <w:t>tudies fields round out the top four fields by estimated cost per EFTSL. The remaining fields are generally estimated to be delivered at a cost of between $10,000 and $20,000 per EFTSL. Education, and Other Society and</w:t>
      </w:r>
      <w:r w:rsidR="002D54FD">
        <w:t xml:space="preserve"> Culture</w:t>
      </w:r>
      <w:r w:rsidR="00FC6060">
        <w:t xml:space="preserve"> have the lowest costs per EFTSL at </w:t>
      </w:r>
      <w:r>
        <w:t>around $1</w:t>
      </w:r>
      <w:r w:rsidR="00CC5F24">
        <w:t>2,000 to 15</w:t>
      </w:r>
      <w:r w:rsidR="000E4E7D">
        <w:t>,0</w:t>
      </w:r>
      <w:r>
        <w:t>00 per EFTSL.</w:t>
      </w:r>
    </w:p>
    <w:p w14:paraId="16814FAB" w14:textId="77777777" w:rsidR="00FC6060" w:rsidRDefault="00FC6060" w:rsidP="00FC6060">
      <w:pPr>
        <w:pStyle w:val="BodyText"/>
      </w:pPr>
      <w:r>
        <w:t xml:space="preserve">As is readily observed from Chart i, the data shows that there is material cost variation not just across FOEs, but within FOEs across universities. Indeed, ten of the 19 FOEs have costs with an interquartile range of greater than 100% of the median. </w:t>
      </w:r>
    </w:p>
    <w:p w14:paraId="79DA0EE9" w14:textId="16257DCB" w:rsidR="00FC6060" w:rsidRDefault="00FC6060" w:rsidP="00FC6060">
      <w:pPr>
        <w:pStyle w:val="BodyText"/>
      </w:pPr>
      <w:r w:rsidRPr="00C62A83">
        <w:t>Similar results are observed at the postgraduate level</w:t>
      </w:r>
      <w:r>
        <w:t xml:space="preserve"> (</w:t>
      </w:r>
      <w:r w:rsidR="00C511FA">
        <w:fldChar w:fldCharType="begin"/>
      </w:r>
      <w:r w:rsidR="00C511FA">
        <w:instrText xml:space="preserve"> REF _Ref467153903 \r \h </w:instrText>
      </w:r>
      <w:r w:rsidR="00C511FA">
        <w:fldChar w:fldCharType="separate"/>
      </w:r>
      <w:r w:rsidR="00595C6E">
        <w:t>Chart ii</w:t>
      </w:r>
      <w:r w:rsidR="00C511FA">
        <w:fldChar w:fldCharType="end"/>
      </w:r>
      <w:r>
        <w:t>)</w:t>
      </w:r>
      <w:r w:rsidRPr="00C62A83">
        <w:t xml:space="preserve">, </w:t>
      </w:r>
      <w:r>
        <w:t xml:space="preserve">although with greater variation in the cost per EFTSL across FOEs. Postgraduate teaching is found, on average, to be more costly than its undergraduate counterpart. Dental </w:t>
      </w:r>
      <w:r w:rsidR="00832EC3">
        <w:t>S</w:t>
      </w:r>
      <w:r>
        <w:t>tudies</w:t>
      </w:r>
      <w:r w:rsidR="00832EC3">
        <w:t>,</w:t>
      </w:r>
      <w:r>
        <w:t xml:space="preserve"> Veterinary </w:t>
      </w:r>
      <w:r w:rsidR="00832EC3">
        <w:t>S</w:t>
      </w:r>
      <w:r>
        <w:t>tudies</w:t>
      </w:r>
      <w:r w:rsidR="00832EC3">
        <w:t>, and</w:t>
      </w:r>
      <w:r>
        <w:t xml:space="preserve"> </w:t>
      </w:r>
      <w:r w:rsidR="00832EC3">
        <w:t xml:space="preserve">Other Environmental Studies </w:t>
      </w:r>
      <w:r>
        <w:t xml:space="preserve">have the highest average costs. </w:t>
      </w:r>
    </w:p>
    <w:p w14:paraId="3D7AFEE6" w14:textId="3757A3B9" w:rsidR="00FC6060" w:rsidRDefault="00FC6060" w:rsidP="00FC6060">
      <w:pPr>
        <w:pStyle w:val="ExecChartCaption"/>
        <w:spacing w:after="120"/>
      </w:pPr>
      <w:bookmarkStart w:id="27" w:name="_Ref467153903"/>
      <w:r>
        <w:lastRenderedPageBreak/>
        <w:t>: Total cost per EFTSL (</w:t>
      </w:r>
      <w:r w:rsidR="009F6F84">
        <w:t>postgraduate</w:t>
      </w:r>
      <w:r>
        <w:t xml:space="preserve"> level, outliers removed)</w:t>
      </w:r>
      <w:bookmarkEnd w:id="27"/>
    </w:p>
    <w:p w14:paraId="329199F1" w14:textId="77777777" w:rsidR="00FC6060" w:rsidRDefault="00C511FA" w:rsidP="00FC6060">
      <w:pPr>
        <w:pStyle w:val="BodyText"/>
        <w:spacing w:before="120"/>
        <w:jc w:val="center"/>
      </w:pPr>
      <w:r>
        <w:rPr>
          <w:noProof/>
          <w:lang w:eastAsia="en-AU"/>
        </w:rPr>
        <w:drawing>
          <wp:inline distT="0" distB="0" distL="0" distR="0" wp14:anchorId="3AD835C8" wp14:editId="372EE709">
            <wp:extent cx="5231130" cy="2615565"/>
            <wp:effectExtent l="0" t="0" r="7620" b="0"/>
            <wp:docPr id="395" name="Picture 395" descr="Distribution of the total cost per EFTSL at the postgraduate level, by FOE" title="Total cost per EFTSL (Postgradu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31130" cy="2615565"/>
                    </a:xfrm>
                    <a:prstGeom prst="rect">
                      <a:avLst/>
                    </a:prstGeom>
                    <a:noFill/>
                  </pic:spPr>
                </pic:pic>
              </a:graphicData>
            </a:graphic>
          </wp:inline>
        </w:drawing>
      </w:r>
    </w:p>
    <w:p w14:paraId="16CB8AF8" w14:textId="77777777" w:rsidR="00FC6060" w:rsidRDefault="00FC6060" w:rsidP="00FC6060">
      <w:pPr>
        <w:pStyle w:val="Source"/>
      </w:pPr>
      <w:r w:rsidRPr="00EA798B">
        <w:t>Source: Deloitte Access Economics analysis.</w:t>
      </w:r>
    </w:p>
    <w:p w14:paraId="199F0C76" w14:textId="77777777" w:rsidR="00FC6060" w:rsidRDefault="00FC6060" w:rsidP="00FC6060">
      <w:pPr>
        <w:pStyle w:val="BodyText"/>
      </w:pPr>
      <w:r w:rsidRPr="000438FB">
        <w:t xml:space="preserve">In contrast, at the sub-bachelor level </w:t>
      </w:r>
      <w:r>
        <w:t>(</w:t>
      </w:r>
      <w:r w:rsidR="00C511FA">
        <w:fldChar w:fldCharType="begin"/>
      </w:r>
      <w:r w:rsidR="00C511FA">
        <w:instrText xml:space="preserve"> REF _Ref467153893 \r \h </w:instrText>
      </w:r>
      <w:r w:rsidR="00C511FA">
        <w:fldChar w:fldCharType="separate"/>
      </w:r>
      <w:r w:rsidR="00595C6E">
        <w:t>Chart iii</w:t>
      </w:r>
      <w:r w:rsidR="00C511FA">
        <w:fldChar w:fldCharType="end"/>
      </w:r>
      <w:r>
        <w:t xml:space="preserve">) there is considerably more variation in costs per EFTSL within each FOE. </w:t>
      </w:r>
      <w:r w:rsidRPr="000438FB">
        <w:t xml:space="preserve">These results </w:t>
      </w:r>
      <w:r>
        <w:t>are likely</w:t>
      </w:r>
      <w:r w:rsidRPr="000438FB">
        <w:t xml:space="preserve"> reflective of </w:t>
      </w:r>
      <w:r>
        <w:t xml:space="preserve">a combination of </w:t>
      </w:r>
      <w:r w:rsidRPr="000438FB">
        <w:t>the greater variation of FOEs offered by different universities at the sub-bachelor level</w:t>
      </w:r>
      <w:r>
        <w:t xml:space="preserve"> and the relatively small sample of universities offering sub-bachelor qualifications. Higher per-EFTSL costs are also likely to be driven by low EFTSL counts in sub-bachelor courses. </w:t>
      </w:r>
    </w:p>
    <w:p w14:paraId="05ADBF79" w14:textId="21CD17D2" w:rsidR="00FC6060" w:rsidRPr="00EA798B" w:rsidRDefault="00FC6060" w:rsidP="00FC6060">
      <w:pPr>
        <w:pStyle w:val="ExecChartCaption"/>
      </w:pPr>
      <w:bookmarkStart w:id="28" w:name="_Ref467153893"/>
      <w:r>
        <w:t>: Total cost per EFTSL (sub-bachelor, outliers removed)</w:t>
      </w:r>
      <w:bookmarkEnd w:id="28"/>
    </w:p>
    <w:p w14:paraId="759725B3" w14:textId="77777777" w:rsidR="00FC6060" w:rsidRDefault="00C511FA" w:rsidP="00FC6060">
      <w:pPr>
        <w:pStyle w:val="BodyText"/>
        <w:jc w:val="center"/>
      </w:pPr>
      <w:r>
        <w:rPr>
          <w:noProof/>
          <w:lang w:eastAsia="en-AU"/>
        </w:rPr>
        <w:drawing>
          <wp:inline distT="0" distB="0" distL="0" distR="0" wp14:anchorId="3443AF39" wp14:editId="0EFB525A">
            <wp:extent cx="4669790" cy="2627630"/>
            <wp:effectExtent l="0" t="0" r="0" b="1270"/>
            <wp:docPr id="398" name="Picture 398" descr="Distribution of the total cost per EFTSL at the sub-bachelor level, by FOE" title="Total cost per EFTSL (sub-bache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69790" cy="2627630"/>
                    </a:xfrm>
                    <a:prstGeom prst="rect">
                      <a:avLst/>
                    </a:prstGeom>
                    <a:noFill/>
                  </pic:spPr>
                </pic:pic>
              </a:graphicData>
            </a:graphic>
          </wp:inline>
        </w:drawing>
      </w:r>
    </w:p>
    <w:p w14:paraId="428E2C54" w14:textId="77777777" w:rsidR="00FC6060" w:rsidRDefault="00FC6060" w:rsidP="00FC6060">
      <w:pPr>
        <w:pStyle w:val="Source"/>
      </w:pPr>
      <w:r w:rsidRPr="00EA798B">
        <w:t>Source: Deloitte Access Economics analysis.</w:t>
      </w:r>
    </w:p>
    <w:p w14:paraId="6347665C" w14:textId="5D078B2C" w:rsidR="00FC6060" w:rsidRDefault="00FC6060" w:rsidP="00FC6060">
      <w:pPr>
        <w:pStyle w:val="BodyText"/>
      </w:pPr>
      <w:r>
        <w:t>A somewhat more advanced approach to identifying the relative impact of FOEs on costs is to undertake simple regression analysis where the cost per EFTSL is regressed first against the FOE (indicator) variables only and then against a set of variables that capture the characteristics of the university. This simple analysis demonstrates the extent to which a cost observation is explained by the FOE</w:t>
      </w:r>
      <w:r w:rsidR="00832EC3">
        <w:t>,</w:t>
      </w:r>
      <w:r>
        <w:t xml:space="preserve"> relative to the university it is taken from.</w:t>
      </w:r>
    </w:p>
    <w:p w14:paraId="452EBB14" w14:textId="77777777" w:rsidR="00FC6060" w:rsidRDefault="00FC6060" w:rsidP="00FC6060">
      <w:pPr>
        <w:pStyle w:val="BodyText"/>
      </w:pPr>
      <w:r>
        <w:lastRenderedPageBreak/>
        <w:t xml:space="preserve">The results at the bachelor level indicate that FOE variables alone explain </w:t>
      </w:r>
      <w:r w:rsidR="00900DBE">
        <w:t>48</w:t>
      </w:r>
      <w:r>
        <w:t xml:space="preserve">% of the observed variation in costs across observations and that university characteristics explain only </w:t>
      </w:r>
      <w:r w:rsidR="00900DBE">
        <w:t>10</w:t>
      </w:r>
      <w:r>
        <w:t xml:space="preserve">% of the variation. This means that while there are differences in costs within FOEs (that is, across universities) this is not systematically explained by fixed attributes of the universities themselves (across FOEs) and is instead due predominantly to other factors that are specific to given FOEs within given universities.  A much deeper investigation of cost drivers is provided in later sections of this summary. </w:t>
      </w:r>
    </w:p>
    <w:p w14:paraId="2CCBB812" w14:textId="77777777" w:rsidR="00FC6060" w:rsidRPr="00804B7E" w:rsidRDefault="00FC6060" w:rsidP="00FC6060">
      <w:pPr>
        <w:pStyle w:val="HeadingC"/>
        <w:rPr>
          <w:i/>
          <w:color w:val="00A1DE"/>
        </w:rPr>
      </w:pPr>
      <w:r w:rsidRPr="00804B7E">
        <w:rPr>
          <w:i/>
          <w:color w:val="00A1DE"/>
        </w:rPr>
        <w:t>Comparison to 2011 estimates</w:t>
      </w:r>
    </w:p>
    <w:p w14:paraId="1E616129" w14:textId="77777777" w:rsidR="00FC6060" w:rsidRPr="00E41EC0" w:rsidRDefault="00FC6060" w:rsidP="00FC6060">
      <w:pPr>
        <w:pStyle w:val="BodyText"/>
      </w:pPr>
      <w:r w:rsidRPr="00804B7E">
        <w:t>As noted in the introduction, t</w:t>
      </w:r>
      <w:r w:rsidRPr="00BF7817">
        <w:t xml:space="preserve">he most detailed contemporary work on university teaching costs was conducted for the </w:t>
      </w:r>
      <w:r w:rsidRPr="00804B7E">
        <w:t>(</w:t>
      </w:r>
      <w:r w:rsidRPr="00BF7817">
        <w:t>then</w:t>
      </w:r>
      <w:r w:rsidRPr="00804B7E">
        <w:t>)</w:t>
      </w:r>
      <w:r w:rsidRPr="00BF7817">
        <w:t xml:space="preserve"> Department of Employment, Education and Workplace Relations by De</w:t>
      </w:r>
      <w:r w:rsidRPr="005A019C">
        <w:t>loitte Access Economics in 2011. The study collected primary cost data for the 2010 calendar year from a set of eight Australian universities</w:t>
      </w:r>
      <w:r w:rsidRPr="00E41EC0">
        <w:t>. It identified the average cost of provision,</w:t>
      </w:r>
      <w:r w:rsidR="00832EC3">
        <w:t xml:space="preserve"> and</w:t>
      </w:r>
      <w:r w:rsidRPr="00E41EC0">
        <w:t xml:space="preserve"> the relative costs across FOEs and universities, as well as identifying some of the key drivers of these costs and their variation.</w:t>
      </w:r>
    </w:p>
    <w:p w14:paraId="5AF330BC" w14:textId="3664C07A" w:rsidR="00FC6060" w:rsidRDefault="00FC6060" w:rsidP="00FC6060">
      <w:pPr>
        <w:pStyle w:val="BodyText"/>
      </w:pPr>
      <w:r>
        <w:t xml:space="preserve">The 2015 results presented above are broadly similar to the findings from the 2011 study. </w:t>
      </w:r>
      <w:r w:rsidR="000F1651">
        <w:fldChar w:fldCharType="begin"/>
      </w:r>
      <w:r w:rsidR="000F1651">
        <w:instrText xml:space="preserve"> REF _Ref467173512 \r \h </w:instrText>
      </w:r>
      <w:r w:rsidR="000F1651">
        <w:fldChar w:fldCharType="separate"/>
      </w:r>
      <w:r w:rsidR="00595C6E">
        <w:t>Chart iv</w:t>
      </w:r>
      <w:r w:rsidR="000F1651">
        <w:fldChar w:fldCharType="end"/>
      </w:r>
      <w:r>
        <w:t xml:space="preserve"> below compares the mean cost estimates across the two studies and shows that for most FOEs the estimate of mean costs across the sample of universities is relatively close. Broadly, there are small changes in costs (either positive or negative) across FOEs</w:t>
      </w:r>
      <w:r w:rsidR="000F1651">
        <w:t xml:space="preserve"> between the two studies</w:t>
      </w:r>
      <w:r>
        <w:t xml:space="preserve">. The </w:t>
      </w:r>
      <w:r w:rsidR="00A17594">
        <w:t>growth</w:t>
      </w:r>
      <w:r>
        <w:t xml:space="preserve"> in (mean) Agriculture and </w:t>
      </w:r>
      <w:r w:rsidR="00832EC3">
        <w:t>E</w:t>
      </w:r>
      <w:r>
        <w:t xml:space="preserve">nvironmental </w:t>
      </w:r>
      <w:r w:rsidR="00832EC3">
        <w:t>S</w:t>
      </w:r>
      <w:r>
        <w:t>tudies has further increased its position as the highest cost field. At the other end of the</w:t>
      </w:r>
      <w:r w:rsidR="00886582">
        <w:t xml:space="preserve"> scale,</w:t>
      </w:r>
      <w:r>
        <w:t xml:space="preserve"> </w:t>
      </w:r>
      <w:r w:rsidR="00A17594">
        <w:t xml:space="preserve">Society and Culture </w:t>
      </w:r>
      <w:r>
        <w:t>is ranked as the lowest cost field</w:t>
      </w:r>
      <w:r w:rsidR="00A17594">
        <w:t xml:space="preserve"> at $12,600 per EFTSL</w:t>
      </w:r>
      <w:r>
        <w:t xml:space="preserve">, albeit </w:t>
      </w:r>
      <w:r w:rsidR="00A17594">
        <w:t xml:space="preserve">only marginally </w:t>
      </w:r>
      <w:r>
        <w:t>lower than several other fields.</w:t>
      </w:r>
      <w:r w:rsidR="00A46381">
        <w:t xml:space="preserve"> </w:t>
      </w:r>
      <w:r w:rsidR="00593960">
        <w:t xml:space="preserve">The broad FOE data collected in 2011 did not itemise </w:t>
      </w:r>
      <w:r w:rsidR="0046042A">
        <w:t xml:space="preserve">Veterinary Studies </w:t>
      </w:r>
      <w:r w:rsidR="00593960">
        <w:t xml:space="preserve">and </w:t>
      </w:r>
      <w:r w:rsidR="0046042A">
        <w:t>Dental S</w:t>
      </w:r>
      <w:r w:rsidR="00593960">
        <w:t>tudies</w:t>
      </w:r>
      <w:r w:rsidR="008B0C64">
        <w:t>;</w:t>
      </w:r>
      <w:r w:rsidR="00593960">
        <w:t xml:space="preserve"> these were aggregated into Health overall.</w:t>
      </w:r>
    </w:p>
    <w:p w14:paraId="3EA180C7" w14:textId="77777777" w:rsidR="00FC6060" w:rsidRDefault="00FC6060" w:rsidP="00FC6060">
      <w:pPr>
        <w:pStyle w:val="ExecChartCaption"/>
      </w:pPr>
      <w:bookmarkStart w:id="29" w:name="_Ref467173512"/>
      <w:r>
        <w:t>: Total cost per EFTSL (bachelor, outliers removed)</w:t>
      </w:r>
      <w:bookmarkEnd w:id="29"/>
    </w:p>
    <w:p w14:paraId="54D61C05" w14:textId="77777777" w:rsidR="00FC6060" w:rsidRDefault="00A17594" w:rsidP="00FC6060">
      <w:pPr>
        <w:pStyle w:val="BodyText"/>
        <w:spacing w:before="120"/>
        <w:jc w:val="center"/>
      </w:pPr>
      <w:r>
        <w:rPr>
          <w:noProof/>
          <w:lang w:eastAsia="en-AU"/>
        </w:rPr>
        <w:drawing>
          <wp:inline distT="0" distB="0" distL="0" distR="0" wp14:anchorId="2D8470A9" wp14:editId="1B3D754E">
            <wp:extent cx="4848225" cy="2601043"/>
            <wp:effectExtent l="0" t="0" r="0" b="8890"/>
            <wp:docPr id="3" name="Picture 3" descr="The distribution of the total cost per EFTSL at the bachelor level, by FOE. Comparisons between 2010 and 2015 data" title="Total cost per EFTSL (Bache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58313" cy="2606455"/>
                    </a:xfrm>
                    <a:prstGeom prst="rect">
                      <a:avLst/>
                    </a:prstGeom>
                    <a:noFill/>
                  </pic:spPr>
                </pic:pic>
              </a:graphicData>
            </a:graphic>
          </wp:inline>
        </w:drawing>
      </w:r>
    </w:p>
    <w:p w14:paraId="34FDE1D4" w14:textId="77777777" w:rsidR="00FC6060" w:rsidRPr="00EA798B" w:rsidRDefault="00FC6060" w:rsidP="00FC6060">
      <w:pPr>
        <w:pStyle w:val="Source"/>
      </w:pPr>
      <w:r w:rsidRPr="00EA798B">
        <w:t>Source: Deloitte Access Economics analysis.</w:t>
      </w:r>
    </w:p>
    <w:p w14:paraId="0ACD5F15" w14:textId="7CA1DBE5" w:rsidR="0060762A" w:rsidRDefault="00BE60A7" w:rsidP="00FC6060">
      <w:pPr>
        <w:pStyle w:val="BodyText"/>
      </w:pPr>
      <w:r>
        <w:t xml:space="preserve">The spread of reported costs across universities has also been relatively consistent over time, although the increased sample size in the current study makes direct comparisons of spread more difficult. </w:t>
      </w:r>
      <w:r w:rsidR="00A46381">
        <w:t xml:space="preserve">The variation in undergraduate cost observations across universities </w:t>
      </w:r>
      <w:r w:rsidR="00A46381">
        <w:lastRenderedPageBreak/>
        <w:t xml:space="preserve">has increased most for Health in absolute terms, as well as Management and Commerce, and Society and Culture in relative terms. </w:t>
      </w:r>
      <w:r w:rsidR="0060762A">
        <w:t xml:space="preserve">Costs for postgraduate courses appear to have increased by relatively more than bachelor costs over this period, as shown in </w:t>
      </w:r>
      <w:r w:rsidR="0060762A">
        <w:fldChar w:fldCharType="begin"/>
      </w:r>
      <w:r w:rsidR="0060762A">
        <w:instrText xml:space="preserve"> REF _Ref467173564 \r \h </w:instrText>
      </w:r>
      <w:r w:rsidR="0060762A">
        <w:fldChar w:fldCharType="separate"/>
      </w:r>
      <w:r w:rsidR="00595C6E">
        <w:t>Chart v</w:t>
      </w:r>
      <w:r w:rsidR="0060762A">
        <w:fldChar w:fldCharType="end"/>
      </w:r>
      <w:r w:rsidR="0060762A">
        <w:t xml:space="preserve"> below. This is particularly the case for Architecture and </w:t>
      </w:r>
      <w:r w:rsidR="00832EC3">
        <w:t>B</w:t>
      </w:r>
      <w:r w:rsidR="0060762A">
        <w:t xml:space="preserve">uilding, Health, and Engineering and </w:t>
      </w:r>
      <w:r w:rsidR="00832EC3">
        <w:t>R</w:t>
      </w:r>
      <w:r w:rsidR="0060762A">
        <w:t xml:space="preserve">elated </w:t>
      </w:r>
      <w:r w:rsidR="00832EC3">
        <w:t>S</w:t>
      </w:r>
      <w:r w:rsidR="0060762A">
        <w:t>tudies.</w:t>
      </w:r>
    </w:p>
    <w:p w14:paraId="03C54CAC" w14:textId="77777777" w:rsidR="00FC6060" w:rsidRDefault="00FC6060" w:rsidP="00FC6060">
      <w:pPr>
        <w:pStyle w:val="ExecChartCaption"/>
      </w:pPr>
      <w:bookmarkStart w:id="30" w:name="_Ref467173564"/>
      <w:r>
        <w:t>: Total cost per EFTSL (postgraduate, outliers removed)</w:t>
      </w:r>
      <w:bookmarkEnd w:id="30"/>
    </w:p>
    <w:p w14:paraId="431B241F" w14:textId="77777777" w:rsidR="00FC6060" w:rsidRDefault="003F1C00" w:rsidP="00FC6060">
      <w:pPr>
        <w:pStyle w:val="BodyText"/>
        <w:spacing w:before="120"/>
        <w:jc w:val="center"/>
      </w:pPr>
      <w:r>
        <w:rPr>
          <w:noProof/>
          <w:lang w:eastAsia="en-AU"/>
        </w:rPr>
        <w:drawing>
          <wp:inline distT="0" distB="0" distL="0" distR="0" wp14:anchorId="3168D0DB" wp14:editId="1FC9FC0B">
            <wp:extent cx="5149078" cy="2773045"/>
            <wp:effectExtent l="0" t="0" r="0" b="8255"/>
            <wp:docPr id="403" name="Picture 403" descr="The distribution of the total cost per EFTSL at the postgraduate level, by FOE. Comparisons between 2010 and 2015 data" title="Total cost per EFTSL (postgradu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55367" cy="2776432"/>
                    </a:xfrm>
                    <a:prstGeom prst="rect">
                      <a:avLst/>
                    </a:prstGeom>
                    <a:noFill/>
                  </pic:spPr>
                </pic:pic>
              </a:graphicData>
            </a:graphic>
          </wp:inline>
        </w:drawing>
      </w:r>
    </w:p>
    <w:p w14:paraId="0345979A" w14:textId="77777777" w:rsidR="00FC6060" w:rsidRPr="00EA798B" w:rsidRDefault="00FC6060" w:rsidP="00FC6060">
      <w:pPr>
        <w:pStyle w:val="Source"/>
      </w:pPr>
      <w:r w:rsidRPr="00EA798B">
        <w:t>Source: Deloitte Access Economics analysis.</w:t>
      </w:r>
    </w:p>
    <w:p w14:paraId="1FD5965C" w14:textId="77777777" w:rsidR="0060762A" w:rsidRPr="000E00E8" w:rsidRDefault="0060762A" w:rsidP="0060762A">
      <w:pPr>
        <w:pStyle w:val="BodyText"/>
      </w:pPr>
      <w:r>
        <w:t xml:space="preserve">Given </w:t>
      </w:r>
      <w:r w:rsidRPr="003C4E74">
        <w:t xml:space="preserve">the variation in sample size, sample representativeness, and in approach between the current study and the 2011 </w:t>
      </w:r>
      <w:r w:rsidRPr="000E00E8">
        <w:t xml:space="preserve">study, </w:t>
      </w:r>
      <w:r w:rsidRPr="00D55F3F">
        <w:t xml:space="preserve">it is not appropriate to attempt to determine precise cost growth over this period from a direct comparison of the two studies. </w:t>
      </w:r>
    </w:p>
    <w:p w14:paraId="5FF60FBA" w14:textId="77777777" w:rsidR="000E00E8" w:rsidRDefault="000E00E8" w:rsidP="000E00E8">
      <w:pPr>
        <w:pStyle w:val="BodyText"/>
      </w:pPr>
      <w:r>
        <w:t xml:space="preserve">The issue of sampling representativeness </w:t>
      </w:r>
      <w:r w:rsidR="0060762A">
        <w:t xml:space="preserve">can be mitigated, by creating </w:t>
      </w:r>
      <w:r w:rsidR="00593960">
        <w:t xml:space="preserve">sector-wide </w:t>
      </w:r>
      <w:r w:rsidR="0060762A">
        <w:t xml:space="preserve">weighted cost averages based on field of education and award level. The </w:t>
      </w:r>
      <w:r w:rsidR="007A5138">
        <w:t xml:space="preserve">FOE-weighted average costs per EFTSL are given in </w:t>
      </w:r>
      <w:r w:rsidR="007A5138">
        <w:fldChar w:fldCharType="begin"/>
      </w:r>
      <w:r w:rsidR="007A5138">
        <w:instrText xml:space="preserve"> REF _Ref468685847 \r \h </w:instrText>
      </w:r>
      <w:r w:rsidR="007A5138">
        <w:fldChar w:fldCharType="separate"/>
      </w:r>
      <w:r w:rsidR="00595C6E">
        <w:t>Table ii</w:t>
      </w:r>
      <w:r w:rsidR="007A5138">
        <w:fldChar w:fldCharType="end"/>
      </w:r>
      <w:r w:rsidR="007A5138">
        <w:t xml:space="preserve"> below. </w:t>
      </w:r>
      <w:r>
        <w:t xml:space="preserve">The </w:t>
      </w:r>
      <w:r w:rsidR="001F0E0A">
        <w:t>broad</w:t>
      </w:r>
      <w:r>
        <w:t xml:space="preserve"> increase in costs at the postgraduate level has also made the cost differential between undergraduate and graduate FOEs more pronounced across the studies, with the average cost for a postgraduate EFTSL at around $20,050, compared to $16,025 for an undergraduate EFTSL.</w:t>
      </w:r>
      <w:r w:rsidRPr="000725C9">
        <w:t xml:space="preserve"> </w:t>
      </w:r>
      <w:r>
        <w:t xml:space="preserve">The 2010 average for a postgraduate EFTSL was around $16,972, along with $15,021 for an undergraduate EFTSL.  </w:t>
      </w:r>
      <w:r w:rsidRPr="0060762A">
        <w:t xml:space="preserve"> </w:t>
      </w:r>
    </w:p>
    <w:p w14:paraId="7DC64E46" w14:textId="75B2FE9F" w:rsidR="00B764EC" w:rsidRDefault="00C90D03" w:rsidP="0060762A">
      <w:pPr>
        <w:pStyle w:val="BodyText"/>
      </w:pPr>
      <w:r>
        <w:t xml:space="preserve">Though this figure includes research and commercial activities, </w:t>
      </w:r>
      <w:r w:rsidR="000E00E8">
        <w:t>d</w:t>
      </w:r>
      <w:r w:rsidRPr="00C90D03">
        <w:t xml:space="preserve">ata </w:t>
      </w:r>
      <w:r>
        <w:t xml:space="preserve">reported by the Department on the financial position of the sector </w:t>
      </w:r>
      <w:r w:rsidR="000E00E8">
        <w:t xml:space="preserve">overall </w:t>
      </w:r>
      <w:r>
        <w:t>shows that</w:t>
      </w:r>
      <w:r w:rsidRPr="00C90D03">
        <w:t xml:space="preserve"> ongoing expenses growth per EFTSL has been 16% from 2010 to 2015, or </w:t>
      </w:r>
      <w:r>
        <w:t xml:space="preserve">around </w:t>
      </w:r>
      <w:r w:rsidRPr="00C90D03">
        <w:t>3% per year.</w:t>
      </w:r>
      <w:r>
        <w:t xml:space="preserve"> </w:t>
      </w:r>
      <w:r w:rsidR="00BE60A7">
        <w:t xml:space="preserve">Broadly, the </w:t>
      </w:r>
      <w:r>
        <w:t xml:space="preserve">difference between </w:t>
      </w:r>
      <w:r w:rsidR="00BE60A7">
        <w:t xml:space="preserve">this 16% growth, and the </w:t>
      </w:r>
      <w:r w:rsidR="000E00E8">
        <w:t xml:space="preserve">10% </w:t>
      </w:r>
      <w:r w:rsidR="00BE60A7">
        <w:t xml:space="preserve">growth </w:t>
      </w:r>
      <w:r w:rsidR="000E00E8">
        <w:t xml:space="preserve">per EFTSL </w:t>
      </w:r>
      <w:r w:rsidR="00BE60A7">
        <w:t xml:space="preserve">observed across the two costing surveys, could be due to either growth in commercial and research costs, </w:t>
      </w:r>
      <w:r w:rsidR="000E00E8">
        <w:t>issues of representativeness</w:t>
      </w:r>
      <w:r w:rsidR="00BE60A7">
        <w:t xml:space="preserve">, and/or measurement uncertainty on behalf of participants. </w:t>
      </w:r>
    </w:p>
    <w:p w14:paraId="6EDF1278" w14:textId="77777777" w:rsidR="00B764EC" w:rsidRDefault="00B764EC">
      <w:r>
        <w:br w:type="page"/>
      </w:r>
    </w:p>
    <w:p w14:paraId="6AE531C3" w14:textId="77777777" w:rsidR="007A5138" w:rsidRDefault="007A5138" w:rsidP="0060762A">
      <w:pPr>
        <w:pStyle w:val="BodyText"/>
      </w:pPr>
    </w:p>
    <w:p w14:paraId="3BB5CF5D" w14:textId="77777777" w:rsidR="007A5138" w:rsidRDefault="007A5138" w:rsidP="00D55F3F">
      <w:pPr>
        <w:pStyle w:val="ExecTableCaption"/>
      </w:pPr>
      <w:bookmarkStart w:id="31" w:name="_Ref468685847"/>
      <w:r>
        <w:t>: FOE-weighted average costs per EFTSL</w:t>
      </w:r>
      <w:bookmarkEnd w:id="31"/>
    </w:p>
    <w:tbl>
      <w:tblPr>
        <w:tblStyle w:val="TableAETotals"/>
        <w:tblW w:w="4678" w:type="dxa"/>
        <w:jc w:val="center"/>
        <w:tblLook w:val="04A0" w:firstRow="1" w:lastRow="0" w:firstColumn="1" w:lastColumn="0" w:noHBand="0" w:noVBand="1"/>
      </w:tblPr>
      <w:tblGrid>
        <w:gridCol w:w="1700"/>
        <w:gridCol w:w="1456"/>
        <w:gridCol w:w="1522"/>
      </w:tblGrid>
      <w:tr w:rsidR="007A5138" w:rsidRPr="007A5138" w14:paraId="09F4F068" w14:textId="77777777" w:rsidTr="00D55F3F">
        <w:trPr>
          <w:cnfStyle w:val="100000000000" w:firstRow="1" w:lastRow="0" w:firstColumn="0" w:lastColumn="0" w:oddVBand="0" w:evenVBand="0" w:oddHBand="0" w:evenHBand="0" w:firstRowFirstColumn="0" w:firstRowLastColumn="0" w:lastRowFirstColumn="0" w:lastRowLastColumn="0"/>
          <w:trHeight w:val="255"/>
          <w:jc w:val="center"/>
        </w:trPr>
        <w:tc>
          <w:tcPr>
            <w:tcW w:w="1700" w:type="dxa"/>
            <w:noWrap/>
            <w:hideMark/>
          </w:tcPr>
          <w:p w14:paraId="48E0E70B" w14:textId="77777777" w:rsidR="007A5138" w:rsidRPr="007A5138" w:rsidRDefault="007A5138" w:rsidP="007A5138">
            <w:pPr>
              <w:rPr>
                <w:rFonts w:ascii="Times New Roman" w:hAnsi="Times New Roman"/>
                <w:sz w:val="20"/>
                <w:szCs w:val="24"/>
                <w:lang w:eastAsia="en-AU"/>
              </w:rPr>
            </w:pPr>
          </w:p>
        </w:tc>
        <w:tc>
          <w:tcPr>
            <w:tcW w:w="1456" w:type="dxa"/>
            <w:noWrap/>
            <w:hideMark/>
          </w:tcPr>
          <w:p w14:paraId="770C7D0A" w14:textId="77777777" w:rsidR="007A5138" w:rsidRPr="007A5138" w:rsidRDefault="007A5138" w:rsidP="007A5138">
            <w:pPr>
              <w:jc w:val="right"/>
              <w:rPr>
                <w:rFonts w:cs="Arial"/>
                <w:b/>
                <w:bCs/>
                <w:sz w:val="20"/>
                <w:lang w:eastAsia="en-AU"/>
              </w:rPr>
            </w:pPr>
            <w:r w:rsidRPr="007A5138">
              <w:rPr>
                <w:rFonts w:cs="Arial"/>
                <w:b/>
                <w:bCs/>
                <w:sz w:val="20"/>
                <w:lang w:eastAsia="en-AU"/>
              </w:rPr>
              <w:t>2010</w:t>
            </w:r>
            <w:r>
              <w:rPr>
                <w:rFonts w:cs="Arial"/>
                <w:b/>
                <w:bCs/>
                <w:sz w:val="20"/>
                <w:lang w:eastAsia="en-AU"/>
              </w:rPr>
              <w:t xml:space="preserve"> data</w:t>
            </w:r>
          </w:p>
        </w:tc>
        <w:tc>
          <w:tcPr>
            <w:tcW w:w="1522" w:type="dxa"/>
            <w:noWrap/>
            <w:hideMark/>
          </w:tcPr>
          <w:p w14:paraId="3525E5FD" w14:textId="77777777" w:rsidR="007A5138" w:rsidRPr="007A5138" w:rsidRDefault="007A5138" w:rsidP="007A5138">
            <w:pPr>
              <w:jc w:val="right"/>
              <w:rPr>
                <w:rFonts w:cs="Arial"/>
                <w:b/>
                <w:bCs/>
                <w:sz w:val="20"/>
                <w:lang w:eastAsia="en-AU"/>
              </w:rPr>
            </w:pPr>
            <w:r w:rsidRPr="007A5138">
              <w:rPr>
                <w:rFonts w:cs="Arial"/>
                <w:b/>
                <w:bCs/>
                <w:sz w:val="20"/>
                <w:lang w:eastAsia="en-AU"/>
              </w:rPr>
              <w:t>2015</w:t>
            </w:r>
            <w:r>
              <w:rPr>
                <w:rFonts w:cs="Arial"/>
                <w:b/>
                <w:bCs/>
                <w:sz w:val="20"/>
                <w:lang w:eastAsia="en-AU"/>
              </w:rPr>
              <w:t xml:space="preserve"> data</w:t>
            </w:r>
          </w:p>
        </w:tc>
      </w:tr>
      <w:tr w:rsidR="007A5138" w:rsidRPr="007A5138" w14:paraId="4758940C" w14:textId="77777777" w:rsidTr="00D55F3F">
        <w:trPr>
          <w:trHeight w:val="255"/>
          <w:jc w:val="center"/>
        </w:trPr>
        <w:tc>
          <w:tcPr>
            <w:tcW w:w="1700" w:type="dxa"/>
            <w:noWrap/>
            <w:hideMark/>
          </w:tcPr>
          <w:p w14:paraId="14B782ED" w14:textId="77777777" w:rsidR="007A5138" w:rsidRPr="007A5138" w:rsidRDefault="007A5138" w:rsidP="007A5138">
            <w:pPr>
              <w:jc w:val="center"/>
              <w:rPr>
                <w:rFonts w:cs="Arial"/>
                <w:b/>
                <w:bCs/>
                <w:sz w:val="20"/>
                <w:lang w:eastAsia="en-AU"/>
              </w:rPr>
            </w:pPr>
            <w:r w:rsidRPr="007A5138">
              <w:rPr>
                <w:rFonts w:cs="Arial"/>
                <w:b/>
                <w:bCs/>
                <w:sz w:val="20"/>
                <w:lang w:eastAsia="en-AU"/>
              </w:rPr>
              <w:t>Undergraduate</w:t>
            </w:r>
          </w:p>
        </w:tc>
        <w:tc>
          <w:tcPr>
            <w:tcW w:w="1456" w:type="dxa"/>
            <w:noWrap/>
            <w:hideMark/>
          </w:tcPr>
          <w:p w14:paraId="5F2679F7" w14:textId="77777777" w:rsidR="007A5138" w:rsidRPr="004D1071" w:rsidRDefault="007A5138" w:rsidP="007A5138">
            <w:pPr>
              <w:jc w:val="right"/>
              <w:rPr>
                <w:rFonts w:cs="Arial"/>
                <w:sz w:val="20"/>
                <w:lang w:eastAsia="en-AU"/>
              </w:rPr>
            </w:pPr>
            <w:r w:rsidRPr="00D55F3F">
              <w:rPr>
                <w:sz w:val="20"/>
              </w:rPr>
              <w:t>$15,021</w:t>
            </w:r>
          </w:p>
        </w:tc>
        <w:tc>
          <w:tcPr>
            <w:tcW w:w="1522" w:type="dxa"/>
            <w:noWrap/>
            <w:hideMark/>
          </w:tcPr>
          <w:p w14:paraId="6221D797" w14:textId="77777777" w:rsidR="007A5138" w:rsidRPr="004D1071" w:rsidRDefault="007A5138" w:rsidP="007A5138">
            <w:pPr>
              <w:jc w:val="right"/>
              <w:rPr>
                <w:rFonts w:cs="Arial"/>
                <w:sz w:val="20"/>
                <w:lang w:eastAsia="en-AU"/>
              </w:rPr>
            </w:pPr>
            <w:r w:rsidRPr="00D55F3F">
              <w:rPr>
                <w:sz w:val="20"/>
              </w:rPr>
              <w:t>$16,025</w:t>
            </w:r>
          </w:p>
        </w:tc>
      </w:tr>
      <w:tr w:rsidR="007A5138" w:rsidRPr="007A5138" w14:paraId="314EA10D" w14:textId="77777777" w:rsidTr="00D55F3F">
        <w:trPr>
          <w:trHeight w:val="255"/>
          <w:jc w:val="center"/>
        </w:trPr>
        <w:tc>
          <w:tcPr>
            <w:tcW w:w="1700" w:type="dxa"/>
            <w:noWrap/>
            <w:hideMark/>
          </w:tcPr>
          <w:p w14:paraId="2C34622F" w14:textId="77777777" w:rsidR="007A5138" w:rsidRPr="007A5138" w:rsidRDefault="007A5138" w:rsidP="007A5138">
            <w:pPr>
              <w:jc w:val="center"/>
              <w:rPr>
                <w:rFonts w:cs="Arial"/>
                <w:b/>
                <w:bCs/>
                <w:sz w:val="20"/>
                <w:lang w:eastAsia="en-AU"/>
              </w:rPr>
            </w:pPr>
            <w:r w:rsidRPr="007A5138">
              <w:rPr>
                <w:rFonts w:cs="Arial"/>
                <w:b/>
                <w:bCs/>
                <w:sz w:val="20"/>
                <w:lang w:eastAsia="en-AU"/>
              </w:rPr>
              <w:t>Postgraduate</w:t>
            </w:r>
          </w:p>
        </w:tc>
        <w:tc>
          <w:tcPr>
            <w:tcW w:w="1456" w:type="dxa"/>
            <w:noWrap/>
            <w:hideMark/>
          </w:tcPr>
          <w:p w14:paraId="70A76609" w14:textId="77777777" w:rsidR="007A5138" w:rsidRPr="004D1071" w:rsidRDefault="007A5138" w:rsidP="007A5138">
            <w:pPr>
              <w:jc w:val="right"/>
              <w:rPr>
                <w:rFonts w:cs="Arial"/>
                <w:sz w:val="20"/>
                <w:lang w:eastAsia="en-AU"/>
              </w:rPr>
            </w:pPr>
            <w:r w:rsidRPr="00D55F3F">
              <w:rPr>
                <w:sz w:val="20"/>
              </w:rPr>
              <w:t>$16,972</w:t>
            </w:r>
          </w:p>
        </w:tc>
        <w:tc>
          <w:tcPr>
            <w:tcW w:w="1522" w:type="dxa"/>
            <w:noWrap/>
            <w:hideMark/>
          </w:tcPr>
          <w:p w14:paraId="6102539D" w14:textId="77777777" w:rsidR="007A5138" w:rsidRPr="004D1071" w:rsidRDefault="007A5138" w:rsidP="007A5138">
            <w:pPr>
              <w:jc w:val="right"/>
              <w:rPr>
                <w:rFonts w:cs="Arial"/>
                <w:sz w:val="20"/>
                <w:lang w:eastAsia="en-AU"/>
              </w:rPr>
            </w:pPr>
            <w:r w:rsidRPr="00D55F3F">
              <w:rPr>
                <w:sz w:val="20"/>
              </w:rPr>
              <w:t>$20,050</w:t>
            </w:r>
          </w:p>
        </w:tc>
      </w:tr>
      <w:tr w:rsidR="007A5138" w:rsidRPr="007A5138" w14:paraId="1937088F" w14:textId="77777777" w:rsidTr="00D55F3F">
        <w:trPr>
          <w:trHeight w:val="255"/>
          <w:jc w:val="center"/>
        </w:trPr>
        <w:tc>
          <w:tcPr>
            <w:tcW w:w="1700" w:type="dxa"/>
            <w:noWrap/>
            <w:hideMark/>
          </w:tcPr>
          <w:p w14:paraId="30854298" w14:textId="77777777" w:rsidR="007A5138" w:rsidRPr="007A5138" w:rsidRDefault="007A5138" w:rsidP="007A5138">
            <w:pPr>
              <w:jc w:val="center"/>
              <w:rPr>
                <w:rFonts w:cs="Arial"/>
                <w:b/>
                <w:bCs/>
                <w:sz w:val="20"/>
                <w:lang w:eastAsia="en-AU"/>
              </w:rPr>
            </w:pPr>
            <w:r w:rsidRPr="007A5138">
              <w:rPr>
                <w:rFonts w:cs="Arial"/>
                <w:b/>
                <w:bCs/>
                <w:sz w:val="20"/>
                <w:lang w:eastAsia="en-AU"/>
              </w:rPr>
              <w:t>Total</w:t>
            </w:r>
          </w:p>
        </w:tc>
        <w:tc>
          <w:tcPr>
            <w:tcW w:w="1456" w:type="dxa"/>
            <w:noWrap/>
            <w:hideMark/>
          </w:tcPr>
          <w:p w14:paraId="03589704" w14:textId="77777777" w:rsidR="007A5138" w:rsidRPr="004D1071" w:rsidRDefault="007A5138" w:rsidP="007A5138">
            <w:pPr>
              <w:jc w:val="right"/>
              <w:rPr>
                <w:rFonts w:cs="Arial"/>
                <w:sz w:val="20"/>
                <w:lang w:eastAsia="en-AU"/>
              </w:rPr>
            </w:pPr>
            <w:r w:rsidRPr="00D55F3F">
              <w:rPr>
                <w:sz w:val="20"/>
              </w:rPr>
              <w:t>$15,375</w:t>
            </w:r>
          </w:p>
        </w:tc>
        <w:tc>
          <w:tcPr>
            <w:tcW w:w="1522" w:type="dxa"/>
            <w:noWrap/>
            <w:hideMark/>
          </w:tcPr>
          <w:p w14:paraId="78A6271A" w14:textId="77777777" w:rsidR="007A5138" w:rsidRPr="004D1071" w:rsidRDefault="007A5138" w:rsidP="007A5138">
            <w:pPr>
              <w:jc w:val="right"/>
              <w:rPr>
                <w:rFonts w:cs="Arial"/>
                <w:sz w:val="20"/>
                <w:lang w:eastAsia="en-AU"/>
              </w:rPr>
            </w:pPr>
            <w:r w:rsidRPr="00D55F3F">
              <w:rPr>
                <w:sz w:val="20"/>
              </w:rPr>
              <w:t>$16,839</w:t>
            </w:r>
          </w:p>
        </w:tc>
      </w:tr>
    </w:tbl>
    <w:p w14:paraId="6F501004" w14:textId="77777777" w:rsidR="0060762A" w:rsidRDefault="00C90D03" w:rsidP="00D55F3F">
      <w:pPr>
        <w:pStyle w:val="Source"/>
        <w:ind w:left="1134" w:firstLine="567"/>
      </w:pPr>
      <w:r>
        <w:t>Source: Deloitte Access Economics</w:t>
      </w:r>
      <w:r w:rsidR="000E00E8">
        <w:t xml:space="preserve"> analysis.</w:t>
      </w:r>
    </w:p>
    <w:p w14:paraId="6D8360E3" w14:textId="687DD168" w:rsidR="00F746C5" w:rsidRPr="00FC3C09" w:rsidRDefault="00EB6EF4" w:rsidP="00FC6060">
      <w:pPr>
        <w:pStyle w:val="BodyText"/>
      </w:pPr>
      <w:r w:rsidRPr="00FC3C09">
        <w:t>Examining cost differentials between 2010 and 2015, and linking this to growth in EFTSL over that period, provides a complex picture. There are examples of low growth fields that have a high cost differential, such as Creative Arts. There are cases</w:t>
      </w:r>
      <w:r w:rsidR="001C7CB9" w:rsidRPr="001C7CB9">
        <w:t xml:space="preserve"> of</w:t>
      </w:r>
      <w:r w:rsidRPr="00FC3C09">
        <w:t xml:space="preserve"> </w:t>
      </w:r>
      <w:r w:rsidR="001C7CB9" w:rsidRPr="001C7CB9">
        <w:t>high</w:t>
      </w:r>
      <w:r w:rsidRPr="00FC3C09">
        <w:t xml:space="preserve"> EFTSL growth fields that have </w:t>
      </w:r>
      <w:r w:rsidR="001C7CB9" w:rsidRPr="001C7CB9">
        <w:t>high cost differentials, such as Management and Commerce</w:t>
      </w:r>
      <w:r w:rsidR="001C7CB9">
        <w:t xml:space="preserve">. Conversely, Agriculture and Environmental </w:t>
      </w:r>
      <w:r w:rsidR="00832EC3">
        <w:t>S</w:t>
      </w:r>
      <w:r w:rsidR="001C7CB9">
        <w:t>tudies is a low EFTSL growth, low cost differential field</w:t>
      </w:r>
      <w:r w:rsidR="001C7CB9" w:rsidRPr="001C7CB9">
        <w:t xml:space="preserve">. </w:t>
      </w:r>
      <w:r w:rsidR="001C7CB9">
        <w:t xml:space="preserve">Patterns of scale efficiencies cannot be seen across the studies at the broad field of education level. </w:t>
      </w:r>
      <w:r w:rsidRPr="00FC3C09">
        <w:t>This points to three implications: 1) the differences between the studies means inferences cannot be drawn about the evolution of teaching cost on a field-by-field basis, 2) there are other dynamics of costs per EFTSL besides scale, and 3) much of the cost differential occurs within fields, rather than across them.</w:t>
      </w:r>
      <w:r w:rsidR="001C7CB9">
        <w:t xml:space="preserve"> </w:t>
      </w:r>
    </w:p>
    <w:p w14:paraId="6428D2FB" w14:textId="77777777" w:rsidR="00FC6060" w:rsidRPr="002C22EF" w:rsidRDefault="00FC6060" w:rsidP="00FC6060">
      <w:pPr>
        <w:pStyle w:val="BodyText"/>
        <w:keepNext/>
        <w:keepLines/>
        <w:rPr>
          <w:b/>
          <w:color w:val="002060"/>
          <w:sz w:val="28"/>
        </w:rPr>
      </w:pPr>
      <w:r>
        <w:rPr>
          <w:b/>
          <w:color w:val="002060"/>
          <w:sz w:val="28"/>
        </w:rPr>
        <w:t>Gauging reasonable cost</w:t>
      </w:r>
    </w:p>
    <w:p w14:paraId="0D32E464" w14:textId="77777777" w:rsidR="00FC6060" w:rsidRDefault="00FC6060" w:rsidP="00FC6060">
      <w:pPr>
        <w:pStyle w:val="BodyText"/>
      </w:pPr>
      <w:r w:rsidRPr="00804B7E">
        <w:t>The analysis above reports the results from the data collection</w:t>
      </w:r>
      <w:r>
        <w:t xml:space="preserve"> and analysis</w:t>
      </w:r>
      <w:r w:rsidRPr="00804B7E">
        <w:t xml:space="preserve"> in a relatively ‘raw’ form, presenting the data in simple summary statistics with a focus on variation across FOE and university. In practice, some of the remaining variation will be explained by observable university-specific characteristics that drive costs at the institutional level. This includes factors such as student intake and staff characteristics and decisions around teaching quality (as reflected, for example, in staff-to-student ratios). Such factors are important in understanding the notion of reasonable costs, as they inform the cost that an institution could reasonably be expected to meet given the various exogenous factors it faces.</w:t>
      </w:r>
    </w:p>
    <w:p w14:paraId="747097CF" w14:textId="77777777" w:rsidR="00FC6060" w:rsidRPr="00804B7E" w:rsidRDefault="00FC6060" w:rsidP="00FC6060">
      <w:pPr>
        <w:pStyle w:val="BodyText"/>
        <w:keepNext/>
        <w:keepLines/>
        <w:rPr>
          <w:b/>
          <w:i/>
          <w:color w:val="00A1DE"/>
          <w:sz w:val="24"/>
          <w:szCs w:val="24"/>
        </w:rPr>
      </w:pPr>
      <w:r w:rsidRPr="00804B7E">
        <w:rPr>
          <w:b/>
          <w:i/>
          <w:color w:val="00A1DE"/>
          <w:sz w:val="24"/>
          <w:szCs w:val="24"/>
        </w:rPr>
        <w:t xml:space="preserve">Motivations for </w:t>
      </w:r>
      <w:r w:rsidRPr="00BF7817">
        <w:rPr>
          <w:b/>
          <w:i/>
          <w:color w:val="00A1DE"/>
          <w:sz w:val="24"/>
          <w:szCs w:val="24"/>
        </w:rPr>
        <w:t>considering</w:t>
      </w:r>
      <w:r w:rsidRPr="00804B7E">
        <w:rPr>
          <w:b/>
          <w:i/>
          <w:color w:val="00A1DE"/>
          <w:sz w:val="24"/>
          <w:szCs w:val="24"/>
        </w:rPr>
        <w:t xml:space="preserve"> reasonable cost</w:t>
      </w:r>
    </w:p>
    <w:p w14:paraId="1E7CC4FB" w14:textId="77777777" w:rsidR="00FC6060" w:rsidRDefault="00FC6060" w:rsidP="006B32D3">
      <w:pPr>
        <w:pStyle w:val="BodyText"/>
      </w:pPr>
      <w:r w:rsidRPr="00804B7E">
        <w:t xml:space="preserve">The </w:t>
      </w:r>
      <w:r w:rsidRPr="00BF7817">
        <w:t>design of an appropriate higher education funding framework – and, ultimately, the determination of appropriate funding rates – requires a</w:t>
      </w:r>
      <w:r>
        <w:t>n</w:t>
      </w:r>
      <w:r w:rsidRPr="00804B7E">
        <w:t xml:space="preserve"> </w:t>
      </w:r>
      <w:r w:rsidRPr="00BF7817">
        <w:t xml:space="preserve">understanding of the cost </w:t>
      </w:r>
      <w:r>
        <w:t>associated with efficient achievement of</w:t>
      </w:r>
      <w:r w:rsidRPr="00BF7817">
        <w:t xml:space="preserve"> the policy outcome that government is seeking to </w:t>
      </w:r>
      <w:r w:rsidRPr="005A019C">
        <w:t>support</w:t>
      </w:r>
      <w:r w:rsidRPr="00386915">
        <w:t xml:space="preserve">.  </w:t>
      </w:r>
      <w:r>
        <w:t xml:space="preserve">In this sense, it must transcend notions of average cost.  Indeed, it must be underpinned by an understanding of the efficient cost – and any variation therein – of delivering a university education to a standard that equips students to be productive participants in the workforce (and society).  It is with these considerations in mind that the construct of ‘reasonable cost’ is introduced. </w:t>
      </w:r>
    </w:p>
    <w:p w14:paraId="339D9080" w14:textId="77777777" w:rsidR="00FC6060" w:rsidRDefault="00FC6060" w:rsidP="006B32D3">
      <w:pPr>
        <w:pStyle w:val="BodyText"/>
      </w:pPr>
      <w:r>
        <w:t xml:space="preserve">While this study cannot make determinations over the appropriate value of parameters like quality – these are ultimately policy decisions – it can provide a framework and a level of empirical analysis to support such considerations. Within the limits of the available data, it can seek to demonstrate the bases upon which unit costs vary and the relationship </w:t>
      </w:r>
      <w:r>
        <w:lastRenderedPageBreak/>
        <w:t xml:space="preserve">between this variation and the measurable constructs of efficiency, quality and outcomes – as the underpinnings of reasonableness.  </w:t>
      </w:r>
    </w:p>
    <w:p w14:paraId="3EBD44A2" w14:textId="77777777" w:rsidR="00FC6060" w:rsidRDefault="00FC6060" w:rsidP="006B32D3">
      <w:pPr>
        <w:pStyle w:val="BodyText"/>
      </w:pPr>
      <w:r>
        <w:t xml:space="preserve">Among the factors such analysis must be mindful of is the policy and regulatory environment in which universities operate and its impact on the incentives they face and the latitude they are afforded.  As a precursor to the findings of this analysis, two specific areas warrant particular mention: </w:t>
      </w:r>
    </w:p>
    <w:p w14:paraId="7DFED549" w14:textId="3DD76E4E" w:rsidR="00FC6060" w:rsidRDefault="00FC6060" w:rsidP="00FC6060">
      <w:pPr>
        <w:pStyle w:val="Bullet1"/>
      </w:pPr>
      <w:r>
        <w:t xml:space="preserve">While CSPs for bachelor degrees are uncapped (as part of the ‘Demand Driven System’), sub-bachelor and </w:t>
      </w:r>
      <w:r w:rsidR="00593960">
        <w:t>postgraduate</w:t>
      </w:r>
      <w:r>
        <w:t xml:space="preserve"> CSPs are restricted by Government. Similarly, total contributions (by students and government) towards CSPs are constrained through Government funding regulation. </w:t>
      </w:r>
    </w:p>
    <w:p w14:paraId="34495AF0" w14:textId="3DECCB51" w:rsidR="00FC6060" w:rsidRDefault="00FC6060" w:rsidP="00FC6060">
      <w:pPr>
        <w:pStyle w:val="Bullet2"/>
      </w:pPr>
      <w:r>
        <w:t xml:space="preserve">These funding constraints, as well as quality standards established as part of the TEQSA Act and accompanying legislation and regulation (such as the </w:t>
      </w:r>
      <w:r w:rsidR="00886582">
        <w:t xml:space="preserve">Higher Education </w:t>
      </w:r>
      <w:r>
        <w:t xml:space="preserve">Standards Framework), in turn influence the costs universities incur towards different teaching, research and broader engagement activities. </w:t>
      </w:r>
    </w:p>
    <w:p w14:paraId="7D32881E" w14:textId="77777777" w:rsidR="00FC6060" w:rsidRDefault="00832EC3" w:rsidP="00FC6060">
      <w:pPr>
        <w:pStyle w:val="Bullet1"/>
      </w:pPr>
      <w:r>
        <w:t xml:space="preserve">In general, </w:t>
      </w:r>
      <w:r w:rsidR="00FC6060">
        <w:t xml:space="preserve">Australian universities are autonomous, self-accrediting, public institutions that serve a diverse range of communities and have unique founding charters and missions. These varying contexts and areas of strategic focus result in a natural degree of variation in cost structures, from a given base of (largely) regulated inputs. </w:t>
      </w:r>
    </w:p>
    <w:p w14:paraId="169CEC6C" w14:textId="41D846E9" w:rsidR="00FC6060" w:rsidRDefault="006E2B07" w:rsidP="00FC6060">
      <w:pPr>
        <w:pStyle w:val="Bullet2"/>
      </w:pPr>
      <w:r>
        <w:t>T</w:t>
      </w:r>
      <w:r w:rsidR="00FC6060">
        <w:t xml:space="preserve">his envelope of variation in activities and costs is in line with the broad intent of public funding, which (for a given threshold standard of quality in the activities that are undertaken) does not prescribe specific patterns of expenditure for given </w:t>
      </w:r>
      <w:r w:rsidR="00461021">
        <w:t>teaching and scholarship</w:t>
      </w:r>
      <w:r w:rsidR="00FC6060">
        <w:t xml:space="preserve">, or research activities. </w:t>
      </w:r>
    </w:p>
    <w:p w14:paraId="1D26B916" w14:textId="77777777" w:rsidR="00FC6060" w:rsidRDefault="00FC6060" w:rsidP="00FC6060">
      <w:pPr>
        <w:pStyle w:val="Bullet2"/>
      </w:pPr>
      <w:r>
        <w:t>Funding arrangements based on a notion of reasonable cost of delivery would appropriately recognise this inherent value of autonomy, along with the varying contexts and social missions of Australian universities.</w:t>
      </w:r>
    </w:p>
    <w:p w14:paraId="71975043" w14:textId="77777777" w:rsidR="00FC6060" w:rsidRPr="00804B7E" w:rsidRDefault="00FC6060" w:rsidP="00FC6060">
      <w:pPr>
        <w:pStyle w:val="BodyText"/>
        <w:keepNext/>
        <w:keepLines/>
        <w:rPr>
          <w:b/>
          <w:i/>
          <w:color w:val="00A1DE"/>
          <w:sz w:val="24"/>
          <w:szCs w:val="24"/>
        </w:rPr>
      </w:pPr>
      <w:r w:rsidRPr="00804B7E">
        <w:rPr>
          <w:b/>
          <w:i/>
          <w:color w:val="00A1DE"/>
          <w:sz w:val="24"/>
          <w:szCs w:val="24"/>
        </w:rPr>
        <w:t>Defining reasonable cost</w:t>
      </w:r>
    </w:p>
    <w:p w14:paraId="54EF2149" w14:textId="21253290" w:rsidR="00FC6060" w:rsidRPr="00BF7817" w:rsidRDefault="00FC6060" w:rsidP="006B32D3">
      <w:pPr>
        <w:pStyle w:val="BodyText"/>
      </w:pPr>
      <w:r>
        <w:t xml:space="preserve">In line with this </w:t>
      </w:r>
      <w:r w:rsidRPr="00BF7817">
        <w:t xml:space="preserve">motivation, and its inherent complexities, the goal of this analysis is to </w:t>
      </w:r>
      <w:r w:rsidRPr="005A019C">
        <w:t xml:space="preserve">explore the </w:t>
      </w:r>
      <w:r w:rsidRPr="00146936">
        <w:t xml:space="preserve">concept of reasonable cost </w:t>
      </w:r>
      <w:r w:rsidRPr="00BF7817">
        <w:t xml:space="preserve">for teaching and </w:t>
      </w:r>
      <w:r w:rsidR="0063150D">
        <w:t>scholarship</w:t>
      </w:r>
      <w:r w:rsidR="0063150D" w:rsidRPr="00BF7817">
        <w:t xml:space="preserve"> </w:t>
      </w:r>
      <w:r w:rsidRPr="00BF7817">
        <w:t>such that it:</w:t>
      </w:r>
    </w:p>
    <w:p w14:paraId="74DCCC9A" w14:textId="77777777" w:rsidR="00FC6060" w:rsidRPr="00BF7817" w:rsidRDefault="00FC6060" w:rsidP="00FC6060">
      <w:pPr>
        <w:pStyle w:val="Bullet1"/>
        <w:numPr>
          <w:ilvl w:val="0"/>
          <w:numId w:val="15"/>
        </w:numPr>
      </w:pPr>
      <w:r>
        <w:t>r</w:t>
      </w:r>
      <w:r w:rsidRPr="00BF7817">
        <w:t xml:space="preserve">eflects typical </w:t>
      </w:r>
      <w:r w:rsidRPr="00804B7E">
        <w:t xml:space="preserve">contextual factors </w:t>
      </w:r>
      <w:r w:rsidRPr="00BF7817">
        <w:t>faced by universities (such as size and location) and accounts for variation in these factors where appropriate;</w:t>
      </w:r>
    </w:p>
    <w:p w14:paraId="55A21D0A" w14:textId="2B117097" w:rsidR="00FC6060" w:rsidRPr="005A019C" w:rsidRDefault="00FC6060" w:rsidP="00FC6060">
      <w:pPr>
        <w:pStyle w:val="Bullet1"/>
      </w:pPr>
      <w:r>
        <w:t>i</w:t>
      </w:r>
      <w:r w:rsidRPr="00BF7817">
        <w:t xml:space="preserve">s sufficient to provide a typical, contemporary, level of </w:t>
      </w:r>
      <w:r w:rsidRPr="00804B7E">
        <w:t xml:space="preserve">quality </w:t>
      </w:r>
      <w:r w:rsidRPr="00BF7817">
        <w:t xml:space="preserve">in teaching and </w:t>
      </w:r>
      <w:r w:rsidR="0063150D">
        <w:t>scholarship</w:t>
      </w:r>
      <w:r w:rsidR="00886582" w:rsidRPr="00BF7817">
        <w:t xml:space="preserve"> </w:t>
      </w:r>
      <w:r w:rsidRPr="00BF7817">
        <w:t>(as defined by government policy, including the standards framework regulated by TEQSA</w:t>
      </w:r>
      <w:r w:rsidRPr="005A019C">
        <w:t>); and</w:t>
      </w:r>
    </w:p>
    <w:p w14:paraId="4740F474" w14:textId="77777777" w:rsidR="00FC6060" w:rsidRPr="00F75A34" w:rsidRDefault="00FC6060" w:rsidP="00FC6060">
      <w:pPr>
        <w:pStyle w:val="Bullet1"/>
      </w:pPr>
      <w:r>
        <w:t>g</w:t>
      </w:r>
      <w:r w:rsidRPr="00BF7817">
        <w:t>iven the varying strategic goals and missions of universities, reflects</w:t>
      </w:r>
      <w:r w:rsidRPr="00F75A34">
        <w:t xml:space="preserve"> a level of </w:t>
      </w:r>
      <w:r w:rsidRPr="00804B7E">
        <w:t xml:space="preserve">efficiency </w:t>
      </w:r>
      <w:r w:rsidRPr="00F75A34">
        <w:t>in achieving benchmark quality standards.</w:t>
      </w:r>
    </w:p>
    <w:p w14:paraId="21EEEE98" w14:textId="77777777" w:rsidR="00FC6060" w:rsidRDefault="00FC6060" w:rsidP="00FC6060">
      <w:pPr>
        <w:pStyle w:val="BodyText"/>
      </w:pPr>
      <w:r w:rsidRPr="00BF7817">
        <w:t xml:space="preserve">This framework recognises that an appropriate measure of relative cost controls for (or </w:t>
      </w:r>
      <w:r w:rsidRPr="00804B7E">
        <w:t>moderates the effects of</w:t>
      </w:r>
      <w:r w:rsidRPr="00BF7817">
        <w:t>) the contextual characteristics and varying strategies of different institutions. As such, an appropriate measure of cost relies on ‘like’ comparisons of institutions when determining relative</w:t>
      </w:r>
      <w:r>
        <w:t xml:space="preserve"> costs, and assesses these costs on a </w:t>
      </w:r>
      <w:r w:rsidRPr="00804B7E">
        <w:t xml:space="preserve">universal </w:t>
      </w:r>
      <w:r w:rsidRPr="006701DE">
        <w:t>basis</w:t>
      </w:r>
      <w:r>
        <w:t xml:space="preserve"> of institutional characteristics.</w:t>
      </w:r>
    </w:p>
    <w:p w14:paraId="6643F8A3" w14:textId="7AD86839" w:rsidR="00FC6060" w:rsidRPr="00804B7E" w:rsidRDefault="00FC6060" w:rsidP="00FC6060">
      <w:pPr>
        <w:pStyle w:val="BodyText"/>
      </w:pPr>
      <w:r w:rsidRPr="00BF7817">
        <w:t xml:space="preserve">Importantly, this universal basis of cost comparison necessarily captures a </w:t>
      </w:r>
      <w:r w:rsidRPr="00804B7E">
        <w:t>benchmark level of quality</w:t>
      </w:r>
      <w:r w:rsidRPr="00BF7817">
        <w:t xml:space="preserve"> for </w:t>
      </w:r>
      <w:r w:rsidR="00461021">
        <w:t>teaching and scholarship</w:t>
      </w:r>
      <w:r w:rsidRPr="00BF7817">
        <w:t xml:space="preserve"> and research activities, with reference to the </w:t>
      </w:r>
      <w:r w:rsidRPr="00BF7817">
        <w:lastRenderedPageBreak/>
        <w:t xml:space="preserve">intended outcomes of public funding towards </w:t>
      </w:r>
      <w:r w:rsidR="00461021">
        <w:t>teaching and scholarship</w:t>
      </w:r>
      <w:r w:rsidRPr="00BF7817">
        <w:t xml:space="preserve"> activities; while simultaneously acknowledging that variations in institutional strategies and objectives are inherent to a system that recognises universities as autonomous institutions.</w:t>
      </w:r>
    </w:p>
    <w:p w14:paraId="58A660A0" w14:textId="5B23414D" w:rsidR="00FC6060" w:rsidRDefault="00FC6060" w:rsidP="00FC6060">
      <w:pPr>
        <w:pStyle w:val="BodyText"/>
      </w:pPr>
      <w:r w:rsidRPr="00BF7817">
        <w:t>This framework also recognises that the current concordance between funding and costs (across all institutions) is not neces</w:t>
      </w:r>
      <w:r w:rsidRPr="005A019C">
        <w:t xml:space="preserve">sarily reflective of the underlying </w:t>
      </w:r>
      <w:r w:rsidRPr="00146936">
        <w:t xml:space="preserve">necessary costs that are attributable to specific </w:t>
      </w:r>
      <w:r w:rsidR="00461021">
        <w:t>teaching and scholarship</w:t>
      </w:r>
      <w:r w:rsidRPr="00146936">
        <w:t xml:space="preserve"> activities that would eventuate independently</w:t>
      </w:r>
      <w:r w:rsidRPr="00BF7817">
        <w:t xml:space="preserve"> of the incentives caused by current funding arrangements.</w:t>
      </w:r>
      <w:r>
        <w:t xml:space="preserve">  </w:t>
      </w:r>
      <w:r w:rsidRPr="00BF7817">
        <w:t>The implication of this</w:t>
      </w:r>
      <w:r>
        <w:t xml:space="preserve"> is that observations of current attributable costs are, to some extent, circularly related to historic funding arrangements and an examination of reasonableness should seek to decouple this relationship. </w:t>
      </w:r>
    </w:p>
    <w:p w14:paraId="01D5CB0C" w14:textId="77777777" w:rsidR="00FC6060" w:rsidRPr="00804B7E" w:rsidRDefault="00FC6060" w:rsidP="00FC6060">
      <w:pPr>
        <w:pStyle w:val="BodyText"/>
        <w:keepNext/>
        <w:keepLines/>
        <w:rPr>
          <w:b/>
          <w:i/>
          <w:color w:val="00A1DE"/>
          <w:sz w:val="24"/>
          <w:szCs w:val="24"/>
        </w:rPr>
      </w:pPr>
      <w:r w:rsidRPr="00804B7E">
        <w:rPr>
          <w:b/>
          <w:i/>
          <w:color w:val="00A1DE"/>
          <w:sz w:val="24"/>
          <w:szCs w:val="24"/>
        </w:rPr>
        <w:t>Measuring reasonable cost</w:t>
      </w:r>
    </w:p>
    <w:p w14:paraId="01DB3493" w14:textId="77777777" w:rsidR="00FC6060" w:rsidRDefault="00FC6060" w:rsidP="00FC6060">
      <w:pPr>
        <w:pStyle w:val="BodyText"/>
      </w:pPr>
      <w:r>
        <w:t>There are significant limitations to empirically applying a framework capable of reliably determining reasonable cost in line with the characterisation provided above. In particular, universities’ underlying cost functions are complex, and not comprehensively identified by the sample sizes of universities that exist in Australia, or the observable attributes available for this study.</w:t>
      </w:r>
    </w:p>
    <w:p w14:paraId="517C9B22" w14:textId="77777777" w:rsidR="00FC6060" w:rsidRDefault="00FC6060" w:rsidP="00FC6060">
      <w:pPr>
        <w:pStyle w:val="BodyText"/>
      </w:pPr>
      <w:r>
        <w:t>Further, notions of quality established in government legislation are not explicitly defined for the purposes of empirical measurement, analysis and evaluation. Quality or outcome measures that are empirically defined (such as graduate destination outcomes) suffer from significant measurement error and cannot easily be compared on a like-for-like basis across university institutions, due to systematic variations in cohort intake.</w:t>
      </w:r>
    </w:p>
    <w:p w14:paraId="34584CE0" w14:textId="26FA7683" w:rsidR="00FC6060" w:rsidRDefault="00FC6060" w:rsidP="00FC6060">
      <w:pPr>
        <w:pStyle w:val="BodyText"/>
      </w:pPr>
      <w:r>
        <w:t xml:space="preserve">The significant complexity introduced by jointly produced higher education teaching and research activity, and in some cases vocational education activity, impacts the tractability of assessments of efficiency (in the context of universities’ varying missions and strategic goals). In general terms, this can only be addressed through the application of judgements regarding the intent of </w:t>
      </w:r>
      <w:r w:rsidR="00461021">
        <w:t>teaching and scholarship</w:t>
      </w:r>
      <w:r>
        <w:t xml:space="preserve"> activities in supporting the research mission of universities and, subsequently, the definition of costs associated with research, as opposed to teaching and scholarship.</w:t>
      </w:r>
    </w:p>
    <w:p w14:paraId="3A8A044B" w14:textId="77777777" w:rsidR="002B54B7" w:rsidRPr="004D1071" w:rsidRDefault="00FC6060" w:rsidP="00FC6060">
      <w:pPr>
        <w:pStyle w:val="BodyText"/>
      </w:pPr>
      <w:r>
        <w:t xml:space="preserve">Notwithstanding these limitations, the application of well-established empirical methods can provide valuable insights into how reasonable costs may be determined, in line with the three key features outlined above.  To this end, an extensive array of empirical models </w:t>
      </w:r>
      <w:r w:rsidR="000F1651">
        <w:t xml:space="preserve">have been </w:t>
      </w:r>
      <w:r w:rsidR="000F1651" w:rsidRPr="004D1071">
        <w:t>estimated</w:t>
      </w:r>
      <w:r w:rsidRPr="004D1071">
        <w:t xml:space="preserve"> in an attempt to bring the clearest possible understanding to the concept of reasonable cost and its underpinnings.  </w:t>
      </w:r>
    </w:p>
    <w:p w14:paraId="5BD37FB2" w14:textId="77777777" w:rsidR="00FC6060" w:rsidRDefault="002B54B7" w:rsidP="00FC6060">
      <w:pPr>
        <w:pStyle w:val="BodyText"/>
      </w:pPr>
      <w:r w:rsidRPr="004D1071">
        <w:t>From an an</w:t>
      </w:r>
      <w:r w:rsidR="00EC1C2B" w:rsidRPr="00D55F3F">
        <w:t xml:space="preserve">alytical perspective, </w:t>
      </w:r>
      <w:r w:rsidR="00EC1C2B" w:rsidRPr="004D1071">
        <w:t xml:space="preserve">the approaches </w:t>
      </w:r>
      <w:r w:rsidR="004B4E3B" w:rsidRPr="004D1071">
        <w:t xml:space="preserve">undertaken </w:t>
      </w:r>
      <w:r w:rsidR="00EC1C2B" w:rsidRPr="004D1071">
        <w:t xml:space="preserve">here go considerably beyond the 2011 study. </w:t>
      </w:r>
      <w:r w:rsidR="004B4E3B" w:rsidRPr="004D1071">
        <w:t>This is a result of the expansion of data from 8 to 17 universities, and 10 to 19 fields of education. He</w:t>
      </w:r>
      <w:r w:rsidR="001F0E0A">
        <w:t>nce the number of university-fi</w:t>
      </w:r>
      <w:r w:rsidR="004B4E3B" w:rsidRPr="004D1071">
        <w:t>e</w:t>
      </w:r>
      <w:r w:rsidR="001F0E0A">
        <w:t>l</w:t>
      </w:r>
      <w:r w:rsidR="004B4E3B" w:rsidRPr="004D1071">
        <w:t xml:space="preserve">d observations has grown fourfold from the previous study. This additional data has provided the </w:t>
      </w:r>
      <w:r w:rsidR="001F0E0A">
        <w:t>additional</w:t>
      </w:r>
      <w:r w:rsidR="004B4E3B" w:rsidRPr="004D1071">
        <w:t xml:space="preserve"> degrees of freedom </w:t>
      </w:r>
      <w:r w:rsidR="001F0E0A">
        <w:t>allowing concepts like reasonable cost to be explored via more</w:t>
      </w:r>
      <w:r w:rsidR="001F0E0A" w:rsidRPr="001F0E0A">
        <w:t xml:space="preserve"> </w:t>
      </w:r>
      <w:r w:rsidR="001F0E0A" w:rsidRPr="004D1071">
        <w:t>data-intensive regression techniques.</w:t>
      </w:r>
    </w:p>
    <w:p w14:paraId="33E5025C" w14:textId="77777777" w:rsidR="006B32D3" w:rsidRDefault="006B32D3" w:rsidP="00FC6060">
      <w:pPr>
        <w:pStyle w:val="BodyText"/>
        <w:rPr>
          <w:b/>
          <w:i/>
          <w:color w:val="00A1DE"/>
          <w:sz w:val="24"/>
          <w:szCs w:val="24"/>
        </w:rPr>
      </w:pPr>
    </w:p>
    <w:p w14:paraId="5BD6B052" w14:textId="77777777" w:rsidR="00FC6060" w:rsidRPr="00804B7E" w:rsidRDefault="00FC6060" w:rsidP="00FC6060">
      <w:pPr>
        <w:pStyle w:val="BodyText"/>
        <w:rPr>
          <w:b/>
          <w:i/>
          <w:color w:val="00A1DE"/>
          <w:sz w:val="24"/>
          <w:szCs w:val="24"/>
        </w:rPr>
      </w:pPr>
      <w:r w:rsidRPr="00804B7E">
        <w:rPr>
          <w:b/>
          <w:i/>
          <w:color w:val="00A1DE"/>
          <w:sz w:val="24"/>
          <w:szCs w:val="24"/>
        </w:rPr>
        <w:lastRenderedPageBreak/>
        <w:t>The measurable contributors to the construct of reasonable cost</w:t>
      </w:r>
    </w:p>
    <w:p w14:paraId="56371FC4" w14:textId="77777777" w:rsidR="00FC6060" w:rsidRDefault="00FC6060" w:rsidP="00FC6060">
      <w:pPr>
        <w:pStyle w:val="BodyText"/>
      </w:pPr>
      <w:r>
        <w:t>Having recognised that reasonable costs may legitimately vary across universities given the various contextual factors they face, the first stage of empirical analysis is to understand how the</w:t>
      </w:r>
      <w:r w:rsidR="000F1651">
        <w:t>se</w:t>
      </w:r>
      <w:r>
        <w:t xml:space="preserve"> various observable drivers influence the cost of provision. </w:t>
      </w:r>
    </w:p>
    <w:p w14:paraId="1BCA8436" w14:textId="5286C9F2" w:rsidR="00FC6060" w:rsidRDefault="00FC6060" w:rsidP="00FC6060">
      <w:pPr>
        <w:pStyle w:val="BodyText"/>
      </w:pPr>
      <w:r>
        <w:t xml:space="preserve">Ordinary Least Squares (OLS) regression analysis of university costs, by field of education and level, is used to reveal the factors </w:t>
      </w:r>
      <w:r w:rsidR="00413F05">
        <w:t xml:space="preserve">of </w:t>
      </w:r>
      <w:r>
        <w:t xml:space="preserve">universities </w:t>
      </w:r>
      <w:r w:rsidR="00413F05">
        <w:t xml:space="preserve">that </w:t>
      </w:r>
      <w:r>
        <w:t>are systematically associated with higher (or lower) costs. This analysis effectively provides insights into the underlying drivers of cost, particularly with respect to universities’ contextual attributes. The results of this analysis indicate that:</w:t>
      </w:r>
    </w:p>
    <w:p w14:paraId="433ED592" w14:textId="77777777" w:rsidR="00FC6060" w:rsidRDefault="00FC6060" w:rsidP="00FC6060">
      <w:pPr>
        <w:pStyle w:val="Bullet1"/>
        <w:numPr>
          <w:ilvl w:val="0"/>
          <w:numId w:val="18"/>
        </w:numPr>
        <w:ind w:left="567" w:hanging="567"/>
      </w:pPr>
      <w:r>
        <w:t xml:space="preserve">As with the 2011 costing study, </w:t>
      </w:r>
      <w:r w:rsidRPr="00A61849">
        <w:t>staff-student ratios</w:t>
      </w:r>
      <w:r>
        <w:t xml:space="preserve"> are positively correlated with higher costs, while FOE cohort </w:t>
      </w:r>
      <w:r w:rsidRPr="00A61849">
        <w:t>size</w:t>
      </w:r>
      <w:r>
        <w:t xml:space="preserve"> is weakly negatively correlated—indicating some scale efficiencies at the FOE level;</w:t>
      </w:r>
    </w:p>
    <w:p w14:paraId="5C942697" w14:textId="77777777" w:rsidR="00FC6060" w:rsidRDefault="00FC6060" w:rsidP="00FC6060">
      <w:pPr>
        <w:pStyle w:val="Bullet1"/>
        <w:numPr>
          <w:ilvl w:val="0"/>
          <w:numId w:val="18"/>
        </w:numPr>
        <w:ind w:left="567" w:hanging="567"/>
      </w:pPr>
      <w:r>
        <w:t xml:space="preserve">The </w:t>
      </w:r>
      <w:r w:rsidRPr="00A61849">
        <w:t>proportion of regional students</w:t>
      </w:r>
      <w:r>
        <w:t xml:space="preserve"> is associated with higher average costs, even after controlling for scale;</w:t>
      </w:r>
    </w:p>
    <w:p w14:paraId="3A9965EB" w14:textId="77777777" w:rsidR="00FC6060" w:rsidRDefault="00FC6060" w:rsidP="00FC6060">
      <w:pPr>
        <w:pStyle w:val="Bullet1"/>
        <w:numPr>
          <w:ilvl w:val="0"/>
          <w:numId w:val="18"/>
        </w:numPr>
        <w:ind w:left="567" w:hanging="567"/>
      </w:pPr>
      <w:r>
        <w:t xml:space="preserve">Greater </w:t>
      </w:r>
      <w:r w:rsidRPr="00A61849">
        <w:t>proportions of casual teaching staff and external delivery students</w:t>
      </w:r>
      <w:r>
        <w:t xml:space="preserve"> are associated with lower average costs;</w:t>
      </w:r>
    </w:p>
    <w:p w14:paraId="29E7B3E7" w14:textId="77777777" w:rsidR="00FC6060" w:rsidRPr="00C931D3" w:rsidRDefault="00FC6060" w:rsidP="00FC6060">
      <w:pPr>
        <w:pStyle w:val="Bullet1"/>
        <w:numPr>
          <w:ilvl w:val="0"/>
          <w:numId w:val="18"/>
        </w:numPr>
        <w:ind w:left="567" w:hanging="567"/>
      </w:pPr>
      <w:r w:rsidRPr="00C931D3">
        <w:t>The level of HDR research in a FOE, as a measure of associated research intensity, is positively associated with</w:t>
      </w:r>
      <w:r>
        <w:t xml:space="preserve"> higher levels of average cost;</w:t>
      </w:r>
      <w:r>
        <w:rPr>
          <w:rStyle w:val="FootnoteReference"/>
        </w:rPr>
        <w:footnoteReference w:id="5"/>
      </w:r>
      <w:r>
        <w:t xml:space="preserve"> and</w:t>
      </w:r>
    </w:p>
    <w:p w14:paraId="38ED5BFE" w14:textId="77777777" w:rsidR="00FC6060" w:rsidRDefault="00FC6060" w:rsidP="00FC6060">
      <w:pPr>
        <w:pStyle w:val="Bullet1"/>
        <w:numPr>
          <w:ilvl w:val="0"/>
          <w:numId w:val="18"/>
        </w:numPr>
        <w:ind w:left="567" w:hanging="567"/>
      </w:pPr>
      <w:r>
        <w:t xml:space="preserve">The </w:t>
      </w:r>
      <w:r w:rsidRPr="00A61849">
        <w:t>proportion of fee paying students</w:t>
      </w:r>
      <w:r>
        <w:t xml:space="preserve"> is not statistically associated with variations in cost, after controlling for other factors.</w:t>
      </w:r>
    </w:p>
    <w:p w14:paraId="04EEE629" w14:textId="77777777" w:rsidR="00FC6060" w:rsidRDefault="00FC6060" w:rsidP="00FC6060">
      <w:pPr>
        <w:pStyle w:val="BodyText"/>
      </w:pPr>
      <w:r>
        <w:t xml:space="preserve">Importantly, even after controlling for systematic differences between fields, the statistical significance and the magnitude of these effects are broadly unchanged. This suggests that these are </w:t>
      </w:r>
      <w:r w:rsidRPr="00A61849">
        <w:t>common cost drivers to higher education</w:t>
      </w:r>
      <w:r>
        <w:t xml:space="preserve"> across all fields of education (rather than idiosyncratic differences in delivery associated with a given field).</w:t>
      </w:r>
    </w:p>
    <w:p w14:paraId="5C005FED" w14:textId="77777777" w:rsidR="00FC6060" w:rsidRDefault="00FC6060" w:rsidP="00FC6060">
      <w:pPr>
        <w:pStyle w:val="BodyText"/>
      </w:pPr>
      <w:r>
        <w:t xml:space="preserve">Noting this, after controlling for a number of characteristics of universities that are found to drive differences in costs (as outlined above), most of the measured FOE variables (that is, indicator variables for each FOE) remain statistically and materially significant. This suggests that while there are observable parameters that predict variations in cost across fields of education, </w:t>
      </w:r>
      <w:r w:rsidRPr="00A61849">
        <w:t xml:space="preserve">differences </w:t>
      </w:r>
      <w:r>
        <w:t xml:space="preserve">also remain </w:t>
      </w:r>
      <w:r w:rsidRPr="00A61849">
        <w:t>at the field level</w:t>
      </w:r>
      <w:r>
        <w:t xml:space="preserve">. </w:t>
      </w:r>
    </w:p>
    <w:p w14:paraId="156CE74F" w14:textId="77777777" w:rsidR="00FC6060" w:rsidRDefault="00FC6060" w:rsidP="00FC6060">
      <w:pPr>
        <w:pStyle w:val="BodyText"/>
      </w:pPr>
      <w:r>
        <w:t>The FOEs where these remaining discipline-specific effects are greatest (that is</w:t>
      </w:r>
      <w:r w:rsidR="00C2263C">
        <w:t>, most costly) include: Dental S</w:t>
      </w:r>
      <w:r>
        <w:t>tudie</w:t>
      </w:r>
      <w:r w:rsidR="00C2263C">
        <w:t>s, Veterinary Studies, Medical Studies and Agriculture and Related S</w:t>
      </w:r>
      <w:r>
        <w:t>tudies. In contrast, Management and Commerce is found to have a highly significant negative effect on estimated costs, after controlling for other observable cost drivers.</w:t>
      </w:r>
    </w:p>
    <w:p w14:paraId="0DF27DDF" w14:textId="77777777" w:rsidR="00FC6060" w:rsidRDefault="00FC6060" w:rsidP="00FC6060">
      <w:pPr>
        <w:pStyle w:val="BodyText"/>
      </w:pPr>
      <w:r>
        <w:t>The model specification developed as part</w:t>
      </w:r>
      <w:r w:rsidR="00FF4EF9">
        <w:t xml:space="preserve"> of this study explains up to 78</w:t>
      </w:r>
      <w:r>
        <w:t xml:space="preserve">% of the </w:t>
      </w:r>
      <w:r w:rsidR="00FF4EF9">
        <w:t xml:space="preserve">observed </w:t>
      </w:r>
      <w:r>
        <w:t xml:space="preserve">variation in costs across fields of education and universities at a bachelor level, with a similar fit for postgraduate courses, and slightly lower fit </w:t>
      </w:r>
      <w:r w:rsidRPr="00BF7817">
        <w:t xml:space="preserve">at the sub-bachelor level. This relatively high level of fit of observed cost data indicates that much of the observed </w:t>
      </w:r>
      <w:r w:rsidRPr="00BF7817">
        <w:lastRenderedPageBreak/>
        <w:t xml:space="preserve">variation in cost across universities and fields of education </w:t>
      </w:r>
      <w:r w:rsidRPr="00804B7E">
        <w:t>can be explained by observable, universal, contextual characteristics (such as scale), and discipline-specific fixed effects</w:t>
      </w:r>
      <w:r w:rsidRPr="00BF7817">
        <w:t>.</w:t>
      </w:r>
    </w:p>
    <w:p w14:paraId="2AD38205" w14:textId="77777777" w:rsidR="00FC6060" w:rsidRPr="0035113D" w:rsidRDefault="00FC6060" w:rsidP="00FC6060">
      <w:pPr>
        <w:pStyle w:val="BodyText"/>
      </w:pPr>
      <w:r>
        <w:t xml:space="preserve">The results from this analysis can be used to inform the definition of </w:t>
      </w:r>
      <w:r w:rsidRPr="00FB2D55">
        <w:rPr>
          <w:rStyle w:val="Boldword"/>
        </w:rPr>
        <w:t>reasonable cost</w:t>
      </w:r>
      <w:r>
        <w:t xml:space="preserve"> for each field of education based on the notion of a ‘</w:t>
      </w:r>
      <w:r w:rsidRPr="00CD714E">
        <w:t>typical</w:t>
      </w:r>
      <w:r>
        <w:t xml:space="preserve">’ university’s characteristics, and </w:t>
      </w:r>
      <w:r w:rsidRPr="00BF7817">
        <w:t>removing the variations in cost that are not related with underlying contextual, or discipline specific drivers of cost. These unexplained variations may be interpreted as being more closely linked to the inefficiency of individual universities,</w:t>
      </w:r>
      <w:r w:rsidRPr="005A019C">
        <w:t xml:space="preserve"> wh</w:t>
      </w:r>
      <w:r w:rsidRPr="0035113D">
        <w:t>ich a measure of reasonable cost may seek to remove.</w:t>
      </w:r>
    </w:p>
    <w:p w14:paraId="0F2FC187" w14:textId="77777777" w:rsidR="00FC6060" w:rsidRDefault="00FC6060" w:rsidP="00FC6060">
      <w:pPr>
        <w:pStyle w:val="BodyText"/>
      </w:pPr>
      <w:r w:rsidRPr="0035113D">
        <w:t>By applying the median of certain university characteristics for each field of education to the fitted model</w:t>
      </w:r>
      <w:r>
        <w:t xml:space="preserve"> of cost, it is possible to estimate the average ‘typical’ underlying cost by field of education, when comparing universities on the basis of like, observable characteristics. The results of this analysis are outlined in Chart vi below. This chart shows that the range of typical cost by field of education is very close to actual observed cost (as predicted by the high degree of model fit).  </w:t>
      </w:r>
    </w:p>
    <w:p w14:paraId="36200500" w14:textId="17FE3BA2" w:rsidR="00FC6060" w:rsidRDefault="00FC6060" w:rsidP="00FC6060">
      <w:pPr>
        <w:pStyle w:val="BodyText"/>
      </w:pPr>
      <w:r>
        <w:t>Quantile regression estimates (which model observations of the 25</w:t>
      </w:r>
      <w:r w:rsidRPr="003802C0">
        <w:rPr>
          <w:vertAlign w:val="superscript"/>
        </w:rPr>
        <w:t>th</w:t>
      </w:r>
      <w:r>
        <w:t xml:space="preserve"> percentile of cost by </w:t>
      </w:r>
      <w:r w:rsidR="00175C4C">
        <w:t>FOE</w:t>
      </w:r>
      <w:r>
        <w:t xml:space="preserve"> rather than the average cost) are incorporated similarly into Chart vi in an attempt to introduce a stylised representation of efficiency. These measures attempt </w:t>
      </w:r>
      <w:r w:rsidRPr="00BF7817">
        <w:t xml:space="preserve">to go beyond a measure of differentials in cost at the median or typical university and estimate a </w:t>
      </w:r>
      <w:r w:rsidRPr="00804B7E">
        <w:t>lower bound of cost</w:t>
      </w:r>
      <w:r w:rsidRPr="00BF7817">
        <w:t xml:space="preserve"> that may represent a </w:t>
      </w:r>
      <w:r w:rsidRPr="00804B7E">
        <w:t>reasonable cost frontier</w:t>
      </w:r>
      <w:r w:rsidRPr="00BF7817">
        <w:t>. Nonetheless, this lower bound</w:t>
      </w:r>
      <w:r>
        <w:t xml:space="preserve"> is to some extent arbitrarily chosen by focussing on the 25</w:t>
      </w:r>
      <w:r w:rsidRPr="00136129">
        <w:rPr>
          <w:vertAlign w:val="superscript"/>
        </w:rPr>
        <w:t>th</w:t>
      </w:r>
      <w:r>
        <w:t xml:space="preserve"> percentile and is used as an indication only of relatively more efficient costs. </w:t>
      </w:r>
    </w:p>
    <w:p w14:paraId="056CAA3E" w14:textId="0F426CDA" w:rsidR="00FC6060" w:rsidRDefault="00FC6060" w:rsidP="00FC6060">
      <w:pPr>
        <w:pStyle w:val="BodyText"/>
      </w:pPr>
      <w:r>
        <w:t xml:space="preserve">These quantile regression estimates, as expected, are consistently lower than the actual observed cost </w:t>
      </w:r>
      <w:r w:rsidRPr="00BF7817">
        <w:t xml:space="preserve">and the OLS cost model predictions. </w:t>
      </w:r>
      <w:r w:rsidRPr="00804B7E">
        <w:t xml:space="preserve">This suggests that the reasonable costs for a university operating efficiently </w:t>
      </w:r>
      <w:r>
        <w:t>are</w:t>
      </w:r>
      <w:r w:rsidRPr="00804B7E">
        <w:t xml:space="preserve"> on average below actual costs.</w:t>
      </w:r>
      <w:r w:rsidRPr="00BF7817">
        <w:t xml:space="preserve"> </w:t>
      </w:r>
      <w:r>
        <w:t>V</w:t>
      </w:r>
      <w:r w:rsidRPr="00BF7817">
        <w:t xml:space="preserve">ariation across fields in the distance between the predicted cost (OLS model) and lower cost bounds suggests that </w:t>
      </w:r>
      <w:r>
        <w:t>some fields are on average further from the cost frontier (for example, Dental Studies</w:t>
      </w:r>
      <w:r w:rsidRPr="00DD164E">
        <w:t xml:space="preserve"> and Veterinary </w:t>
      </w:r>
      <w:r w:rsidR="00413F05">
        <w:t>S</w:t>
      </w:r>
      <w:r w:rsidRPr="00DD164E">
        <w:t>tudies</w:t>
      </w:r>
      <w:r>
        <w:t>) while others appear to be relatively close to the frontier.</w:t>
      </w:r>
    </w:p>
    <w:p w14:paraId="34CBCCD0" w14:textId="5155B4B0" w:rsidR="00FC6060" w:rsidRDefault="00FC6060" w:rsidP="00FC6060">
      <w:pPr>
        <w:pStyle w:val="ExecChartCaption"/>
      </w:pPr>
      <w:r>
        <w:lastRenderedPageBreak/>
        <w:t>: Reasonable cost estimates</w:t>
      </w:r>
      <w:r w:rsidR="00CA506A">
        <w:t xml:space="preserve"> - </w:t>
      </w:r>
      <w:r>
        <w:t>Total cost per EFTSL (</w:t>
      </w:r>
      <w:r w:rsidR="009F6F84">
        <w:t>b</w:t>
      </w:r>
      <w:r>
        <w:t>achelor level, 2015)</w:t>
      </w:r>
    </w:p>
    <w:p w14:paraId="097D1B90" w14:textId="6001A3C6" w:rsidR="00FC6060" w:rsidRDefault="00CA506A" w:rsidP="00CA506A">
      <w:pPr>
        <w:pStyle w:val="BodyText"/>
        <w:ind w:hanging="567"/>
        <w:jc w:val="center"/>
      </w:pPr>
      <w:r>
        <w:rPr>
          <w:noProof/>
          <w:lang w:eastAsia="en-AU"/>
        </w:rPr>
        <w:drawing>
          <wp:inline distT="0" distB="0" distL="0" distR="0" wp14:anchorId="7278E257" wp14:editId="0851244B">
            <wp:extent cx="5438775" cy="4047243"/>
            <wp:effectExtent l="0" t="0" r="0" b="0"/>
            <wp:docPr id="460" name="Picture 460" descr="Comparison of reasonable cost estimates for total cost per EFTSL at the bachelor level, by FOE" title="Reasonable cost estimates: Total cost per EFT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48394" cy="4054401"/>
                    </a:xfrm>
                    <a:prstGeom prst="rect">
                      <a:avLst/>
                    </a:prstGeom>
                    <a:noFill/>
                  </pic:spPr>
                </pic:pic>
              </a:graphicData>
            </a:graphic>
          </wp:inline>
        </w:drawing>
      </w:r>
    </w:p>
    <w:p w14:paraId="1F97082E" w14:textId="77777777" w:rsidR="00FC6060" w:rsidRPr="00EA798B" w:rsidRDefault="00FC6060" w:rsidP="00FC6060">
      <w:pPr>
        <w:pStyle w:val="Source"/>
        <w:spacing w:after="0"/>
      </w:pPr>
      <w:r w:rsidRPr="00EA798B">
        <w:t>Source: Deloitte Access Economics analysis.</w:t>
      </w:r>
    </w:p>
    <w:p w14:paraId="00218E47" w14:textId="77777777" w:rsidR="00FC6060" w:rsidRPr="00815275" w:rsidRDefault="00FC6060" w:rsidP="00FC6060">
      <w:pPr>
        <w:pStyle w:val="Source"/>
        <w:spacing w:after="0"/>
      </w:pPr>
      <w:r>
        <w:t xml:space="preserve">Note: </w:t>
      </w:r>
      <w:r w:rsidRPr="00C931D3">
        <w:t xml:space="preserve">Varied ‘contextual’ cost drivers include proportion of regional EFTSL and field fixed effects. Fixed cost drivers (set to median by FOE) include staff student ratio (log, teaching staff), proportion of casual teaching staff, and </w:t>
      </w:r>
      <w:r w:rsidR="00900DBE">
        <w:t>proportion of international</w:t>
      </w:r>
      <w:r w:rsidRPr="00C931D3">
        <w:t xml:space="preserve"> EFTSL.</w:t>
      </w:r>
    </w:p>
    <w:p w14:paraId="225BEACC" w14:textId="1993C81F" w:rsidR="00FC6060" w:rsidRPr="00BF7817" w:rsidRDefault="00FC6060" w:rsidP="00FC6060">
      <w:pPr>
        <w:pStyle w:val="BodyText"/>
      </w:pPr>
      <w:r>
        <w:t xml:space="preserve">The drivers of this process of moderation towards reasonable cost (or ‘typical cost’) are observable contextual characteristics defined at a FOE and university level. The application of this model for the purposes of </w:t>
      </w:r>
      <w:r w:rsidRPr="00BF7817">
        <w:t>establishing possible funding levels would necessarily require a set of characteristics of the ‘typical’ university to be defined. For example, given that cost is found to vary on the basis of staff-student ratios (as a proxy of scale efficiency) a typical staff-student ratio may be set to define typical cost.</w:t>
      </w:r>
    </w:p>
    <w:p w14:paraId="3B4B6602" w14:textId="77777777" w:rsidR="00FC6060" w:rsidRDefault="00FC6060" w:rsidP="00FC6060">
      <w:pPr>
        <w:pStyle w:val="BodyText"/>
      </w:pPr>
      <w:r w:rsidRPr="00BF7817">
        <w:t xml:space="preserve">While costs are likely to differ across </w:t>
      </w:r>
      <w:r>
        <w:t>FOEs</w:t>
      </w:r>
      <w:r w:rsidRPr="00BF7817">
        <w:t xml:space="preserve"> due to</w:t>
      </w:r>
      <w:r>
        <w:t xml:space="preserve"> differences in the underlying cost drivers, even within a given field there is often significant variation in costs across different universities. </w:t>
      </w:r>
    </w:p>
    <w:p w14:paraId="5695310B" w14:textId="77777777" w:rsidR="00FC6060" w:rsidRDefault="00FC6060" w:rsidP="00FC6060">
      <w:pPr>
        <w:pStyle w:val="BodyText"/>
      </w:pPr>
      <w:r>
        <w:t xml:space="preserve">By way of illustration, </w:t>
      </w:r>
      <w:r w:rsidR="00DE71F7">
        <w:fldChar w:fldCharType="begin"/>
      </w:r>
      <w:r w:rsidR="00DE71F7">
        <w:instrText xml:space="preserve"> REF _Ref467150603 \r \h </w:instrText>
      </w:r>
      <w:r w:rsidR="00DE71F7">
        <w:fldChar w:fldCharType="separate"/>
      </w:r>
      <w:r w:rsidR="00595C6E">
        <w:t>Chart vii</w:t>
      </w:r>
      <w:r w:rsidR="00DE71F7">
        <w:fldChar w:fldCharType="end"/>
      </w:r>
      <w:r>
        <w:t xml:space="preserve"> presents actual and reasonable costs estimated using OLS and quantile regression for each university in the Management and Commerce field of education at the bachelor level. Each of the predicted cost lines (aside from actual costs) is estimated using fixed values of cost drivers, while allowing for the proportion of regional EFTSL to vary (as this is likely to reflect contextual factors). Hence, the variation in predicted costs by university is limited to differences in regional students. These models of cost are thus relatively stable across universities. Equivalent measures are developed for each of the 19 FOEs included in this study.</w:t>
      </w:r>
    </w:p>
    <w:p w14:paraId="3487566D" w14:textId="557106E1" w:rsidR="00FC6060" w:rsidRDefault="00FC6060" w:rsidP="00FC6060">
      <w:pPr>
        <w:pStyle w:val="ExecChartCaption"/>
      </w:pPr>
      <w:bookmarkStart w:id="32" w:name="_Ref467150603"/>
      <w:r>
        <w:lastRenderedPageBreak/>
        <w:t xml:space="preserve">: Cost estimates: Total cost per EFTSL (Management and </w:t>
      </w:r>
      <w:r w:rsidR="002A0B41">
        <w:br/>
      </w:r>
      <w:r>
        <w:t xml:space="preserve">Commerce, </w:t>
      </w:r>
      <w:r w:rsidR="009F6F84">
        <w:t>b</w:t>
      </w:r>
      <w:r>
        <w:t>achelor level, 2015)</w:t>
      </w:r>
      <w:bookmarkEnd w:id="32"/>
    </w:p>
    <w:p w14:paraId="470B6EDC" w14:textId="77777777" w:rsidR="00FC6060" w:rsidRDefault="003F445D" w:rsidP="00FC6060">
      <w:pPr>
        <w:pStyle w:val="BodyText"/>
        <w:jc w:val="center"/>
      </w:pPr>
      <w:r>
        <w:rPr>
          <w:noProof/>
          <w:lang w:eastAsia="en-AU"/>
        </w:rPr>
        <w:drawing>
          <wp:inline distT="0" distB="0" distL="0" distR="0" wp14:anchorId="0E1F54EF" wp14:editId="05BA5286">
            <wp:extent cx="4650803" cy="2589796"/>
            <wp:effectExtent l="0" t="0" r="0" b="1270"/>
            <wp:docPr id="9" name="Picture 9" descr="Estimates of total cost per EFTSL, for Management and Commerce, across 16 universities" title="Cost estimates: Total cost per EFT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66322" cy="2598438"/>
                    </a:xfrm>
                    <a:prstGeom prst="rect">
                      <a:avLst/>
                    </a:prstGeom>
                    <a:noFill/>
                  </pic:spPr>
                </pic:pic>
              </a:graphicData>
            </a:graphic>
          </wp:inline>
        </w:drawing>
      </w:r>
    </w:p>
    <w:p w14:paraId="1CA8D0E8" w14:textId="77777777" w:rsidR="00FC6060" w:rsidRPr="00C65E4D" w:rsidRDefault="00FC6060" w:rsidP="00FC6060">
      <w:pPr>
        <w:pStyle w:val="Source"/>
        <w:spacing w:after="0"/>
      </w:pPr>
      <w:r w:rsidRPr="00C65E4D">
        <w:t xml:space="preserve">Source:  Deloitte Access Economics </w:t>
      </w:r>
      <w:r w:rsidR="0049715A">
        <w:t>analysis.</w:t>
      </w:r>
    </w:p>
    <w:p w14:paraId="136305BD" w14:textId="77777777" w:rsidR="002A0B41" w:rsidRPr="00815275" w:rsidRDefault="002A0B41" w:rsidP="002A0B41">
      <w:pPr>
        <w:pStyle w:val="Source"/>
        <w:spacing w:after="0"/>
      </w:pPr>
      <w:r>
        <w:t xml:space="preserve">Note: </w:t>
      </w:r>
      <w:r w:rsidRPr="00C931D3">
        <w:t xml:space="preserve">Varied ‘contextual’ cost drivers include proportion of regional EFTSL and field fixed effects. Fixed cost drivers (set to median by FOE) include staff student ratio (log, teaching staff), proportion of casual teaching staff, and </w:t>
      </w:r>
      <w:r>
        <w:t>proportion of international</w:t>
      </w:r>
      <w:r w:rsidRPr="00C931D3">
        <w:t xml:space="preserve"> EFTSL.</w:t>
      </w:r>
    </w:p>
    <w:p w14:paraId="58DFD2A4" w14:textId="77777777" w:rsidR="00FC6060" w:rsidRPr="00BF7817" w:rsidRDefault="00C95F47" w:rsidP="00FC6060">
      <w:pPr>
        <w:pStyle w:val="BodyText"/>
      </w:pPr>
      <w:r>
        <w:fldChar w:fldCharType="begin"/>
      </w:r>
      <w:r>
        <w:instrText xml:space="preserve"> REF _Ref467150603 \r \h </w:instrText>
      </w:r>
      <w:r>
        <w:fldChar w:fldCharType="separate"/>
      </w:r>
      <w:r w:rsidR="00595C6E">
        <w:t>Chart vii</w:t>
      </w:r>
      <w:r>
        <w:fldChar w:fldCharType="end"/>
      </w:r>
      <w:r>
        <w:t xml:space="preserve"> </w:t>
      </w:r>
      <w:r w:rsidR="00FC6060" w:rsidRPr="00804B7E">
        <w:t>demonstrates a significant degree of variation in actual costs across universities. In</w:t>
      </w:r>
      <w:r w:rsidR="00FC6060">
        <w:t>deed, in</w:t>
      </w:r>
      <w:r w:rsidR="00FC6060" w:rsidRPr="00804B7E">
        <w:t xml:space="preserve"> some cases actual costs are substantially different to those predicted by each model.</w:t>
      </w:r>
      <w:r w:rsidR="00FC6060" w:rsidRPr="00BF7817">
        <w:t xml:space="preserve"> This could be driven by a given university having cost drivers which differ substantially from the median, unobserved factors or strategic decisions by a university to prioritise particular fields of education. </w:t>
      </w:r>
    </w:p>
    <w:p w14:paraId="1DA0B326" w14:textId="774C49C9" w:rsidR="00FC6060" w:rsidRDefault="00FC6060" w:rsidP="00FC6060">
      <w:pPr>
        <w:pStyle w:val="BodyText"/>
      </w:pPr>
      <w:r>
        <w:t>As the model shifts from OLS to a quantile regression model at the 25</w:t>
      </w:r>
      <w:r w:rsidRPr="003802C0">
        <w:rPr>
          <w:vertAlign w:val="superscript"/>
        </w:rPr>
        <w:t>th</w:t>
      </w:r>
      <w:r>
        <w:t xml:space="preserve"> percentile, the estimate of reasonable </w:t>
      </w:r>
      <w:r w:rsidR="00461021">
        <w:t>teaching and scholarship</w:t>
      </w:r>
      <w:r>
        <w:t xml:space="preserve"> costs for a typical university delivering a Management and </w:t>
      </w:r>
      <w:r w:rsidR="002D54FD">
        <w:t>C</w:t>
      </w:r>
      <w:r>
        <w:t>ommerce course falls accordingly, consistent with a move progressively closer to the bound of efficient cost. Nevertheless, the variation across these estimates of reasonable costs (OLS and quantile regression) is smaller than the range of actual costs.</w:t>
      </w:r>
    </w:p>
    <w:p w14:paraId="39057CEA" w14:textId="77777777" w:rsidR="00FC6060" w:rsidRDefault="00FC6060" w:rsidP="00FC6060">
      <w:pPr>
        <w:pStyle w:val="BodyText"/>
      </w:pPr>
      <w:r>
        <w:t xml:space="preserve">The modelling conducted as part of this analysis allows for this process of moderation to be undertaken for a range of contextual factors, based on the application of defined ‘typical’ university characteristics. This allows for a like-for-like comparison to be made in defining underlying costs, to the extent that observable characteristics can sufficiently represent the cost context of a university.  </w:t>
      </w:r>
    </w:p>
    <w:p w14:paraId="2295FB1F" w14:textId="77777777" w:rsidR="00FC6060" w:rsidRPr="00804B7E" w:rsidRDefault="00FC6060" w:rsidP="00FC6060">
      <w:pPr>
        <w:pStyle w:val="BodyText"/>
      </w:pPr>
      <w:r w:rsidRPr="00BF7817">
        <w:rPr>
          <w:rStyle w:val="Boldword"/>
          <w:b w:val="0"/>
          <w:color w:val="auto"/>
        </w:rPr>
        <w:t xml:space="preserve">In general terms, the </w:t>
      </w:r>
      <w:r w:rsidRPr="00804B7E">
        <w:t>results from the models illustrated above provide an empirical basis for generating estimates of reasonable cost for each FOE at Australian universities in 2015.</w:t>
      </w:r>
    </w:p>
    <w:p w14:paraId="6ECF8D21" w14:textId="54DBE82D" w:rsidR="00FC6060" w:rsidRPr="00804B7E" w:rsidRDefault="00FC6060" w:rsidP="00FC6060">
      <w:pPr>
        <w:pStyle w:val="BodyText"/>
      </w:pPr>
      <w:r w:rsidRPr="00BF7817">
        <w:t xml:space="preserve">It should be emphasised that for each FOE, the resulting estimates of reasonable cost are </w:t>
      </w:r>
      <w:r w:rsidRPr="00804B7E">
        <w:t>determined by the particular value of the contextual variables used in the calculation:</w:t>
      </w:r>
    </w:p>
    <w:p w14:paraId="2B662606" w14:textId="77777777" w:rsidR="00FC6060" w:rsidRPr="00C6120F" w:rsidRDefault="00FC6060" w:rsidP="00FC6060">
      <w:pPr>
        <w:pStyle w:val="Bullet1"/>
        <w:ind w:left="567" w:hanging="567"/>
      </w:pPr>
      <w:r w:rsidRPr="00C6120F">
        <w:t>The fixed input values that are used to set the value of cost from the estimated underlying model of typical costs.</w:t>
      </w:r>
    </w:p>
    <w:p w14:paraId="08CD718D" w14:textId="77777777" w:rsidR="00FC6060" w:rsidRPr="00C6120F" w:rsidRDefault="00FC6060" w:rsidP="00FC6060">
      <w:pPr>
        <w:pStyle w:val="Bullet2"/>
        <w:ind w:left="1287" w:hanging="360"/>
      </w:pPr>
      <w:r w:rsidRPr="00C6120F">
        <w:lastRenderedPageBreak/>
        <w:t>For example, a set of staff to student ratios for each FOE must be pre-defined to reflect benchmark standards implicit in the definition of ‘reasonable cost’.</w:t>
      </w:r>
    </w:p>
    <w:p w14:paraId="4C89D8A2" w14:textId="77777777" w:rsidR="00FC6060" w:rsidRPr="00C6120F" w:rsidRDefault="00FC6060" w:rsidP="00FC6060">
      <w:pPr>
        <w:pStyle w:val="Bullet1"/>
        <w:ind w:left="567" w:hanging="567"/>
      </w:pPr>
      <w:r w:rsidRPr="00C6120F">
        <w:t>The desired threshold of benchmark efficiency, to inform the choice of model used to determine underlying costs.</w:t>
      </w:r>
    </w:p>
    <w:p w14:paraId="5F489159" w14:textId="77777777" w:rsidR="00FC6060" w:rsidRPr="00C6120F" w:rsidRDefault="00FC6060" w:rsidP="00FC6060">
      <w:pPr>
        <w:pStyle w:val="Bullet2"/>
        <w:ind w:left="1287" w:hanging="360"/>
      </w:pPr>
      <w:r w:rsidRPr="00C6120F">
        <w:t>For example, if a threshold level of efficiency is believed to be the 25</w:t>
      </w:r>
      <w:r w:rsidRPr="00C6120F">
        <w:rPr>
          <w:vertAlign w:val="superscript"/>
        </w:rPr>
        <w:t>th</w:t>
      </w:r>
      <w:r w:rsidRPr="00C6120F">
        <w:t xml:space="preserve"> percentile of current observed cost by FOE, then the results from the quartile regression analysis may be used to define reasonable cost.</w:t>
      </w:r>
    </w:p>
    <w:p w14:paraId="7DFCDCA5" w14:textId="77777777" w:rsidR="00FC6060" w:rsidRDefault="00FC6060" w:rsidP="00FC6060">
      <w:pPr>
        <w:pStyle w:val="BodyText"/>
      </w:pPr>
      <w:r w:rsidRPr="00BF7817">
        <w:t xml:space="preserve">As noted, these parameters </w:t>
      </w:r>
      <w:r>
        <w:t>as currently set have been stylised</w:t>
      </w:r>
      <w:r w:rsidRPr="00BF7817">
        <w:t xml:space="preserve"> for the purposes of this report and should be considered illustrative only. Ultimately</w:t>
      </w:r>
      <w:r>
        <w:t>,</w:t>
      </w:r>
      <w:r w:rsidRPr="00BF7817">
        <w:t xml:space="preserve"> these assumptions must be determined by policymakers in the context of other considerations, including notions of benchmark quality in teaching and scholarship, as outlined</w:t>
      </w:r>
      <w:r>
        <w:t xml:space="preserve"> further below.</w:t>
      </w:r>
    </w:p>
    <w:p w14:paraId="68A9938F" w14:textId="6E656F94" w:rsidR="00FC6060" w:rsidRDefault="00FC6060" w:rsidP="00FC6060">
      <w:pPr>
        <w:pStyle w:val="BodyText"/>
      </w:pPr>
      <w:r>
        <w:t xml:space="preserve">The above analysis considers the use of a median university by field of education characteristics as ‘typical’ parameters for the purposes of illustrating how reasonable costs can be empirically derived.  Other points may of course be used and, ultimately, any application of this concept must align with the underlying notion of what constitutes ‘reasonableness’. </w:t>
      </w:r>
    </w:p>
    <w:p w14:paraId="4C8ECB43" w14:textId="4476780D" w:rsidR="00FC6060" w:rsidRPr="00A85494" w:rsidRDefault="00FC6060" w:rsidP="00FC6060">
      <w:pPr>
        <w:pStyle w:val="BodyText"/>
      </w:pPr>
      <w:r>
        <w:t xml:space="preserve">Importantly, evidence of the effect of contextual characteristics (in particular, those which lie outside of a university’s explicit control and are not explicitly related to quality) imply that funding arrangements based on the notion of reasonable cost may appropriately vary on the basis of these </w:t>
      </w:r>
      <w:r w:rsidRPr="00BF7817">
        <w:t>contextual characteristics</w:t>
      </w:r>
      <w:r>
        <w:t xml:space="preserve">, as well as on the basis of </w:t>
      </w:r>
      <w:r w:rsidR="00175C4C">
        <w:t>FOE</w:t>
      </w:r>
      <w:r>
        <w:t>. Similar notions are applied to funding arrangements in schooling, where loadings are applied on the basis of higher reasonable costs faced by smaller schools, or schools located in regional or remote communities.</w:t>
      </w:r>
    </w:p>
    <w:p w14:paraId="1D189BEA" w14:textId="77777777" w:rsidR="00FC6060" w:rsidRPr="00804B7E" w:rsidRDefault="00FC6060" w:rsidP="00FC6060">
      <w:pPr>
        <w:pStyle w:val="BodyText"/>
        <w:rPr>
          <w:b/>
          <w:i/>
          <w:color w:val="00B0F0"/>
          <w:sz w:val="24"/>
          <w:szCs w:val="24"/>
        </w:rPr>
      </w:pPr>
      <w:r w:rsidRPr="00804B7E">
        <w:rPr>
          <w:b/>
          <w:i/>
          <w:color w:val="00B0F0"/>
          <w:sz w:val="24"/>
          <w:szCs w:val="24"/>
        </w:rPr>
        <w:t xml:space="preserve">Capturing quality and outcomes </w:t>
      </w:r>
    </w:p>
    <w:p w14:paraId="542219ED" w14:textId="77777777" w:rsidR="00FC6060" w:rsidRDefault="00FC6060" w:rsidP="00FC6060">
      <w:pPr>
        <w:pStyle w:val="BodyText"/>
      </w:pPr>
      <w:r>
        <w:t xml:space="preserve">The analysis of reasonable costs presented above does not capture all of the ways in which costs may </w:t>
      </w:r>
      <w:r w:rsidRPr="00EF3B0F">
        <w:rPr>
          <w:i/>
        </w:rPr>
        <w:t>reasonably</w:t>
      </w:r>
      <w:r>
        <w:t xml:space="preserve"> vary across fields of education and across universities. Indeed, unexplained variance in costs that </w:t>
      </w:r>
      <w:r w:rsidRPr="00BF7817">
        <w:t>is removed</w:t>
      </w:r>
      <w:r>
        <w:t xml:space="preserve"> as part of this analysis may in fact be explained by important omitted variables, including those that capture variations in cost related to unobserved quality attributes (or issues associated with the co-production of research).</w:t>
      </w:r>
    </w:p>
    <w:p w14:paraId="3B498299" w14:textId="6263AE9A" w:rsidR="00FC6060" w:rsidRDefault="00FC6060" w:rsidP="00FC6060">
      <w:pPr>
        <w:pStyle w:val="BodyText"/>
      </w:pPr>
      <w:r>
        <w:t xml:space="preserve">This is particularly important to the extent that quality may differ across universities, with this variance not perfectly accounted for by the analysis. The contextual measures considered in the above analysis can be considered partial measures of quality. For example, student-staff ratios, while being measures of scale efficiencies, also constitute an input-based measure of quality in </w:t>
      </w:r>
      <w:r w:rsidR="00461021">
        <w:t>teaching and scholarship</w:t>
      </w:r>
      <w:r>
        <w:t>. Similarly, i</w:t>
      </w:r>
      <w:r w:rsidRPr="005300C4">
        <w:t xml:space="preserve">n some instances, </w:t>
      </w:r>
      <w:r>
        <w:t xml:space="preserve">teaching and scholarship </w:t>
      </w:r>
      <w:r w:rsidRPr="005300C4">
        <w:t xml:space="preserve">quality </w:t>
      </w:r>
      <w:r>
        <w:t xml:space="preserve">may be considered to be </w:t>
      </w:r>
      <w:r w:rsidRPr="005300C4">
        <w:t xml:space="preserve">related to </w:t>
      </w:r>
      <w:r>
        <w:t xml:space="preserve">the </w:t>
      </w:r>
      <w:r w:rsidRPr="005300C4">
        <w:t>co-production of research, which may occur more intensely in some disciplines than others (or in some universities</w:t>
      </w:r>
      <w:r>
        <w:t xml:space="preserve"> over others</w:t>
      </w:r>
      <w:r w:rsidRPr="005300C4">
        <w:t>)</w:t>
      </w:r>
      <w:r>
        <w:t>.</w:t>
      </w:r>
    </w:p>
    <w:p w14:paraId="0E23F7D5" w14:textId="77777777" w:rsidR="00FC6060" w:rsidRDefault="00FC6060" w:rsidP="00FC6060">
      <w:pPr>
        <w:pStyle w:val="BodyText"/>
      </w:pPr>
      <w:r>
        <w:t>In defining reasonable cost, it is necessary to define the benchmark level of quality with which it is associated. This can be done in terms of inputs, such as research intensity, staff-student rati</w:t>
      </w:r>
      <w:r w:rsidR="000F1651">
        <w:t>os, or staff qualifications (for example,</w:t>
      </w:r>
      <w:r>
        <w:t xml:space="preserve"> as defined by TEQSA’s Threshold </w:t>
      </w:r>
      <w:r>
        <w:lastRenderedPageBreak/>
        <w:t>Standards), or in terms of outcomes, such as rates of student attrition, and graduate employment and average salaries.</w:t>
      </w:r>
    </w:p>
    <w:p w14:paraId="14E76E76" w14:textId="79334441" w:rsidR="00FC6060" w:rsidRDefault="00FC6060" w:rsidP="00FC6060">
      <w:pPr>
        <w:pStyle w:val="BodyText"/>
      </w:pPr>
      <w:r>
        <w:t xml:space="preserve">Similar to the approach above, benchmark standards may be defined for each </w:t>
      </w:r>
      <w:r w:rsidR="00175C4C">
        <w:t>FOE</w:t>
      </w:r>
      <w:r>
        <w:t xml:space="preserve">, in developing a measure of reasonable cost which accounts for variations in university context, while aligning cost with a benchmark standard of quality. Specific standards already exist for certain fields that are externally accredited, such as Actuarial </w:t>
      </w:r>
      <w:r w:rsidR="00CA506A">
        <w:t>S</w:t>
      </w:r>
      <w:r>
        <w:t xml:space="preserve">tudies, though standards in other FOEs need not be as prescriptive. It is also important to highlight that the best understanding of quality often lies with teaching academics themselves. </w:t>
      </w:r>
    </w:p>
    <w:p w14:paraId="0D8574AB" w14:textId="77777777" w:rsidR="00FC6060" w:rsidRDefault="00FC6060" w:rsidP="00FC6060">
      <w:pPr>
        <w:pStyle w:val="BodyText"/>
      </w:pPr>
      <w:r>
        <w:t xml:space="preserve">Measures of cost that rely on input-based notions of quality do not guarantee alignment between cost (or any subsequent funding arrangements) and student outcomes. In principle, the notion of reasonable cost developed here would be grounded in a benchmark that relates to outcomes, as a direct measure of teaching and scholarship quality. From this, </w:t>
      </w:r>
      <w:r w:rsidR="00CA506A">
        <w:t xml:space="preserve">a </w:t>
      </w:r>
      <w:r>
        <w:t xml:space="preserve">typical cost that meets this benchmark standard may be derived.  Such an approach is widely applied in other areas of education like schooling. </w:t>
      </w:r>
    </w:p>
    <w:p w14:paraId="53D988C1" w14:textId="77777777" w:rsidR="00FC6060" w:rsidRDefault="00FC6060" w:rsidP="00FC6060">
      <w:pPr>
        <w:pStyle w:val="BodyText"/>
      </w:pPr>
      <w:r>
        <w:t xml:space="preserve">In practice, however, the inclusion of available outcome-based quality measures (such as graduate employment, salary outcomes and course experience questionnaires) in the OLS analysis outlined here demonstrates </w:t>
      </w:r>
      <w:r w:rsidRPr="00BF7817">
        <w:t>that there is no systematic relationship between average cost and observed outcomes, after controlling for other factors. This suggests that unexplained variance in costs cannot be attributed to available measures of outcomes,</w:t>
      </w:r>
      <w:r w:rsidRPr="005A019C">
        <w:t xml:space="preserve"> limiting the extent to which the cost data and analysis here can be further moderated to reflect typical costs towards achieving benchmark quality in outcome</w:t>
      </w:r>
      <w:r w:rsidRPr="00AE1B61">
        <w:t>s</w:t>
      </w:r>
      <w:r>
        <w:t>.</w:t>
      </w:r>
    </w:p>
    <w:p w14:paraId="5B603CA3" w14:textId="77777777" w:rsidR="00FC6060" w:rsidRDefault="00FC6060" w:rsidP="00FC6060">
      <w:pPr>
        <w:pStyle w:val="BodyText"/>
      </w:pPr>
      <w:r>
        <w:t>This issue relates largely to the measurement of quality using available outcomes data from the Graduate Destinations and Experience Surveys. In particular:</w:t>
      </w:r>
    </w:p>
    <w:p w14:paraId="160321F8" w14:textId="77777777" w:rsidR="00FC6060" w:rsidRDefault="00FC6060" w:rsidP="00FC6060">
      <w:pPr>
        <w:pStyle w:val="Bullet1"/>
        <w:numPr>
          <w:ilvl w:val="0"/>
          <w:numId w:val="18"/>
        </w:numPr>
        <w:ind w:left="567" w:hanging="567"/>
      </w:pPr>
      <w:r>
        <w:t>Graduate outcomes are not well defined at the FOE level, given they are measured at a course level.</w:t>
      </w:r>
    </w:p>
    <w:p w14:paraId="113AD806" w14:textId="77777777" w:rsidR="00FC6060" w:rsidRDefault="00FC6060" w:rsidP="00FC6060">
      <w:pPr>
        <w:pStyle w:val="Bullet1"/>
        <w:numPr>
          <w:ilvl w:val="0"/>
          <w:numId w:val="18"/>
        </w:numPr>
        <w:ind w:left="567" w:hanging="567"/>
      </w:pPr>
      <w:r>
        <w:t>There is limited statistically significant variation in quality measures across universities.</w:t>
      </w:r>
    </w:p>
    <w:p w14:paraId="197E291C" w14:textId="77777777" w:rsidR="00FC6060" w:rsidRDefault="00FC6060" w:rsidP="00FC6060">
      <w:pPr>
        <w:pStyle w:val="Bullet1"/>
        <w:numPr>
          <w:ilvl w:val="0"/>
          <w:numId w:val="18"/>
        </w:numPr>
        <w:ind w:left="567" w:hanging="567"/>
      </w:pPr>
      <w:r>
        <w:t>Small sample sizes (in particular the single year of data) limit the representativeness of university specific measures.</w:t>
      </w:r>
    </w:p>
    <w:p w14:paraId="17FBE33A" w14:textId="77777777" w:rsidR="00FC6060" w:rsidRDefault="00FC6060" w:rsidP="00FC6060">
      <w:pPr>
        <w:pStyle w:val="Bullet1"/>
        <w:numPr>
          <w:ilvl w:val="0"/>
          <w:numId w:val="18"/>
        </w:numPr>
        <w:ind w:left="567" w:hanging="567"/>
      </w:pPr>
      <w:r>
        <w:t>Outcomes measures do not control for non-random student cohorts across universities and fields of education.</w:t>
      </w:r>
    </w:p>
    <w:p w14:paraId="3548E98F" w14:textId="77777777" w:rsidR="00FC6060" w:rsidRDefault="00FC6060" w:rsidP="00FC6060">
      <w:pPr>
        <w:pStyle w:val="Bullet1"/>
        <w:numPr>
          <w:ilvl w:val="0"/>
          <w:numId w:val="18"/>
        </w:numPr>
        <w:ind w:left="567" w:hanging="567"/>
      </w:pPr>
      <w:r>
        <w:t>Nor do those measures typically capture longer term dynamics in labour market outcomes.</w:t>
      </w:r>
    </w:p>
    <w:p w14:paraId="4934E359" w14:textId="77777777" w:rsidR="00FC6060" w:rsidRDefault="00FC6060" w:rsidP="00FC6060">
      <w:pPr>
        <w:pStyle w:val="Bullet1"/>
        <w:numPr>
          <w:ilvl w:val="0"/>
          <w:numId w:val="18"/>
        </w:numPr>
        <w:ind w:left="567" w:hanging="567"/>
      </w:pPr>
      <w:r>
        <w:t>Favourable course experience measures have an ambiguous relationship with learning and vocational outcomes.</w:t>
      </w:r>
    </w:p>
    <w:p w14:paraId="0D02A35A" w14:textId="77777777" w:rsidR="00FC6060" w:rsidRDefault="00FC6060" w:rsidP="00FC6060">
      <w:pPr>
        <w:pStyle w:val="BodyText"/>
      </w:pPr>
      <w:r>
        <w:t>Noting the dearth of effective outcome-based measures of benchmark quality in defining reasonable cost, an input-based approach may be considered as an interim measure. Robust measures of outcomes would appropriately be incorporated into this analysis over time.</w:t>
      </w:r>
    </w:p>
    <w:p w14:paraId="39417B41" w14:textId="77777777" w:rsidR="00FC6060" w:rsidRPr="00804B7E" w:rsidRDefault="00FC6060" w:rsidP="00FC6060">
      <w:pPr>
        <w:pStyle w:val="BodyText"/>
        <w:keepNext/>
        <w:keepLines/>
        <w:rPr>
          <w:b/>
          <w:color w:val="002776"/>
          <w:sz w:val="28"/>
          <w:szCs w:val="28"/>
        </w:rPr>
      </w:pPr>
      <w:r w:rsidRPr="00804B7E">
        <w:rPr>
          <w:b/>
          <w:color w:val="002776"/>
          <w:sz w:val="28"/>
          <w:szCs w:val="28"/>
        </w:rPr>
        <w:lastRenderedPageBreak/>
        <w:t>Evidence from international jurisdictions</w:t>
      </w:r>
    </w:p>
    <w:p w14:paraId="20223200" w14:textId="77777777" w:rsidR="00FC6060" w:rsidRDefault="00FC6060" w:rsidP="00FC6060">
      <w:pPr>
        <w:pStyle w:val="BodyText"/>
        <w:keepNext/>
        <w:keepLines/>
      </w:pPr>
      <w:r>
        <w:t>As a final consideration when assessing reasonable costs of higher education for Australian universities, benchmark comparisons to international jurisdictions have been developed. These comparisons provide some level of insight into underlying efficient costs for different disciplines, in abstract to current funding arrangements incumbent to Australia.</w:t>
      </w:r>
    </w:p>
    <w:p w14:paraId="5AE4E51E" w14:textId="77777777" w:rsidR="00FC6060" w:rsidRDefault="00FC6060" w:rsidP="00FC6060">
      <w:pPr>
        <w:pStyle w:val="BodyText"/>
      </w:pPr>
      <w:r>
        <w:t>Relative teaching cost comparisons in the UK, New Zealand and Australia are summarised in Charts vii and viii below. For both undergraduate and postgraduate courses, the r</w:t>
      </w:r>
      <w:r w:rsidRPr="00E57620">
        <w:t xml:space="preserve">anking of costs </w:t>
      </w:r>
      <w:r>
        <w:t xml:space="preserve">by field of education is </w:t>
      </w:r>
      <w:r w:rsidRPr="00E57620">
        <w:t>broadly consistent between</w:t>
      </w:r>
      <w:r>
        <w:t xml:space="preserve"> these three countries:</w:t>
      </w:r>
      <w:r w:rsidRPr="00E57620">
        <w:t xml:space="preserve"> </w:t>
      </w:r>
    </w:p>
    <w:p w14:paraId="1A3695CE" w14:textId="77777777" w:rsidR="00FC6060" w:rsidRPr="00E57620" w:rsidRDefault="00FC6060" w:rsidP="00FC6060">
      <w:pPr>
        <w:pStyle w:val="BodyText"/>
        <w:numPr>
          <w:ilvl w:val="0"/>
          <w:numId w:val="19"/>
        </w:numPr>
        <w:spacing w:before="120"/>
        <w:ind w:left="426" w:hanging="357"/>
      </w:pPr>
      <w:r w:rsidRPr="00E57620">
        <w:t xml:space="preserve">In particular, Health is the most expensive field of education for </w:t>
      </w:r>
      <w:r w:rsidR="00D41C00">
        <w:t>UK and NZ</w:t>
      </w:r>
      <w:r w:rsidRPr="00E57620">
        <w:t xml:space="preserve">, followed by Agriculture, environmental and related studies, Engineering and related studies rounding out the top four. </w:t>
      </w:r>
    </w:p>
    <w:p w14:paraId="3B1DB483" w14:textId="77777777" w:rsidR="00FC6060" w:rsidRPr="00F64C89" w:rsidRDefault="00FC6060" w:rsidP="00FC6060">
      <w:pPr>
        <w:pStyle w:val="BodyText"/>
        <w:numPr>
          <w:ilvl w:val="0"/>
          <w:numId w:val="19"/>
        </w:numPr>
        <w:spacing w:before="120"/>
        <w:ind w:left="426" w:hanging="357"/>
      </w:pPr>
      <w:r w:rsidRPr="00F64C89">
        <w:t xml:space="preserve">Similarly, on the other end of the spectrum, Management and </w:t>
      </w:r>
      <w:r w:rsidR="002D54FD">
        <w:t>C</w:t>
      </w:r>
      <w:r w:rsidRPr="00F64C89">
        <w:t xml:space="preserve">ommerce, and Society and </w:t>
      </w:r>
      <w:r w:rsidR="002D54FD">
        <w:t>C</w:t>
      </w:r>
      <w:r w:rsidRPr="00F64C89">
        <w:t>ulture have the lowest costs.</w:t>
      </w:r>
    </w:p>
    <w:p w14:paraId="718D3F7B" w14:textId="77777777" w:rsidR="00FC6060" w:rsidRDefault="00FC6060" w:rsidP="00FC6060">
      <w:pPr>
        <w:pStyle w:val="ExecChartCaption"/>
      </w:pPr>
      <w:r>
        <w:t xml:space="preserve">: Average teaching and scholarship costs by field of education </w:t>
      </w:r>
      <w:r>
        <w:br/>
        <w:t xml:space="preserve">(Cost of </w:t>
      </w:r>
      <w:r w:rsidR="002D54FD">
        <w:t>Management</w:t>
      </w:r>
      <w:r>
        <w:t xml:space="preserve"> and </w:t>
      </w:r>
      <w:r w:rsidR="002D54FD">
        <w:t>Commerce</w:t>
      </w:r>
      <w:r>
        <w:t xml:space="preserve"> = 1)</w:t>
      </w:r>
    </w:p>
    <w:p w14:paraId="52C938C9" w14:textId="77777777" w:rsidR="00FC6060" w:rsidRDefault="005969D6" w:rsidP="00FC6060">
      <w:pPr>
        <w:jc w:val="center"/>
        <w:rPr>
          <w:rFonts w:ascii="Verdana" w:hAnsi="Verdana"/>
          <w:sz w:val="20"/>
        </w:rPr>
      </w:pPr>
      <w:r>
        <w:rPr>
          <w:rFonts w:ascii="Verdana" w:hAnsi="Verdana"/>
          <w:noProof/>
          <w:sz w:val="20"/>
          <w:lang w:eastAsia="en-AU"/>
        </w:rPr>
        <w:drawing>
          <wp:inline distT="0" distB="0" distL="0" distR="0" wp14:anchorId="12C22596" wp14:editId="68DE052C">
            <wp:extent cx="4425115" cy="3937326"/>
            <wp:effectExtent l="0" t="0" r="0" b="6350"/>
            <wp:docPr id="27" name="Picture 27" descr="Comparisons of average teaching and scholarship costs between Australia, UK and New Zealand" title="Average teaching and scholarship costs by field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36774" cy="3947700"/>
                    </a:xfrm>
                    <a:prstGeom prst="rect">
                      <a:avLst/>
                    </a:prstGeom>
                    <a:noFill/>
                  </pic:spPr>
                </pic:pic>
              </a:graphicData>
            </a:graphic>
          </wp:inline>
        </w:drawing>
      </w:r>
    </w:p>
    <w:p w14:paraId="0C944E77" w14:textId="77777777" w:rsidR="00FC6060" w:rsidRDefault="00FC6060" w:rsidP="00FC6060">
      <w:pPr>
        <w:pStyle w:val="Source"/>
      </w:pPr>
      <w:r w:rsidRPr="00815275">
        <w:t>Source: Deloitte Access Economics analysis</w:t>
      </w:r>
      <w:r>
        <w:t>, TRAC(T) data, NZBT data</w:t>
      </w:r>
      <w:r w:rsidRPr="00815275">
        <w:t>.</w:t>
      </w:r>
    </w:p>
    <w:p w14:paraId="3BA22A1B" w14:textId="77777777" w:rsidR="006B32D3" w:rsidRPr="00F64C89" w:rsidRDefault="006B32D3" w:rsidP="006B32D3">
      <w:pPr>
        <w:pStyle w:val="BodyText"/>
      </w:pPr>
      <w:r w:rsidRPr="00F64C89">
        <w:t xml:space="preserve">However, </w:t>
      </w:r>
      <w:r>
        <w:t xml:space="preserve">the cost premium between undergraduate and </w:t>
      </w:r>
      <w:r w:rsidRPr="00F64C89">
        <w:t>postgraduate courses tend</w:t>
      </w:r>
      <w:r>
        <w:t>s</w:t>
      </w:r>
      <w:r w:rsidRPr="00F64C89">
        <w:t xml:space="preserve"> to vary between </w:t>
      </w:r>
      <w:r>
        <w:t>Australia and UK</w:t>
      </w:r>
      <w:r w:rsidRPr="00F64C89">
        <w:t>. In particular, postgrad</w:t>
      </w:r>
      <w:r>
        <w:t>uate</w:t>
      </w:r>
      <w:r w:rsidRPr="00F64C89">
        <w:t xml:space="preserve"> </w:t>
      </w:r>
      <w:r>
        <w:t>M</w:t>
      </w:r>
      <w:r w:rsidRPr="00F64C89">
        <w:t xml:space="preserve">anagement and </w:t>
      </w:r>
      <w:r>
        <w:t>C</w:t>
      </w:r>
      <w:r w:rsidRPr="00F64C89">
        <w:t xml:space="preserve">ommerce and Information </w:t>
      </w:r>
      <w:r>
        <w:t>T</w:t>
      </w:r>
      <w:r w:rsidRPr="00F64C89">
        <w:t xml:space="preserve">echnology are relatively more costly in the UK, whereas </w:t>
      </w:r>
      <w:r>
        <w:t xml:space="preserve">the differential is </w:t>
      </w:r>
      <w:r>
        <w:lastRenderedPageBreak/>
        <w:t xml:space="preserve">smaller </w:t>
      </w:r>
      <w:r w:rsidRPr="00F64C89">
        <w:t>in Australia.</w:t>
      </w:r>
      <w:r>
        <w:t xml:space="preserve"> </w:t>
      </w:r>
      <w:r w:rsidRPr="00F64C89">
        <w:t xml:space="preserve">Overall, postgraduate teaching costs are higher than undergraduate costs. </w:t>
      </w:r>
      <w:r>
        <w:t xml:space="preserve"> </w:t>
      </w:r>
    </w:p>
    <w:p w14:paraId="1D680C07" w14:textId="533D013E" w:rsidR="006B32D3" w:rsidRPr="007D7A5A" w:rsidRDefault="006B32D3" w:rsidP="006B32D3">
      <w:pPr>
        <w:pStyle w:val="BodyText"/>
      </w:pPr>
      <w:r w:rsidRPr="00F64C89">
        <w:t xml:space="preserve">In </w:t>
      </w:r>
      <w:r>
        <w:t xml:space="preserve">the </w:t>
      </w:r>
      <w:r w:rsidRPr="00F64C89">
        <w:t>UK, postgraduate costs are 15% to 9</w:t>
      </w:r>
      <w:r w:rsidRPr="00785EC0">
        <w:t xml:space="preserve">0% higher </w:t>
      </w:r>
      <w:r>
        <w:t>than equivalent b</w:t>
      </w:r>
      <w:r w:rsidRPr="00F64C89">
        <w:t>achelor level</w:t>
      </w:r>
      <w:r>
        <w:t xml:space="preserve"> costs</w:t>
      </w:r>
      <w:r w:rsidRPr="00F64C89">
        <w:t xml:space="preserve">. For Australia, this ranges between </w:t>
      </w:r>
      <w:r>
        <w:t>7</w:t>
      </w:r>
      <w:r w:rsidRPr="00F64C89">
        <w:t>% (</w:t>
      </w:r>
      <w:r>
        <w:t xml:space="preserve">Information </w:t>
      </w:r>
      <w:r w:rsidRPr="00F64C89">
        <w:t>technolog</w:t>
      </w:r>
      <w:r>
        <w:t>y</w:t>
      </w:r>
      <w:r w:rsidRPr="00F64C89">
        <w:t xml:space="preserve">) to </w:t>
      </w:r>
      <w:r>
        <w:t>90</w:t>
      </w:r>
      <w:r w:rsidRPr="00F64C89">
        <w:t xml:space="preserve">% (Natural and </w:t>
      </w:r>
      <w:r>
        <w:t>P</w:t>
      </w:r>
      <w:r w:rsidRPr="00F64C89">
        <w:t xml:space="preserve">hysical </w:t>
      </w:r>
      <w:r>
        <w:t>S</w:t>
      </w:r>
      <w:r w:rsidRPr="00F64C89">
        <w:t>ciences).</w:t>
      </w:r>
      <w:r>
        <w:t xml:space="preserve"> </w:t>
      </w:r>
    </w:p>
    <w:p w14:paraId="3092DDBC" w14:textId="77777777" w:rsidR="00FC6060" w:rsidRDefault="00FC6060" w:rsidP="00FC6060">
      <w:pPr>
        <w:pStyle w:val="ExecChartCaption"/>
      </w:pPr>
      <w:r>
        <w:t xml:space="preserve">: Average teaching and scholarship costs by field of education </w:t>
      </w:r>
      <w:r>
        <w:br/>
        <w:t xml:space="preserve">(Cost of </w:t>
      </w:r>
      <w:r w:rsidR="002D54FD">
        <w:t>Management</w:t>
      </w:r>
      <w:r>
        <w:t xml:space="preserve"> and </w:t>
      </w:r>
      <w:r w:rsidR="002D54FD">
        <w:t>Commerce</w:t>
      </w:r>
      <w:r>
        <w:t xml:space="preserve"> </w:t>
      </w:r>
      <w:r>
        <w:rPr>
          <w:i/>
          <w:iCs/>
        </w:rPr>
        <w:t>undergraduate</w:t>
      </w:r>
      <w:r>
        <w:t xml:space="preserve"> = 1)</w:t>
      </w:r>
    </w:p>
    <w:p w14:paraId="0D51391C" w14:textId="77777777" w:rsidR="00FC6060" w:rsidRDefault="005969D6" w:rsidP="00FC6060">
      <w:pPr>
        <w:jc w:val="center"/>
        <w:rPr>
          <w:rFonts w:ascii="Verdana" w:hAnsi="Verdana"/>
          <w:sz w:val="20"/>
        </w:rPr>
      </w:pPr>
      <w:r>
        <w:rPr>
          <w:rFonts w:ascii="Verdana" w:hAnsi="Verdana"/>
          <w:noProof/>
          <w:sz w:val="20"/>
          <w:lang w:eastAsia="en-AU"/>
        </w:rPr>
        <w:drawing>
          <wp:inline distT="0" distB="0" distL="0" distR="0" wp14:anchorId="5DD9DA10" wp14:editId="5F4B455E">
            <wp:extent cx="5257969" cy="3490623"/>
            <wp:effectExtent l="0" t="0" r="0" b="0"/>
            <wp:docPr id="448" name="Picture 448" descr="Comparisons between Australia, and UK average teaching and scholarship costs, at the undergraduate and postgraduate level" title="Average teaching and scholarship costs by field of education (undergradu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57969" cy="3490623"/>
                    </a:xfrm>
                    <a:prstGeom prst="rect">
                      <a:avLst/>
                    </a:prstGeom>
                    <a:noFill/>
                  </pic:spPr>
                </pic:pic>
              </a:graphicData>
            </a:graphic>
          </wp:inline>
        </w:drawing>
      </w:r>
    </w:p>
    <w:p w14:paraId="0008A96A" w14:textId="77777777" w:rsidR="00FC6060" w:rsidRPr="004E3BF6" w:rsidRDefault="00FC6060" w:rsidP="00FC6060">
      <w:pPr>
        <w:pStyle w:val="Source"/>
      </w:pPr>
      <w:r w:rsidRPr="00815275">
        <w:t>Source: Deloitte Access Economics analysis</w:t>
      </w:r>
      <w:r>
        <w:t>, TRAC(T) data, NZBT data</w:t>
      </w:r>
      <w:r w:rsidRPr="00815275">
        <w:t>.</w:t>
      </w:r>
    </w:p>
    <w:p w14:paraId="6757EA7F" w14:textId="77777777" w:rsidR="00FC6060" w:rsidRDefault="00FC6060" w:rsidP="00FC6060">
      <w:pPr>
        <w:pStyle w:val="BodyText"/>
        <w:rPr>
          <w:b/>
          <w:color w:val="002060"/>
          <w:sz w:val="28"/>
          <w:szCs w:val="28"/>
        </w:rPr>
      </w:pPr>
      <w:r w:rsidRPr="00E57620">
        <w:rPr>
          <w:b/>
          <w:color w:val="002060"/>
          <w:sz w:val="28"/>
          <w:szCs w:val="28"/>
        </w:rPr>
        <w:t>Implications</w:t>
      </w:r>
      <w:r>
        <w:rPr>
          <w:b/>
          <w:color w:val="002060"/>
          <w:sz w:val="28"/>
          <w:szCs w:val="28"/>
        </w:rPr>
        <w:t xml:space="preserve"> for future higher education funding </w:t>
      </w:r>
    </w:p>
    <w:p w14:paraId="32CC03AC" w14:textId="3ECE60BB" w:rsidR="00FC6060" w:rsidRPr="00804B7E" w:rsidRDefault="00FC6060" w:rsidP="00FC6060">
      <w:pPr>
        <w:pStyle w:val="HeadingC"/>
        <w:jc w:val="both"/>
        <w:rPr>
          <w:b w:val="0"/>
          <w:color w:val="auto"/>
          <w:sz w:val="22"/>
          <w:szCs w:val="22"/>
        </w:rPr>
      </w:pPr>
      <w:r w:rsidRPr="00804B7E">
        <w:rPr>
          <w:b w:val="0"/>
          <w:color w:val="auto"/>
          <w:sz w:val="22"/>
          <w:szCs w:val="22"/>
        </w:rPr>
        <w:t xml:space="preserve">A future funding model for higher education </w:t>
      </w:r>
      <w:r w:rsidR="00461021">
        <w:rPr>
          <w:b w:val="0"/>
          <w:color w:val="auto"/>
          <w:sz w:val="22"/>
          <w:szCs w:val="22"/>
        </w:rPr>
        <w:t>teaching and scholarship</w:t>
      </w:r>
      <w:r w:rsidRPr="00804B7E">
        <w:rPr>
          <w:b w:val="0"/>
          <w:color w:val="auto"/>
          <w:sz w:val="22"/>
          <w:szCs w:val="22"/>
        </w:rPr>
        <w:t xml:space="preserve"> must take account of a variety of considerations, of which costs of delivery are just one.  However, recognising that they </w:t>
      </w:r>
      <w:r>
        <w:rPr>
          <w:b w:val="0"/>
          <w:color w:val="auto"/>
          <w:sz w:val="22"/>
          <w:szCs w:val="22"/>
        </w:rPr>
        <w:t xml:space="preserve">are among the relatively more important considerations, the discussion below outlines the implications of the analysis conducted here for future higher education funding. </w:t>
      </w:r>
    </w:p>
    <w:p w14:paraId="57B5B66C" w14:textId="77777777" w:rsidR="00FC6060" w:rsidRPr="00804B7E" w:rsidRDefault="00FC6060" w:rsidP="00FC6060">
      <w:pPr>
        <w:pStyle w:val="HeadingC"/>
        <w:rPr>
          <w:i/>
          <w:color w:val="00A1DE"/>
        </w:rPr>
      </w:pPr>
      <w:r w:rsidRPr="00804B7E">
        <w:rPr>
          <w:i/>
          <w:color w:val="00A1DE"/>
        </w:rPr>
        <w:t xml:space="preserve">Observed cost to funding relativities </w:t>
      </w:r>
    </w:p>
    <w:p w14:paraId="71243E60" w14:textId="0E61CE2A" w:rsidR="00FC6060" w:rsidRDefault="00FC6060" w:rsidP="00FC6060">
      <w:pPr>
        <w:pStyle w:val="BodyText"/>
      </w:pPr>
      <w:r>
        <w:t>As a measure of funding adequacy at the FOE level, t</w:t>
      </w:r>
      <w:r w:rsidRPr="00BF7817">
        <w:t>he 2011 study represented the cost</w:t>
      </w:r>
      <w:r>
        <w:t xml:space="preserve"> estimates</w:t>
      </w:r>
      <w:r w:rsidRPr="00BF7817">
        <w:t xml:space="preserve"> within each broad </w:t>
      </w:r>
      <w:r w:rsidR="00175C4C">
        <w:t>FOE</w:t>
      </w:r>
      <w:r w:rsidRPr="00BF7817">
        <w:t xml:space="preserve"> as a ratio to the base funding provided according to the CGS classification. </w:t>
      </w:r>
      <w:r>
        <w:rPr>
          <w:highlight w:val="yellow"/>
        </w:rPr>
        <w:fldChar w:fldCharType="begin"/>
      </w:r>
      <w:r>
        <w:instrText xml:space="preserve"> REF _Ref467147666 \r \h </w:instrText>
      </w:r>
      <w:r>
        <w:rPr>
          <w:highlight w:val="yellow"/>
        </w:rPr>
      </w:r>
      <w:r>
        <w:rPr>
          <w:highlight w:val="yellow"/>
        </w:rPr>
        <w:fldChar w:fldCharType="separate"/>
      </w:r>
      <w:r w:rsidR="00595C6E">
        <w:t>Chart x</w:t>
      </w:r>
      <w:r>
        <w:rPr>
          <w:highlight w:val="yellow"/>
        </w:rPr>
        <w:fldChar w:fldCharType="end"/>
      </w:r>
      <w:r w:rsidRPr="00BF7817">
        <w:t xml:space="preserve"> provides a comparison between </w:t>
      </w:r>
      <w:r>
        <w:t>these earlier results and the comparable findings from the current study</w:t>
      </w:r>
      <w:r w:rsidRPr="00BF7817">
        <w:t xml:space="preserve">. </w:t>
      </w:r>
    </w:p>
    <w:p w14:paraId="1679CD5B" w14:textId="77777777" w:rsidR="00FC5E0C" w:rsidRDefault="00FC6060" w:rsidP="00FC5E0C">
      <w:pPr>
        <w:pStyle w:val="BodyText"/>
      </w:pPr>
      <w:r w:rsidRPr="00BF7817">
        <w:t xml:space="preserve">There are a handful of fields which recorded lower </w:t>
      </w:r>
      <w:r w:rsidR="00312FDF">
        <w:t>median</w:t>
      </w:r>
      <w:r w:rsidR="00312FDF" w:rsidRPr="00BF7817">
        <w:t xml:space="preserve"> </w:t>
      </w:r>
      <w:r w:rsidRPr="006743A5">
        <w:t>cost/funding ratios</w:t>
      </w:r>
      <w:r w:rsidRPr="00BF7817">
        <w:t xml:space="preserve"> in the current study than the previous study, such as Natural and Physical Science </w:t>
      </w:r>
      <w:r w:rsidR="00312FDF">
        <w:t xml:space="preserve">(0.75 compared </w:t>
      </w:r>
      <w:r w:rsidR="00312FDF">
        <w:lastRenderedPageBreak/>
        <w:t>to 0.86)</w:t>
      </w:r>
      <w:r w:rsidRPr="00BF7817">
        <w:t xml:space="preserve">, </w:t>
      </w:r>
      <w:r w:rsidR="00312FDF">
        <w:t>Architecture and Building (0.86 compared to 0.99)</w:t>
      </w:r>
      <w:r w:rsidRPr="00BF7817">
        <w:t xml:space="preserve">, and Information Technology (0.93 compared to 1.03). </w:t>
      </w:r>
      <w:r w:rsidR="00FC5E0C">
        <w:t>Two fields recorded materially higher cost/funding ratios than the previous study, being Management and Commerce (1.1</w:t>
      </w:r>
      <w:r w:rsidR="00312FDF">
        <w:t>1</w:t>
      </w:r>
      <w:r w:rsidR="00FC5E0C">
        <w:t xml:space="preserve"> v</w:t>
      </w:r>
      <w:r w:rsidR="000F1651">
        <w:t>ersu</w:t>
      </w:r>
      <w:r w:rsidR="00FC5E0C">
        <w:t>s 1.0</w:t>
      </w:r>
      <w:r w:rsidR="00312FDF">
        <w:t>3</w:t>
      </w:r>
      <w:r w:rsidR="00FC5E0C">
        <w:t>), and Society and Culture (1.00 v</w:t>
      </w:r>
      <w:r w:rsidR="000F1651">
        <w:t>ersus</w:t>
      </w:r>
      <w:r w:rsidR="00FC5E0C">
        <w:t xml:space="preserve"> 0.92).  The spread of teaching cost to funding ratios is relatively consistent between the two studies, the main difference being the 2015 results for the moderated Architecture and Building observations are more clustered than 2010.</w:t>
      </w:r>
    </w:p>
    <w:p w14:paraId="64CA25E6" w14:textId="14749272" w:rsidR="00FC6060" w:rsidRPr="00BF7817" w:rsidRDefault="00FC5E0C" w:rsidP="00FC5E0C">
      <w:pPr>
        <w:pStyle w:val="BodyText"/>
      </w:pPr>
      <w:r>
        <w:t xml:space="preserve">The </w:t>
      </w:r>
      <w:r w:rsidR="00312FDF">
        <w:t xml:space="preserve">bachelor </w:t>
      </w:r>
      <w:r>
        <w:t>teaching cost to CSP funding ratio for the 2015 data was 0.</w:t>
      </w:r>
      <w:r w:rsidR="00312FDF">
        <w:t>85</w:t>
      </w:r>
      <w:r>
        <w:t>, compared to 0.</w:t>
      </w:r>
      <w:r w:rsidR="00312FDF">
        <w:t xml:space="preserve">94 </w:t>
      </w:r>
      <w:r>
        <w:t>for the 2010 study. As noted previously, these figures cannot be compared as direct growth or decline in costs relative to funding over the five years to 2015, given the differences in the sample, and differences in cost collection approaches. Similarly, caution should be taken in drawing inferences about the sufficiency of CGS funding directly from these ratios</w:t>
      </w:r>
      <w:r w:rsidR="00870DFD">
        <w:t xml:space="preserve">. While not specifically stated in the </w:t>
      </w:r>
      <w:r w:rsidR="00870DFD" w:rsidRPr="00652D5F">
        <w:rPr>
          <w:i/>
        </w:rPr>
        <w:t>Higher Education Support Act</w:t>
      </w:r>
      <w:r w:rsidR="00870DFD">
        <w:t xml:space="preserve"> 2003, there is a general view that CGS funding is intended to cover some level of base research activity (which may be excluded from the definition of teaching and scholarship costs used in this study), and the cost of such research may vary as a proportion of teaching costs.</w:t>
      </w:r>
    </w:p>
    <w:p w14:paraId="3A1CE7DC" w14:textId="592EC7C5" w:rsidR="00FC6060" w:rsidRPr="00BF7817" w:rsidRDefault="00FC6060" w:rsidP="00FC6060">
      <w:pPr>
        <w:pStyle w:val="ExecChartCaption"/>
      </w:pPr>
      <w:bookmarkStart w:id="33" w:name="_Ref467147666"/>
      <w:r w:rsidRPr="00BF7817">
        <w:t xml:space="preserve">: </w:t>
      </w:r>
      <w:r w:rsidR="00652D5F">
        <w:t>C</w:t>
      </w:r>
      <w:r w:rsidRPr="00BF7817">
        <w:t>ost per EFTSL relative to funding per EFTSL (</w:t>
      </w:r>
      <w:r w:rsidR="005969D6">
        <w:t>bachelor</w:t>
      </w:r>
      <w:r w:rsidR="005969D6" w:rsidRPr="00BF7817">
        <w:t xml:space="preserve"> </w:t>
      </w:r>
      <w:r w:rsidRPr="00BF7817">
        <w:t>level, outliers removed)</w:t>
      </w:r>
      <w:bookmarkEnd w:id="33"/>
    </w:p>
    <w:p w14:paraId="01F7ADB4" w14:textId="77777777" w:rsidR="00FC6060" w:rsidRPr="00992059" w:rsidRDefault="004D1071" w:rsidP="00FC6060">
      <w:pPr>
        <w:pStyle w:val="BodyText"/>
        <w:spacing w:before="120"/>
        <w:jc w:val="center"/>
      </w:pPr>
      <w:r>
        <w:rPr>
          <w:noProof/>
          <w:lang w:eastAsia="en-AU"/>
        </w:rPr>
        <w:drawing>
          <wp:inline distT="0" distB="0" distL="0" distR="0" wp14:anchorId="5F1644B1" wp14:editId="65B11BE2">
            <wp:extent cx="4970244" cy="2924810"/>
            <wp:effectExtent l="0" t="0" r="1905" b="8890"/>
            <wp:docPr id="25" name="Picture 25" descr="The distribution of the total cost to funding at the bachelor level, by FOE. Comparisons between 2010 and 2015 data" title="Cost per EFTSL relative to funding per EFTSL (Bachelor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70244" cy="2924810"/>
                    </a:xfrm>
                    <a:prstGeom prst="rect">
                      <a:avLst/>
                    </a:prstGeom>
                    <a:noFill/>
                  </pic:spPr>
                </pic:pic>
              </a:graphicData>
            </a:graphic>
          </wp:inline>
        </w:drawing>
      </w:r>
    </w:p>
    <w:p w14:paraId="15CF9082" w14:textId="77777777" w:rsidR="00FC6060" w:rsidRPr="00992059" w:rsidRDefault="00FC6060" w:rsidP="00FC6060">
      <w:pPr>
        <w:pStyle w:val="Source"/>
      </w:pPr>
      <w:r w:rsidRPr="00992059">
        <w:t>Source: Deloitte Access Economics analysis.</w:t>
      </w:r>
    </w:p>
    <w:p w14:paraId="56E794F5" w14:textId="69C93AE6" w:rsidR="00FC6060" w:rsidRPr="00992059" w:rsidRDefault="00FC6060" w:rsidP="00FC6060">
      <w:pPr>
        <w:pStyle w:val="BodyText"/>
      </w:pPr>
      <w:r w:rsidRPr="00992059">
        <w:t xml:space="preserve">At the more disaggregated level, costs per EFTSL relative to CSP funding follows a similar broad pattern to the overall costs per EFTSL charts previously presented. At this disaggregated level, the </w:t>
      </w:r>
      <w:r w:rsidR="004D1071">
        <w:t>two</w:t>
      </w:r>
      <w:r w:rsidR="004D1071" w:rsidRPr="00992059">
        <w:t xml:space="preserve"> </w:t>
      </w:r>
      <w:r w:rsidRPr="00992059">
        <w:t>fields of education where recorded costs exceed funding at the 25</w:t>
      </w:r>
      <w:r w:rsidRPr="00992059">
        <w:rPr>
          <w:vertAlign w:val="superscript"/>
        </w:rPr>
        <w:t>th</w:t>
      </w:r>
      <w:r w:rsidRPr="00992059">
        <w:t xml:space="preserve"> percentile are Veterinary </w:t>
      </w:r>
      <w:r w:rsidR="0046042A">
        <w:t>Studies</w:t>
      </w:r>
      <w:r w:rsidRPr="00992059">
        <w:t>, and Management and Commerce.</w:t>
      </w:r>
      <w:r w:rsidR="004D1071">
        <w:t xml:space="preserve"> The 25</w:t>
      </w:r>
      <w:r w:rsidR="004D1071" w:rsidRPr="00BC153D">
        <w:rPr>
          <w:vertAlign w:val="superscript"/>
        </w:rPr>
        <w:t>th</w:t>
      </w:r>
      <w:r w:rsidR="004D1071">
        <w:t xml:space="preserve"> percentile cost for Dental Studies is close to the funding rate.</w:t>
      </w:r>
      <w:r w:rsidRPr="00992059">
        <w:t xml:space="preserve"> The fields of education where recorded </w:t>
      </w:r>
      <w:r w:rsidR="004D1071">
        <w:t>funding</w:t>
      </w:r>
      <w:r w:rsidR="004D1071" w:rsidRPr="00992059">
        <w:t xml:space="preserve"> </w:t>
      </w:r>
      <w:r w:rsidRPr="00992059">
        <w:t xml:space="preserve">exceed </w:t>
      </w:r>
      <w:r w:rsidR="004D1071">
        <w:t xml:space="preserve">costs </w:t>
      </w:r>
      <w:r w:rsidRPr="00992059">
        <w:t>at the 75</w:t>
      </w:r>
      <w:r w:rsidRPr="00992059">
        <w:rPr>
          <w:vertAlign w:val="superscript"/>
        </w:rPr>
        <w:t>th</w:t>
      </w:r>
      <w:r w:rsidRPr="00992059">
        <w:t xml:space="preserve"> percentile are Mathematics, Medical </w:t>
      </w:r>
      <w:r w:rsidR="00CA506A">
        <w:t>S</w:t>
      </w:r>
      <w:r w:rsidRPr="00992059">
        <w:t xml:space="preserve">cience, Other Natural and Physical Science, Engineering and Related </w:t>
      </w:r>
      <w:r w:rsidR="00FF7656">
        <w:t>S</w:t>
      </w:r>
      <w:r w:rsidRPr="00992059">
        <w:t xml:space="preserve">tudies, Environmental Science, Other Health, Education, and Communications and Media. </w:t>
      </w:r>
    </w:p>
    <w:p w14:paraId="0D4A61A9" w14:textId="77777777" w:rsidR="00FC6060" w:rsidRPr="00992059" w:rsidRDefault="00FC6060" w:rsidP="00FC6060">
      <w:pPr>
        <w:pStyle w:val="ExecChartCaption"/>
      </w:pPr>
      <w:r w:rsidRPr="00992059">
        <w:lastRenderedPageBreak/>
        <w:t>: Cost/funding relativity at 19 field of education level (</w:t>
      </w:r>
      <w:r w:rsidR="005969D6">
        <w:t xml:space="preserve">bachelor </w:t>
      </w:r>
      <w:r w:rsidRPr="00992059">
        <w:t>level, outliers removed)</w:t>
      </w:r>
    </w:p>
    <w:p w14:paraId="79913E06" w14:textId="77777777" w:rsidR="00FC6060" w:rsidRPr="00BF7817" w:rsidRDefault="004D1071" w:rsidP="00FC6060">
      <w:pPr>
        <w:pStyle w:val="BodyText"/>
        <w:spacing w:before="120"/>
        <w:jc w:val="center"/>
      </w:pPr>
      <w:r>
        <w:rPr>
          <w:noProof/>
          <w:lang w:eastAsia="en-AU"/>
        </w:rPr>
        <w:drawing>
          <wp:inline distT="0" distB="0" distL="0" distR="0" wp14:anchorId="27E77CE1" wp14:editId="00E2A3DB">
            <wp:extent cx="5084445" cy="2761615"/>
            <wp:effectExtent l="0" t="0" r="1905" b="635"/>
            <wp:docPr id="26" name="Picture 26" descr="Comparisons between distribution of bachelor cost relative to base funding per EFTSL, by FOE" title="Cost/funding relativity at 19 field of education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84445" cy="2761615"/>
                    </a:xfrm>
                    <a:prstGeom prst="rect">
                      <a:avLst/>
                    </a:prstGeom>
                    <a:noFill/>
                  </pic:spPr>
                </pic:pic>
              </a:graphicData>
            </a:graphic>
          </wp:inline>
        </w:drawing>
      </w:r>
    </w:p>
    <w:p w14:paraId="54055DC5" w14:textId="77777777" w:rsidR="00FC6060" w:rsidRDefault="00FC6060" w:rsidP="00FC6060">
      <w:pPr>
        <w:pStyle w:val="Source"/>
      </w:pPr>
      <w:r w:rsidRPr="00BF7817">
        <w:t>Source: Deloitte Access Economics analysis.</w:t>
      </w:r>
    </w:p>
    <w:p w14:paraId="6CEB367D" w14:textId="77777777" w:rsidR="00FC6060" w:rsidRPr="006743A5" w:rsidRDefault="00FC6060" w:rsidP="00FC6060">
      <w:pPr>
        <w:pStyle w:val="HeadingC"/>
        <w:rPr>
          <w:i/>
          <w:color w:val="00A1DE"/>
        </w:rPr>
      </w:pPr>
      <w:r>
        <w:rPr>
          <w:i/>
          <w:color w:val="00A1DE"/>
        </w:rPr>
        <w:t xml:space="preserve">Broader funding model design considerations </w:t>
      </w:r>
    </w:p>
    <w:p w14:paraId="16965725" w14:textId="67E584F6" w:rsidR="00FC6060" w:rsidRPr="00804B7E" w:rsidRDefault="00FC6060" w:rsidP="00FC6060">
      <w:pPr>
        <w:pStyle w:val="BodyText"/>
      </w:pPr>
      <w:r w:rsidRPr="00804B7E">
        <w:t xml:space="preserve">As noted, </w:t>
      </w:r>
      <w:r w:rsidRPr="00BF7817">
        <w:t xml:space="preserve">the current funding arrangements for teaching and scholarship find their legacy in the Relative Funding Model (RFM) designed in the mid-1990s. </w:t>
      </w:r>
      <w:r w:rsidRPr="005A019C">
        <w:t xml:space="preserve">Both the original RFM and the subsequent CGS funding clusters were designed to allocate aggregate base funding amounts to universities that fairly </w:t>
      </w:r>
      <w:r w:rsidRPr="003F0914">
        <w:t xml:space="preserve">reflected their respective discipline mixes. </w:t>
      </w:r>
      <w:r w:rsidRPr="00804B7E">
        <w:t xml:space="preserve">Such a model was considered appropriate in a funding system where there was a fixed amount of funding available and targets were agreed for places to be offered in different disciplines.  </w:t>
      </w:r>
    </w:p>
    <w:p w14:paraId="2099D220" w14:textId="77777777" w:rsidR="00FC6060" w:rsidRPr="00804B7E" w:rsidRDefault="00FC6060" w:rsidP="00FC6060">
      <w:pPr>
        <w:pStyle w:val="BodyText"/>
      </w:pPr>
      <w:r w:rsidRPr="00804B7E">
        <w:t>However, as noted in the 2011 Base Funding Review, the introduction of the Demand Driven System has meant that universities are now responsible for decisions about the number of places they offer in each discipline at the bachelor degree level. Indeed, it is generally understood that university decisions regarding enrolment numbers (by discipline) are influenced</w:t>
      </w:r>
      <w:r w:rsidR="00652D5F">
        <w:t>, at least to some degree,</w:t>
      </w:r>
      <w:r w:rsidRPr="00804B7E">
        <w:t xml:space="preserve"> by the extent to which discipline funding matches the costs of provision. </w:t>
      </w:r>
      <w:r w:rsidR="00652D5F">
        <w:t>This is not to discount the role that mission, strategy, and community responsibility play in determining course offerings.</w:t>
      </w:r>
    </w:p>
    <w:p w14:paraId="481EEB7E" w14:textId="77777777" w:rsidR="00FC6060" w:rsidRDefault="00FC6060" w:rsidP="00FC6060">
      <w:pPr>
        <w:pStyle w:val="BodyText"/>
      </w:pPr>
      <w:r w:rsidRPr="00804B7E">
        <w:t xml:space="preserve">In this context, the parameters underpinning the current RFM are not only dated, but </w:t>
      </w:r>
      <w:r>
        <w:t>potentially misaligned with</w:t>
      </w:r>
      <w:r w:rsidRPr="00804B7E">
        <w:t xml:space="preserve"> how the approach to delivering teaching and scholarship has changed over time (and the implications of this for the associated costs).</w:t>
      </w:r>
    </w:p>
    <w:p w14:paraId="653D20C1" w14:textId="77777777" w:rsidR="00FC6060" w:rsidRDefault="00FC6060" w:rsidP="00FC6060">
      <w:pPr>
        <w:pStyle w:val="BodyText"/>
      </w:pPr>
      <w:r>
        <w:t>The evidence developed as part of this study provides a contemporary b</w:t>
      </w:r>
      <w:r w:rsidRPr="003E727C">
        <w:t>asis</w:t>
      </w:r>
      <w:r>
        <w:t xml:space="preserve"> for understanding relativities in costs across fields of education and qualification levels in Australian universities, with implications for the re-calibration of relative base funding.  While its findings are not immediately and directly transferrable to funding calibration – which would take into account various other factors of funding design – they provide a rich base of evidence to inform these considerations (albeit one that might ideally be richer). </w:t>
      </w:r>
    </w:p>
    <w:p w14:paraId="751E8019" w14:textId="6E33DC55" w:rsidR="00FC6060" w:rsidRDefault="00FC6060" w:rsidP="00FC6060">
      <w:pPr>
        <w:pStyle w:val="BodyText"/>
      </w:pPr>
      <w:r>
        <w:lastRenderedPageBreak/>
        <w:t xml:space="preserve">Empirical analysis of the cost information provided as part of this study has revealed the underlying drivers of cost across universities and fields of education. These drivers provide insights into the determination of reasonable cost measures across disciplines and </w:t>
      </w:r>
      <w:r w:rsidR="00282901">
        <w:t>FOE</w:t>
      </w:r>
      <w:r>
        <w:t xml:space="preserve">. Further, exploratory analysis of the underlying efficiency of universities by </w:t>
      </w:r>
      <w:r w:rsidR="00282901">
        <w:t>FOE</w:t>
      </w:r>
      <w:r>
        <w:t xml:space="preserve"> gives some indication of the nature of reasonable cost towards achieving benchmark levels of quality, and how this appropriately varies across different contexts.</w:t>
      </w:r>
    </w:p>
    <w:p w14:paraId="2E25462E" w14:textId="5698A57C" w:rsidR="00FC6060" w:rsidRDefault="00FC6060" w:rsidP="00FC6060">
      <w:pPr>
        <w:pStyle w:val="BodyText"/>
      </w:pPr>
      <w:r>
        <w:t xml:space="preserve">Importantly, while this study gives some insight into reasonable relative costs of higher education </w:t>
      </w:r>
      <w:r w:rsidR="00461021">
        <w:t>teaching and scholarship</w:t>
      </w:r>
      <w:r>
        <w:t xml:space="preserve"> on the basis of observable characteristics, a robust (absolute) measure of reasonable cost relies on specific and measurable benchmark parameters relating to quality, to be defined by policymakers (a point emphasised by previous reviews of cost and funding in higher education, such as the 2003 Nelson review).</w:t>
      </w:r>
    </w:p>
    <w:p w14:paraId="6702195E" w14:textId="77777777" w:rsidR="00FC6060" w:rsidRDefault="00FC6060" w:rsidP="00FC6060">
      <w:pPr>
        <w:pStyle w:val="BodyText"/>
      </w:pPr>
      <w:r>
        <w:t>Further, the empirical analysis presented here is not without its limitations. Most notably, the possibility of omitted variables related to quality or other important contextual factors may mean that estimated underlying costs are subject to bias, with implications for interpretation for the purposes of funding calibration.</w:t>
      </w:r>
      <w:r w:rsidRPr="001C1853">
        <w:t xml:space="preserve"> </w:t>
      </w:r>
      <w:r>
        <w:t>It is also not necessarily straightforward to apply measures of reasonable cost, as outlined here, to relative funding rates of teaching and scholarship at Australian universities. In particular, funding calibration must also pay due regard to the benefits (especially the ‘external’ or ‘public’ benefits) associated with higher education teaching and scholarship, and the incentives established by funding arrangements with respect to the production of higher education in different fields and disciplines.</w:t>
      </w:r>
    </w:p>
    <w:p w14:paraId="56941000" w14:textId="6CBA8090" w:rsidR="00FC6060" w:rsidRDefault="00FC6060" w:rsidP="00FC6060">
      <w:pPr>
        <w:pStyle w:val="BodyText"/>
      </w:pPr>
      <w:r>
        <w:t xml:space="preserve">Consideration should also be given to how the cost evidence provided here is likely to change into the future, in both relative and absolute terms. Underlying trends in the costs of higher education staff, and changing models and structures to the delivery of teaching and scholarship imply that these costs are likely to change over time. In particular, consideration should be given to fields of education that are most likely to be disrupted by changes to technology and pedagogical approaches to </w:t>
      </w:r>
      <w:r w:rsidR="00461021">
        <w:t>teaching and scholarship</w:t>
      </w:r>
      <w:r>
        <w:t xml:space="preserve"> (including more traditional lecture and tutorial based fields). </w:t>
      </w:r>
      <w:r w:rsidR="00175C4C">
        <w:t>The application of any construct of</w:t>
      </w:r>
      <w:r>
        <w:t xml:space="preserve"> reasonable cost should explicitly consider these underlying changes to approaches to course delivery, particularly as they relate to standards and notions of quality that inform measures of reasonable cost. </w:t>
      </w:r>
    </w:p>
    <w:p w14:paraId="0936BC93" w14:textId="77777777" w:rsidR="00FC6060" w:rsidRPr="00804B7E" w:rsidRDefault="00FC6060" w:rsidP="00FC6060">
      <w:pPr>
        <w:pStyle w:val="BodyText"/>
        <w:rPr>
          <w:b/>
          <w:color w:val="002060"/>
          <w:sz w:val="28"/>
          <w:szCs w:val="28"/>
        </w:rPr>
      </w:pPr>
      <w:r w:rsidRPr="00804B7E">
        <w:rPr>
          <w:b/>
          <w:color w:val="002060"/>
          <w:sz w:val="28"/>
          <w:szCs w:val="28"/>
        </w:rPr>
        <w:t>Concluding observations</w:t>
      </w:r>
    </w:p>
    <w:p w14:paraId="13ED0E73" w14:textId="77777777" w:rsidR="00FC6060" w:rsidRDefault="00FC6060" w:rsidP="00FC6060">
      <w:pPr>
        <w:pStyle w:val="BodyText"/>
      </w:pPr>
      <w:r>
        <w:t>The evidence and analysis provided here will be a crucial element of a larger set of information that must be considered by policymakers and government in making changes to base funding arrangements for the Australian higher education sector, with the intent of driving improvements in overall system outcomes and enhancing the efficiency and effectiveness of public funding.</w:t>
      </w:r>
    </w:p>
    <w:p w14:paraId="08500A5A" w14:textId="565AA400" w:rsidR="00FC6060" w:rsidRDefault="00FC6060" w:rsidP="00FC6060">
      <w:pPr>
        <w:pStyle w:val="BodyText"/>
      </w:pPr>
      <w:r>
        <w:t xml:space="preserve">Looking forward, ongoing updates and refinement of the underlying data used for this analysis </w:t>
      </w:r>
      <w:r w:rsidR="00175C4C">
        <w:t xml:space="preserve">will </w:t>
      </w:r>
      <w:r>
        <w:t>play an important role in improving the robustness of the evidence used for policy purposes and the quality of insights available from research and analysis such as that presented here. Notable areas for further improvement include:</w:t>
      </w:r>
    </w:p>
    <w:p w14:paraId="01A9D77F" w14:textId="77777777" w:rsidR="00FC6060" w:rsidRDefault="000F1651" w:rsidP="00FC6060">
      <w:pPr>
        <w:pStyle w:val="BodyText"/>
        <w:numPr>
          <w:ilvl w:val="0"/>
          <w:numId w:val="19"/>
        </w:numPr>
        <w:spacing w:before="120"/>
        <w:ind w:left="426" w:hanging="357"/>
      </w:pPr>
      <w:r>
        <w:lastRenderedPageBreak/>
        <w:t>d</w:t>
      </w:r>
      <w:r w:rsidR="00FC6060">
        <w:t>evelopment of a robust consensus definition of research costs (as distinct from teaching costs) to inform future collections of relative cost data and any associated changes to funding ar</w:t>
      </w:r>
      <w:r>
        <w:t>rangements;</w:t>
      </w:r>
    </w:p>
    <w:p w14:paraId="6BBCCA79" w14:textId="77777777" w:rsidR="00FC6060" w:rsidRDefault="000F1651" w:rsidP="00FC6060">
      <w:pPr>
        <w:pStyle w:val="BodyText"/>
        <w:numPr>
          <w:ilvl w:val="0"/>
          <w:numId w:val="19"/>
        </w:numPr>
        <w:spacing w:before="120"/>
        <w:ind w:left="426" w:hanging="357"/>
      </w:pPr>
      <w:r>
        <w:t>a</w:t>
      </w:r>
      <w:r w:rsidR="00FC6060">
        <w:t xml:space="preserve"> more formalised and ongoing process of data collection between government and universities, potentially linking in with existing s</w:t>
      </w:r>
      <w:r>
        <w:t>tatutory reporting arrangements;</w:t>
      </w:r>
    </w:p>
    <w:p w14:paraId="44B06BA9" w14:textId="77777777" w:rsidR="00FC6060" w:rsidRDefault="000F1651" w:rsidP="00FC6060">
      <w:pPr>
        <w:pStyle w:val="BodyText"/>
        <w:numPr>
          <w:ilvl w:val="0"/>
          <w:numId w:val="19"/>
        </w:numPr>
        <w:spacing w:before="120"/>
        <w:ind w:left="426" w:hanging="357"/>
      </w:pPr>
      <w:r>
        <w:t>e</w:t>
      </w:r>
      <w:r w:rsidR="00FC6060">
        <w:t xml:space="preserve">xpanding the approach to data collection to incorporate a broader range of disciplines in order to reveal more meaningful clusters of like courses on the basis </w:t>
      </w:r>
      <w:r>
        <w:t>of unit level cost relativities;</w:t>
      </w:r>
    </w:p>
    <w:p w14:paraId="3F1F0065" w14:textId="6E0FC2F6" w:rsidR="00FC6060" w:rsidRDefault="000F1651" w:rsidP="00FC6060">
      <w:pPr>
        <w:pStyle w:val="BodyText"/>
        <w:numPr>
          <w:ilvl w:val="0"/>
          <w:numId w:val="19"/>
        </w:numPr>
        <w:spacing w:before="120"/>
        <w:ind w:left="426" w:hanging="357"/>
      </w:pPr>
      <w:r>
        <w:t>e</w:t>
      </w:r>
      <w:r w:rsidR="00FC6060">
        <w:t>nhancing available outcome measures for the purposes of measuring the q</w:t>
      </w:r>
      <w:r>
        <w:t xml:space="preserve">uality of </w:t>
      </w:r>
      <w:r w:rsidR="00461021">
        <w:t>teaching and scholarship</w:t>
      </w:r>
      <w:r>
        <w:t>; and</w:t>
      </w:r>
    </w:p>
    <w:p w14:paraId="235EFFE7" w14:textId="77777777" w:rsidR="00FC6060" w:rsidRDefault="000F1651" w:rsidP="00FC6060">
      <w:pPr>
        <w:pStyle w:val="BodyText"/>
        <w:numPr>
          <w:ilvl w:val="0"/>
          <w:numId w:val="19"/>
        </w:numPr>
        <w:spacing w:before="120"/>
        <w:ind w:left="426" w:hanging="357"/>
      </w:pPr>
      <w:r>
        <w:t>t</w:t>
      </w:r>
      <w:r w:rsidR="00FC6060">
        <w:t>he application of robust outcome measures to define benchmark standards of quality when measuring relative efficiency, to ultimately ensure an accurately estimated efficiency frontier is revealed.</w:t>
      </w:r>
    </w:p>
    <w:p w14:paraId="0E8C1943" w14:textId="77777777" w:rsidR="00FC6060" w:rsidRPr="00A65BA3" w:rsidRDefault="00FC6060" w:rsidP="00FC3C09">
      <w:pPr>
        <w:pStyle w:val="SubHeading"/>
        <w:rPr>
          <w:b w:val="0"/>
          <w:color w:val="002776"/>
        </w:rPr>
        <w:sectPr w:rsidR="00FC6060" w:rsidRPr="00A65BA3" w:rsidSect="00FC0FA3">
          <w:footerReference w:type="default" r:id="rId31"/>
          <w:pgSz w:w="11906" w:h="16838" w:code="9"/>
          <w:pgMar w:top="2268" w:right="1134" w:bottom="1134" w:left="2552" w:header="720" w:footer="720" w:gutter="0"/>
          <w:pgNumType w:fmt="lowerRoman" w:start="1"/>
          <w:cols w:space="720"/>
          <w:docGrid w:linePitch="360"/>
        </w:sectPr>
      </w:pPr>
      <w:r w:rsidRPr="00A65BA3">
        <w:rPr>
          <w:color w:val="002776"/>
          <w:lang w:eastAsia="en-AU"/>
        </w:rPr>
        <w:t>Deloitte Access Economics</w:t>
      </w:r>
      <w:r w:rsidRPr="00A65BA3">
        <w:rPr>
          <w:color w:val="002776"/>
          <w:lang w:eastAsia="en-AU"/>
        </w:rPr>
        <w:br/>
      </w:r>
    </w:p>
    <w:p w14:paraId="2FB1D8BC" w14:textId="77777777" w:rsidR="00DC5205" w:rsidRPr="00A65BA3" w:rsidRDefault="00820D2E" w:rsidP="00CC6FFC">
      <w:pPr>
        <w:pStyle w:val="Heading1"/>
        <w:pageBreakBefore w:val="0"/>
        <w:numPr>
          <w:ilvl w:val="0"/>
          <w:numId w:val="20"/>
        </w:numPr>
      </w:pPr>
      <w:bookmarkStart w:id="34" w:name="_Toc467168620"/>
      <w:bookmarkStart w:id="35" w:name="_Toc467175854"/>
      <w:bookmarkStart w:id="36" w:name="_Toc467176314"/>
      <w:bookmarkStart w:id="37" w:name="_Toc467168639"/>
      <w:bookmarkStart w:id="38" w:name="_Toc467175873"/>
      <w:bookmarkStart w:id="39" w:name="_Toc467176333"/>
      <w:bookmarkStart w:id="40" w:name="_Toc467168641"/>
      <w:bookmarkStart w:id="41" w:name="_Toc467175875"/>
      <w:bookmarkStart w:id="42" w:name="_Toc467176335"/>
      <w:bookmarkStart w:id="43" w:name="_Toc467168642"/>
      <w:bookmarkStart w:id="44" w:name="_Toc467175876"/>
      <w:bookmarkStart w:id="45" w:name="_Toc467176336"/>
      <w:bookmarkStart w:id="46" w:name="_Toc467168643"/>
      <w:bookmarkStart w:id="47" w:name="_Toc467175877"/>
      <w:bookmarkStart w:id="48" w:name="_Toc467176337"/>
      <w:bookmarkStart w:id="49" w:name="_Toc467168645"/>
      <w:bookmarkStart w:id="50" w:name="_Toc467175879"/>
      <w:bookmarkStart w:id="51" w:name="_Toc467176339"/>
      <w:bookmarkStart w:id="52" w:name="_Toc467168648"/>
      <w:bookmarkStart w:id="53" w:name="_Toc467175882"/>
      <w:bookmarkStart w:id="54" w:name="_Toc467176342"/>
      <w:bookmarkStart w:id="55" w:name="_Toc467168649"/>
      <w:bookmarkStart w:id="56" w:name="_Toc467175883"/>
      <w:bookmarkStart w:id="57" w:name="_Toc467176343"/>
      <w:bookmarkStart w:id="58" w:name="_Toc467168652"/>
      <w:bookmarkStart w:id="59" w:name="_Toc467175886"/>
      <w:bookmarkStart w:id="60" w:name="_Toc467176346"/>
      <w:bookmarkStart w:id="61" w:name="_Toc467168653"/>
      <w:bookmarkStart w:id="62" w:name="_Toc467175887"/>
      <w:bookmarkStart w:id="63" w:name="_Toc467176347"/>
      <w:bookmarkStart w:id="64" w:name="_Toc467168657"/>
      <w:bookmarkStart w:id="65" w:name="_Toc467175891"/>
      <w:bookmarkStart w:id="66" w:name="_Toc467176351"/>
      <w:bookmarkStart w:id="67" w:name="_Toc467168659"/>
      <w:bookmarkStart w:id="68" w:name="_Toc467175893"/>
      <w:bookmarkStart w:id="69" w:name="_Toc467176353"/>
      <w:bookmarkStart w:id="70" w:name="_Toc467168660"/>
      <w:bookmarkStart w:id="71" w:name="_Toc467175894"/>
      <w:bookmarkStart w:id="72" w:name="_Toc467176354"/>
      <w:bookmarkStart w:id="73" w:name="_Toc467168661"/>
      <w:bookmarkStart w:id="74" w:name="_Toc467175895"/>
      <w:bookmarkStart w:id="75" w:name="_Toc467176355"/>
      <w:bookmarkStart w:id="76" w:name="_Toc467168664"/>
      <w:bookmarkStart w:id="77" w:name="_Toc467175898"/>
      <w:bookmarkStart w:id="78" w:name="_Toc467176358"/>
      <w:bookmarkStart w:id="79" w:name="_Toc467168665"/>
      <w:bookmarkStart w:id="80" w:name="_Toc467175899"/>
      <w:bookmarkStart w:id="81" w:name="_Toc467176359"/>
      <w:bookmarkStart w:id="82" w:name="_Toc467168666"/>
      <w:bookmarkStart w:id="83" w:name="_Toc467175900"/>
      <w:bookmarkStart w:id="84" w:name="_Toc467176360"/>
      <w:bookmarkStart w:id="85" w:name="_Toc467168669"/>
      <w:bookmarkStart w:id="86" w:name="_Toc467175903"/>
      <w:bookmarkStart w:id="87" w:name="_Toc467176363"/>
      <w:bookmarkStart w:id="88" w:name="_Toc467168672"/>
      <w:bookmarkStart w:id="89" w:name="_Toc467175906"/>
      <w:bookmarkStart w:id="90" w:name="_Toc467176366"/>
      <w:bookmarkStart w:id="91" w:name="_Toc467168673"/>
      <w:bookmarkStart w:id="92" w:name="_Toc467175907"/>
      <w:bookmarkStart w:id="93" w:name="_Toc467176367"/>
      <w:bookmarkStart w:id="94" w:name="_Toc467168676"/>
      <w:bookmarkStart w:id="95" w:name="_Toc467175910"/>
      <w:bookmarkStart w:id="96" w:name="_Toc467176370"/>
      <w:bookmarkStart w:id="97" w:name="_Toc467168677"/>
      <w:bookmarkStart w:id="98" w:name="_Toc467175911"/>
      <w:bookmarkStart w:id="99" w:name="_Toc467176371"/>
      <w:bookmarkStart w:id="100" w:name="_Toc467168694"/>
      <w:bookmarkStart w:id="101" w:name="_Toc467175928"/>
      <w:bookmarkStart w:id="102" w:name="_Toc467176388"/>
      <w:bookmarkStart w:id="103" w:name="_Toc467168711"/>
      <w:bookmarkStart w:id="104" w:name="_Toc467175945"/>
      <w:bookmarkStart w:id="105" w:name="_Toc467176405"/>
      <w:bookmarkStart w:id="106" w:name="_Toc467168713"/>
      <w:bookmarkStart w:id="107" w:name="_Toc467175947"/>
      <w:bookmarkStart w:id="108" w:name="_Toc467176407"/>
      <w:bookmarkStart w:id="109" w:name="_Toc467168715"/>
      <w:bookmarkStart w:id="110" w:name="_Toc467175949"/>
      <w:bookmarkStart w:id="111" w:name="_Toc467176409"/>
      <w:bookmarkStart w:id="112" w:name="_Toc467168716"/>
      <w:bookmarkStart w:id="113" w:name="_Toc467175950"/>
      <w:bookmarkStart w:id="114" w:name="_Toc467176410"/>
      <w:bookmarkStart w:id="115" w:name="_Toc467168717"/>
      <w:bookmarkStart w:id="116" w:name="_Toc467175951"/>
      <w:bookmarkStart w:id="117" w:name="_Toc467176411"/>
      <w:bookmarkStart w:id="118" w:name="_Toc467168718"/>
      <w:bookmarkStart w:id="119" w:name="_Toc467175952"/>
      <w:bookmarkStart w:id="120" w:name="_Toc467176412"/>
      <w:bookmarkStart w:id="121" w:name="_Toc467168720"/>
      <w:bookmarkStart w:id="122" w:name="_Toc467175954"/>
      <w:bookmarkStart w:id="123" w:name="_Toc467176414"/>
      <w:bookmarkStart w:id="124" w:name="_Toc467168724"/>
      <w:bookmarkStart w:id="125" w:name="_Toc467175958"/>
      <w:bookmarkStart w:id="126" w:name="_Toc467176418"/>
      <w:bookmarkStart w:id="127" w:name="_Toc467168725"/>
      <w:bookmarkStart w:id="128" w:name="_Toc467175959"/>
      <w:bookmarkStart w:id="129" w:name="_Toc467176419"/>
      <w:bookmarkStart w:id="130" w:name="_Toc467168751"/>
      <w:bookmarkStart w:id="131" w:name="_Toc467175985"/>
      <w:bookmarkStart w:id="132" w:name="_Toc467176445"/>
      <w:bookmarkStart w:id="133" w:name="_Toc467168755"/>
      <w:bookmarkStart w:id="134" w:name="_Toc467175989"/>
      <w:bookmarkStart w:id="135" w:name="_Toc467176449"/>
      <w:bookmarkStart w:id="136" w:name="_Toc467168768"/>
      <w:bookmarkStart w:id="137" w:name="_Toc467176002"/>
      <w:bookmarkStart w:id="138" w:name="_Toc467176462"/>
      <w:bookmarkStart w:id="139" w:name="_Toc467168769"/>
      <w:bookmarkStart w:id="140" w:name="_Toc467176003"/>
      <w:bookmarkStart w:id="141" w:name="_Toc467176463"/>
      <w:bookmarkStart w:id="142" w:name="_Toc467168771"/>
      <w:bookmarkStart w:id="143" w:name="_Toc467176005"/>
      <w:bookmarkStart w:id="144" w:name="_Toc467176465"/>
      <w:bookmarkStart w:id="145" w:name="_Toc467168772"/>
      <w:bookmarkStart w:id="146" w:name="_Toc467176006"/>
      <w:bookmarkStart w:id="147" w:name="_Toc467176466"/>
      <w:bookmarkStart w:id="148" w:name="_Toc467168778"/>
      <w:bookmarkStart w:id="149" w:name="_Toc467176012"/>
      <w:bookmarkStart w:id="150" w:name="_Toc467176472"/>
      <w:bookmarkStart w:id="151" w:name="_Toc467168783"/>
      <w:bookmarkStart w:id="152" w:name="_Toc467176017"/>
      <w:bookmarkStart w:id="153" w:name="_Toc467176477"/>
      <w:bookmarkStart w:id="154" w:name="_Toc467168787"/>
      <w:bookmarkStart w:id="155" w:name="_Toc467176021"/>
      <w:bookmarkStart w:id="156" w:name="_Toc467176481"/>
      <w:bookmarkStart w:id="157" w:name="_Toc469927314"/>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r w:rsidRPr="00A65BA3">
        <w:lastRenderedPageBreak/>
        <w:t>Background</w:t>
      </w:r>
      <w:bookmarkEnd w:id="157"/>
    </w:p>
    <w:p w14:paraId="54D48361" w14:textId="77777777" w:rsidR="00E1434C" w:rsidRPr="00A65BA3" w:rsidRDefault="007F779B" w:rsidP="00FC6060">
      <w:pPr>
        <w:pStyle w:val="Heading2"/>
        <w:tabs>
          <w:tab w:val="clear" w:pos="709"/>
        </w:tabs>
        <w:ind w:left="851" w:hanging="851"/>
      </w:pPr>
      <w:bookmarkStart w:id="158" w:name="_Toc469927315"/>
      <w:bookmarkStart w:id="159" w:name="_Toc464457058"/>
      <w:r>
        <w:t>The context to this report</w:t>
      </w:r>
      <w:bookmarkEnd w:id="158"/>
    </w:p>
    <w:bookmarkEnd w:id="159"/>
    <w:p w14:paraId="77C10D55" w14:textId="77777777" w:rsidR="00A93544" w:rsidRDefault="00A93544" w:rsidP="00A93544">
      <w:pPr>
        <w:pStyle w:val="BodyText"/>
        <w:rPr>
          <w:lang w:eastAsia="en-AU"/>
        </w:rPr>
      </w:pPr>
      <w:r>
        <w:rPr>
          <w:lang w:eastAsia="en-AU"/>
        </w:rPr>
        <w:t xml:space="preserve">Australian universities play a critical role in generating human capital and skills for Australia’s workforce, driving productivity growth through innovative research and development, and enriching local communities through engagement and outreach. </w:t>
      </w:r>
    </w:p>
    <w:p w14:paraId="442961B3" w14:textId="77777777" w:rsidR="00A93544" w:rsidRDefault="00A93544" w:rsidP="00A93544">
      <w:pPr>
        <w:pStyle w:val="BodyText"/>
        <w:rPr>
          <w:lang w:eastAsia="en-AU"/>
        </w:rPr>
      </w:pPr>
      <w:r>
        <w:rPr>
          <w:lang w:eastAsia="en-AU"/>
        </w:rPr>
        <w:t xml:space="preserve">Australia’s university </w:t>
      </w:r>
      <w:r w:rsidRPr="00D81C5E">
        <w:rPr>
          <w:lang w:eastAsia="en-AU"/>
        </w:rPr>
        <w:t>sector contributed around $25 billion to the Australian economy in 2013, accounting for over 1.5% of Australia’s GDP and 160,000 fulltime equivalent (FTE) jobs</w:t>
      </w:r>
      <w:r>
        <w:rPr>
          <w:lang w:eastAsia="en-AU"/>
        </w:rPr>
        <w:t xml:space="preserve">. </w:t>
      </w:r>
      <w:r w:rsidRPr="004A7CC0">
        <w:rPr>
          <w:lang w:eastAsia="en-AU"/>
        </w:rPr>
        <w:t>In 2014–15, education related exports accounted for 5.7% of Australia’s total exports, representing the largest service export and the third largest export category overall. Higher education is the single biggest contributor to this, representing around two-thirds of the total value</w:t>
      </w:r>
      <w:r w:rsidRPr="00D81C5E">
        <w:rPr>
          <w:lang w:eastAsia="en-AU"/>
        </w:rPr>
        <w:t xml:space="preserve"> </w:t>
      </w:r>
      <w:r>
        <w:rPr>
          <w:lang w:eastAsia="en-AU"/>
        </w:rPr>
        <w:t xml:space="preserve">(Deloitte Access Economics, 2015). </w:t>
      </w:r>
    </w:p>
    <w:p w14:paraId="0295F88E" w14:textId="77777777" w:rsidR="00A93544" w:rsidRDefault="00A93544" w:rsidP="00A93544">
      <w:pPr>
        <w:pStyle w:val="BodyText"/>
      </w:pPr>
      <w:r>
        <w:t>In supporting this research and teaching activity, Australia’s universities receive more than 60% of their income directly from the government, mostly via teaching and research grants and HELP payments (for which domestic students are liable) (Department of Education and Training, 2015b). In broad terms, this funding recognises and supports the activities conducted by universities and the benefits they generate.</w:t>
      </w:r>
    </w:p>
    <w:p w14:paraId="4E6D21F9" w14:textId="6DB746C8" w:rsidR="00A93544" w:rsidRDefault="00A93544" w:rsidP="00A93544">
      <w:pPr>
        <w:pStyle w:val="BodyText"/>
      </w:pPr>
      <w:r>
        <w:t xml:space="preserve">The way in which this funding is provided, in terms of the specific teaching and research activities it is intended to support, has the potential to influence the behaviour of university institutions, in particular when it comes to the number of places that are offered for students in given subject areas and disciplines. This influence is an important element of effective funding policy, as government provides support to universities to conduct certain activities on the basis of the relative private and public benefits that they generate in society, as emphasised by the </w:t>
      </w:r>
      <w:r w:rsidR="009F6F84">
        <w:t>f</w:t>
      </w:r>
      <w:r>
        <w:t>ederal Minister for Education</w:t>
      </w:r>
      <w:r w:rsidR="009F6F84">
        <w:t xml:space="preserve"> and Training</w:t>
      </w:r>
      <w:r>
        <w:t>:</w:t>
      </w:r>
    </w:p>
    <w:p w14:paraId="4BBD24C0" w14:textId="77777777" w:rsidR="00A93544" w:rsidRPr="0016649D" w:rsidRDefault="00A93544" w:rsidP="00C63E72">
      <w:pPr>
        <w:pStyle w:val="IndentQuote"/>
      </w:pPr>
      <w:r w:rsidRPr="0016649D">
        <w:t xml:space="preserve">“a key part of what I’m thinking about during higher education policy discussions is about the incentives that exist, how universities respond to those incentives and if we are to ensure that </w:t>
      </w:r>
      <w:r w:rsidRPr="0016649D">
        <w:rPr>
          <w:bCs/>
        </w:rPr>
        <w:t>we actually get universities thinking about numbers of students they enrol and the disciplines they enrol in</w:t>
      </w:r>
      <w:r w:rsidRPr="0016649D">
        <w:t xml:space="preserve">, then we need to make sure that they are driven in their thinking by </w:t>
      </w:r>
      <w:r w:rsidRPr="0016649D">
        <w:rPr>
          <w:bCs/>
        </w:rPr>
        <w:t>what is in the best interests of the student and the need of the national economy</w:t>
      </w:r>
      <w:r w:rsidRPr="0016649D">
        <w:t>.”</w:t>
      </w:r>
    </w:p>
    <w:p w14:paraId="3237BBAF" w14:textId="77777777" w:rsidR="00A93544" w:rsidRPr="00C63E72" w:rsidRDefault="00A93544" w:rsidP="00C63E72">
      <w:pPr>
        <w:pStyle w:val="IndentQuote"/>
        <w:spacing w:before="120"/>
        <w:jc w:val="left"/>
      </w:pPr>
      <w:r w:rsidRPr="00C63E72">
        <w:t xml:space="preserve">Senator the Hon Simon Birmingham, </w:t>
      </w:r>
      <w:r w:rsidRPr="00C63E72">
        <w:br/>
        <w:t>Speech to ADC Forum Education Summit, 12 August 2016</w:t>
      </w:r>
    </w:p>
    <w:p w14:paraId="1F27EB90" w14:textId="08C350F3" w:rsidR="00A93544" w:rsidRDefault="00A93544" w:rsidP="00A93544">
      <w:pPr>
        <w:pStyle w:val="BodyText"/>
      </w:pPr>
      <w:r>
        <w:t xml:space="preserve">Importantly, government funding arrangements are just one factor that affects the incentives and priorities of universities in delivery on their teaching, learning and research missions. Universities are </w:t>
      </w:r>
      <w:r w:rsidR="009F6F84">
        <w:t xml:space="preserve">predominantly </w:t>
      </w:r>
      <w:r>
        <w:t xml:space="preserve">self-accrediting, and largely autonomous public institutions, each with a different founding purpose and social mission. Within each of these social missions and unique community contexts, the delivery of </w:t>
      </w:r>
      <w:r w:rsidR="00461021">
        <w:t>teaching and scholarship</w:t>
      </w:r>
      <w:r>
        <w:t xml:space="preserve"> programs in different fields of education, and towards different academic and vocational outcomes, can and does vary. </w:t>
      </w:r>
    </w:p>
    <w:p w14:paraId="5984B59F" w14:textId="77777777" w:rsidR="00A93544" w:rsidRDefault="00A93544" w:rsidP="00A93544">
      <w:pPr>
        <w:pStyle w:val="BodyText"/>
      </w:pPr>
      <w:r>
        <w:lastRenderedPageBreak/>
        <w:t>As such, it need not necessarily be expected that uniform funding arrangements for teaching and research create the same incentives and behaviours in every context. Nonetheless, the generalised effects of given funding arrangements are a critical consideration for government—in particular, when considering the broader context of economic development in the 21</w:t>
      </w:r>
      <w:r w:rsidRPr="00FA2B3B">
        <w:rPr>
          <w:vertAlign w:val="superscript"/>
        </w:rPr>
        <w:t>st</w:t>
      </w:r>
      <w:r>
        <w:t xml:space="preserve"> century, and the increased reliance on the effective supply of higher education skills for industry.</w:t>
      </w:r>
    </w:p>
    <w:p w14:paraId="53388B73" w14:textId="48051DCB" w:rsidR="00A93544" w:rsidRDefault="00A93544" w:rsidP="00A93544">
      <w:pPr>
        <w:pStyle w:val="BodyText"/>
      </w:pPr>
      <w:r>
        <w:t xml:space="preserve">In the context of current funding arrangements for university </w:t>
      </w:r>
      <w:r w:rsidR="00461021">
        <w:t>teaching and scholarship</w:t>
      </w:r>
      <w:r>
        <w:t>, where funding rates for a given course are in excess of actual costs</w:t>
      </w:r>
      <w:r w:rsidRPr="00163FB3">
        <w:t xml:space="preserve">, institutions </w:t>
      </w:r>
      <w:r>
        <w:t xml:space="preserve">may </w:t>
      </w:r>
      <w:r w:rsidRPr="00163FB3">
        <w:t>have an incentive to increase</w:t>
      </w:r>
      <w:r>
        <w:t xml:space="preserve"> enrolments in that discipline, with t</w:t>
      </w:r>
      <w:r w:rsidRPr="00163FB3">
        <w:t xml:space="preserve">he converse </w:t>
      </w:r>
      <w:r>
        <w:t xml:space="preserve">being </w:t>
      </w:r>
      <w:r w:rsidRPr="00163FB3">
        <w:t xml:space="preserve">true for relatively underfunded disciplines. </w:t>
      </w:r>
      <w:r>
        <w:t>In general terms, this may lead to a misallocation of higher education skills in the economy, leading to lost economic productivity and lower living standards.</w:t>
      </w:r>
      <w:r w:rsidRPr="007838DB">
        <w:t xml:space="preserve"> </w:t>
      </w:r>
      <w:r>
        <w:t>Further still, universities’ reputation and performance is driven primarily by measured success in academic research, and in practice, funding intended to support particular research and teaching activities is understood to support activities in other areas, in line with the strategic objectives of the individual institution.</w:t>
      </w:r>
    </w:p>
    <w:p w14:paraId="3B4A89D4" w14:textId="77777777" w:rsidR="00A93544" w:rsidRDefault="00A93544" w:rsidP="00A93544">
      <w:pPr>
        <w:pStyle w:val="BodyText"/>
      </w:pPr>
      <w:r>
        <w:t xml:space="preserve">Potential </w:t>
      </w:r>
      <w:r w:rsidRPr="00163FB3">
        <w:t>imbalance</w:t>
      </w:r>
      <w:r>
        <w:t>s in funding relativities create</w:t>
      </w:r>
      <w:r w:rsidRPr="00163FB3">
        <w:t xml:space="preserve"> a financia</w:t>
      </w:r>
      <w:r>
        <w:t>l dilemma for universities that, as public institutions, intend to respond to student demand and the objectives of government implicit in relative funding rates (that reflect relative public benefits)—most significantly because of the pre-eminence of research outcomes as a measure of institutional success and reputation, and the subsequent financial benefits that this may generate (including through international student fees).</w:t>
      </w:r>
    </w:p>
    <w:p w14:paraId="359655B2" w14:textId="77777777" w:rsidR="00A93544" w:rsidRDefault="00A93544" w:rsidP="00A93544">
      <w:pPr>
        <w:pStyle w:val="BodyText"/>
      </w:pPr>
      <w:r w:rsidRPr="00163FB3">
        <w:t>Appropriately calibrating the funding relativities between disciplines</w:t>
      </w:r>
      <w:r>
        <w:t>, qualification levels, and providers</w:t>
      </w:r>
      <w:r w:rsidRPr="00163FB3">
        <w:t xml:space="preserve"> is</w:t>
      </w:r>
      <w:r>
        <w:t xml:space="preserve"> therefore</w:t>
      </w:r>
      <w:r w:rsidRPr="00163FB3">
        <w:t xml:space="preserve"> critical to supporting a </w:t>
      </w:r>
      <w:r>
        <w:t xml:space="preserve">higher education </w:t>
      </w:r>
      <w:r w:rsidRPr="00163FB3">
        <w:t xml:space="preserve">system </w:t>
      </w:r>
      <w:r>
        <w:t xml:space="preserve">which maximises the contribution made by higher education human capital in the labour market, and society more broadly. </w:t>
      </w:r>
    </w:p>
    <w:p w14:paraId="636252AC" w14:textId="0754D256" w:rsidR="00A93544" w:rsidRDefault="00A93544" w:rsidP="00A93544">
      <w:pPr>
        <w:pStyle w:val="BodyText"/>
      </w:pPr>
      <w:r w:rsidRPr="0016649D">
        <w:rPr>
          <w:b/>
          <w:color w:val="002060"/>
        </w:rPr>
        <w:t xml:space="preserve">Such calibration is </w:t>
      </w:r>
      <w:r w:rsidRPr="007838DB">
        <w:rPr>
          <w:b/>
          <w:color w:val="002060"/>
        </w:rPr>
        <w:t>necessarily informed</w:t>
      </w:r>
      <w:r w:rsidRPr="0016649D">
        <w:rPr>
          <w:b/>
          <w:color w:val="002060"/>
        </w:rPr>
        <w:t xml:space="preserve"> by robust measures of relative cost of delivery for institutions</w:t>
      </w:r>
      <w:r>
        <w:t xml:space="preserve">. </w:t>
      </w:r>
      <w:r w:rsidR="00E63E52" w:rsidRPr="00E63E52">
        <w:t>Indeed, current funding arrangements for teaching and scholarship (as part of the Commonwealth Grant Scheme</w:t>
      </w:r>
      <w:r w:rsidR="004165CD">
        <w:t xml:space="preserve"> (CGS)</w:t>
      </w:r>
      <w:r w:rsidR="00E63E52" w:rsidRPr="00E63E52">
        <w:t>) find their legacy in the Relative Funding Model (RFM) designed in the mid-1990s. Both the original RFM and the subsequent CGS funding clusters were designed to allocate aggregate base funding amounts to universities that fairly reflected their respective discipline mixes. This model did not rely on a precise measure of cost at a discipline level, rather it focused on capturing relative average costs across disciplines. Such a model was considered appropriate in a funding system where there was a fixed amount of funding available and targets were agreed for places to be offered in different disciplines</w:t>
      </w:r>
      <w:r>
        <w:t xml:space="preserve"> (Department of Education and Training, 2015a).</w:t>
      </w:r>
    </w:p>
    <w:p w14:paraId="4E0A757D" w14:textId="77777777" w:rsidR="00A93544" w:rsidRDefault="00A93544" w:rsidP="00A93544">
      <w:pPr>
        <w:pStyle w:val="BodyText"/>
      </w:pPr>
      <w:r>
        <w:t xml:space="preserve">However, as noted in the Base Funding Review conducted in 2011, the introduction of the ‘Demand Driven System’ has meant that universities are now responsible for decisions about the number of places they offer in each discipline at the bachelor degree level. Indeed, it is generally understood that university decisions regarding enrolment numbers (by discipline) are influenced by the extent to which discipline funding matches the costs of provision. </w:t>
      </w:r>
    </w:p>
    <w:p w14:paraId="024A108F" w14:textId="77777777" w:rsidR="00A93544" w:rsidRDefault="00A93544" w:rsidP="00A93544">
      <w:pPr>
        <w:pStyle w:val="BodyText"/>
      </w:pPr>
      <w:r>
        <w:t xml:space="preserve">In this context, the assumptions underpinning the current RFM are around two decades out of date, and the incumbent relativities between disciplines do not necessarily recognise </w:t>
      </w:r>
      <w:r>
        <w:lastRenderedPageBreak/>
        <w:t>how the approach to delivering teaching and scholarship has changed over time (and the implications of this for the associated costs).</w:t>
      </w:r>
    </w:p>
    <w:p w14:paraId="6E69F0C0" w14:textId="5C15DBB2" w:rsidR="00A93544" w:rsidRDefault="00A93544" w:rsidP="00A93544">
      <w:pPr>
        <w:pStyle w:val="BodyText"/>
        <w:rPr>
          <w:lang w:eastAsia="en-AU"/>
        </w:rPr>
      </w:pPr>
      <w:r>
        <w:rPr>
          <w:lang w:eastAsia="en-AU"/>
        </w:rPr>
        <w:t xml:space="preserve">Noting the significant growth and change experienced by the sector since current funding arrangements were established in the </w:t>
      </w:r>
      <w:r w:rsidR="009F6F84">
        <w:rPr>
          <w:lang w:eastAsia="en-AU"/>
        </w:rPr>
        <w:t xml:space="preserve">mid </w:t>
      </w:r>
      <w:r>
        <w:rPr>
          <w:lang w:eastAsia="en-AU"/>
        </w:rPr>
        <w:t xml:space="preserve">1990s, it is a necessary and appropriate time to </w:t>
      </w:r>
      <w:r w:rsidRPr="008B121A">
        <w:rPr>
          <w:rStyle w:val="Boldword"/>
        </w:rPr>
        <w:t>re</w:t>
      </w:r>
      <w:r w:rsidRPr="008B121A">
        <w:rPr>
          <w:rStyle w:val="Boldword"/>
        </w:rPr>
        <w:noBreakHyphen/>
        <w:t>evaluate the underlying variations in cost by field of education and qualification level for Australian universities, through a robust, comprehensive and collaborative study</w:t>
      </w:r>
      <w:r>
        <w:rPr>
          <w:lang w:eastAsia="en-AU"/>
        </w:rPr>
        <w:t>. The outcomes of this study will ultimately provide a contemporary measure of the relative costs of delivery of higher education to inform possible future higher education policy, including with respect to funding arrangements.</w:t>
      </w:r>
    </w:p>
    <w:p w14:paraId="7145D56F" w14:textId="77777777" w:rsidR="00A93544" w:rsidRDefault="00A93544" w:rsidP="00A93544">
      <w:pPr>
        <w:pStyle w:val="Heading3"/>
        <w:rPr>
          <w:lang w:eastAsia="en-AU"/>
        </w:rPr>
      </w:pPr>
      <w:bookmarkStart w:id="160" w:name="_Toc465940235"/>
      <w:r>
        <w:rPr>
          <w:lang w:eastAsia="en-AU"/>
        </w:rPr>
        <w:t>This report</w:t>
      </w:r>
      <w:bookmarkEnd w:id="160"/>
    </w:p>
    <w:p w14:paraId="1F19F272" w14:textId="77777777" w:rsidR="00A93544" w:rsidRDefault="00A93544" w:rsidP="00A93544">
      <w:pPr>
        <w:pStyle w:val="BodyText"/>
      </w:pPr>
      <w:r>
        <w:t>The most contemporary and detailed previous work on university teaching costs was conducted for the then Department of Employment, Education and Workplace Relations (the Department) by Deloitte Access Economics in 2011. The study collected primary cost data from a set of eight Australian universities to investigate the cost of provision by field of education. It identified both the average cost of provision, the relative costs across fields and universities in Australia, as well as identifying some of the key drivers of these costs.</w:t>
      </w:r>
    </w:p>
    <w:p w14:paraId="4176C147" w14:textId="77777777" w:rsidR="00A93544" w:rsidRDefault="00A93544" w:rsidP="00A93544">
      <w:pPr>
        <w:pStyle w:val="BodyText"/>
      </w:pPr>
      <w:r>
        <w:t xml:space="preserve">However, ongoing trends in the higher education sector, both directly related to costs as well as expectations around course delivery (which will have implications for cost), </w:t>
      </w:r>
      <w:r w:rsidR="004165CD">
        <w:t xml:space="preserve">are likely to </w:t>
      </w:r>
      <w:r>
        <w:t xml:space="preserve">have altered the reasonable cost of higher education teaching and scholarship. There is therefore a need for more up-to-date </w:t>
      </w:r>
      <w:r w:rsidR="004165CD">
        <w:t xml:space="preserve">cost information </w:t>
      </w:r>
      <w:r>
        <w:t>on which to base policy.</w:t>
      </w:r>
    </w:p>
    <w:p w14:paraId="03E18DAC" w14:textId="77777777" w:rsidR="00A93544" w:rsidRDefault="00A93544" w:rsidP="00A93544">
      <w:pPr>
        <w:pStyle w:val="BodyText"/>
      </w:pPr>
      <w:r>
        <w:t xml:space="preserve">Against this backdrop, Deloitte Access Economics has been commissioned by the Department to </w:t>
      </w:r>
      <w:r w:rsidRPr="00E06593">
        <w:rPr>
          <w:rStyle w:val="Boldword"/>
        </w:rPr>
        <w:t>undertake new analysis of the cost of university teaching and scholarship based on data from the calendar year 2015</w:t>
      </w:r>
      <w:r>
        <w:t>. While in part an update of the 2011 study</w:t>
      </w:r>
      <w:r w:rsidR="00E63E52">
        <w:t xml:space="preserve"> (which captured data from the 2010 calendar year)</w:t>
      </w:r>
      <w:r>
        <w:t>, the findings of this current report differ somewhat from that work:</w:t>
      </w:r>
    </w:p>
    <w:p w14:paraId="7F04C0E5" w14:textId="77777777" w:rsidR="00A93544" w:rsidRDefault="0049715A" w:rsidP="00E63E52">
      <w:pPr>
        <w:pStyle w:val="Bullet1"/>
      </w:pPr>
      <w:r>
        <w:t>a</w:t>
      </w:r>
      <w:r w:rsidR="00A93544">
        <w:t>s noted, the higher education sector itself has changed over this period, and will continue to evolve into the future: underlying costs in areas such as salaries and clinical placements have increased at a rate faster than inflation, and the uncapping of university places has altered the composition of student intake across the sector</w:t>
      </w:r>
      <w:r>
        <w:t>;</w:t>
      </w:r>
      <w:r w:rsidR="00A93544">
        <w:t xml:space="preserve"> </w:t>
      </w:r>
    </w:p>
    <w:p w14:paraId="746900FB" w14:textId="77777777" w:rsidR="00A93544" w:rsidRDefault="0049715A" w:rsidP="00A93544">
      <w:pPr>
        <w:pStyle w:val="Bullet1"/>
      </w:pPr>
      <w:r>
        <w:t>t</w:t>
      </w:r>
      <w:r w:rsidR="00A93544">
        <w:t>he current study is based on data from approximately twice as many universities as the previous analysis, with increased numbers implying the likelihood of a more representative sample and more robust statistical analysis</w:t>
      </w:r>
      <w:r>
        <w:t>; and</w:t>
      </w:r>
    </w:p>
    <w:p w14:paraId="7B579DAF" w14:textId="77777777" w:rsidR="00A93544" w:rsidRDefault="0049715A" w:rsidP="00A93544">
      <w:pPr>
        <w:pStyle w:val="Bullet1"/>
      </w:pPr>
      <w:r>
        <w:t>a</w:t>
      </w:r>
      <w:r w:rsidR="00A93544">
        <w:t xml:space="preserve"> more comprehensive consideration of the notion of ‘reasonable cost’ is considered in this study, recognising its relevance to possible changes to higher education funding policy.</w:t>
      </w:r>
    </w:p>
    <w:p w14:paraId="6B493031" w14:textId="77777777" w:rsidR="00A93544" w:rsidRDefault="00A93544" w:rsidP="00A93544">
      <w:pPr>
        <w:pStyle w:val="BodyText"/>
      </w:pPr>
      <w:r>
        <w:t>This report has the following structure:</w:t>
      </w:r>
    </w:p>
    <w:p w14:paraId="71CABE1C" w14:textId="77777777" w:rsidR="00A93544" w:rsidRDefault="00A93544" w:rsidP="00A93544">
      <w:pPr>
        <w:pStyle w:val="Bullet1"/>
      </w:pPr>
      <w:r>
        <w:t>The remainder of Chapter 1 summarises the findings from previous studies of the relative cost of higher education, and identifies some of the major trends relevant to the cost of higher education</w:t>
      </w:r>
      <w:r w:rsidR="0049715A">
        <w:t>;</w:t>
      </w:r>
    </w:p>
    <w:p w14:paraId="09EC312F" w14:textId="77777777" w:rsidR="00A93544" w:rsidRDefault="00A93544" w:rsidP="00A93544">
      <w:pPr>
        <w:pStyle w:val="Bullet1"/>
      </w:pPr>
      <w:r>
        <w:t>Chapter 2 provides an overview of the process of data collection for this study, including the participating universities and representativeness of the available data</w:t>
      </w:r>
      <w:r w:rsidR="0049715A">
        <w:t>;</w:t>
      </w:r>
    </w:p>
    <w:p w14:paraId="45279909" w14:textId="77777777" w:rsidR="00A93544" w:rsidRDefault="00A93544" w:rsidP="00A93544">
      <w:pPr>
        <w:pStyle w:val="Bullet1"/>
      </w:pPr>
      <w:r>
        <w:lastRenderedPageBreak/>
        <w:t>Chapter 3 summarises and describes the cost data collected as part of this study, and how it varies across fields of education, qualification levels and universities</w:t>
      </w:r>
      <w:r w:rsidR="0049715A">
        <w:t>;</w:t>
      </w:r>
    </w:p>
    <w:p w14:paraId="1B26DA9E" w14:textId="77777777" w:rsidR="00A93544" w:rsidRDefault="00A93544" w:rsidP="00A93544">
      <w:pPr>
        <w:pStyle w:val="Bullet1"/>
      </w:pPr>
      <w:r>
        <w:t>Chapter 4 introduces the concept of reasonable cost, establishing a conceptual framework to inform a working definition for this study, and relevant empirical methods that may be applied</w:t>
      </w:r>
      <w:r w:rsidR="0049715A">
        <w:t>;</w:t>
      </w:r>
    </w:p>
    <w:p w14:paraId="3C9DABE7" w14:textId="77777777" w:rsidR="00A93544" w:rsidRDefault="00A93544" w:rsidP="00A93544">
      <w:pPr>
        <w:pStyle w:val="Bullet1"/>
      </w:pPr>
      <w:r>
        <w:t>Chapter 5 presents findings with respect to measures of reasonable cost, including relative costs across fields of education, qualification levels and universities</w:t>
      </w:r>
      <w:r w:rsidR="0049715A">
        <w:t>;</w:t>
      </w:r>
    </w:p>
    <w:p w14:paraId="07D881DB" w14:textId="77777777" w:rsidR="00A93544" w:rsidRDefault="00A93544" w:rsidP="00A93544">
      <w:pPr>
        <w:pStyle w:val="Bullet1"/>
      </w:pPr>
      <w:r>
        <w:t>Chapter 6 outlines the findings from research into comparable benchmark costs from international jurisdictions, including New Zealand and the United Kingdom (UK)</w:t>
      </w:r>
      <w:r w:rsidR="0049715A">
        <w:t>; and</w:t>
      </w:r>
    </w:p>
    <w:p w14:paraId="17FA663C" w14:textId="77777777" w:rsidR="00A93544" w:rsidRDefault="00A93544" w:rsidP="00A93544">
      <w:pPr>
        <w:pStyle w:val="Bullet1"/>
      </w:pPr>
      <w:r>
        <w:t>Chapter 7 completes this report with a summary of the study’s findings and key conclusions.</w:t>
      </w:r>
    </w:p>
    <w:p w14:paraId="7C30BDB2" w14:textId="77777777" w:rsidR="00A93544" w:rsidRPr="00A65BA3" w:rsidRDefault="00A93544" w:rsidP="00A93544">
      <w:pPr>
        <w:pStyle w:val="Heading3"/>
      </w:pPr>
      <w:bookmarkStart w:id="161" w:name="_Toc465940236"/>
      <w:r w:rsidRPr="00A65BA3">
        <w:t>Previous studies and reviews</w:t>
      </w:r>
      <w:bookmarkEnd w:id="161"/>
    </w:p>
    <w:p w14:paraId="74EA54D1" w14:textId="4D9A2D2E" w:rsidR="00A93544" w:rsidRDefault="00A93544" w:rsidP="00A93544">
      <w:pPr>
        <w:pStyle w:val="BodyText"/>
      </w:pPr>
      <w:r>
        <w:t xml:space="preserve">A number of notable Australian studies and reviews have sought to understand and measure the relative cost of higher education </w:t>
      </w:r>
      <w:r w:rsidR="00461021">
        <w:t>teaching and scholarship</w:t>
      </w:r>
      <w:r>
        <w:t>, as well as research, at Australian universities. This section provides a brief overview of these studies.</w:t>
      </w:r>
    </w:p>
    <w:p w14:paraId="5CC4B934" w14:textId="77777777" w:rsidR="00A93544" w:rsidRDefault="00A93544" w:rsidP="00A93544">
      <w:pPr>
        <w:pStyle w:val="HeadingC"/>
      </w:pPr>
      <w:r>
        <w:t>Deloitte Access Economics’ 2011 study</w:t>
      </w:r>
    </w:p>
    <w:p w14:paraId="0201F3A9" w14:textId="2EC41EAB" w:rsidR="00A93544" w:rsidRPr="009D0D83" w:rsidRDefault="00A93544" w:rsidP="00A93544">
      <w:pPr>
        <w:pStyle w:val="BodyText"/>
      </w:pPr>
      <w:r w:rsidRPr="0064325C">
        <w:t xml:space="preserve">In </w:t>
      </w:r>
      <w:r>
        <w:t xml:space="preserve">the context of transitioning to a student demand driven system, and following the recommendations of the 2008 Bradley Review, as part of the 2011 Base Funding Review Deloitte Access Economics was commissioned to determine the actual and relative costs of </w:t>
      </w:r>
      <w:r w:rsidR="00461021">
        <w:t>teaching and scholarship</w:t>
      </w:r>
      <w:r>
        <w:t xml:space="preserve"> at Australian universities and identify any systematic cost drivers. Prior to this current study, this original analysis by Deloitte Access Economics remained </w:t>
      </w:r>
      <w:r w:rsidRPr="006701DE">
        <w:rPr>
          <w:i/>
        </w:rPr>
        <w:t>“the best published source on teaching and scholarship costs in Australia”</w:t>
      </w:r>
      <w:r>
        <w:rPr>
          <w:i/>
        </w:rPr>
        <w:t xml:space="preserve"> </w:t>
      </w:r>
      <w:r>
        <w:t>(Norton and Cherastidtham, 2015).</w:t>
      </w:r>
    </w:p>
    <w:p w14:paraId="1FED3FDC" w14:textId="34D9619C" w:rsidR="00A93544" w:rsidRDefault="00A93544" w:rsidP="00A93544">
      <w:pPr>
        <w:pStyle w:val="BodyText"/>
      </w:pPr>
      <w:r>
        <w:t>In the 2011 study, a data collection tool was developed and used to capture quantitative and qualitative costing and expenditure information from a strategic sample of eight Australian universities.</w:t>
      </w:r>
      <w:r>
        <w:rPr>
          <w:rStyle w:val="FootnoteReference"/>
        </w:rPr>
        <w:footnoteReference w:id="6"/>
      </w:r>
      <w:r>
        <w:t xml:space="preserve"> Broadly, the quantitative collections covered enrolments, staff sizes, budgetary unit-level costs, central costs and allocation of costs, whilst the qualitative components were themed on approaches to allocating and estimating costs by universities, specifics regarding the university funding model, and pressure points in funding current </w:t>
      </w:r>
      <w:r w:rsidR="00461021">
        <w:t>teaching and scholarship</w:t>
      </w:r>
      <w:r>
        <w:t xml:space="preserve"> costs. </w:t>
      </w:r>
    </w:p>
    <w:p w14:paraId="6BB7ADDE" w14:textId="77777777" w:rsidR="00A93544" w:rsidRDefault="00A93544" w:rsidP="00A93544">
      <w:pPr>
        <w:pStyle w:val="BodyText"/>
      </w:pPr>
      <w:r>
        <w:t>In summary, this study found that:</w:t>
      </w:r>
    </w:p>
    <w:p w14:paraId="0096116B" w14:textId="77777777" w:rsidR="00A93544" w:rsidRDefault="0049715A" w:rsidP="00A93544">
      <w:pPr>
        <w:pStyle w:val="Bullet1"/>
      </w:pPr>
      <w:r>
        <w:t>r</w:t>
      </w:r>
      <w:r w:rsidR="00A93544">
        <w:t>esearch represented, on average, around 20% of reported mean cost per EFTSL; with this cross-subsidisation varying across disciplines, levels (with greater research cost for postgraduates) and institutions themselves</w:t>
      </w:r>
      <w:r>
        <w:t>;</w:t>
      </w:r>
    </w:p>
    <w:p w14:paraId="1826DB6A" w14:textId="551033B0" w:rsidR="00A93544" w:rsidRDefault="00461021" w:rsidP="00A93544">
      <w:pPr>
        <w:pStyle w:val="Bullet1"/>
      </w:pPr>
      <w:r>
        <w:t>teaching and scholarship</w:t>
      </w:r>
      <w:r w:rsidR="00A93544">
        <w:t xml:space="preserve"> cost per EFTSL for given fields of education (i.e. disciplines) varies considerably across institutions, and the degree of variation is more significant </w:t>
      </w:r>
      <w:r w:rsidR="00A93544">
        <w:lastRenderedPageBreak/>
        <w:t xml:space="preserve">for certain disciplines (most notably: </w:t>
      </w:r>
      <w:r w:rsidR="00A93544" w:rsidRPr="00055B9E">
        <w:t xml:space="preserve">Agriculture, </w:t>
      </w:r>
      <w:r w:rsidR="00FF7656">
        <w:t>E</w:t>
      </w:r>
      <w:r w:rsidR="00A93544" w:rsidRPr="00055B9E">
        <w:t>nvironment</w:t>
      </w:r>
      <w:r w:rsidR="00A93544">
        <w:t xml:space="preserve"> </w:t>
      </w:r>
      <w:r w:rsidR="00A93544" w:rsidRPr="00055B9E">
        <w:t xml:space="preserve">and </w:t>
      </w:r>
      <w:r w:rsidR="00FF7656">
        <w:t>R</w:t>
      </w:r>
      <w:r w:rsidR="00A93544" w:rsidRPr="00055B9E">
        <w:t xml:space="preserve">elated </w:t>
      </w:r>
      <w:r w:rsidR="00FF7656">
        <w:t>S</w:t>
      </w:r>
      <w:r w:rsidR="00A93544" w:rsidRPr="00055B9E">
        <w:t>tudies</w:t>
      </w:r>
      <w:r w:rsidR="00A93544">
        <w:t>; and Health)</w:t>
      </w:r>
      <w:r w:rsidR="0049715A">
        <w:t>; and</w:t>
      </w:r>
    </w:p>
    <w:p w14:paraId="25BC2510" w14:textId="77777777" w:rsidR="00A93544" w:rsidRDefault="0049715A" w:rsidP="00A93544">
      <w:pPr>
        <w:pStyle w:val="Bullet1"/>
      </w:pPr>
      <w:r>
        <w:t>t</w:t>
      </w:r>
      <w:r w:rsidR="00A93544">
        <w:t>here is some evidence to suggest under and over funding relative to costs is present for particular disciplines, however these appear to vary across institutions due to unobserved institution</w:t>
      </w:r>
      <w:r w:rsidR="00AC04ED">
        <w:t>al</w:t>
      </w:r>
      <w:r w:rsidR="00A93544">
        <w:t xml:space="preserve"> characteristics and strategies.</w:t>
      </w:r>
    </w:p>
    <w:p w14:paraId="3DE69497" w14:textId="699BCAAA" w:rsidR="00A93544" w:rsidRDefault="00A93544" w:rsidP="00A93544">
      <w:pPr>
        <w:pStyle w:val="BodyText"/>
      </w:pPr>
      <w:r>
        <w:t xml:space="preserve">The report recognised that the analysis conducted was an accounting exercise and a snapshot of university expenses, and that future research should seek to understand the true economic costs in order to reveal a more complete picture of university </w:t>
      </w:r>
      <w:r w:rsidR="00461021">
        <w:t>teaching and scholarship</w:t>
      </w:r>
      <w:r>
        <w:t xml:space="preserve">. </w:t>
      </w:r>
    </w:p>
    <w:p w14:paraId="51DF48C6" w14:textId="0031D242" w:rsidR="00A93544" w:rsidRDefault="00A93544" w:rsidP="00A93544">
      <w:pPr>
        <w:pStyle w:val="BodyText"/>
      </w:pPr>
      <w:r>
        <w:t xml:space="preserve">In particular, higher postgraduate coursework enrolments, higher proportions of fee-paying students, higher staff-student ratios and greater research intensity were associated with higher </w:t>
      </w:r>
      <w:r w:rsidR="00461021">
        <w:t>teaching and scholarship</w:t>
      </w:r>
      <w:r>
        <w:t xml:space="preserve"> costs. However, the analysis was unable to identify ‘causal effects’ and it is not explicitly clear whether the relationship between each of these characteristics and teaching costs are direct, or whether these higher costs are indirectly induced as a result of co-related revenue levels. </w:t>
      </w:r>
    </w:p>
    <w:p w14:paraId="7DF7A2E7" w14:textId="125BCEE0" w:rsidR="00A93544" w:rsidRDefault="00A93544" w:rsidP="00A93544">
      <w:pPr>
        <w:pStyle w:val="BodyText"/>
      </w:pPr>
      <w:r>
        <w:t xml:space="preserve">Further examination of the data collected as part of this study—including through regression analysis, face-to-face meetings and case studies—suggested that universities largely were tailoring their courses to reflect, or in response to, the funding they received (with some exceptions).  The results from the Deloitte Access Economics study supported the Base Funding Review in developing its findings and recommendations with respect to the efficacy of current funding arrangements for higher education </w:t>
      </w:r>
      <w:r w:rsidR="00461021">
        <w:t>teaching and scholarship</w:t>
      </w:r>
      <w:r>
        <w:t>.</w:t>
      </w:r>
    </w:p>
    <w:p w14:paraId="203162FE" w14:textId="77777777" w:rsidR="00A93544" w:rsidRDefault="00A93544" w:rsidP="00A93544">
      <w:pPr>
        <w:pStyle w:val="BodyText"/>
      </w:pPr>
      <w:r>
        <w:t>The Base Funding Review concluded that the current funding model design did not reflect the efficient cost of delivery, and thus a high degree of cross-subsidisation across disciplines had become the norm and necessary. In line with this finding, specific changes to student and government contribution rates were recommended by the Review; however these changes were not ultimately implemented by Government.</w:t>
      </w:r>
    </w:p>
    <w:p w14:paraId="21AF737B" w14:textId="77777777" w:rsidR="00A93544" w:rsidRDefault="00A93544" w:rsidP="00A93544">
      <w:pPr>
        <w:pStyle w:val="HeadingC"/>
      </w:pPr>
      <w:r>
        <w:t>Norton and Cherastidtham’s 2015</w:t>
      </w:r>
      <w:r>
        <w:rPr>
          <w:i/>
        </w:rPr>
        <w:t xml:space="preserve"> </w:t>
      </w:r>
      <w:r>
        <w:t>‘</w:t>
      </w:r>
      <w:r w:rsidRPr="009D0D83">
        <w:t>C</w:t>
      </w:r>
      <w:r w:rsidRPr="006701DE">
        <w:t>ash nexus’</w:t>
      </w:r>
      <w:r>
        <w:t xml:space="preserve"> report</w:t>
      </w:r>
    </w:p>
    <w:p w14:paraId="62EDFAEA" w14:textId="671C10E2" w:rsidR="00A93544" w:rsidRDefault="00A93544" w:rsidP="00A93544">
      <w:pPr>
        <w:pStyle w:val="BodyText"/>
      </w:pPr>
      <w:r>
        <w:t>The key principle which informed the Base Funding Review was that the purpose of base funding was to “</w:t>
      </w:r>
      <w:r>
        <w:rPr>
          <w:i/>
        </w:rPr>
        <w:t xml:space="preserve">support universities in their fundamental role of providing </w:t>
      </w:r>
      <w:r w:rsidR="00461021">
        <w:rPr>
          <w:i/>
        </w:rPr>
        <w:t>teaching and scholarship</w:t>
      </w:r>
      <w:r>
        <w:rPr>
          <w:i/>
        </w:rPr>
        <w:t xml:space="preserve"> informed by scholarship and a base capability in research”</w:t>
      </w:r>
      <w:r>
        <w:t xml:space="preserve">. Notably, this explicitly assumes that some sufficient level of research is required for quality higher education teaching, and that at least some part of student base funding should reflect this. </w:t>
      </w:r>
    </w:p>
    <w:p w14:paraId="5EBFDCEA" w14:textId="3AC0AE70" w:rsidR="00A93544" w:rsidRPr="006701DE" w:rsidRDefault="00A93544" w:rsidP="00A93544">
      <w:pPr>
        <w:pStyle w:val="BodyText"/>
        <w:rPr>
          <w:i/>
        </w:rPr>
      </w:pPr>
      <w:r>
        <w:t xml:space="preserve">While this conclusion is founded in an observation that current funding for </w:t>
      </w:r>
      <w:r w:rsidR="00461021">
        <w:t>teaching and scholarship</w:t>
      </w:r>
      <w:r>
        <w:t xml:space="preserve"> captures costs related to university research, this </w:t>
      </w:r>
      <w:r w:rsidRPr="006701DE">
        <w:rPr>
          <w:i/>
        </w:rPr>
        <w:t>purpose</w:t>
      </w:r>
      <w:r>
        <w:t xml:space="preserve"> of government funding has been examined by some researchers, most notably the Grattan Institute in its report </w:t>
      </w:r>
      <w:r w:rsidRPr="00E76898">
        <w:rPr>
          <w:i/>
        </w:rPr>
        <w:t>The cash nexus: how</w:t>
      </w:r>
      <w:r>
        <w:rPr>
          <w:i/>
        </w:rPr>
        <w:t xml:space="preserve"> teaching funds research </w:t>
      </w:r>
      <w:r w:rsidRPr="00E76898">
        <w:rPr>
          <w:i/>
        </w:rPr>
        <w:t>in Australian universities</w:t>
      </w:r>
      <w:r>
        <w:t xml:space="preserve"> (Norton and Cherastidtham, 2015).</w:t>
      </w:r>
    </w:p>
    <w:p w14:paraId="018AEB28" w14:textId="77777777" w:rsidR="00A93544" w:rsidRDefault="00A93544" w:rsidP="00A93544">
      <w:pPr>
        <w:pStyle w:val="Bullet1"/>
        <w:numPr>
          <w:ilvl w:val="0"/>
          <w:numId w:val="0"/>
        </w:numPr>
        <w:spacing w:before="240"/>
      </w:pPr>
      <w:r>
        <w:t xml:space="preserve">Norton and Cherastidtham note that there is increasing pressure for universities to direct more spending to research, drawing on observations from the limited numbers and coverage of research grants, academic preferences, and stated university performance strategies; whilst the incentives to spend more on teaching appear to be more limited. </w:t>
      </w:r>
    </w:p>
    <w:p w14:paraId="496C1175" w14:textId="0CF0BFCE" w:rsidR="00A93544" w:rsidRDefault="00A93544" w:rsidP="00A93544">
      <w:pPr>
        <w:pStyle w:val="Bullet1"/>
        <w:numPr>
          <w:ilvl w:val="0"/>
          <w:numId w:val="0"/>
        </w:numPr>
        <w:spacing w:before="240"/>
      </w:pPr>
      <w:r>
        <w:lastRenderedPageBreak/>
        <w:t xml:space="preserve">Critically, the authors note that while students may benefit in part from reputational effects of universities—that are the result of successful research outcomes—the empirical evidence suggests (both in Australia and internationally) that differences in research reputation across universities (and non-university higher education providers) have little apparent relationship with the quality of </w:t>
      </w:r>
      <w:r w:rsidR="00461021">
        <w:t>teaching and scholarship</w:t>
      </w:r>
      <w:r>
        <w:t xml:space="preserve"> programs, in terms of observable student outcomes.</w:t>
      </w:r>
    </w:p>
    <w:p w14:paraId="51E68A9F" w14:textId="77777777" w:rsidR="00A93544" w:rsidRDefault="00A93544" w:rsidP="00A93544">
      <w:pPr>
        <w:pStyle w:val="Bullet1"/>
        <w:numPr>
          <w:ilvl w:val="0"/>
          <w:numId w:val="0"/>
        </w:numPr>
        <w:spacing w:before="240"/>
      </w:pPr>
      <w:r>
        <w:t xml:space="preserve">Given these patterns, Norton and Cherastidtham posit that additional money for higher education is unlikely to improve student learning and outcomes, and that more information is required to understand and realise the incentives for universities to spend funding on students. In order to drive this, the authors recommend the introduction of activity-based costing and to shift the focus on </w:t>
      </w:r>
      <w:r>
        <w:rPr>
          <w:i/>
        </w:rPr>
        <w:t>why</w:t>
      </w:r>
      <w:r>
        <w:t xml:space="preserve"> money is spent, rather than </w:t>
      </w:r>
      <w:r>
        <w:rPr>
          <w:i/>
        </w:rPr>
        <w:t>what</w:t>
      </w:r>
      <w:r>
        <w:t xml:space="preserve"> it is spent on.</w:t>
      </w:r>
    </w:p>
    <w:p w14:paraId="1460E841" w14:textId="77777777" w:rsidR="00A93544" w:rsidRDefault="00A93544" w:rsidP="00A93544">
      <w:pPr>
        <w:pStyle w:val="BodyText"/>
      </w:pPr>
      <w:r>
        <w:t xml:space="preserve">Norton and Cherastidtham’s study draws explicitly on the findings of the Deloitte Access Economics (2011) study discussed here. Using the findings from this analysis, the authors identify specific disciplines and fields of education where levels of funding exceed, and fall below, measured costs of delivery, and that a significant degree of teaching and research cross-subsidisation across university faculties is present. In particular, they conclude that much of the surplus from teaching is generated by </w:t>
      </w:r>
      <w:r w:rsidR="002D54FD">
        <w:t>Commerce</w:t>
      </w:r>
      <w:r>
        <w:t xml:space="preserve"> faculties, but the additional research spending is mainly in other faculties.</w:t>
      </w:r>
      <w:r w:rsidR="00652D5F">
        <w:t xml:space="preserve"> An important difference between the</w:t>
      </w:r>
      <w:r w:rsidR="00652D5F" w:rsidRPr="00652D5F">
        <w:t xml:space="preserve"> </w:t>
      </w:r>
      <w:r w:rsidR="00652D5F">
        <w:t>Norton and Cherastidtham finding, and those contained within this work, is that the teaching surplus is generated from full-fee paying students, including domestic postgraduate students, and international students.</w:t>
      </w:r>
    </w:p>
    <w:p w14:paraId="64BACE11" w14:textId="77777777" w:rsidR="00A93544" w:rsidRDefault="00A93544" w:rsidP="00A93544">
      <w:pPr>
        <w:pStyle w:val="HeadingC"/>
      </w:pPr>
      <w:r>
        <w:t>Deloitte Access Economics’ 2014 study</w:t>
      </w:r>
    </w:p>
    <w:p w14:paraId="6D8054D0" w14:textId="77777777" w:rsidR="00A93544" w:rsidRDefault="00A93544" w:rsidP="00A93544">
      <w:pPr>
        <w:pStyle w:val="Bullet1"/>
        <w:numPr>
          <w:ilvl w:val="0"/>
          <w:numId w:val="0"/>
        </w:numPr>
        <w:spacing w:before="240"/>
      </w:pPr>
      <w:r>
        <w:t xml:space="preserve">In order to inform undergraduate funding policy for non-university higher education providers (NUHEPs) and sub-bachelor degrees, Deloitte Access Economics (2014) was commissioned to examine the differences in efficient cost between (1) university and NUHEPs, in the context of bachelor places; and (2) bachelor and sub-bachelor places for all higher education institutions. </w:t>
      </w:r>
    </w:p>
    <w:p w14:paraId="6F42AC51" w14:textId="0AFAEF65" w:rsidR="00A93544" w:rsidRDefault="00A93544" w:rsidP="00A93544">
      <w:pPr>
        <w:pStyle w:val="BodyText"/>
      </w:pPr>
      <w:r>
        <w:t xml:space="preserve">While this study did not consider the relative cost of higher education </w:t>
      </w:r>
      <w:r w:rsidR="00461021">
        <w:t>teaching and scholarship</w:t>
      </w:r>
      <w:r>
        <w:t xml:space="preserve"> in terms of disciplines, original cost data was collected through a targeted survey of universities and NUHEPs to estimate the difference in efficient cost between providers, and for sub-bachelor places, relative to bachelor places, across both institutions.</w:t>
      </w:r>
      <w:r w:rsidR="00870DFD" w:rsidRPr="00870DFD">
        <w:t xml:space="preserve"> The findings from this study have not been made public, however they have informed and largely validate the findings of the research conducted as part of this current study.</w:t>
      </w:r>
    </w:p>
    <w:p w14:paraId="6BD989E6" w14:textId="57BEB9F3" w:rsidR="00A93544" w:rsidRDefault="00A93544" w:rsidP="00A93544">
      <w:pPr>
        <w:pStyle w:val="BodyText"/>
      </w:pPr>
      <w:r>
        <w:rPr>
          <w:szCs w:val="22"/>
        </w:rPr>
        <w:t>In th</w:t>
      </w:r>
      <w:r w:rsidR="00870DFD">
        <w:rPr>
          <w:szCs w:val="22"/>
        </w:rPr>
        <w:t>e</w:t>
      </w:r>
      <w:r>
        <w:rPr>
          <w:szCs w:val="22"/>
        </w:rPr>
        <w:t xml:space="preserve"> </w:t>
      </w:r>
      <w:r w:rsidR="00870DFD">
        <w:rPr>
          <w:szCs w:val="22"/>
        </w:rPr>
        <w:t xml:space="preserve">2014 </w:t>
      </w:r>
      <w:r>
        <w:rPr>
          <w:szCs w:val="22"/>
        </w:rPr>
        <w:t xml:space="preserve">study, consideration was also given to the role of funding for </w:t>
      </w:r>
      <w:r w:rsidR="00461021">
        <w:rPr>
          <w:szCs w:val="22"/>
        </w:rPr>
        <w:t>teaching and scholarship</w:t>
      </w:r>
      <w:r>
        <w:rPr>
          <w:szCs w:val="22"/>
        </w:rPr>
        <w:t xml:space="preserve"> to support research activity at universities. This study confirmed the finding of Deloitte Access Economics (2011)—and subsequently, </w:t>
      </w:r>
      <w:r>
        <w:t>Norton and Cherastidtham (2015)—that funding provided specifically for the purpose of supporting research activity falls below the attributable cost of that research activity.</w:t>
      </w:r>
    </w:p>
    <w:p w14:paraId="138C1ABE" w14:textId="77777777" w:rsidR="00A93544" w:rsidRPr="009D0D83" w:rsidRDefault="00A93544" w:rsidP="00D55F3F">
      <w:pPr>
        <w:pStyle w:val="BodyText"/>
      </w:pPr>
      <w:r>
        <w:t xml:space="preserve">Importantly however, this study </w:t>
      </w:r>
      <w:r w:rsidR="00870DFD" w:rsidRPr="00870DFD">
        <w:t>also found that the operating surplus from other university activities (in some instances) covers the shortfall between funding and cost for research. This suggests that CGS funding is not necessarily used (universally) to fund research activity.</w:t>
      </w:r>
    </w:p>
    <w:p w14:paraId="00EAAAF1" w14:textId="4AF08B53" w:rsidR="00A93544" w:rsidRDefault="00A93544" w:rsidP="00A93544">
      <w:pPr>
        <w:pStyle w:val="BodyText"/>
      </w:pPr>
      <w:r>
        <w:lastRenderedPageBreak/>
        <w:t xml:space="preserve">Ultimately, this study concluded that an understanding of the policy intent of government, and the subsequent strategic decisions made by universities in response to this intent, plays a critical role in assessing the appropriate universal efficient cost attributable to </w:t>
      </w:r>
      <w:r w:rsidR="00461021">
        <w:t>teaching and scholarship</w:t>
      </w:r>
      <w:r>
        <w:t xml:space="preserve"> activity at Australian universities.</w:t>
      </w:r>
    </w:p>
    <w:p w14:paraId="45AC90B4" w14:textId="77777777" w:rsidR="00A93544" w:rsidRPr="00775B44" w:rsidRDefault="00A93544" w:rsidP="00A93544">
      <w:pPr>
        <w:pStyle w:val="BodyText"/>
      </w:pPr>
      <w:r>
        <w:t>Overall, these studies have provided evidence to suggest that current funding arrangements do not accurately reflect relative costs for delivery, in terms of disciplines, qualification levels and across provider types. While the evidence collected through these studies gives some indication as to the limitations of current funding arrangements, it is neither detailed enough, sufficiently comprehensive, nor appropriately contemporary, to allow for funding policy changes to be made with regard to current funding arrangements</w:t>
      </w:r>
      <w:r w:rsidR="003F4B5C">
        <w:t>.</w:t>
      </w:r>
      <w:r>
        <w:t xml:space="preserve"> </w:t>
      </w:r>
      <w:r w:rsidR="003F4B5C">
        <w:t>F</w:t>
      </w:r>
      <w:r>
        <w:t>urther detailed data collection, careful research and analysis is necessary, and therefore provides further motivation for the evidence collected as part of this study.</w:t>
      </w:r>
    </w:p>
    <w:p w14:paraId="0838293B" w14:textId="77777777" w:rsidR="00A93544" w:rsidRDefault="00A93544" w:rsidP="00FC6060">
      <w:pPr>
        <w:pStyle w:val="Heading2"/>
        <w:tabs>
          <w:tab w:val="clear" w:pos="709"/>
        </w:tabs>
        <w:ind w:left="851" w:hanging="851"/>
      </w:pPr>
      <w:bookmarkStart w:id="162" w:name="_Toc466018138"/>
      <w:bookmarkStart w:id="163" w:name="_Toc469927316"/>
      <w:r w:rsidRPr="00A65BA3">
        <w:t>Trends in higher education delivery</w:t>
      </w:r>
      <w:bookmarkEnd w:id="162"/>
      <w:bookmarkEnd w:id="163"/>
    </w:p>
    <w:p w14:paraId="6D926139" w14:textId="77777777" w:rsidR="00A93544" w:rsidRDefault="00A93544" w:rsidP="00A93544">
      <w:pPr>
        <w:pStyle w:val="Heading3"/>
      </w:pPr>
      <w:r>
        <w:t>Changes in student load</w:t>
      </w:r>
    </w:p>
    <w:p w14:paraId="23A8A8AB" w14:textId="77777777" w:rsidR="00A93544" w:rsidRDefault="00A93544" w:rsidP="00A93544">
      <w:pPr>
        <w:pStyle w:val="BodyText"/>
      </w:pPr>
      <w:r>
        <w:t>Chart 1.1 shows enrolment count by field of education (FOE) by year, from 2011 to 2015.  Management and Commerce is the field with the highest enrolment (370,000 in 2015), while the categories of Mixed Field Studies (11,100 in 2015) and Food Hospitality (600 in 2015) have the lowest enrolment</w:t>
      </w:r>
      <w:r>
        <w:rPr>
          <w:rFonts w:eastAsiaTheme="minorEastAsia"/>
        </w:rPr>
        <w:t>.</w:t>
      </w:r>
      <w:r w:rsidRPr="00E72540">
        <w:t xml:space="preserve"> </w:t>
      </w:r>
      <w:r>
        <w:t>The average annual growth across all FOEs over this period was 3%. Mixed Field Programs (8% growth), Health (6% growth) and Natural Physical Sciences (5% growth), were the FOEs with the highest average annual growth, while Non-award courses (decline of 1%) and Agriculture Environment (0% growth) experienced the lowest average annual growth.  The remaining FOEs tracked at an average annual growth rate within the 2% to 4% range.</w:t>
      </w:r>
    </w:p>
    <w:p w14:paraId="35D918F3" w14:textId="4CCF59CA" w:rsidR="00C65E81" w:rsidRPr="005E15A8" w:rsidRDefault="00C65E81" w:rsidP="00A93544">
      <w:pPr>
        <w:pStyle w:val="BodyText"/>
      </w:pPr>
      <w:r>
        <w:t>Chart 1.2</w:t>
      </w:r>
      <w:r w:rsidRPr="00706E7F">
        <w:t xml:space="preserve"> shows</w:t>
      </w:r>
      <w:r>
        <w:t xml:space="preserve"> changes in student load by jurisdiction</w:t>
      </w:r>
      <w:r w:rsidRPr="00706E7F">
        <w:t>, from the period of 2011 to 201</w:t>
      </w:r>
      <w:r>
        <w:t>5</w:t>
      </w:r>
      <w:r w:rsidRPr="00706E7F">
        <w:t xml:space="preserve">.  </w:t>
      </w:r>
      <w:r>
        <w:t>New South Wales is the State with the highest enrolment (430,000 in 2015) while the Northern Territory had the lowest enrolment numbers (12,000 in 2015). Tasmania (7% growth), Northern Territory (8% growth) and Multi-State institutions (9% growth) saw annual growth percentages higher than average.  The remaining regions had an average annual growth rate within 2% to 4%.</w:t>
      </w:r>
    </w:p>
    <w:p w14:paraId="185B5D66" w14:textId="4F48E098" w:rsidR="00A93544" w:rsidRDefault="00A93544" w:rsidP="00A93544">
      <w:pPr>
        <w:pStyle w:val="CaptionChart"/>
        <w:spacing w:after="120"/>
      </w:pPr>
      <w:bookmarkStart w:id="164" w:name="_Toc469927345"/>
      <w:r>
        <w:lastRenderedPageBreak/>
        <w:t xml:space="preserve">: </w:t>
      </w:r>
      <w:r w:rsidR="00374447">
        <w:t xml:space="preserve">Student enrolments over time, </w:t>
      </w:r>
      <w:r>
        <w:t xml:space="preserve">by field of education </w:t>
      </w:r>
      <w:r w:rsidR="00374447">
        <w:t>(count)</w:t>
      </w:r>
      <w:bookmarkEnd w:id="164"/>
    </w:p>
    <w:p w14:paraId="041ACB27" w14:textId="77777777" w:rsidR="00A93544" w:rsidRDefault="00A93544" w:rsidP="00A93544">
      <w:pPr>
        <w:pStyle w:val="BodyText"/>
        <w:spacing w:before="120"/>
        <w:jc w:val="center"/>
      </w:pPr>
      <w:r>
        <w:rPr>
          <w:noProof/>
          <w:lang w:eastAsia="en-AU"/>
        </w:rPr>
        <w:drawing>
          <wp:inline distT="0" distB="0" distL="0" distR="0" wp14:anchorId="1F22FF04" wp14:editId="1C9DFC38">
            <wp:extent cx="4608899" cy="3482130"/>
            <wp:effectExtent l="0" t="0" r="1270" b="4445"/>
            <wp:docPr id="422" name="Picture 422" descr="Comparisons of 2011 - 2015 enrolment counts by field of education" title="Enrolment counts by Field of Education by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13244" cy="3485412"/>
                    </a:xfrm>
                    <a:prstGeom prst="rect">
                      <a:avLst/>
                    </a:prstGeom>
                    <a:noFill/>
                  </pic:spPr>
                </pic:pic>
              </a:graphicData>
            </a:graphic>
          </wp:inline>
        </w:drawing>
      </w:r>
    </w:p>
    <w:p w14:paraId="12F05A62" w14:textId="77777777" w:rsidR="00A93544" w:rsidRDefault="00A93544" w:rsidP="00A93544">
      <w:pPr>
        <w:pStyle w:val="BodyText"/>
        <w:spacing w:before="0"/>
        <w:ind w:firstLine="567"/>
        <w:jc w:val="left"/>
      </w:pPr>
      <w:r w:rsidRPr="001D5B85">
        <w:rPr>
          <w:sz w:val="18"/>
          <w:szCs w:val="18"/>
        </w:rPr>
        <w:t>Source: Department of Education and Training</w:t>
      </w:r>
    </w:p>
    <w:p w14:paraId="7B78D676" w14:textId="1CC2C613" w:rsidR="00A93544" w:rsidRPr="00FF3854" w:rsidRDefault="00A93544" w:rsidP="00A93544">
      <w:pPr>
        <w:pStyle w:val="CaptionChart"/>
        <w:spacing w:after="120"/>
      </w:pPr>
      <w:bookmarkStart w:id="165" w:name="_Toc469927346"/>
      <w:r>
        <w:t xml:space="preserve">: </w:t>
      </w:r>
      <w:r w:rsidR="00374447">
        <w:t>Student enrolments over time, by state (count)</w:t>
      </w:r>
      <w:bookmarkEnd w:id="165"/>
    </w:p>
    <w:p w14:paraId="65C86367" w14:textId="77777777" w:rsidR="00A93544" w:rsidRDefault="00A93544" w:rsidP="00A93544">
      <w:pPr>
        <w:pStyle w:val="BodyText"/>
        <w:jc w:val="center"/>
      </w:pPr>
      <w:r>
        <w:rPr>
          <w:noProof/>
          <w:lang w:eastAsia="en-AU"/>
        </w:rPr>
        <w:drawing>
          <wp:inline distT="0" distB="0" distL="0" distR="0" wp14:anchorId="73E1B9EC" wp14:editId="35A67AD0">
            <wp:extent cx="4127846" cy="2950409"/>
            <wp:effectExtent l="0" t="0" r="6350" b="2540"/>
            <wp:docPr id="7" name="Picture 7" descr="Comparisons between 2011 - 2015 enrolment counts, for NSW, VIC, QLD, WA, SA, ACT, Multi-state, TAS and NT" title="Enrolment counts by region by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3783"/>
                    <a:stretch/>
                  </pic:blipFill>
                  <pic:spPr bwMode="auto">
                    <a:xfrm>
                      <a:off x="0" y="0"/>
                      <a:ext cx="4136572" cy="2956646"/>
                    </a:xfrm>
                    <a:prstGeom prst="rect">
                      <a:avLst/>
                    </a:prstGeom>
                    <a:noFill/>
                    <a:ln>
                      <a:noFill/>
                    </a:ln>
                    <a:extLst>
                      <a:ext uri="{53640926-AAD7-44D8-BBD7-CCE9431645EC}">
                        <a14:shadowObscured xmlns:a14="http://schemas.microsoft.com/office/drawing/2010/main"/>
                      </a:ext>
                    </a:extLst>
                  </pic:spPr>
                </pic:pic>
              </a:graphicData>
            </a:graphic>
          </wp:inline>
        </w:drawing>
      </w:r>
    </w:p>
    <w:p w14:paraId="539A4E0B" w14:textId="77777777" w:rsidR="00A93544" w:rsidRDefault="00A93544" w:rsidP="00A93544">
      <w:pPr>
        <w:pStyle w:val="BodyText"/>
        <w:spacing w:before="0"/>
        <w:ind w:left="2268"/>
        <w:jc w:val="left"/>
      </w:pPr>
      <w:r>
        <w:rPr>
          <w:sz w:val="18"/>
          <w:szCs w:val="18"/>
        </w:rPr>
        <w:t xml:space="preserve">   </w:t>
      </w:r>
      <w:r w:rsidRPr="001D5B85">
        <w:rPr>
          <w:sz w:val="18"/>
          <w:szCs w:val="18"/>
        </w:rPr>
        <w:t>Source: Department of Education and Training</w:t>
      </w:r>
    </w:p>
    <w:p w14:paraId="61B0DDDA" w14:textId="77777777" w:rsidR="00A93544" w:rsidRDefault="00A93544" w:rsidP="00A93544">
      <w:pPr>
        <w:pStyle w:val="BodyText"/>
      </w:pPr>
      <w:r>
        <w:t>As shown in Chart 1.3, the distribution of students by liability status effectively stayed consistent between 2011 and 2015.  Within the domestic fee-paying students</w:t>
      </w:r>
      <w:r w:rsidR="00515188">
        <w:t>,</w:t>
      </w:r>
      <w:r>
        <w:t xml:space="preserve"> there was a slight increase in the count </w:t>
      </w:r>
      <w:r w:rsidR="00515188">
        <w:t xml:space="preserve">of </w:t>
      </w:r>
      <w:r>
        <w:t xml:space="preserve">FEE-HELP students as well as a slight decrease in the count of full fee paying students. </w:t>
      </w:r>
    </w:p>
    <w:p w14:paraId="593BD693" w14:textId="77777777" w:rsidR="00A93544" w:rsidRDefault="00515188" w:rsidP="00A93544">
      <w:pPr>
        <w:pStyle w:val="CaptionChart"/>
        <w:spacing w:after="120"/>
        <w:rPr>
          <w:noProof/>
          <w:lang w:eastAsia="en-AU"/>
        </w:rPr>
      </w:pPr>
      <w:bookmarkStart w:id="166" w:name="_Toc469927347"/>
      <w:r>
        <w:rPr>
          <w:noProof/>
          <w:lang w:eastAsia="en-AU"/>
        </w:rPr>
        <w:t>:</w:t>
      </w:r>
      <w:r w:rsidR="00A93544">
        <w:rPr>
          <w:noProof/>
          <w:lang w:eastAsia="en-AU"/>
        </w:rPr>
        <w:t xml:space="preserve"> </w:t>
      </w:r>
      <w:r w:rsidR="00E65A41">
        <w:rPr>
          <w:noProof/>
          <w:lang w:eastAsia="en-AU"/>
        </w:rPr>
        <w:t>Share</w:t>
      </w:r>
      <w:r w:rsidR="00A93544">
        <w:rPr>
          <w:noProof/>
          <w:lang w:eastAsia="en-AU"/>
        </w:rPr>
        <w:t xml:space="preserve"> of domestic students by liability status (comparison of 2011 and 2015)</w:t>
      </w:r>
      <w:bookmarkEnd w:id="166"/>
    </w:p>
    <w:p w14:paraId="67A3B232" w14:textId="77777777" w:rsidR="00A93544" w:rsidRDefault="00A93544" w:rsidP="00A93544">
      <w:pPr>
        <w:jc w:val="right"/>
      </w:pPr>
      <w:r>
        <w:rPr>
          <w:noProof/>
          <w:lang w:eastAsia="en-AU"/>
        </w:rPr>
        <w:drawing>
          <wp:inline distT="0" distB="0" distL="0" distR="0" wp14:anchorId="4EC23C94" wp14:editId="7EE9EDB7">
            <wp:extent cx="4899546" cy="2146300"/>
            <wp:effectExtent l="0" t="0" r="0" b="6350"/>
            <wp:docPr id="429" name="Picture 429" descr="Comparison between 2011 and 2015, percentage share of domestic students by liability status" title="Share of domestic students by liability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a:stretch/>
                  </pic:blipFill>
                  <pic:spPr bwMode="auto">
                    <a:xfrm>
                      <a:off x="0" y="0"/>
                      <a:ext cx="4905456" cy="2148889"/>
                    </a:xfrm>
                    <a:prstGeom prst="rect">
                      <a:avLst/>
                    </a:prstGeom>
                    <a:noFill/>
                    <a:ln>
                      <a:noFill/>
                    </a:ln>
                    <a:extLst>
                      <a:ext uri="{53640926-AAD7-44D8-BBD7-CCE9431645EC}">
                        <a14:shadowObscured xmlns:a14="http://schemas.microsoft.com/office/drawing/2010/main"/>
                      </a:ext>
                    </a:extLst>
                  </pic:spPr>
                </pic:pic>
              </a:graphicData>
            </a:graphic>
          </wp:inline>
        </w:drawing>
      </w:r>
    </w:p>
    <w:p w14:paraId="0DF81E7B" w14:textId="77777777" w:rsidR="00A93544" w:rsidRDefault="00A93544" w:rsidP="00A93544">
      <w:pPr>
        <w:ind w:firstLine="567"/>
      </w:pPr>
      <w:r w:rsidRPr="00706E7F">
        <w:rPr>
          <w:sz w:val="18"/>
          <w:szCs w:val="18"/>
        </w:rPr>
        <w:t>Source: Department of Education and Training</w:t>
      </w:r>
    </w:p>
    <w:p w14:paraId="02B600E5" w14:textId="77777777" w:rsidR="00A93544" w:rsidRPr="002319F1" w:rsidRDefault="00A93544" w:rsidP="00A93544">
      <w:pPr>
        <w:pStyle w:val="Heading3"/>
      </w:pPr>
      <w:r>
        <w:t>Mode of delivery</w:t>
      </w:r>
    </w:p>
    <w:p w14:paraId="1B4D0B1D" w14:textId="77777777" w:rsidR="00A93544" w:rsidRDefault="00A93544" w:rsidP="00A93544">
      <w:pPr>
        <w:pStyle w:val="BodyText"/>
      </w:pPr>
      <w:r>
        <w:t xml:space="preserve">The mode of delivery compares enrolment counts of students attending classes on campus (internal) relative to students attending courses online (external). Multi-modal indicates a combination of internal and external. Between 2011 and 2015, the share of internal student enrolments has decreased (from 80% to 75%) while the shares of external and </w:t>
      </w:r>
      <w:r>
        <w:lastRenderedPageBreak/>
        <w:t xml:space="preserve">multi-modal student enrolments has increased (from 13% to 15%, and 7% to 11%, respectively). </w:t>
      </w:r>
    </w:p>
    <w:p w14:paraId="75B01AAC" w14:textId="77777777" w:rsidR="00A93544" w:rsidRDefault="00A93544" w:rsidP="00A93544">
      <w:pPr>
        <w:pStyle w:val="BodyText"/>
      </w:pPr>
      <w:r>
        <w:t>As noted in Chart 1.4, the Northern Territory is the region with the largest percentage of external students (57% in 2015) and multi-modal students (18% in 2015). Between 2011 and 2015, Tasmania saw an increase in the percent of external students; increasing from 17% to 38% of total Tasmanian student enrolment</w:t>
      </w:r>
      <w:r w:rsidR="00515188">
        <w:t>s</w:t>
      </w:r>
      <w:r>
        <w:t>.  While Victoria has the highest percentage of internal students, the percent</w:t>
      </w:r>
      <w:r w:rsidR="00515188">
        <w:t>age</w:t>
      </w:r>
      <w:r>
        <w:t xml:space="preserve"> of internal students decreased from 87% in 2011 to 79% in 2015. </w:t>
      </w:r>
    </w:p>
    <w:p w14:paraId="7FFC1FBB" w14:textId="77777777" w:rsidR="00A93544" w:rsidRDefault="00A93544" w:rsidP="00A93544">
      <w:pPr>
        <w:pStyle w:val="CaptionChart"/>
        <w:spacing w:after="120"/>
        <w:rPr>
          <w:noProof/>
          <w:lang w:eastAsia="en-AU"/>
        </w:rPr>
      </w:pPr>
      <w:bookmarkStart w:id="167" w:name="_Toc469927348"/>
      <w:r>
        <w:rPr>
          <w:noProof/>
          <w:lang w:eastAsia="en-AU"/>
        </w:rPr>
        <w:t>: Share of student enrolments by delivery mode</w:t>
      </w:r>
      <w:bookmarkEnd w:id="167"/>
    </w:p>
    <w:p w14:paraId="065A54D4" w14:textId="77777777" w:rsidR="00A93544" w:rsidRDefault="00A93544" w:rsidP="00A93544">
      <w:pPr>
        <w:jc w:val="center"/>
      </w:pPr>
      <w:r>
        <w:rPr>
          <w:noProof/>
          <w:lang w:eastAsia="en-AU"/>
        </w:rPr>
        <w:drawing>
          <wp:inline distT="0" distB="0" distL="0" distR="0" wp14:anchorId="295322E4" wp14:editId="756E4005">
            <wp:extent cx="4635610" cy="4082379"/>
            <wp:effectExtent l="0" t="0" r="0" b="0"/>
            <wp:docPr id="430" name="Picture 430" descr="Comparisons between 2011 and 2015 percentage of student enrolments by delivery modes in NSW, VIC, QLD, WA, SA, TAS. NT, ACT and Multi-State" title="Share of student enrolments by delivery m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60329" cy="4104148"/>
                    </a:xfrm>
                    <a:prstGeom prst="rect">
                      <a:avLst/>
                    </a:prstGeom>
                    <a:noFill/>
                  </pic:spPr>
                </pic:pic>
              </a:graphicData>
            </a:graphic>
          </wp:inline>
        </w:drawing>
      </w:r>
    </w:p>
    <w:p w14:paraId="52750149" w14:textId="77777777" w:rsidR="00A93544" w:rsidRDefault="00A93544" w:rsidP="00A93544">
      <w:pPr>
        <w:ind w:firstLine="567"/>
        <w:rPr>
          <w:sz w:val="18"/>
          <w:szCs w:val="18"/>
        </w:rPr>
      </w:pPr>
      <w:r w:rsidRPr="00706E7F">
        <w:rPr>
          <w:sz w:val="18"/>
          <w:szCs w:val="18"/>
        </w:rPr>
        <w:t>Source: Department of Education and Training</w:t>
      </w:r>
    </w:p>
    <w:p w14:paraId="6DBF372A" w14:textId="77777777" w:rsidR="00E63E52" w:rsidRDefault="00E63E52" w:rsidP="00E63E52">
      <w:pPr>
        <w:pStyle w:val="Source"/>
        <w:ind w:left="567"/>
      </w:pPr>
      <w:r>
        <w:t>Note: External students’ state location is determined by their university, not where they live. That is, students may live in a different state to where they are studying externally.</w:t>
      </w:r>
    </w:p>
    <w:p w14:paraId="5BB44ACE" w14:textId="77777777" w:rsidR="00A93544" w:rsidRDefault="00A93544" w:rsidP="00A93544">
      <w:pPr>
        <w:pStyle w:val="Heading3"/>
      </w:pPr>
      <w:r>
        <w:t>International student enrolments</w:t>
      </w:r>
    </w:p>
    <w:p w14:paraId="2EA6A71D" w14:textId="77777777" w:rsidR="00A93544" w:rsidRDefault="00A93544" w:rsidP="00A93544">
      <w:pPr>
        <w:pStyle w:val="BodyText"/>
      </w:pPr>
      <w:r>
        <w:t xml:space="preserve">Chart 1.5 shows international student enrolment count by field of education (FOE) by year, from the period of 2011 to 2015.  Management and Commerce is the field with the highest enrolments (180,000 in 2015). Enrolment for Management and Commerce is 4.7 times higher than </w:t>
      </w:r>
      <w:r w:rsidR="00515188">
        <w:t xml:space="preserve">the </w:t>
      </w:r>
      <w:r>
        <w:t>second highest field</w:t>
      </w:r>
      <w:r w:rsidR="00515188">
        <w:t>,</w:t>
      </w:r>
      <w:r>
        <w:t xml:space="preserve"> Engineering and Related Technologies (38,000 in 2015).  The categories of Mixed Field Programs (11,000 in 2015) and Food Hospitality (300 in 2015) have the lowest enrolments</w:t>
      </w:r>
      <w:r>
        <w:rPr>
          <w:rFonts w:eastAsiaTheme="minorEastAsia"/>
        </w:rPr>
        <w:t>.</w:t>
      </w:r>
      <w:r w:rsidRPr="00E72540">
        <w:t xml:space="preserve"> </w:t>
      </w:r>
    </w:p>
    <w:p w14:paraId="4A65DB0D" w14:textId="77777777" w:rsidR="00A93544" w:rsidRPr="005E15A8" w:rsidRDefault="00A93544" w:rsidP="00A93544">
      <w:pPr>
        <w:pStyle w:val="BodyText"/>
      </w:pPr>
      <w:r>
        <w:lastRenderedPageBreak/>
        <w:t>The average year-on-year growth across all FOEs was 2%. Mixed Field Programs (7% growth), Engineering and Related Technologies (7%) and Agriculture Environmental and Related Studies (7% growth), were the FOEs with the highest average annual growth. Creative Arts (decline of 3%), Education (decline of 2%) and Food Hospitality (decline of 11%) were the FOEs with the lowest average annual growth.  The remaining FOEs tracked at an average annual growth rate within 0% to 4%.</w:t>
      </w:r>
    </w:p>
    <w:p w14:paraId="4091618E" w14:textId="77358A56" w:rsidR="00A93544" w:rsidRDefault="00A93544" w:rsidP="00A93544">
      <w:pPr>
        <w:pStyle w:val="CaptionChart"/>
        <w:spacing w:after="120"/>
      </w:pPr>
      <w:bookmarkStart w:id="168" w:name="_Toc469927349"/>
      <w:r>
        <w:t>: International student enrolment counts</w:t>
      </w:r>
      <w:r w:rsidR="00374447">
        <w:t>,</w:t>
      </w:r>
      <w:r>
        <w:t xml:space="preserve"> by field of education </w:t>
      </w:r>
      <w:r w:rsidR="00374447">
        <w:t xml:space="preserve">and </w:t>
      </w:r>
      <w:r>
        <w:t>year</w:t>
      </w:r>
      <w:bookmarkEnd w:id="168"/>
    </w:p>
    <w:p w14:paraId="24586AA4" w14:textId="77777777" w:rsidR="00A93544" w:rsidRDefault="00A93544" w:rsidP="00A93544">
      <w:pPr>
        <w:pStyle w:val="BodyText"/>
        <w:jc w:val="center"/>
      </w:pPr>
      <w:r>
        <w:rPr>
          <w:noProof/>
          <w:lang w:eastAsia="en-AU"/>
        </w:rPr>
        <w:drawing>
          <wp:inline distT="0" distB="0" distL="0" distR="0" wp14:anchorId="219AECB0" wp14:editId="4F76F2EE">
            <wp:extent cx="4361015" cy="4140495"/>
            <wp:effectExtent l="0" t="0" r="1905" b="0"/>
            <wp:docPr id="431" name="Picture 431" descr="Comparisons of 2011 - 2015 international student enrolments by field of education " title="International student enrolment counts by field of education by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64537" cy="4143839"/>
                    </a:xfrm>
                    <a:prstGeom prst="rect">
                      <a:avLst/>
                    </a:prstGeom>
                    <a:noFill/>
                  </pic:spPr>
                </pic:pic>
              </a:graphicData>
            </a:graphic>
          </wp:inline>
        </w:drawing>
      </w:r>
    </w:p>
    <w:p w14:paraId="6EFFD830" w14:textId="77777777" w:rsidR="00A93544" w:rsidRDefault="00A93544" w:rsidP="00A93544">
      <w:pPr>
        <w:pStyle w:val="BodyText"/>
        <w:spacing w:before="0"/>
        <w:ind w:firstLine="567"/>
        <w:jc w:val="left"/>
      </w:pPr>
      <w:r w:rsidRPr="001D5B85">
        <w:rPr>
          <w:sz w:val="18"/>
          <w:szCs w:val="18"/>
        </w:rPr>
        <w:t>Source: Department of Education and Training</w:t>
      </w:r>
    </w:p>
    <w:p w14:paraId="681595A2" w14:textId="77777777" w:rsidR="00A93544" w:rsidRDefault="00A93544" w:rsidP="00A93544"/>
    <w:p w14:paraId="1F1A4CC8" w14:textId="77777777" w:rsidR="00A93544" w:rsidRDefault="00A93544" w:rsidP="00A93544">
      <w:pPr>
        <w:jc w:val="both"/>
      </w:pPr>
      <w:r>
        <w:t>As shown in Chart 1.6, the year over year growth of international student enrolment counts slowed in 2012 (decline of 3%) and 2013 (1% growth), however they increased again in 2014 (6% growth) and 2015 (4% growth).  Between 2011 and 2016, overseas student enrolment fluctuated between 23% to 25% of total student enrolment</w:t>
      </w:r>
      <w:r w:rsidR="00E63E52">
        <w:t>s</w:t>
      </w:r>
      <w:r>
        <w:t xml:space="preserve">. </w:t>
      </w:r>
    </w:p>
    <w:p w14:paraId="4F0061D5" w14:textId="77777777" w:rsidR="00A93544" w:rsidRDefault="00A93544" w:rsidP="00A93544">
      <w:pPr>
        <w:pStyle w:val="CaptionChart"/>
        <w:spacing w:after="120"/>
      </w:pPr>
      <w:bookmarkStart w:id="169" w:name="_Toc469927350"/>
      <w:r>
        <w:lastRenderedPageBreak/>
        <w:t>: Enrolment counts of domestic and overseas students</w:t>
      </w:r>
      <w:bookmarkEnd w:id="169"/>
    </w:p>
    <w:p w14:paraId="5CB605AA" w14:textId="77777777" w:rsidR="00A93544" w:rsidRPr="00061861" w:rsidRDefault="00A93544" w:rsidP="00A93544">
      <w:pPr>
        <w:pStyle w:val="BodyText"/>
      </w:pPr>
      <w:r>
        <w:rPr>
          <w:noProof/>
          <w:lang w:eastAsia="en-AU"/>
        </w:rPr>
        <w:drawing>
          <wp:inline distT="0" distB="0" distL="0" distR="0" wp14:anchorId="215269E2" wp14:editId="6F517EA3">
            <wp:extent cx="4839142" cy="1425308"/>
            <wp:effectExtent l="0" t="0" r="0" b="3810"/>
            <wp:docPr id="433" name="Picture 433" descr="Comparison between 2011 - 2015 enrolment counts of domestic and overseas students" title="Enrolment counts of domestic and overseas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62289" cy="1432126"/>
                    </a:xfrm>
                    <a:prstGeom prst="rect">
                      <a:avLst/>
                    </a:prstGeom>
                    <a:noFill/>
                  </pic:spPr>
                </pic:pic>
              </a:graphicData>
            </a:graphic>
          </wp:inline>
        </w:drawing>
      </w:r>
    </w:p>
    <w:p w14:paraId="4E042A11" w14:textId="77777777" w:rsidR="00A93544" w:rsidRDefault="00A93544" w:rsidP="00A93544">
      <w:pPr>
        <w:rPr>
          <w:sz w:val="18"/>
          <w:szCs w:val="18"/>
        </w:rPr>
      </w:pPr>
      <w:r w:rsidRPr="00706E7F">
        <w:rPr>
          <w:sz w:val="18"/>
          <w:szCs w:val="18"/>
        </w:rPr>
        <w:t>Source: Department of Education and Training</w:t>
      </w:r>
    </w:p>
    <w:p w14:paraId="10CEA9D1" w14:textId="77777777" w:rsidR="00A93544" w:rsidRDefault="00A93544" w:rsidP="00A93544">
      <w:pPr>
        <w:ind w:left="567" w:firstLine="567"/>
        <w:rPr>
          <w:sz w:val="18"/>
          <w:szCs w:val="18"/>
        </w:rPr>
      </w:pPr>
    </w:p>
    <w:p w14:paraId="63557005" w14:textId="77777777" w:rsidR="00A93544" w:rsidRDefault="00A93544" w:rsidP="00A93544">
      <w:pPr>
        <w:pStyle w:val="Heading3"/>
      </w:pPr>
      <w:r>
        <w:t>Key cost escalators</w:t>
      </w:r>
    </w:p>
    <w:p w14:paraId="5FB75964" w14:textId="77777777" w:rsidR="00A93544" w:rsidRDefault="00A93544" w:rsidP="00A93544">
      <w:pPr>
        <w:pStyle w:val="BodyText"/>
      </w:pPr>
      <w:r>
        <w:t xml:space="preserve">As shown in </w:t>
      </w:r>
      <w:r>
        <w:fldChar w:fldCharType="begin"/>
      </w:r>
      <w:r>
        <w:instrText xml:space="preserve"> REF _Ref465956845 \r \h </w:instrText>
      </w:r>
      <w:r>
        <w:fldChar w:fldCharType="separate"/>
      </w:r>
      <w:r w:rsidR="00595C6E">
        <w:t>Chart 1.7</w:t>
      </w:r>
      <w:r>
        <w:fldChar w:fldCharType="end"/>
      </w:r>
      <w:r>
        <w:t xml:space="preserve">, all academic ranks saw a pay increase within the 6% to 8% range between 2014 and 2016. Norton and </w:t>
      </w:r>
      <w:r w:rsidR="007D7A5A">
        <w:t>Cakitaki</w:t>
      </w:r>
      <w:r>
        <w:t xml:space="preserve"> (2016) analysed </w:t>
      </w:r>
      <w:r w:rsidRPr="00A86EF9">
        <w:t>enterprise bargaining agreements</w:t>
      </w:r>
      <w:r w:rsidRPr="00B673FC">
        <w:rPr>
          <w:color w:val="002776"/>
        </w:rPr>
        <w:t xml:space="preserve"> </w:t>
      </w:r>
      <w:r>
        <w:t xml:space="preserve">(EBAs) and found that the majority of individuals undertaking academic work did so on a fixed-term or casual contract, despite those EBAs restricting the use of fixed-term contracts. In 2013, 35% of the total of full-time equivalent academic staff were on a fixed-term contract and this increased to 40% in 2015.  </w:t>
      </w:r>
    </w:p>
    <w:p w14:paraId="17ED288C" w14:textId="77777777" w:rsidR="00A93544" w:rsidRDefault="00515188" w:rsidP="00A93544">
      <w:pPr>
        <w:pStyle w:val="CaptionChart"/>
        <w:spacing w:after="120"/>
      </w:pPr>
      <w:bookmarkStart w:id="170" w:name="_Toc469927351"/>
      <w:r>
        <w:t>:</w:t>
      </w:r>
      <w:r w:rsidR="00A93544">
        <w:t xml:space="preserve"> </w:t>
      </w:r>
      <w:bookmarkStart w:id="171" w:name="_Ref465956845"/>
      <w:r w:rsidR="00A93544">
        <w:t>Academic pay ranges</w:t>
      </w:r>
      <w:bookmarkEnd w:id="170"/>
      <w:bookmarkEnd w:id="171"/>
      <w:r w:rsidR="00A93544">
        <w:t xml:space="preserve"> </w:t>
      </w:r>
    </w:p>
    <w:p w14:paraId="003946D3" w14:textId="77777777" w:rsidR="00A93544" w:rsidRDefault="00A93544" w:rsidP="00A93544">
      <w:pPr>
        <w:pStyle w:val="BodyText"/>
      </w:pPr>
      <w:r>
        <w:rPr>
          <w:noProof/>
          <w:lang w:eastAsia="en-AU"/>
        </w:rPr>
        <w:drawing>
          <wp:inline distT="0" distB="0" distL="0" distR="0" wp14:anchorId="3D3498C8" wp14:editId="25D60F4B">
            <wp:extent cx="5238822" cy="1951355"/>
            <wp:effectExtent l="0" t="0" r="0" b="0"/>
            <wp:docPr id="397" name="Picture 397" descr="Comparison between 2014 and 2016  pay ranges of academics " title="Academic Pay 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49473" cy="1955322"/>
                    </a:xfrm>
                    <a:prstGeom prst="rect">
                      <a:avLst/>
                    </a:prstGeom>
                    <a:noFill/>
                  </pic:spPr>
                </pic:pic>
              </a:graphicData>
            </a:graphic>
          </wp:inline>
        </w:drawing>
      </w:r>
    </w:p>
    <w:p w14:paraId="305EB677" w14:textId="77777777" w:rsidR="00A93544" w:rsidRPr="00114853" w:rsidRDefault="00A93544" w:rsidP="00A93544">
      <w:pPr>
        <w:pStyle w:val="BodyText"/>
        <w:spacing w:before="0"/>
        <w:rPr>
          <w:sz w:val="18"/>
          <w:szCs w:val="18"/>
        </w:rPr>
      </w:pPr>
      <w:r w:rsidRPr="00114853">
        <w:rPr>
          <w:sz w:val="18"/>
          <w:szCs w:val="18"/>
        </w:rPr>
        <w:t xml:space="preserve">Source: </w:t>
      </w:r>
      <w:r>
        <w:rPr>
          <w:sz w:val="18"/>
          <w:szCs w:val="18"/>
        </w:rPr>
        <w:t>Norton</w:t>
      </w:r>
      <w:r w:rsidRPr="00A86EF9">
        <w:rPr>
          <w:sz w:val="18"/>
          <w:szCs w:val="18"/>
        </w:rPr>
        <w:t xml:space="preserve"> and </w:t>
      </w:r>
      <w:r w:rsidR="007D7A5A">
        <w:rPr>
          <w:sz w:val="18"/>
          <w:szCs w:val="18"/>
        </w:rPr>
        <w:t>Cakitaki</w:t>
      </w:r>
      <w:r w:rsidR="007D7A5A" w:rsidRPr="007D7A5A">
        <w:rPr>
          <w:sz w:val="18"/>
          <w:szCs w:val="18"/>
        </w:rPr>
        <w:t xml:space="preserve"> </w:t>
      </w:r>
      <w:r>
        <w:rPr>
          <w:sz w:val="18"/>
          <w:szCs w:val="18"/>
        </w:rPr>
        <w:t>(2</w:t>
      </w:r>
      <w:r w:rsidRPr="00114853">
        <w:rPr>
          <w:sz w:val="18"/>
          <w:szCs w:val="18"/>
        </w:rPr>
        <w:t>016</w:t>
      </w:r>
      <w:r>
        <w:rPr>
          <w:sz w:val="18"/>
          <w:szCs w:val="18"/>
        </w:rPr>
        <w:t>)</w:t>
      </w:r>
    </w:p>
    <w:p w14:paraId="3C8AB458" w14:textId="77777777" w:rsidR="00A93544" w:rsidRDefault="00A93544" w:rsidP="00A93544">
      <w:pPr>
        <w:pStyle w:val="BodyText"/>
      </w:pPr>
      <w:r>
        <w:t xml:space="preserve">The </w:t>
      </w:r>
      <w:r w:rsidRPr="00894395">
        <w:t>student-to-staff ratio</w:t>
      </w:r>
      <w:r>
        <w:t xml:space="preserve"> for Australian higher education has increased by approximately 4.7% on average over the past four years (Chart 1.8). The combined international and domestic student enrolments grew faster than the number of university staff</w:t>
      </w:r>
      <w:r w:rsidR="00515188">
        <w:t>,</w:t>
      </w:r>
      <w:r>
        <w:t xml:space="preserve"> from 11.1 in 2011 to 11.6 in 2014.  Meanwhile university staff on permanent and fixed term contracts have grown from approximately 110,000 in 2011 to 118,000 in 2014. Note, the university staff figures do not include casual employees.</w:t>
      </w:r>
    </w:p>
    <w:p w14:paraId="30357647" w14:textId="77777777" w:rsidR="00A93544" w:rsidRDefault="00A93544" w:rsidP="00A93544">
      <w:pPr>
        <w:pStyle w:val="CaptionChart"/>
        <w:spacing w:after="120"/>
      </w:pPr>
      <w:bookmarkStart w:id="172" w:name="_Ref465953032"/>
      <w:bookmarkStart w:id="173" w:name="_Toc469927352"/>
      <w:r>
        <w:lastRenderedPageBreak/>
        <w:t xml:space="preserve">: Student-to-staff </w:t>
      </w:r>
      <w:r w:rsidR="00515188">
        <w:t>r</w:t>
      </w:r>
      <w:r>
        <w:t>atio</w:t>
      </w:r>
      <w:bookmarkEnd w:id="172"/>
      <w:bookmarkEnd w:id="173"/>
    </w:p>
    <w:p w14:paraId="0E074143" w14:textId="77777777" w:rsidR="00A93544" w:rsidRDefault="00A93544" w:rsidP="00A93544">
      <w:pPr>
        <w:pStyle w:val="BodyText"/>
        <w:spacing w:before="0"/>
        <w:jc w:val="center"/>
      </w:pPr>
      <w:r>
        <w:rPr>
          <w:noProof/>
          <w:lang w:eastAsia="en-AU"/>
        </w:rPr>
        <w:drawing>
          <wp:inline distT="0" distB="0" distL="0" distR="0" wp14:anchorId="20157389" wp14:editId="71FE0697">
            <wp:extent cx="5219700" cy="2169795"/>
            <wp:effectExtent l="0" t="0" r="0" b="1905"/>
            <wp:docPr id="10" name="Picture 10" descr="Comparison between 2011 - 2014 student-to-staff ratios" title="Student-to-staff rat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19700" cy="2169795"/>
                    </a:xfrm>
                    <a:prstGeom prst="rect">
                      <a:avLst/>
                    </a:prstGeom>
                  </pic:spPr>
                </pic:pic>
              </a:graphicData>
            </a:graphic>
          </wp:inline>
        </w:drawing>
      </w:r>
    </w:p>
    <w:p w14:paraId="475F550C" w14:textId="77777777" w:rsidR="00A93544" w:rsidRDefault="00A93544" w:rsidP="00A93544">
      <w:pPr>
        <w:pStyle w:val="Source"/>
        <w:spacing w:before="120"/>
      </w:pPr>
      <w:r>
        <w:t xml:space="preserve">Source: </w:t>
      </w:r>
      <w:r>
        <w:rPr>
          <w:szCs w:val="18"/>
        </w:rPr>
        <w:t>Norton</w:t>
      </w:r>
      <w:r w:rsidRPr="00A86EF9">
        <w:rPr>
          <w:szCs w:val="18"/>
        </w:rPr>
        <w:t xml:space="preserve"> and </w:t>
      </w:r>
      <w:r w:rsidR="007D7A5A" w:rsidRPr="007D7A5A">
        <w:rPr>
          <w:szCs w:val="18"/>
        </w:rPr>
        <w:t>Cakitaki</w:t>
      </w:r>
      <w:r w:rsidR="007D7A5A">
        <w:rPr>
          <w:szCs w:val="18"/>
        </w:rPr>
        <w:t xml:space="preserve"> </w:t>
      </w:r>
      <w:r>
        <w:rPr>
          <w:szCs w:val="18"/>
        </w:rPr>
        <w:t>(2</w:t>
      </w:r>
      <w:r w:rsidRPr="00114853">
        <w:rPr>
          <w:szCs w:val="18"/>
        </w:rPr>
        <w:t>016</w:t>
      </w:r>
      <w:r>
        <w:rPr>
          <w:szCs w:val="18"/>
        </w:rPr>
        <w:t>)</w:t>
      </w:r>
    </w:p>
    <w:p w14:paraId="71804E63" w14:textId="77777777" w:rsidR="00A93544" w:rsidRDefault="00A93544" w:rsidP="00A93544">
      <w:pPr>
        <w:spacing w:before="240"/>
        <w:jc w:val="both"/>
      </w:pPr>
      <w:bookmarkStart w:id="174" w:name="_MailEndCompose"/>
      <w:r>
        <w:t xml:space="preserve">Between 2009 and 2013, there was a 25% increase in the number of full time students in health related courses (Bowles et al, 2014).  This increase in students has created an </w:t>
      </w:r>
      <w:r w:rsidRPr="00D96B41">
        <w:t>increased need for clinical placements and their costs</w:t>
      </w:r>
      <w:r>
        <w:t xml:space="preserve">.  At the same time, the National Health Reform Agreement (NHRA) was signed in 2011 which transitioned the public health system for activity based funding (ABF). The result of this transition was to bring increased focus on the costs for clinical placements incurred by the host organisation and invoiced to the higher education provider (Bowles et al, 2014). </w:t>
      </w:r>
    </w:p>
    <w:p w14:paraId="1EF6C2FE" w14:textId="6806AB6A" w:rsidR="00D74DB9" w:rsidRDefault="00A93544" w:rsidP="00B764EC">
      <w:pPr>
        <w:spacing w:before="240"/>
        <w:jc w:val="both"/>
      </w:pPr>
      <w:r>
        <w:t xml:space="preserve">In response to the increasing costs to universities of these clinical placements, some states have developed frameworks to standardise the costs and facilitate </w:t>
      </w:r>
      <w:r w:rsidR="00374447">
        <w:t>m</w:t>
      </w:r>
      <w:r w:rsidR="002D54FD">
        <w:t>anagement</w:t>
      </w:r>
      <w:r>
        <w:t xml:space="preserve"> of placements. Examples include the Victorian Clinical Placement Councils fee schedule (VCTC, 2013) and the Health Practitioners (Queensland Health) Certified Agreement (Bride et al, 2015). </w:t>
      </w:r>
      <w:bookmarkEnd w:id="174"/>
    </w:p>
    <w:p w14:paraId="7BA34490" w14:textId="77777777" w:rsidR="00D74DB9" w:rsidRPr="00113BE9" w:rsidRDefault="00D74DB9" w:rsidP="00D74DB9">
      <w:pPr>
        <w:pStyle w:val="Heading3"/>
      </w:pPr>
      <w:r w:rsidRPr="00113BE9">
        <w:t xml:space="preserve">Benchmarking cost growth </w:t>
      </w:r>
    </w:p>
    <w:p w14:paraId="418A54A7" w14:textId="32D94ACF" w:rsidR="00D74DB9" w:rsidRDefault="00D74DB9" w:rsidP="00D74DB9">
      <w:pPr>
        <w:pStyle w:val="BodyText"/>
      </w:pPr>
      <w:r>
        <w:t xml:space="preserve">Incorporating a robust benchmark of cost growth over time is an important consideration for this study, which seeks to capture a contemporary view of relative costs of higher education at Australian universities based on a survey of data. Drawing on the financial performance data reported by Table A higher education providers to the Australian </w:t>
      </w:r>
      <w:r w:rsidR="00374447">
        <w:t>G</w:t>
      </w:r>
      <w:r>
        <w:t xml:space="preserve">overnment (largely comprising Australian public universities), </w:t>
      </w:r>
      <w:r w:rsidR="001F0E0A">
        <w:t xml:space="preserve">an </w:t>
      </w:r>
      <w:r>
        <w:t>analysis of gro</w:t>
      </w:r>
      <w:r w:rsidR="001F0E0A">
        <w:t>wth in costs for universities has been undertaken</w:t>
      </w:r>
      <w:r>
        <w:t xml:space="preserve">. This is </w:t>
      </w:r>
      <w:r w:rsidR="001F0E0A">
        <w:t xml:space="preserve">an instructive </w:t>
      </w:r>
      <w:r>
        <w:t xml:space="preserve">point of reference, given these </w:t>
      </w:r>
      <w:r w:rsidR="004953EE">
        <w:t>data are sourced directly from audited accounts, and so are highly credible.</w:t>
      </w:r>
    </w:p>
    <w:p w14:paraId="72DE6CBF" w14:textId="77777777" w:rsidR="00D74DB9" w:rsidRDefault="00D74DB9" w:rsidP="00D74DB9">
      <w:pPr>
        <w:pStyle w:val="BodyText"/>
      </w:pPr>
      <w:r>
        <w:t>In 2015, the total</w:t>
      </w:r>
      <w:r w:rsidR="004953EE" w:rsidRPr="004953EE">
        <w:t xml:space="preserve"> </w:t>
      </w:r>
      <w:r>
        <w:t>expenditure of Australia’s public universities was around $26.4 billion</w:t>
      </w:r>
      <w:r w:rsidR="004953EE" w:rsidRPr="004953EE">
        <w:rPr>
          <w:b/>
        </w:rPr>
        <w:t xml:space="preserve"> </w:t>
      </w:r>
      <w:r w:rsidR="004953EE" w:rsidRPr="00D55F3F">
        <w:t>including all research and commercial costs</w:t>
      </w:r>
      <w:r w:rsidRPr="006F4316">
        <w:t>,</w:t>
      </w:r>
      <w:r>
        <w:t xml:space="preserve"> representing a 35% increase (around 7% annually) from 2010 levels. Total operating revenue in 2015 was recorded at just over $28.1 billion, up 31% in absolute terms from 2010 (</w:t>
      </w:r>
      <w:r w:rsidR="001F0E0A">
        <w:t>around 6% annually</w:t>
      </w:r>
      <w:r>
        <w:t>).</w:t>
      </w:r>
    </w:p>
    <w:p w14:paraId="59FED2AC" w14:textId="77777777" w:rsidR="00D74DB9" w:rsidRDefault="00D74DB9" w:rsidP="00D74DB9">
      <w:pPr>
        <w:pStyle w:val="BodyText"/>
      </w:pPr>
      <w:r>
        <w:t>This increase in total revenue and cost coincided with a 16% increase in total student load (around 3% annually). As such total expenses (costs) in per EFTSL terms grew 16% from 2010 to 2015, while total revenue per EFTSL grew 12%, or around 3% and 2.5% in average annual growth for total costs and revenue, respectively.</w:t>
      </w:r>
      <w:r w:rsidR="004953EE">
        <w:t xml:space="preserve"> It is important to note here that </w:t>
      </w:r>
      <w:r w:rsidR="004953EE">
        <w:lastRenderedPageBreak/>
        <w:t>since costs include all research and commercial operations, these figures are not directly comparable to the data collected from participants presented in Chapter 3.</w:t>
      </w:r>
    </w:p>
    <w:p w14:paraId="1FE4F0EB" w14:textId="77777777" w:rsidR="00D74DB9" w:rsidRDefault="00D74DB9" w:rsidP="00D74DB9">
      <w:pPr>
        <w:pStyle w:val="BodyText"/>
      </w:pPr>
      <w:r>
        <w:t>The difference between total revenue and total costs is the overall net operating result for Australian public universities. In 2015, the total net operating position of these universities was around $1.7 billion, equivalent to 6% of total revenue. This is down from 9% of total revenue in 2010.</w:t>
      </w:r>
    </w:p>
    <w:p w14:paraId="2CFB3872" w14:textId="77777777" w:rsidR="00D74DB9" w:rsidRDefault="00D74DB9" w:rsidP="00D74DB9">
      <w:pPr>
        <w:pStyle w:val="BodyText"/>
      </w:pPr>
      <w:r>
        <w:fldChar w:fldCharType="begin"/>
      </w:r>
      <w:r>
        <w:instrText xml:space="preserve"> REF _Ref468438553 \r \h </w:instrText>
      </w:r>
      <w:r>
        <w:fldChar w:fldCharType="separate"/>
      </w:r>
      <w:r w:rsidR="00595C6E">
        <w:t>Chart 1.9</w:t>
      </w:r>
      <w:r>
        <w:fldChar w:fldCharType="end"/>
      </w:r>
      <w:r>
        <w:t xml:space="preserve"> and </w:t>
      </w:r>
      <w:r>
        <w:fldChar w:fldCharType="begin"/>
      </w:r>
      <w:r>
        <w:instrText xml:space="preserve"> REF _Ref468438554 \r \h </w:instrText>
      </w:r>
      <w:r>
        <w:fldChar w:fldCharType="separate"/>
      </w:r>
      <w:r w:rsidR="00595C6E">
        <w:t>Chart 1.10</w:t>
      </w:r>
      <w:r>
        <w:fldChar w:fldCharType="end"/>
      </w:r>
      <w:r>
        <w:t xml:space="preserve"> below summarise total expenses and revenue at all Australian public universities by category from 2010 to 2015. Employee related expenses represent the largest component of total expenses at universities, with these costs split relatively evenly between academic and non-academic employees. </w:t>
      </w:r>
    </w:p>
    <w:p w14:paraId="3CB1356C" w14:textId="77777777" w:rsidR="00D74DB9" w:rsidRDefault="00D74DB9" w:rsidP="00D74DB9">
      <w:pPr>
        <w:pStyle w:val="BodyText"/>
      </w:pPr>
      <w:r>
        <w:t>Over 60% of total revenue for these universities come from government (predo</w:t>
      </w:r>
      <w:r w:rsidR="004953EE">
        <w:t>minately C</w:t>
      </w:r>
      <w:r>
        <w:t>ommonwealth government), with the next most significant category of income being fees and charges for students, in particular fee paying overseas students (which accounted for around 19% of total revenue in 2015).</w:t>
      </w:r>
    </w:p>
    <w:p w14:paraId="755B3910" w14:textId="77777777" w:rsidR="00D74DB9" w:rsidRDefault="00D74DB9" w:rsidP="00D74DB9">
      <w:pPr>
        <w:pStyle w:val="CaptionChart"/>
      </w:pPr>
      <w:bookmarkStart w:id="175" w:name="_Ref468438553"/>
      <w:bookmarkStart w:id="176" w:name="_Toc469927353"/>
      <w:r>
        <w:t xml:space="preserve">: Total expenses and net operating result for Australian public universities, </w:t>
      </w:r>
      <w:r>
        <w:br/>
        <w:t>by category (2010-2015), $billions</w:t>
      </w:r>
      <w:bookmarkEnd w:id="175"/>
      <w:bookmarkEnd w:id="176"/>
    </w:p>
    <w:p w14:paraId="47A909EE" w14:textId="77777777" w:rsidR="00D74DB9" w:rsidRDefault="00D74DB9" w:rsidP="00D74DB9">
      <w:pPr>
        <w:pStyle w:val="BodyText"/>
        <w:jc w:val="center"/>
      </w:pPr>
      <w:r>
        <w:rPr>
          <w:noProof/>
          <w:lang w:eastAsia="en-AU"/>
        </w:rPr>
        <w:drawing>
          <wp:inline distT="0" distB="0" distL="0" distR="0" wp14:anchorId="394FB50F" wp14:editId="41E1D0FF">
            <wp:extent cx="4654550" cy="2140029"/>
            <wp:effectExtent l="0" t="0" r="0" b="0"/>
            <wp:docPr id="11" name="Picture 11" descr="Comparisons between 2010 - 2015 total expenses and net operating results for Australian public universities" title="Total expenses and net operating result for Australian public univerisities by 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57465" cy="2141369"/>
                    </a:xfrm>
                    <a:prstGeom prst="rect">
                      <a:avLst/>
                    </a:prstGeom>
                    <a:noFill/>
                  </pic:spPr>
                </pic:pic>
              </a:graphicData>
            </a:graphic>
          </wp:inline>
        </w:drawing>
      </w:r>
    </w:p>
    <w:p w14:paraId="3AEED7B0" w14:textId="77777777" w:rsidR="00D74DB9" w:rsidRDefault="00D74DB9" w:rsidP="00D74DB9">
      <w:pPr>
        <w:pStyle w:val="Source"/>
        <w:ind w:firstLine="567"/>
      </w:pPr>
      <w:r>
        <w:t>Source: DET university financial performance data</w:t>
      </w:r>
      <w:r w:rsidR="0049715A">
        <w:t>.</w:t>
      </w:r>
    </w:p>
    <w:p w14:paraId="77D547D0" w14:textId="77777777" w:rsidR="00D74DB9" w:rsidRPr="00267A63" w:rsidRDefault="00D74DB9" w:rsidP="00D74DB9">
      <w:pPr>
        <w:pStyle w:val="CaptionChart"/>
      </w:pPr>
      <w:bookmarkStart w:id="177" w:name="_Ref468438554"/>
      <w:bookmarkStart w:id="178" w:name="_Toc469927354"/>
      <w:r>
        <w:lastRenderedPageBreak/>
        <w:t xml:space="preserve">: Total revenue for Australian public universities, </w:t>
      </w:r>
      <w:r>
        <w:br/>
        <w:t>by category (2010-2015), $billions</w:t>
      </w:r>
      <w:bookmarkEnd w:id="177"/>
      <w:bookmarkEnd w:id="178"/>
    </w:p>
    <w:p w14:paraId="4C30DE56" w14:textId="77777777" w:rsidR="00D74DB9" w:rsidRDefault="00D74DB9" w:rsidP="00D74DB9">
      <w:pPr>
        <w:pStyle w:val="BodyText"/>
        <w:jc w:val="center"/>
      </w:pPr>
      <w:r>
        <w:rPr>
          <w:noProof/>
          <w:lang w:eastAsia="en-AU"/>
        </w:rPr>
        <w:drawing>
          <wp:inline distT="0" distB="0" distL="0" distR="0" wp14:anchorId="0F1BAA98" wp14:editId="336C4889">
            <wp:extent cx="4667250" cy="2461161"/>
            <wp:effectExtent l="0" t="0" r="0" b="0"/>
            <wp:docPr id="16" name="Picture 16" descr="Comparisons between 2010 - 2015 total revenue for Australian public universities " title="Total Revenue for Australian public universities by 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683202" cy="2469573"/>
                    </a:xfrm>
                    <a:prstGeom prst="rect">
                      <a:avLst/>
                    </a:prstGeom>
                    <a:noFill/>
                  </pic:spPr>
                </pic:pic>
              </a:graphicData>
            </a:graphic>
          </wp:inline>
        </w:drawing>
      </w:r>
    </w:p>
    <w:p w14:paraId="09CE791D" w14:textId="77777777" w:rsidR="00D74DB9" w:rsidRDefault="00D74DB9" w:rsidP="00D74DB9">
      <w:pPr>
        <w:pStyle w:val="Source"/>
        <w:ind w:firstLine="567"/>
      </w:pPr>
      <w:r>
        <w:t>Source: DET university financial performance data</w:t>
      </w:r>
      <w:r w:rsidR="0049715A">
        <w:t>.</w:t>
      </w:r>
    </w:p>
    <w:p w14:paraId="51090847" w14:textId="77777777" w:rsidR="00D74DB9" w:rsidRDefault="00D74DB9" w:rsidP="00D74DB9">
      <w:pPr>
        <w:pStyle w:val="BodyText"/>
      </w:pPr>
      <w:r>
        <w:t xml:space="preserve">Expanding on the above data, the key components of growth in cost from 2010 to 2015 can be apportioned between academic and non-academic staff costs, depreciation and amortisation and other expenses, in per EFTSL terms. As shown in </w:t>
      </w:r>
      <w:r>
        <w:fldChar w:fldCharType="begin"/>
      </w:r>
      <w:r>
        <w:instrText xml:space="preserve"> REF _Ref468439079 \r \h </w:instrText>
      </w:r>
      <w:r>
        <w:fldChar w:fldCharType="separate"/>
      </w:r>
      <w:r w:rsidR="00595C6E">
        <w:t>Chart 1.11</w:t>
      </w:r>
      <w:r>
        <w:fldChar w:fldCharType="end"/>
      </w:r>
      <w:r>
        <w:t>, the rate of growth in proportional terms was highest for depreciation and amortisation expenses (illustrative of capital deepening occurring in the sector over this period).</w:t>
      </w:r>
      <w:r>
        <w:rPr>
          <w:rStyle w:val="FootnoteReference"/>
        </w:rPr>
        <w:footnoteReference w:id="7"/>
      </w:r>
      <w:r>
        <w:t xml:space="preserve"> In absolute terms, the largest contributor to cost growth was growth in other expenses, driven in </w:t>
      </w:r>
      <w:r w:rsidR="001F0E0A">
        <w:t>part</w:t>
      </w:r>
      <w:r>
        <w:t xml:space="preserve"> by growth in the cost of grants and scholarships.</w:t>
      </w:r>
    </w:p>
    <w:p w14:paraId="628F7537" w14:textId="77777777" w:rsidR="00D74DB9" w:rsidRDefault="00D74DB9" w:rsidP="00D74DB9">
      <w:pPr>
        <w:pStyle w:val="CaptionChart"/>
      </w:pPr>
      <w:bookmarkStart w:id="179" w:name="_Ref468439079"/>
      <w:bookmarkStart w:id="180" w:name="_Toc469927355"/>
      <w:r>
        <w:lastRenderedPageBreak/>
        <w:t xml:space="preserve">: </w:t>
      </w:r>
      <w:r w:rsidRPr="00EF2309">
        <w:t xml:space="preserve">Average growth </w:t>
      </w:r>
      <w:r>
        <w:t>in expenses per EFTSL (2010-2015</w:t>
      </w:r>
      <w:r w:rsidRPr="00EF2309">
        <w:t>)</w:t>
      </w:r>
      <w:bookmarkEnd w:id="179"/>
      <w:bookmarkEnd w:id="180"/>
    </w:p>
    <w:p w14:paraId="3490AEA0" w14:textId="77777777" w:rsidR="00D74DB9" w:rsidRDefault="002C5F98" w:rsidP="00D74DB9">
      <w:pPr>
        <w:pStyle w:val="BodyText"/>
        <w:jc w:val="center"/>
      </w:pPr>
      <w:r>
        <w:rPr>
          <w:noProof/>
          <w:lang w:eastAsia="en-AU"/>
        </w:rPr>
        <w:drawing>
          <wp:inline distT="0" distB="0" distL="0" distR="0" wp14:anchorId="5C2775E7" wp14:editId="70E2F95B">
            <wp:extent cx="5876925" cy="2709420"/>
            <wp:effectExtent l="0" t="0" r="0" b="0"/>
            <wp:docPr id="17" name="Picture 17" descr="Comparisons between the average growth in expenses per EFTSL from 2010 to 2015, by expense category" title="Average growth in expenses per EFT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93283" cy="2716961"/>
                    </a:xfrm>
                    <a:prstGeom prst="rect">
                      <a:avLst/>
                    </a:prstGeom>
                    <a:noFill/>
                  </pic:spPr>
                </pic:pic>
              </a:graphicData>
            </a:graphic>
          </wp:inline>
        </w:drawing>
      </w:r>
    </w:p>
    <w:p w14:paraId="2D87FC54" w14:textId="77777777" w:rsidR="00D74DB9" w:rsidRDefault="00D74DB9" w:rsidP="00D74DB9">
      <w:pPr>
        <w:pStyle w:val="Source"/>
        <w:ind w:firstLine="567"/>
      </w:pPr>
      <w:r>
        <w:t>Source: DET university financial performance data</w:t>
      </w:r>
      <w:r w:rsidR="0049715A">
        <w:t>.</w:t>
      </w:r>
    </w:p>
    <w:p w14:paraId="613972B4" w14:textId="77777777" w:rsidR="00D74DB9" w:rsidRDefault="00D74DB9" w:rsidP="00D74DB9">
      <w:pPr>
        <w:pStyle w:val="CaptionChart"/>
      </w:pPr>
      <w:bookmarkStart w:id="181" w:name="_Ref468440409"/>
      <w:bookmarkStart w:id="182" w:name="_Toc469927356"/>
      <w:r>
        <w:t xml:space="preserve">: </w:t>
      </w:r>
      <w:r w:rsidRPr="00EF2309">
        <w:t xml:space="preserve">Average growth in </w:t>
      </w:r>
      <w:r>
        <w:t>revenue per EFTSL (2010-2015</w:t>
      </w:r>
      <w:r w:rsidRPr="00EF2309">
        <w:t>)</w:t>
      </w:r>
      <w:bookmarkEnd w:id="181"/>
      <w:bookmarkEnd w:id="182"/>
    </w:p>
    <w:p w14:paraId="73F26085" w14:textId="77777777" w:rsidR="00D74DB9" w:rsidRDefault="002B550F" w:rsidP="00D74DB9">
      <w:pPr>
        <w:pStyle w:val="BodyText"/>
        <w:jc w:val="center"/>
      </w:pPr>
      <w:r>
        <w:rPr>
          <w:noProof/>
          <w:lang w:eastAsia="en-AU"/>
        </w:rPr>
        <w:drawing>
          <wp:inline distT="0" distB="0" distL="0" distR="0" wp14:anchorId="4E84FB1D" wp14:editId="5EA26678">
            <wp:extent cx="5181562" cy="2527578"/>
            <wp:effectExtent l="0" t="0" r="0" b="0"/>
            <wp:docPr id="19" name="Picture 19" descr="Comparisons between the average growth in revenue per EFTSL from 2010 to 2015, by revenue category" title="Average growth in revenue per EFTS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89255" cy="2531331"/>
                    </a:xfrm>
                    <a:prstGeom prst="rect">
                      <a:avLst/>
                    </a:prstGeom>
                    <a:noFill/>
                  </pic:spPr>
                </pic:pic>
              </a:graphicData>
            </a:graphic>
          </wp:inline>
        </w:drawing>
      </w:r>
    </w:p>
    <w:p w14:paraId="346DB532" w14:textId="77777777" w:rsidR="00D74DB9" w:rsidRDefault="00D74DB9" w:rsidP="00D74DB9">
      <w:pPr>
        <w:pStyle w:val="Source"/>
        <w:ind w:firstLine="567"/>
      </w:pPr>
      <w:r>
        <w:t>Source: DET university financial performance data</w:t>
      </w:r>
      <w:r w:rsidR="0049715A">
        <w:t>.</w:t>
      </w:r>
    </w:p>
    <w:p w14:paraId="2BB8D66C" w14:textId="5D486970" w:rsidR="00C65E81" w:rsidRDefault="00C65E81" w:rsidP="00C65E81">
      <w:pPr>
        <w:pStyle w:val="BodyText"/>
      </w:pPr>
      <w:r>
        <w:t xml:space="preserve">A disaggregation of average revenue growth from 2010 to 2015 shows the largest contributors to growth were HELP payments and upfront student contributions, and income from student fees and charges. As shown in </w:t>
      </w:r>
      <w:r>
        <w:fldChar w:fldCharType="begin"/>
      </w:r>
      <w:r>
        <w:instrText xml:space="preserve"> REF _Ref468440409 \r \h </w:instrText>
      </w:r>
      <w:r>
        <w:fldChar w:fldCharType="separate"/>
      </w:r>
      <w:r w:rsidR="00595C6E">
        <w:t>Chart 1.12</w:t>
      </w:r>
      <w:r>
        <w:fldChar w:fldCharType="end"/>
      </w:r>
      <w:r>
        <w:t>, growth in CGS and Other Student Grants was only slightly above the average growth in revenue. Revenue growth from Research Grants was relatively modest over this period, while income from Other Government Grants fell considerably.</w:t>
      </w:r>
    </w:p>
    <w:p w14:paraId="6FCD01C6" w14:textId="77777777" w:rsidR="00D74DB9" w:rsidRDefault="00D74DB9" w:rsidP="00D74DB9">
      <w:pPr>
        <w:pStyle w:val="BodyText"/>
      </w:pPr>
      <w:r>
        <w:t>Overall cost growth can also be split between growth in total E</w:t>
      </w:r>
      <w:r w:rsidR="001F0E0A">
        <w:t>FTSL, and per-EFTSL cost growth (See</w:t>
      </w:r>
      <w:r>
        <w:t xml:space="preserve"> </w:t>
      </w:r>
      <w:r>
        <w:fldChar w:fldCharType="begin"/>
      </w:r>
      <w:r>
        <w:instrText xml:space="preserve"> REF _Ref468441002 \r \h </w:instrText>
      </w:r>
      <w:r>
        <w:fldChar w:fldCharType="separate"/>
      </w:r>
      <w:r w:rsidR="00595C6E">
        <w:t>Chart 1.13</w:t>
      </w:r>
      <w:r>
        <w:fldChar w:fldCharType="end"/>
      </w:r>
      <w:r w:rsidR="001F0E0A">
        <w:t>)</w:t>
      </w:r>
      <w:r>
        <w:t>. In general, across each year, there is an inverse relatio</w:t>
      </w:r>
      <w:r w:rsidR="001F0E0A">
        <w:t>nship between EFTSL growth and c</w:t>
      </w:r>
      <w:r>
        <w:t xml:space="preserve">ost per EFTSL growth, suggesting the presence of fixed (in EFTSL terms) factors of cost growth which lead to scale economies in cost being realised in </w:t>
      </w:r>
      <w:r>
        <w:lastRenderedPageBreak/>
        <w:t xml:space="preserve">years with higher load growth. Among other factors, this may be the result </w:t>
      </w:r>
      <w:r w:rsidR="002B550F">
        <w:t xml:space="preserve">of </w:t>
      </w:r>
      <w:r>
        <w:t xml:space="preserve">relatively fixed staff and employee cost profiles in a given year, </w:t>
      </w:r>
      <w:r w:rsidR="001F0E0A">
        <w:t>indicating</w:t>
      </w:r>
      <w:r>
        <w:t xml:space="preserve"> that cost per EFTSL efficiencies are realised in the form of lower staff to student ratios.</w:t>
      </w:r>
    </w:p>
    <w:p w14:paraId="26C9F521" w14:textId="77777777" w:rsidR="00D74DB9" w:rsidRDefault="00D74DB9" w:rsidP="00D74DB9">
      <w:pPr>
        <w:pStyle w:val="CaptionChart"/>
      </w:pPr>
      <w:bookmarkStart w:id="183" w:name="_Ref468441002"/>
      <w:bookmarkStart w:id="184" w:name="_Toc469927357"/>
      <w:r>
        <w:t>: Cost and EFTSL growth (2010-2015)</w:t>
      </w:r>
      <w:bookmarkEnd w:id="183"/>
      <w:bookmarkEnd w:id="184"/>
    </w:p>
    <w:p w14:paraId="2CCDB18E" w14:textId="77777777" w:rsidR="00D74DB9" w:rsidRDefault="00D74DB9" w:rsidP="00D74DB9">
      <w:pPr>
        <w:pStyle w:val="BodyText"/>
        <w:jc w:val="center"/>
      </w:pPr>
      <w:r>
        <w:rPr>
          <w:noProof/>
          <w:lang w:eastAsia="en-AU"/>
        </w:rPr>
        <w:drawing>
          <wp:inline distT="0" distB="0" distL="0" distR="0" wp14:anchorId="1741E8C1" wp14:editId="568B01D0">
            <wp:extent cx="3359150" cy="2603500"/>
            <wp:effectExtent l="0" t="0" r="0" b="0"/>
            <wp:docPr id="22" name="Picture 22" descr="Comparisons between 2011 - 2015 EFTSL growth and Cost per EFTSL growth " title="Cost and EFTSL 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59150" cy="2603500"/>
                    </a:xfrm>
                    <a:prstGeom prst="rect">
                      <a:avLst/>
                    </a:prstGeom>
                    <a:noFill/>
                  </pic:spPr>
                </pic:pic>
              </a:graphicData>
            </a:graphic>
          </wp:inline>
        </w:drawing>
      </w:r>
    </w:p>
    <w:p w14:paraId="6A2161C3" w14:textId="77777777" w:rsidR="002B550F" w:rsidRDefault="002B550F" w:rsidP="00D55F3F">
      <w:pPr>
        <w:pStyle w:val="Source"/>
        <w:ind w:left="1134" w:firstLine="567"/>
      </w:pPr>
      <w:r>
        <w:t>Source: DET university financial performance data</w:t>
      </w:r>
      <w:r w:rsidR="0049715A">
        <w:t>.</w:t>
      </w:r>
    </w:p>
    <w:p w14:paraId="1DB05321" w14:textId="77777777" w:rsidR="001F0E0A" w:rsidRDefault="001F0E0A" w:rsidP="00D55F3F">
      <w:pPr>
        <w:pStyle w:val="BodyText"/>
      </w:pPr>
      <w:r>
        <w:fldChar w:fldCharType="begin"/>
      </w:r>
      <w:r>
        <w:instrText xml:space="preserve"> REF _Ref468441403 \r \h </w:instrText>
      </w:r>
      <w:r>
        <w:fldChar w:fldCharType="separate"/>
      </w:r>
      <w:r w:rsidR="00595C6E">
        <w:t>Chart 1.14</w:t>
      </w:r>
      <w:r>
        <w:fldChar w:fldCharType="end"/>
      </w:r>
      <w:r>
        <w:t xml:space="preserve"> below similarly breaks down cost growth between growth in total staff (FTE) numbers, and average costs per FTE. A broadly inverse relationship between EFTSL growth and FTE growth (on a year by year basis) is apparent over this period. This may further explain the variations in cost per EFTSL growth observed over this period. </w:t>
      </w:r>
    </w:p>
    <w:p w14:paraId="1071D1F0" w14:textId="77777777" w:rsidR="00D74DB9" w:rsidRDefault="00D74DB9" w:rsidP="00D74DB9">
      <w:pPr>
        <w:pStyle w:val="CaptionChart"/>
      </w:pPr>
      <w:bookmarkStart w:id="185" w:name="_Ref468441403"/>
      <w:bookmarkStart w:id="186" w:name="_Toc469927358"/>
      <w:r>
        <w:t>: Cost and FTE growth (2010-2015)</w:t>
      </w:r>
      <w:bookmarkEnd w:id="185"/>
      <w:bookmarkEnd w:id="186"/>
    </w:p>
    <w:p w14:paraId="798F9975" w14:textId="77777777" w:rsidR="00D74DB9" w:rsidRDefault="00D74DB9" w:rsidP="00D74DB9">
      <w:pPr>
        <w:pStyle w:val="BodyText"/>
        <w:jc w:val="center"/>
      </w:pPr>
      <w:r>
        <w:rPr>
          <w:noProof/>
          <w:lang w:eastAsia="en-AU"/>
        </w:rPr>
        <w:drawing>
          <wp:inline distT="0" distB="0" distL="0" distR="0" wp14:anchorId="2DD17044" wp14:editId="40C88B5F">
            <wp:extent cx="3359150" cy="2603500"/>
            <wp:effectExtent l="0" t="0" r="0" b="0"/>
            <wp:docPr id="23" name="Picture 23" descr="Comparisons between 2011 - 2015 FTE growth and Cost per FTE growth" title="Cost and FTE 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359150" cy="2603500"/>
                    </a:xfrm>
                    <a:prstGeom prst="rect">
                      <a:avLst/>
                    </a:prstGeom>
                    <a:noFill/>
                  </pic:spPr>
                </pic:pic>
              </a:graphicData>
            </a:graphic>
          </wp:inline>
        </w:drawing>
      </w:r>
    </w:p>
    <w:p w14:paraId="14FF2354" w14:textId="77777777" w:rsidR="002B550F" w:rsidRDefault="002B550F" w:rsidP="00D55F3F">
      <w:pPr>
        <w:pStyle w:val="Source"/>
        <w:ind w:left="1134" w:firstLine="567"/>
      </w:pPr>
      <w:r>
        <w:t>Source: DET university financial performance data</w:t>
      </w:r>
      <w:r w:rsidR="0049715A">
        <w:t>.</w:t>
      </w:r>
    </w:p>
    <w:p w14:paraId="1AFB10E1" w14:textId="77777777" w:rsidR="00861112" w:rsidRDefault="00D74DB9" w:rsidP="00D74DB9">
      <w:pPr>
        <w:pStyle w:val="BodyText"/>
      </w:pPr>
      <w:r>
        <w:t xml:space="preserve">The above chart shows that average growth in cost per FTE has been relatively stable over this period (ranging between 3.1% and 4.6%). This growth also exceeds the average overall </w:t>
      </w:r>
      <w:r>
        <w:lastRenderedPageBreak/>
        <w:t xml:space="preserve">annual increase in costs (and revenue) per EFTSL over this period. Critically, at an aggregate level, increases in per FTE costs have been offset by growing student load, which have allowed universities to maintain a stable financial position despite relatively moderate revenue growth. </w:t>
      </w:r>
      <w:r w:rsidR="00861112">
        <w:t>It is important to note that these cost per FTE fluctuations may reflect compositional changes in staff mix, between casual and academic, and research and teaching staff.</w:t>
      </w:r>
    </w:p>
    <w:p w14:paraId="2CC34688" w14:textId="77777777" w:rsidR="00D74DB9" w:rsidRDefault="00D74DB9" w:rsidP="00D74DB9">
      <w:pPr>
        <w:pStyle w:val="BodyText"/>
      </w:pPr>
      <w:r>
        <w:t>To further illustrate this point, over the period 2010-2015, average employee costs per EFTSL grew by 15%, or around 3% annually. This was despite total employee costs growing by around 7% annually over this same period.</w:t>
      </w:r>
    </w:p>
    <w:p w14:paraId="5A758B1F" w14:textId="77777777" w:rsidR="00D74DB9" w:rsidRDefault="00D74DB9" w:rsidP="00D74DB9">
      <w:pPr>
        <w:pStyle w:val="BodyText"/>
      </w:pPr>
      <w:r>
        <w:t>Employee cost per EFTSL can be decomposed into changes in average staff costs and the ratio of staff to students. Between 2010 and 2015, average costs per staff member (academic and non-academic) grew by 3.7% annually, while staff to student ratios (total FTE per EFTSL) fell by 0.7% annually, resulting in the total employee costs per EFTSL growing at 3% annually.</w:t>
      </w:r>
    </w:p>
    <w:p w14:paraId="6A671B8C" w14:textId="77777777" w:rsidR="00D74DB9" w:rsidRDefault="00D74DB9" w:rsidP="00D74DB9">
      <w:pPr>
        <w:pStyle w:val="BodyText"/>
      </w:pPr>
      <w:r>
        <w:t>By way of illustration, assuming that the staff to student ratios had remained unchanged since 2015, at current average costs and EFTSL levels, total costs from 2010 to 2015 would have increased by almost 38%, equating to an additional $500 million over this five year period.</w:t>
      </w:r>
    </w:p>
    <w:p w14:paraId="1098AA4C" w14:textId="06DCA99B" w:rsidR="00D74DB9" w:rsidRPr="00D74DB9" w:rsidRDefault="00D74DB9" w:rsidP="00D55F3F">
      <w:pPr>
        <w:pStyle w:val="BodyText"/>
      </w:pPr>
      <w:r>
        <w:t xml:space="preserve">This implies that universities have offset growing costs in employee wages by realising scale efficiencies and lowering the number of staff per EFTSL. While this </w:t>
      </w:r>
      <w:r w:rsidR="001F0E0A">
        <w:t>represents</w:t>
      </w:r>
      <w:r>
        <w:t xml:space="preserve"> prima facie evidence of scale efficiencies in the system resulting in proportionally lower rates of per EFTSL cost growth, it is not clear the extent to which these scale economies can continue to be realised post the implementation of the demand drive</w:t>
      </w:r>
      <w:r w:rsidR="00870DFD">
        <w:t>n</w:t>
      </w:r>
      <w:r>
        <w:t xml:space="preserve"> system, or the impact that change</w:t>
      </w:r>
      <w:r w:rsidR="00AE63E0">
        <w:t xml:space="preserve">s to staff to student ratios </w:t>
      </w:r>
      <w:r w:rsidR="00374447">
        <w:t xml:space="preserve">has </w:t>
      </w:r>
      <w:r>
        <w:t xml:space="preserve">on the quality of </w:t>
      </w:r>
      <w:r w:rsidR="00461021">
        <w:t>teaching and scholarship</w:t>
      </w:r>
      <w:r>
        <w:t xml:space="preserve">, and </w:t>
      </w:r>
      <w:r w:rsidR="00AE63E0">
        <w:t xml:space="preserve">ultimately </w:t>
      </w:r>
      <w:r>
        <w:t>student outcomes. These observations should be considered carefully when making general assessments of cost growth from survey data over the period 2010 to 2015.</w:t>
      </w:r>
    </w:p>
    <w:p w14:paraId="4BC9D051" w14:textId="77777777" w:rsidR="00A93544" w:rsidRDefault="00A93544" w:rsidP="00A93544">
      <w:pPr>
        <w:pStyle w:val="Heading3"/>
      </w:pPr>
      <w:r>
        <w:t>Operations</w:t>
      </w:r>
    </w:p>
    <w:p w14:paraId="1849A1CC" w14:textId="76B90ADE" w:rsidR="00A93544" w:rsidRDefault="00A93544" w:rsidP="00A93544">
      <w:pPr>
        <w:pStyle w:val="BodyText"/>
        <w:spacing w:after="120"/>
      </w:pPr>
      <w:r>
        <w:t xml:space="preserve">The use of </w:t>
      </w:r>
      <w:r w:rsidRPr="00D96B41">
        <w:t xml:space="preserve">Activity Based Costing </w:t>
      </w:r>
      <w:r>
        <w:t>(ABC) accounting systems and models have continued to gain traction in the Australian higher education sector. A number of benefits are associated with Activity Based Costing</w:t>
      </w:r>
      <w:r w:rsidR="00374447">
        <w:t xml:space="preserve"> (Norton and </w:t>
      </w:r>
      <w:r w:rsidR="00374447" w:rsidRPr="00A86EF9">
        <w:rPr>
          <w:szCs w:val="18"/>
        </w:rPr>
        <w:t>Cherastidtham</w:t>
      </w:r>
      <w:r w:rsidR="00374447">
        <w:t>, 2015)</w:t>
      </w:r>
      <w:r>
        <w:t>, including:</w:t>
      </w:r>
    </w:p>
    <w:p w14:paraId="5BD0D7F0" w14:textId="77777777" w:rsidR="00A93544" w:rsidRDefault="00A93544" w:rsidP="00A93544">
      <w:pPr>
        <w:pStyle w:val="Bullet1"/>
      </w:pPr>
      <w:r>
        <w:t>Allowing for more detailed analysis of performance against benchmarks, outcomes and standards as opposed to purely historical expenditure</w:t>
      </w:r>
      <w:r w:rsidR="00515188">
        <w:t>.</w:t>
      </w:r>
      <w:r>
        <w:t xml:space="preserve"> </w:t>
      </w:r>
    </w:p>
    <w:p w14:paraId="75F9014E" w14:textId="77777777" w:rsidR="00A93544" w:rsidRDefault="00A93544" w:rsidP="00A93544">
      <w:pPr>
        <w:pStyle w:val="Bullet1"/>
      </w:pPr>
      <w:r>
        <w:t>Higher education providers can better understand where there are genuine cost differences (for example online versus on-campus delivery, better support of regional campuses and providers with academically disadvantaged students)</w:t>
      </w:r>
      <w:r w:rsidR="00515188">
        <w:t>.</w:t>
      </w:r>
    </w:p>
    <w:p w14:paraId="6CB3F57C" w14:textId="77777777" w:rsidR="00A93544" w:rsidRDefault="00A93544" w:rsidP="00A93544">
      <w:pPr>
        <w:pStyle w:val="Bullet1"/>
      </w:pPr>
      <w:r>
        <w:t xml:space="preserve">Allowing for greater transparency of teaching and research spending (including verification of appropriate use of funding). </w:t>
      </w:r>
    </w:p>
    <w:p w14:paraId="4EDD8278" w14:textId="77777777" w:rsidR="00A93544" w:rsidRDefault="00A93544" w:rsidP="00A93544">
      <w:pPr>
        <w:pStyle w:val="BodyText"/>
        <w:spacing w:before="120"/>
      </w:pPr>
      <w:r>
        <w:t xml:space="preserve">While it is difficult to accurately quantify the number of universities and higher education providers that are currently using Activity Based Costing, higher education providers are broadly moving towards improving their understanding of how their money is used, rather than just tracking current expense categories. </w:t>
      </w:r>
    </w:p>
    <w:p w14:paraId="22E30924" w14:textId="7A58412E" w:rsidR="00A93544" w:rsidRDefault="00A93544" w:rsidP="00A93544">
      <w:pPr>
        <w:pStyle w:val="BodyText"/>
      </w:pPr>
      <w:r>
        <w:lastRenderedPageBreak/>
        <w:t xml:space="preserve">Support function rationalisation and </w:t>
      </w:r>
      <w:r w:rsidRPr="005C2213">
        <w:t>centralisation</w:t>
      </w:r>
      <w:r>
        <w:t xml:space="preserve"> has also been a key theme amongst Australian higher education providers. Much of the impetus for centralisation has been driven by changes to funding, and particularly the 2012 </w:t>
      </w:r>
      <w:r w:rsidR="00374447">
        <w:t>set of reforms</w:t>
      </w:r>
      <w:r>
        <w:t>. The result of this has been greater industry competition and additional cost pressures (Austin, 2015).</w:t>
      </w:r>
    </w:p>
    <w:p w14:paraId="7AE271DB" w14:textId="77777777" w:rsidR="00A93544" w:rsidRDefault="00A93544" w:rsidP="00A93544">
      <w:pPr>
        <w:pStyle w:val="BodyText"/>
      </w:pPr>
      <w:r>
        <w:t xml:space="preserve">Centralisation stems from the recognition that operational efficiencies, synergies and additional value may be unlocked when </w:t>
      </w:r>
      <w:r w:rsidRPr="00A30A54">
        <w:t xml:space="preserve">decisions about the work or common tasks (such as </w:t>
      </w:r>
      <w:r>
        <w:t>financial reporting or</w:t>
      </w:r>
      <w:r w:rsidRPr="00A30A54">
        <w:t xml:space="preserve"> HR activities) are undertaken by</w:t>
      </w:r>
      <w:r>
        <w:t xml:space="preserve"> a ‘central’ division whose primary</w:t>
      </w:r>
      <w:r w:rsidRPr="00A30A54">
        <w:t xml:space="preserve"> role is to perform these tasks</w:t>
      </w:r>
      <w:r>
        <w:t>. The concept of shared services stems from centralisation and is typically categorised by common functions providing services across multiple business units, departments or divisions (Victoria</w:t>
      </w:r>
      <w:r w:rsidR="00374447">
        <w:t>n</w:t>
      </w:r>
      <w:r>
        <w:t xml:space="preserve"> Public Sector Commission, 2015).</w:t>
      </w:r>
    </w:p>
    <w:p w14:paraId="5C36DF36" w14:textId="26C96E49" w:rsidR="00A93544" w:rsidRDefault="00A93544" w:rsidP="00A93544">
      <w:pPr>
        <w:pStyle w:val="BodyText"/>
      </w:pPr>
      <w:r>
        <w:t>There are many recent examples of Australian universities implementing and undergoing shared service transformations. Five years on from first commencing their finance transformation journey, Monash University notes that cost savings through the implementation of shared services</w:t>
      </w:r>
      <w:r w:rsidRPr="003C5F9D">
        <w:t xml:space="preserve"> have </w:t>
      </w:r>
      <w:r w:rsidRPr="000A766A">
        <w:t>seen a</w:t>
      </w:r>
      <w:r w:rsidRPr="003C5F9D">
        <w:t xml:space="preserve"> 20%</w:t>
      </w:r>
      <w:r w:rsidRPr="000A766A">
        <w:t xml:space="preserve"> reduction in </w:t>
      </w:r>
      <w:r>
        <w:t xml:space="preserve">finance function </w:t>
      </w:r>
      <w:r w:rsidRPr="000A766A">
        <w:t>costs as well as an increased internal customer satisfaction rating from 55</w:t>
      </w:r>
      <w:r>
        <w:t>%</w:t>
      </w:r>
      <w:r w:rsidRPr="000A766A">
        <w:t xml:space="preserve"> to 80</w:t>
      </w:r>
      <w:r>
        <w:t>%.</w:t>
      </w:r>
      <w:r w:rsidRPr="000A766A">
        <w:t xml:space="preserve"> </w:t>
      </w:r>
      <w:r>
        <w:t>Whilst finance areas are a common support function that are centralised in higher education, other support functions commonly centralised include</w:t>
      </w:r>
      <w:r w:rsidRPr="001A7762">
        <w:t xml:space="preserve"> H</w:t>
      </w:r>
      <w:r>
        <w:t>uman Resources</w:t>
      </w:r>
      <w:r w:rsidRPr="001A7762">
        <w:t>, IT services, facilities</w:t>
      </w:r>
      <w:r>
        <w:t xml:space="preserve"> and l</w:t>
      </w:r>
      <w:r w:rsidRPr="001A7762">
        <w:t>ogistics</w:t>
      </w:r>
      <w:r>
        <w:t xml:space="preserve"> (Higher Education Services Transformation, 2016).</w:t>
      </w:r>
    </w:p>
    <w:p w14:paraId="401DEFD0" w14:textId="77777777" w:rsidR="00A93544" w:rsidRDefault="00A93544" w:rsidP="00A93544">
      <w:pPr>
        <w:pStyle w:val="Heading3"/>
      </w:pPr>
      <w:r>
        <w:t>Implications for this study</w:t>
      </w:r>
    </w:p>
    <w:p w14:paraId="5785C631" w14:textId="77777777" w:rsidR="00440FDE" w:rsidRDefault="00440FDE" w:rsidP="00440FDE">
      <w:pPr>
        <w:pStyle w:val="BodyText"/>
      </w:pPr>
      <w:r>
        <w:t xml:space="preserve">The higher education system has evolved over time, and will continue to do so into the future. This is driven in part by the changing demands placed on the sector, both by students and the expectations of industry. This has in turn manifested in evolving trends in delivery and pedagogy and the increased use of ICT, among other factors. </w:t>
      </w:r>
    </w:p>
    <w:p w14:paraId="42113884" w14:textId="77777777" w:rsidR="00440FDE" w:rsidRDefault="00440FDE" w:rsidP="00440FDE">
      <w:pPr>
        <w:pStyle w:val="BodyText"/>
      </w:pPr>
      <w:r>
        <w:t>Costs will also be driven by other external trends, such as salary inflation and supply issues associated with placements. Enrolments and the student mix also continue to change over time, and will have implications for the various aspects of support that universities will be called upon to provide.</w:t>
      </w:r>
    </w:p>
    <w:p w14:paraId="29B1FD51" w14:textId="77777777" w:rsidR="00440FDE" w:rsidRDefault="00440FDE" w:rsidP="00440FDE">
      <w:pPr>
        <w:pStyle w:val="BodyText"/>
      </w:pPr>
      <w:r>
        <w:t>These trends mean that a study providing the best current estimates of the costs of higher education is timely. Further, policy decisions based on notions of costs will have implications into the future, meaning that considerations should be based not just on contemporary estimates of costs, but on what current trends may mean for these costs going forward.</w:t>
      </w:r>
    </w:p>
    <w:p w14:paraId="2C4FCC57" w14:textId="77777777" w:rsidR="00440FDE" w:rsidRDefault="00440FDE" w:rsidP="00440FDE">
      <w:pPr>
        <w:pStyle w:val="BodyText"/>
      </w:pPr>
      <w:r>
        <w:t>Finally, the impact of these observable trends on higher education costs will depend on the relative extent to which each factor drives cost at the university or FOE level. A clear understanding of these cost drivers is therefore important in appropriately designing policy that accounts for the impacts these trends may have. A key focus of this report is identifying such drivers and the relative magnitudes of their impacts.</w:t>
      </w:r>
    </w:p>
    <w:p w14:paraId="0C5EFD20" w14:textId="77777777" w:rsidR="00B56412" w:rsidRDefault="00B56412" w:rsidP="00440FDE">
      <w:pPr>
        <w:pStyle w:val="BodyText"/>
      </w:pPr>
    </w:p>
    <w:p w14:paraId="33216E19" w14:textId="77777777" w:rsidR="00A93544" w:rsidRPr="00E1434C" w:rsidRDefault="00A93544" w:rsidP="00A93544">
      <w:pPr>
        <w:pStyle w:val="BodyText"/>
      </w:pPr>
    </w:p>
    <w:p w14:paraId="248974C6" w14:textId="77777777" w:rsidR="00A93544" w:rsidRDefault="00A93544" w:rsidP="00A93544">
      <w:pPr>
        <w:pStyle w:val="Heading1"/>
      </w:pPr>
      <w:bookmarkStart w:id="187" w:name="_Toc466018139"/>
      <w:bookmarkStart w:id="188" w:name="_Toc469927317"/>
      <w:r w:rsidRPr="00A65BA3">
        <w:lastRenderedPageBreak/>
        <w:t>Data compilation and moderation</w:t>
      </w:r>
      <w:bookmarkEnd w:id="187"/>
      <w:bookmarkEnd w:id="188"/>
    </w:p>
    <w:p w14:paraId="4851928A" w14:textId="77777777" w:rsidR="00A228A2" w:rsidRPr="00A228A2" w:rsidRDefault="000F4313" w:rsidP="00FC6060">
      <w:pPr>
        <w:pStyle w:val="BodyText"/>
      </w:pPr>
      <w:r>
        <w:t>This chapter outlines the process taken to collect information from universities, and the composition of the participant group relative to universities overall. It also discusses the process of engagement and data moderation that has occurred to ensure the data set of costs is as robust and consistent as possible.</w:t>
      </w:r>
    </w:p>
    <w:p w14:paraId="7C6FA453" w14:textId="77777777" w:rsidR="00A93544" w:rsidRPr="00A65BA3" w:rsidRDefault="00A93544" w:rsidP="00FC6060">
      <w:pPr>
        <w:pStyle w:val="Heading2"/>
        <w:tabs>
          <w:tab w:val="clear" w:pos="709"/>
        </w:tabs>
        <w:ind w:left="851" w:hanging="851"/>
      </w:pPr>
      <w:bookmarkStart w:id="189" w:name="_Toc466018140"/>
      <w:bookmarkStart w:id="190" w:name="_Toc469927318"/>
      <w:r>
        <w:t>Data collection and sector engagement</w:t>
      </w:r>
      <w:bookmarkEnd w:id="189"/>
      <w:bookmarkEnd w:id="190"/>
    </w:p>
    <w:p w14:paraId="62000F71" w14:textId="77777777" w:rsidR="00A93544" w:rsidRDefault="00A93544" w:rsidP="00A93544">
      <w:pPr>
        <w:pStyle w:val="BodyText"/>
      </w:pPr>
      <w:r>
        <w:t>The primary data used in this study was collected though a Microsoft Excel-based template that allowed universities to input data electronically and subsequently be collated and analysed by Deloitte Access Economics. The costing template was broadly similar to one prepared for the 2011 higher education costing study.</w:t>
      </w:r>
    </w:p>
    <w:p w14:paraId="375D55AA" w14:textId="77777777" w:rsidR="00A93544" w:rsidRDefault="00A93544" w:rsidP="00A93544">
      <w:pPr>
        <w:pStyle w:val="BodyText"/>
      </w:pPr>
      <w:r>
        <w:t xml:space="preserve">The template was emailed to all universities on </w:t>
      </w:r>
      <w:r w:rsidR="00A228A2">
        <w:t>1</w:t>
      </w:r>
      <w:r>
        <w:t xml:space="preserve"> September 2016. A stakeholder reference group was then established by Universities Australia</w:t>
      </w:r>
      <w:r w:rsidR="00E63E52">
        <w:t>, with the participation</w:t>
      </w:r>
      <w:r>
        <w:t xml:space="preserve"> </w:t>
      </w:r>
      <w:r w:rsidR="00E63E52">
        <w:t xml:space="preserve">of </w:t>
      </w:r>
      <w:r>
        <w:t>the Department</w:t>
      </w:r>
      <w:r w:rsidR="00E63E52">
        <w:t>,</w:t>
      </w:r>
      <w:r>
        <w:t xml:space="preserve"> to assist with the coordination and facilitation of the data collection. Deloitte Access Economics was subsequently commissioned to assist with this process, and to analyse the data once submitted.</w:t>
      </w:r>
    </w:p>
    <w:p w14:paraId="12AC3F04" w14:textId="77777777" w:rsidR="00A93544" w:rsidRDefault="00A93544" w:rsidP="00A93544">
      <w:pPr>
        <w:pStyle w:val="BodyText"/>
      </w:pPr>
      <w:r>
        <w:t xml:space="preserve">This section provides an overview of the data collection and the sector engagement process. It provides a brief overview of the data collation and moderation that has been undertaken upon the received data, and further details of the qualitative feedback received through the exercise is provided in </w:t>
      </w:r>
      <w:r w:rsidR="00A228A2">
        <w:t xml:space="preserve">Chapter </w:t>
      </w:r>
      <w:r>
        <w:t>3.2.</w:t>
      </w:r>
    </w:p>
    <w:p w14:paraId="74FA3146" w14:textId="77777777" w:rsidR="00A93544" w:rsidRDefault="00A93544" w:rsidP="00A93544">
      <w:pPr>
        <w:pStyle w:val="HeadingC"/>
      </w:pPr>
      <w:r>
        <w:t>The data collection template</w:t>
      </w:r>
    </w:p>
    <w:p w14:paraId="3D414CCE" w14:textId="77777777" w:rsidR="00A93544" w:rsidRDefault="00A93544" w:rsidP="00A93544">
      <w:pPr>
        <w:pStyle w:val="BodyText"/>
      </w:pPr>
      <w:r>
        <w:t>The data collection template aimed to collect information that would allow the estimation of total teaching and scholarship costs at the university level by field of education. While it would be possible to simply ask universities to provide this final figure, the data template facilitates the estimation by breaking costs by FOE into various subcategories that align to information that universities already collect. This template-based approach also assists in the moderation exercise performed upon receipt of the data, and in ensuring consistency in approach and responses across universities.</w:t>
      </w:r>
    </w:p>
    <w:p w14:paraId="0D2C56C7" w14:textId="77777777" w:rsidR="00A93544" w:rsidRDefault="00A93544" w:rsidP="00A93544">
      <w:pPr>
        <w:pStyle w:val="BodyText"/>
      </w:pPr>
      <w:r>
        <w:t>The template breaks university costs by FOE and level (sub-bachelor, bachelor, and postgraduate) down into the following categories:</w:t>
      </w:r>
    </w:p>
    <w:p w14:paraId="7909BEE5" w14:textId="77777777" w:rsidR="00A93544" w:rsidRDefault="00A93544" w:rsidP="00A93544">
      <w:pPr>
        <w:pStyle w:val="Bullet1"/>
      </w:pPr>
      <w:r>
        <w:t>Budgetary unit level staff costs:</w:t>
      </w:r>
    </w:p>
    <w:p w14:paraId="05ED56A6" w14:textId="77777777" w:rsidR="00A93544" w:rsidRDefault="00A93544" w:rsidP="00A93544">
      <w:pPr>
        <w:pStyle w:val="Bullet2"/>
      </w:pPr>
      <w:r>
        <w:t>Costs and number (FTE) of academic staff</w:t>
      </w:r>
    </w:p>
    <w:p w14:paraId="7D21D0BA" w14:textId="77777777" w:rsidR="00A93544" w:rsidRDefault="00A93544" w:rsidP="00A93544">
      <w:pPr>
        <w:pStyle w:val="Bullet2"/>
      </w:pPr>
      <w:r>
        <w:t>Costs and number of casual academic staff</w:t>
      </w:r>
    </w:p>
    <w:p w14:paraId="15517924" w14:textId="77777777" w:rsidR="00A93544" w:rsidRDefault="00A93544" w:rsidP="00A93544">
      <w:pPr>
        <w:pStyle w:val="Bullet2"/>
      </w:pPr>
      <w:r>
        <w:t>Costs and number of non-academic staff</w:t>
      </w:r>
    </w:p>
    <w:p w14:paraId="71A1206F" w14:textId="77777777" w:rsidR="00A93544" w:rsidRDefault="00A93544" w:rsidP="00A93544">
      <w:pPr>
        <w:pStyle w:val="Bullet1"/>
      </w:pPr>
      <w:r>
        <w:t>Other budgetary unit level costs:</w:t>
      </w:r>
    </w:p>
    <w:p w14:paraId="4D6631AB" w14:textId="77777777" w:rsidR="00A93544" w:rsidRDefault="00A93544" w:rsidP="00A93544">
      <w:pPr>
        <w:pStyle w:val="Bullet2"/>
      </w:pPr>
      <w:r>
        <w:t>Costs of materials, utilities and equipment</w:t>
      </w:r>
    </w:p>
    <w:p w14:paraId="648C43F6" w14:textId="77777777" w:rsidR="00A93544" w:rsidRDefault="00A93544" w:rsidP="00A93544">
      <w:pPr>
        <w:pStyle w:val="Bullet2"/>
      </w:pPr>
      <w:r>
        <w:t>Expenses that relate to laboratory or practicum work</w:t>
      </w:r>
    </w:p>
    <w:p w14:paraId="74182236" w14:textId="77777777" w:rsidR="00A93544" w:rsidRDefault="00A93544" w:rsidP="00A93544">
      <w:pPr>
        <w:pStyle w:val="Bullet2"/>
      </w:pPr>
      <w:r>
        <w:lastRenderedPageBreak/>
        <w:t>Any other budgetary unit level expenses</w:t>
      </w:r>
    </w:p>
    <w:p w14:paraId="5CE55665" w14:textId="1D3AAD03" w:rsidR="00A93544" w:rsidRDefault="00A93544" w:rsidP="00A93544">
      <w:pPr>
        <w:pStyle w:val="Bullet1"/>
      </w:pPr>
      <w:r>
        <w:t>Central (non-budgetary uni</w:t>
      </w:r>
      <w:r w:rsidR="0046042A">
        <w:t>t</w:t>
      </w:r>
      <w:r>
        <w:t xml:space="preserve"> level) costs:</w:t>
      </w:r>
    </w:p>
    <w:p w14:paraId="6530465E" w14:textId="77777777" w:rsidR="00A93544" w:rsidRDefault="00A93544" w:rsidP="00A93544">
      <w:pPr>
        <w:pStyle w:val="Bullet2"/>
      </w:pPr>
      <w:r>
        <w:t>Costs and number of central administration staff</w:t>
      </w:r>
    </w:p>
    <w:p w14:paraId="080870A6" w14:textId="77777777" w:rsidR="00A93544" w:rsidRDefault="00A93544" w:rsidP="00A93544">
      <w:pPr>
        <w:pStyle w:val="Bullet2"/>
      </w:pPr>
      <w:r>
        <w:t>Other costs, including depreciation, repairs or borrowing costs</w:t>
      </w:r>
      <w:r w:rsidR="001A25AF">
        <w:t>.</w:t>
      </w:r>
    </w:p>
    <w:p w14:paraId="46D64461" w14:textId="77777777" w:rsidR="00A93544" w:rsidRDefault="00A93544" w:rsidP="00A93544">
      <w:pPr>
        <w:pStyle w:val="BodyText"/>
      </w:pPr>
      <w:r>
        <w:t>Universities differ according to the extent to which various functions are undertaken (and expensed) centrally or at the budgetary unit level. Some reported a wide range of functions, including finance, human resources, IT, and marketing all occurring at the central level, while at other universities these were primarily devolved to the faculty level. Although this will change the split of costs for each FOE that are attributed to the faculty or central level, the total cost for each FOE should in principle be largely independent of the degree of centralisation relative to faculty localisation. In practice the attribution of central costs to FOEs may be based on a different approach to the attribution of budgetary unit level costs, meaning that this may drive some differences in reported costs.</w:t>
      </w:r>
    </w:p>
    <w:p w14:paraId="250A204C" w14:textId="77777777" w:rsidR="00A93544" w:rsidRDefault="00A93544" w:rsidP="00A93544">
      <w:pPr>
        <w:pStyle w:val="BodyText"/>
      </w:pPr>
      <w:r>
        <w:t>The exercise seeks to isolate the cost of teaching and scholarship, separately from other university activities. Partly because scholarship is difficult to define or attribute costs to, universities were directed as to which costs to exclude from this calculation. These exclusions were:</w:t>
      </w:r>
    </w:p>
    <w:p w14:paraId="1085BC09" w14:textId="77777777" w:rsidR="00A93544" w:rsidRDefault="0049715A" w:rsidP="00A93544">
      <w:pPr>
        <w:pStyle w:val="Bullet1"/>
      </w:pPr>
      <w:r>
        <w:t>r</w:t>
      </w:r>
      <w:r w:rsidR="00A93544">
        <w:t>esearch activities</w:t>
      </w:r>
      <w:r>
        <w:t>;</w:t>
      </w:r>
    </w:p>
    <w:p w14:paraId="758B5020" w14:textId="77777777" w:rsidR="00A93544" w:rsidRDefault="0049715A" w:rsidP="00A93544">
      <w:pPr>
        <w:pStyle w:val="Bullet1"/>
      </w:pPr>
      <w:r>
        <w:t>r</w:t>
      </w:r>
      <w:r w:rsidR="00A93544">
        <w:t>esearch training</w:t>
      </w:r>
      <w:r>
        <w:t>;</w:t>
      </w:r>
    </w:p>
    <w:p w14:paraId="7C8DD7ED" w14:textId="77777777" w:rsidR="00A93544" w:rsidRDefault="0049715A" w:rsidP="00A93544">
      <w:pPr>
        <w:pStyle w:val="Bullet1"/>
      </w:pPr>
      <w:r>
        <w:t>o</w:t>
      </w:r>
      <w:r w:rsidR="00A93544">
        <w:t>ffshore activities</w:t>
      </w:r>
      <w:r>
        <w:t>; and</w:t>
      </w:r>
    </w:p>
    <w:p w14:paraId="68A1AC7C" w14:textId="77777777" w:rsidR="00A93544" w:rsidRDefault="0049715A" w:rsidP="00A93544">
      <w:pPr>
        <w:pStyle w:val="Bullet1"/>
      </w:pPr>
      <w:r>
        <w:t>c</w:t>
      </w:r>
      <w:r w:rsidR="00A93544">
        <w:t>ommercial activities (such as student accommodation).</w:t>
      </w:r>
    </w:p>
    <w:p w14:paraId="1D6307F6" w14:textId="77777777" w:rsidR="00A93544" w:rsidRDefault="00A93544" w:rsidP="00A93544">
      <w:pPr>
        <w:pStyle w:val="BodyText"/>
      </w:pPr>
      <w:r>
        <w:t xml:space="preserve">While offshore and commercial activities are relatively simple to exclude from the data, the intrinsic links between research and teaching activities made the separation of the costs associated with each difficult. This reflects in part that research undertaken by academics flows into teaching, and partly due to the lack of accurate time-sheeting to reveal the proportion of time spent on teaching relative to research. This, and other issues identified in the completion of the template, are discussed further in </w:t>
      </w:r>
      <w:r w:rsidR="001A25AF">
        <w:t>Chapter</w:t>
      </w:r>
      <w:r>
        <w:t xml:space="preserve"> 3.2.</w:t>
      </w:r>
    </w:p>
    <w:p w14:paraId="7B3525F4" w14:textId="77777777" w:rsidR="00A93544" w:rsidRDefault="00A93544" w:rsidP="00A93544">
      <w:pPr>
        <w:pStyle w:val="BodyText"/>
      </w:pPr>
      <w:r>
        <w:t>Universities used various approaches to divide non-salary costs across the different FOEs. The approaches tended to be based on the drivers that were judged to be most appropriate for each cost category. Some of the common drivers used included:</w:t>
      </w:r>
    </w:p>
    <w:p w14:paraId="40FE0DAF" w14:textId="77777777" w:rsidR="00A93544" w:rsidRDefault="0049715A" w:rsidP="00A93544">
      <w:pPr>
        <w:pStyle w:val="Bullet1"/>
      </w:pPr>
      <w:r>
        <w:t>f</w:t>
      </w:r>
      <w:r w:rsidR="00A93544">
        <w:t>loor space – used to apportion building (depreciation or maintenance) costs across FOEs</w:t>
      </w:r>
      <w:r>
        <w:t>;</w:t>
      </w:r>
    </w:p>
    <w:p w14:paraId="6D5FB8C8" w14:textId="77777777" w:rsidR="00A93544" w:rsidRDefault="00A93544" w:rsidP="00A93544">
      <w:pPr>
        <w:pStyle w:val="Bullet1"/>
      </w:pPr>
      <w:r>
        <w:t>FTEs – used to apportion staff support services (such as a university’s finance function)</w:t>
      </w:r>
      <w:r w:rsidR="0049715A">
        <w:t>;</w:t>
      </w:r>
    </w:p>
    <w:p w14:paraId="0C40B211" w14:textId="77777777" w:rsidR="00A93544" w:rsidRDefault="0049715A" w:rsidP="00A93544">
      <w:pPr>
        <w:pStyle w:val="Bullet1"/>
      </w:pPr>
      <w:r>
        <w:t>E</w:t>
      </w:r>
      <w:r w:rsidR="00A93544">
        <w:t>FTSL – used to apportion non-salary costs driven by students (such as student support services)</w:t>
      </w:r>
      <w:r>
        <w:t>; and</w:t>
      </w:r>
    </w:p>
    <w:p w14:paraId="28FBEEC0" w14:textId="77777777" w:rsidR="00A93544" w:rsidRDefault="0049715A" w:rsidP="00A93544">
      <w:pPr>
        <w:pStyle w:val="Bullet1"/>
      </w:pPr>
      <w:r>
        <w:t>e</w:t>
      </w:r>
      <w:r w:rsidR="00A93544">
        <w:t>nrolment headcount – used to apportion those costs driven by student numbers rather than load intensity (such as IT or enrolment costs)</w:t>
      </w:r>
      <w:r>
        <w:t>.</w:t>
      </w:r>
    </w:p>
    <w:p w14:paraId="6402F48B" w14:textId="77777777" w:rsidR="00A93544" w:rsidRDefault="00A93544" w:rsidP="00A93544">
      <w:pPr>
        <w:pStyle w:val="BodyText"/>
      </w:pPr>
      <w:r>
        <w:t xml:space="preserve">The template also included various cells aimed at reconciling the cost information provided against separate data provided to the Department as part of other data collection </w:t>
      </w:r>
      <w:r>
        <w:lastRenderedPageBreak/>
        <w:t>processes, including HEIMS. This included the number of FTE staff across the organisation, total salary costs (including on-costs) and total expenses from continuing operations</w:t>
      </w:r>
      <w:r>
        <w:rPr>
          <w:rStyle w:val="FootnoteReference"/>
        </w:rPr>
        <w:footnoteReference w:id="8"/>
      </w:r>
      <w:r>
        <w:t xml:space="preserve">. </w:t>
      </w:r>
    </w:p>
    <w:p w14:paraId="606C6C8F" w14:textId="77777777" w:rsidR="00A93544" w:rsidRDefault="00A93544" w:rsidP="00A93544">
      <w:pPr>
        <w:pStyle w:val="BodyText"/>
      </w:pPr>
      <w:r>
        <w:t>The primary results in this report are costs expressed on a per-EFTSL basis as a way of normalising the results across universities, and because Government funding is allocated to universities on this basis for each field of education. The translation of the costs reported in the template to a per-EFTSL amount is a simple calculation and based on student load data provided by the Department for each university.</w:t>
      </w:r>
    </w:p>
    <w:p w14:paraId="3A8D91A7" w14:textId="77777777" w:rsidR="00A93544" w:rsidRDefault="00A93544" w:rsidP="00A93544">
      <w:pPr>
        <w:pStyle w:val="HeadingC"/>
      </w:pPr>
      <w:r>
        <w:t>Sector engagement</w:t>
      </w:r>
    </w:p>
    <w:p w14:paraId="64197621" w14:textId="77777777" w:rsidR="00A93544" w:rsidRDefault="00A93544" w:rsidP="00A93544">
      <w:pPr>
        <w:pStyle w:val="BodyText"/>
      </w:pPr>
      <w:r>
        <w:t xml:space="preserve">Of the 37 universities that were invited to participate in </w:t>
      </w:r>
      <w:r w:rsidR="00E63E52">
        <w:t xml:space="preserve">the data collection exercise, 18 </w:t>
      </w:r>
      <w:r>
        <w:t>chose to participate</w:t>
      </w:r>
      <w:r w:rsidR="00343EF4">
        <w:t>,</w:t>
      </w:r>
      <w:r>
        <w:t xml:space="preserve"> and </w:t>
      </w:r>
      <w:r w:rsidR="00343EF4">
        <w:t xml:space="preserve">17 </w:t>
      </w:r>
      <w:r>
        <w:t>submit</w:t>
      </w:r>
      <w:r w:rsidR="00343EF4">
        <w:t>ted</w:t>
      </w:r>
      <w:r>
        <w:t xml:space="preserve"> a </w:t>
      </w:r>
      <w:r w:rsidR="00343EF4">
        <w:t xml:space="preserve">full </w:t>
      </w:r>
      <w:r>
        <w:t>costing template. To assist with the data collection</w:t>
      </w:r>
      <w:r w:rsidR="001A25AF">
        <w:t>,</w:t>
      </w:r>
      <w:r>
        <w:t xml:space="preserve"> Deloitte Access Economics consulted (face-to-face where possible) with each of the participating universities. The goal of these meetings was to identify and resolve, to the extent possible, any questions that a university had in relation to the process or template.</w:t>
      </w:r>
    </w:p>
    <w:p w14:paraId="3FD5AE40" w14:textId="77777777" w:rsidR="00A93544" w:rsidRDefault="00A93544" w:rsidP="00A93544">
      <w:pPr>
        <w:pStyle w:val="BodyText"/>
      </w:pPr>
      <w:r>
        <w:t>To assist with this process, all universities were emailed a brief consultation paper ahead of the meetings. The paper included a series of discussion questions aimed at drawing out the specific nature of the university and its approach to the data provision. The paper, and the sessions themselves, broadly covered the following areas:</w:t>
      </w:r>
    </w:p>
    <w:p w14:paraId="038A9410" w14:textId="77777777" w:rsidR="00A93544" w:rsidRDefault="0049715A" w:rsidP="00A93544">
      <w:pPr>
        <w:pStyle w:val="Bullet1"/>
      </w:pPr>
      <w:r>
        <w:t>t</w:t>
      </w:r>
      <w:r w:rsidR="00A93544">
        <w:t>he template itself, including: any specific queries on it, the approach used to allocate unit-level and central costs, and any FOE specific factors that were used when apportioning costs across fields</w:t>
      </w:r>
      <w:r>
        <w:t>;</w:t>
      </w:r>
    </w:p>
    <w:p w14:paraId="765ECFE0" w14:textId="77777777" w:rsidR="00A93544" w:rsidRDefault="0049715A" w:rsidP="00A93544">
      <w:pPr>
        <w:pStyle w:val="Bullet1"/>
      </w:pPr>
      <w:r>
        <w:t>u</w:t>
      </w:r>
      <w:r w:rsidR="00A93544">
        <w:t>niversity decision-making in relation to teaching and engagement: whether and how the contribution market of a course affected decision making and whether the current ASCED composition of funding clusters reflects the structure of costs by school or degree at universities</w:t>
      </w:r>
      <w:r>
        <w:t>; and</w:t>
      </w:r>
    </w:p>
    <w:p w14:paraId="2E59A8B5" w14:textId="77777777" w:rsidR="00A93544" w:rsidRDefault="0049715A" w:rsidP="00A93544">
      <w:pPr>
        <w:pStyle w:val="Bullet1"/>
      </w:pPr>
      <w:r>
        <w:t>a</w:t>
      </w:r>
      <w:r w:rsidR="00A93544">
        <w:t>ny other general issues the institutions wished to convey through this exercise, including: issues associated with the use of 2015 as a reference year, and general trends in the sector that may affect costs into the future.</w:t>
      </w:r>
    </w:p>
    <w:p w14:paraId="40A9E39F" w14:textId="77777777" w:rsidR="00A93544" w:rsidRDefault="00A93544" w:rsidP="00A93544">
      <w:pPr>
        <w:pStyle w:val="Bullet1"/>
        <w:numPr>
          <w:ilvl w:val="0"/>
          <w:numId w:val="0"/>
        </w:numPr>
        <w:spacing w:before="240"/>
      </w:pPr>
      <w:r>
        <w:t xml:space="preserve">There was general consistency across universities, both with respect to the approach to completing the costing spreadsheet and with the broader issues or trends identified. Further details of the approach, including identified difficulties in undertaking the exercise and the general themes raised in the consultations, are provided in </w:t>
      </w:r>
      <w:r w:rsidR="001A25AF">
        <w:t>Chapter</w:t>
      </w:r>
      <w:r>
        <w:t xml:space="preserve"> 3.2.</w:t>
      </w:r>
    </w:p>
    <w:p w14:paraId="508E299F" w14:textId="77777777" w:rsidR="00A93544" w:rsidRDefault="00A93544" w:rsidP="00A93544">
      <w:pPr>
        <w:pStyle w:val="Bullet1"/>
        <w:numPr>
          <w:ilvl w:val="0"/>
          <w:numId w:val="0"/>
        </w:numPr>
        <w:spacing w:before="240"/>
      </w:pPr>
      <w:r>
        <w:t>Universities were also provided the opportunity to attach a qualitative statement with their data submission. These statements covered details of the approach taken to completing the spreadsheet, university-specific factors that should be taken into account when using the data provided, as well as the various other qualitative themes identified above. While this submission was not a requirement of participating in the exercise, all participating universities chose to provide a submission.</w:t>
      </w:r>
    </w:p>
    <w:p w14:paraId="78DF90F3" w14:textId="77777777" w:rsidR="000F4313" w:rsidRDefault="000F4313" w:rsidP="00A93544">
      <w:pPr>
        <w:pStyle w:val="Bullet1"/>
        <w:numPr>
          <w:ilvl w:val="0"/>
          <w:numId w:val="0"/>
        </w:numPr>
        <w:spacing w:before="240"/>
      </w:pPr>
      <w:r>
        <w:lastRenderedPageBreak/>
        <w:t xml:space="preserve">Universities were also given an opportunity to review the relevant EFTSL data held by the Department, and provide alternative figures if this was justified. This was ensure that Cost per EFTSL benchmarks were using a consistent basis. </w:t>
      </w:r>
    </w:p>
    <w:p w14:paraId="33C8B277" w14:textId="77777777" w:rsidR="00A93544" w:rsidRDefault="00A93544" w:rsidP="00A93544">
      <w:pPr>
        <w:pStyle w:val="HeadingC"/>
      </w:pPr>
      <w:r>
        <w:t>Data moderation</w:t>
      </w:r>
    </w:p>
    <w:p w14:paraId="35734032" w14:textId="77777777" w:rsidR="00A93544" w:rsidRDefault="00A93544" w:rsidP="00A93544">
      <w:pPr>
        <w:pStyle w:val="BodyText"/>
      </w:pPr>
      <w:r>
        <w:t>A summary of moderation exercise was undertaken for each university upon receipt of the data. The goal of this exercise was to identify:</w:t>
      </w:r>
    </w:p>
    <w:p w14:paraId="21728426" w14:textId="77777777" w:rsidR="00A93544" w:rsidRDefault="0049715A" w:rsidP="00A93544">
      <w:pPr>
        <w:pStyle w:val="Bullet1"/>
      </w:pPr>
      <w:r>
        <w:t>a</w:t>
      </w:r>
      <w:r w:rsidR="00A93544">
        <w:t>ny data entries that indicated an error had been made</w:t>
      </w:r>
      <w:r>
        <w:t>;</w:t>
      </w:r>
    </w:p>
    <w:p w14:paraId="4144724F" w14:textId="77777777" w:rsidR="00A93544" w:rsidRDefault="0049715A" w:rsidP="00A93544">
      <w:pPr>
        <w:pStyle w:val="Bullet1"/>
      </w:pPr>
      <w:r>
        <w:t>a</w:t>
      </w:r>
      <w:r w:rsidR="00A93544">
        <w:t>ny outliers across FOEs or universities that should be further investigated</w:t>
      </w:r>
      <w:r>
        <w:t>; and</w:t>
      </w:r>
    </w:p>
    <w:p w14:paraId="79E205A1" w14:textId="77777777" w:rsidR="00A93544" w:rsidRDefault="0049715A" w:rsidP="00A93544">
      <w:pPr>
        <w:pStyle w:val="Bullet1"/>
      </w:pPr>
      <w:r>
        <w:t>b</w:t>
      </w:r>
      <w:r w:rsidR="00A93544">
        <w:t>road indicators of the results (such as relativities across FOEs, and spreads within FOEs) that may guide the analysis of the data.</w:t>
      </w:r>
    </w:p>
    <w:p w14:paraId="6EFEF5E2" w14:textId="77777777" w:rsidR="00A93544" w:rsidRDefault="00A93544" w:rsidP="00A93544">
      <w:pPr>
        <w:pStyle w:val="BodyText"/>
      </w:pPr>
      <w:r>
        <w:t>The data was assessed for errors using standard data validation techniques. This included identifying any instances of negative costs or cost shares implied by the data, cost shares exceeding 100</w:t>
      </w:r>
      <w:r w:rsidR="001A25AF">
        <w:t>%</w:t>
      </w:r>
      <w:r>
        <w:t>, or salary costs exceeding threshold bounds. Where such issues were identified</w:t>
      </w:r>
      <w:r w:rsidR="001A25AF">
        <w:t>,</w:t>
      </w:r>
      <w:r>
        <w:t xml:space="preserve"> universities were followed up with to resolve the issue. The information provided in the qualitative submissions was also reviewed and used to inform the moderation process.</w:t>
      </w:r>
    </w:p>
    <w:p w14:paraId="462BDDCE" w14:textId="77777777" w:rsidR="00A93544" w:rsidRDefault="00A93544" w:rsidP="00A93544">
      <w:pPr>
        <w:pStyle w:val="Bullet1"/>
        <w:numPr>
          <w:ilvl w:val="0"/>
          <w:numId w:val="0"/>
        </w:numPr>
        <w:spacing w:before="240"/>
      </w:pPr>
      <w:r>
        <w:t xml:space="preserve">Ultimately, following conversations and validation with participants, some costs observations remained outliers. </w:t>
      </w:r>
      <w:r w:rsidR="005B15B7" w:rsidRPr="005B15B7">
        <w:t>Observations that were excluded, included outliers with EFTSL counts of less than one, or costs per EFTSL greater than $100,000 and EFTSL counts less than 10. Additionally, one observation with a cost per EFTSL greater than $300,000 was removed. In total, 58 observations were removed from the sample, across 14 universities and all 19 fields – that is, 4% of the total sample. Notably, 46 of these observations were at the sub-bachelor level.</w:t>
      </w:r>
    </w:p>
    <w:p w14:paraId="1BE907AC" w14:textId="77777777" w:rsidR="00DB6363" w:rsidRDefault="00BA19FB" w:rsidP="00A93544">
      <w:pPr>
        <w:pStyle w:val="Bullet1"/>
        <w:numPr>
          <w:ilvl w:val="0"/>
          <w:numId w:val="0"/>
        </w:numPr>
        <w:spacing w:before="240"/>
      </w:pPr>
      <w:r>
        <w:t xml:space="preserve">Subsequent to this process of excluding ‘global’ outliers, FOE-specific moderation was undertaken for the purposes of presenting descriptive statistics. This involved top-coding and bottom-coding </w:t>
      </w:r>
      <w:r w:rsidR="00DB6363">
        <w:t>any observations that lay outside a range, according to the following rules:</w:t>
      </w:r>
    </w:p>
    <w:p w14:paraId="55D8112C" w14:textId="77777777" w:rsidR="00DB6363" w:rsidRDefault="00DB6363" w:rsidP="004E467C">
      <w:pPr>
        <w:pStyle w:val="Bullet1"/>
      </w:pPr>
      <w:r w:rsidRPr="0046042A">
        <w:rPr>
          <w:b/>
          <w:color w:val="002776" w:themeColor="text2"/>
        </w:rPr>
        <w:t>FOE-specific upward outliers:</w:t>
      </w:r>
      <w:r>
        <w:t xml:space="preserve"> three times the interquartile range above the 75</w:t>
      </w:r>
      <w:r w:rsidRPr="004E467C">
        <w:rPr>
          <w:vertAlign w:val="superscript"/>
        </w:rPr>
        <w:t>th</w:t>
      </w:r>
      <w:r>
        <w:t xml:space="preserve"> percentile for a given FOE</w:t>
      </w:r>
      <w:r w:rsidR="0049715A">
        <w:t>; and</w:t>
      </w:r>
    </w:p>
    <w:p w14:paraId="5D17ADF5" w14:textId="77777777" w:rsidR="00BA19FB" w:rsidRDefault="00DB6363" w:rsidP="004E467C">
      <w:pPr>
        <w:pStyle w:val="Bullet1"/>
      </w:pPr>
      <w:r w:rsidRPr="0046042A">
        <w:rPr>
          <w:b/>
          <w:color w:val="002776" w:themeColor="text2"/>
        </w:rPr>
        <w:t>FOE-specific downward outliers:</w:t>
      </w:r>
      <w:r w:rsidRPr="0046042A">
        <w:rPr>
          <w:color w:val="002776" w:themeColor="text2"/>
        </w:rPr>
        <w:t xml:space="preserve"> </w:t>
      </w:r>
      <w:r>
        <w:t>three times the interquartile range below the 25</w:t>
      </w:r>
      <w:r w:rsidRPr="00BC64C2">
        <w:rPr>
          <w:vertAlign w:val="superscript"/>
        </w:rPr>
        <w:t>th</w:t>
      </w:r>
      <w:r>
        <w:t xml:space="preserve"> percentile for a given FOE.</w:t>
      </w:r>
    </w:p>
    <w:p w14:paraId="70797C33" w14:textId="1898A1A4" w:rsidR="00DB6363" w:rsidRPr="00DB6363" w:rsidRDefault="00DB6363" w:rsidP="004E467C">
      <w:pPr>
        <w:pStyle w:val="Bullet1"/>
        <w:numPr>
          <w:ilvl w:val="0"/>
          <w:numId w:val="0"/>
        </w:numPr>
      </w:pPr>
      <w:r w:rsidRPr="004E467C">
        <w:t xml:space="preserve">This </w:t>
      </w:r>
      <w:r w:rsidR="00B764EC">
        <w:t xml:space="preserve">winsorizing </w:t>
      </w:r>
      <w:r w:rsidRPr="004E467C">
        <w:t xml:space="preserve">treatment </w:t>
      </w:r>
      <w:r>
        <w:t>is conducted for the descriptive statistics only, given outliers generally affect the standard errors rather than point estimates of the regression analysis.</w:t>
      </w:r>
    </w:p>
    <w:p w14:paraId="7F9E9574" w14:textId="77777777" w:rsidR="00A93544" w:rsidRPr="00A65BA3" w:rsidRDefault="00A93544" w:rsidP="00A93544">
      <w:pPr>
        <w:pStyle w:val="Heading2"/>
        <w:tabs>
          <w:tab w:val="clear" w:pos="709"/>
        </w:tabs>
        <w:ind w:left="851" w:hanging="851"/>
      </w:pPr>
      <w:bookmarkStart w:id="191" w:name="_Toc466018141"/>
      <w:bookmarkStart w:id="192" w:name="_Toc469927319"/>
      <w:r w:rsidRPr="00A65BA3">
        <w:t>Participating universities</w:t>
      </w:r>
      <w:bookmarkEnd w:id="191"/>
      <w:bookmarkEnd w:id="192"/>
    </w:p>
    <w:p w14:paraId="01D876C2" w14:textId="77777777" w:rsidR="00A93544" w:rsidRDefault="00A93544" w:rsidP="00A93544">
      <w:pPr>
        <w:pStyle w:val="BodyText"/>
      </w:pPr>
      <w:r>
        <w:t xml:space="preserve">The robustness of the findings of this work relies on the set of institutions participating in the data collection being representative of Australian universities. With this in mind, this section describes the key dimensions of interest insofar as university characteristics are concerned and analyses the implications for the set of participating universities. </w:t>
      </w:r>
    </w:p>
    <w:p w14:paraId="6850AE71" w14:textId="77777777" w:rsidR="00A93544" w:rsidRDefault="00A93544" w:rsidP="00A93544">
      <w:pPr>
        <w:pStyle w:val="Heading3"/>
      </w:pPr>
      <w:r>
        <w:lastRenderedPageBreak/>
        <w:t>Participating universities</w:t>
      </w:r>
    </w:p>
    <w:p w14:paraId="7A410735" w14:textId="77777777" w:rsidR="00A93544" w:rsidRPr="00101B25" w:rsidRDefault="00A93544" w:rsidP="00A93544">
      <w:pPr>
        <w:pStyle w:val="BodyText"/>
      </w:pPr>
      <w:r>
        <w:t xml:space="preserve">A total of </w:t>
      </w:r>
      <w:r w:rsidR="000F4313">
        <w:t xml:space="preserve">18 </w:t>
      </w:r>
      <w:r w:rsidRPr="00101B25">
        <w:t>universities participate</w:t>
      </w:r>
      <w:r>
        <w:t>d</w:t>
      </w:r>
      <w:r w:rsidRPr="00101B25">
        <w:t xml:space="preserve"> in </w:t>
      </w:r>
      <w:r>
        <w:t xml:space="preserve">this </w:t>
      </w:r>
      <w:r w:rsidRPr="00101B25">
        <w:t>exercise</w:t>
      </w:r>
      <w:r>
        <w:t xml:space="preserve">, as shown in </w:t>
      </w:r>
      <w:r>
        <w:fldChar w:fldCharType="begin"/>
      </w:r>
      <w:r>
        <w:instrText xml:space="preserve"> REF _Ref464814770 \r \h </w:instrText>
      </w:r>
      <w:r>
        <w:fldChar w:fldCharType="separate"/>
      </w:r>
      <w:r w:rsidR="00595C6E">
        <w:t>Table 2.1</w:t>
      </w:r>
      <w:r>
        <w:fldChar w:fldCharType="end"/>
      </w:r>
      <w:r>
        <w:t xml:space="preserve"> below</w:t>
      </w:r>
      <w:r w:rsidR="00343EF4">
        <w:t>. 17 completed a full costing template</w:t>
      </w:r>
      <w:r>
        <w:t xml:space="preserve">. The extent to which this sample is representative across a number of dimensions is described in </w:t>
      </w:r>
      <w:r w:rsidR="00343EF4">
        <w:t xml:space="preserve">Section </w:t>
      </w:r>
      <w:r>
        <w:fldChar w:fldCharType="begin"/>
      </w:r>
      <w:r>
        <w:instrText xml:space="preserve"> REF _Ref465934530 \r \h </w:instrText>
      </w:r>
      <w:r>
        <w:fldChar w:fldCharType="separate"/>
      </w:r>
      <w:r w:rsidR="00595C6E">
        <w:t>2.2.2</w:t>
      </w:r>
      <w:r>
        <w:fldChar w:fldCharType="end"/>
      </w:r>
      <w:r>
        <w:t xml:space="preserve"> below. </w:t>
      </w:r>
    </w:p>
    <w:p w14:paraId="2BBE6B26" w14:textId="77777777" w:rsidR="00A93544" w:rsidRPr="00477403" w:rsidRDefault="00A93544" w:rsidP="00A93544">
      <w:pPr>
        <w:pStyle w:val="CaptionTable"/>
      </w:pPr>
      <w:bookmarkStart w:id="193" w:name="_Toc464812101"/>
      <w:bookmarkStart w:id="194" w:name="_Ref464814770"/>
      <w:bookmarkStart w:id="195" w:name="_Ref464814980"/>
      <w:bookmarkStart w:id="196" w:name="_Toc469927392"/>
      <w:r>
        <w:t xml:space="preserve">: </w:t>
      </w:r>
      <w:r w:rsidR="0049715A">
        <w:t>The p</w:t>
      </w:r>
      <w:r>
        <w:t>articipa</w:t>
      </w:r>
      <w:r w:rsidR="0049715A">
        <w:t>nt</w:t>
      </w:r>
      <w:r>
        <w:t xml:space="preserve"> </w:t>
      </w:r>
      <w:r w:rsidR="0049715A">
        <w:t xml:space="preserve">subset of Australian </w:t>
      </w:r>
      <w:r>
        <w:t>universities</w:t>
      </w:r>
      <w:bookmarkEnd w:id="193"/>
      <w:bookmarkEnd w:id="194"/>
      <w:bookmarkEnd w:id="195"/>
      <w:bookmarkEnd w:id="196"/>
      <w:r w:rsidR="0049715A">
        <w:t xml:space="preserve"> </w:t>
      </w:r>
    </w:p>
    <w:tbl>
      <w:tblPr>
        <w:tblStyle w:val="TableAE"/>
        <w:tblW w:w="8502" w:type="dxa"/>
        <w:tblLook w:val="04A0" w:firstRow="1" w:lastRow="0" w:firstColumn="1" w:lastColumn="0" w:noHBand="0" w:noVBand="1"/>
      </w:tblPr>
      <w:tblGrid>
        <w:gridCol w:w="2286"/>
        <w:gridCol w:w="378"/>
        <w:gridCol w:w="2715"/>
        <w:gridCol w:w="358"/>
        <w:gridCol w:w="2407"/>
        <w:gridCol w:w="358"/>
      </w:tblGrid>
      <w:tr w:rsidR="00A93544" w:rsidRPr="00477403" w14:paraId="789FC4F7" w14:textId="77777777" w:rsidTr="00C14259">
        <w:trPr>
          <w:cnfStyle w:val="100000000000" w:firstRow="1" w:lastRow="0" w:firstColumn="0" w:lastColumn="0" w:oddVBand="0" w:evenVBand="0" w:oddHBand="0" w:evenHBand="0" w:firstRowFirstColumn="0" w:firstRowLastColumn="0" w:lastRowFirstColumn="0" w:lastRowLastColumn="0"/>
          <w:trHeight w:val="218"/>
        </w:trPr>
        <w:tc>
          <w:tcPr>
            <w:tcW w:w="2286" w:type="dxa"/>
            <w:noWrap/>
            <w:hideMark/>
          </w:tcPr>
          <w:p w14:paraId="4321640D" w14:textId="77777777" w:rsidR="00A93544" w:rsidRPr="00101B25" w:rsidRDefault="00A93544" w:rsidP="00A42147">
            <w:pPr>
              <w:pStyle w:val="BodyText"/>
              <w:spacing w:before="0"/>
              <w:jc w:val="center"/>
              <w:rPr>
                <w:b/>
                <w:sz w:val="18"/>
                <w:szCs w:val="18"/>
              </w:rPr>
            </w:pPr>
            <w:r w:rsidRPr="00101B25">
              <w:rPr>
                <w:b/>
                <w:sz w:val="18"/>
                <w:szCs w:val="18"/>
              </w:rPr>
              <w:t>Name</w:t>
            </w:r>
          </w:p>
        </w:tc>
        <w:tc>
          <w:tcPr>
            <w:tcW w:w="378" w:type="dxa"/>
            <w:noWrap/>
            <w:hideMark/>
          </w:tcPr>
          <w:p w14:paraId="730818FE" w14:textId="77777777" w:rsidR="00A93544" w:rsidRPr="00101B25" w:rsidRDefault="00A93544" w:rsidP="00A42147">
            <w:pPr>
              <w:pStyle w:val="BodyText"/>
              <w:spacing w:before="0"/>
              <w:jc w:val="center"/>
              <w:rPr>
                <w:b/>
                <w:sz w:val="18"/>
                <w:szCs w:val="18"/>
              </w:rPr>
            </w:pPr>
          </w:p>
        </w:tc>
        <w:tc>
          <w:tcPr>
            <w:tcW w:w="2715" w:type="dxa"/>
            <w:noWrap/>
            <w:hideMark/>
          </w:tcPr>
          <w:p w14:paraId="18B3B30D" w14:textId="77777777" w:rsidR="00A93544" w:rsidRPr="00101B25" w:rsidRDefault="00A93544" w:rsidP="00A42147">
            <w:pPr>
              <w:pStyle w:val="BodyText"/>
              <w:spacing w:before="0"/>
              <w:jc w:val="center"/>
              <w:rPr>
                <w:b/>
                <w:sz w:val="18"/>
                <w:szCs w:val="18"/>
              </w:rPr>
            </w:pPr>
            <w:r w:rsidRPr="00101B25">
              <w:rPr>
                <w:b/>
                <w:sz w:val="18"/>
                <w:szCs w:val="18"/>
              </w:rPr>
              <w:t>Name</w:t>
            </w:r>
          </w:p>
        </w:tc>
        <w:tc>
          <w:tcPr>
            <w:tcW w:w="358" w:type="dxa"/>
            <w:noWrap/>
            <w:hideMark/>
          </w:tcPr>
          <w:p w14:paraId="40E8A70E" w14:textId="77777777" w:rsidR="00A93544" w:rsidRPr="00101B25" w:rsidRDefault="00A93544" w:rsidP="00A42147">
            <w:pPr>
              <w:pStyle w:val="BodyText"/>
              <w:spacing w:before="0"/>
              <w:jc w:val="center"/>
              <w:rPr>
                <w:b/>
                <w:sz w:val="18"/>
                <w:szCs w:val="18"/>
              </w:rPr>
            </w:pPr>
          </w:p>
        </w:tc>
        <w:tc>
          <w:tcPr>
            <w:tcW w:w="2407" w:type="dxa"/>
            <w:noWrap/>
            <w:hideMark/>
          </w:tcPr>
          <w:p w14:paraId="385D99CE" w14:textId="77777777" w:rsidR="00A93544" w:rsidRPr="00101B25" w:rsidRDefault="00A93544" w:rsidP="00A42147">
            <w:pPr>
              <w:pStyle w:val="BodyText"/>
              <w:spacing w:before="0"/>
              <w:jc w:val="center"/>
              <w:rPr>
                <w:b/>
                <w:sz w:val="18"/>
                <w:szCs w:val="18"/>
              </w:rPr>
            </w:pPr>
            <w:r w:rsidRPr="00101B25">
              <w:rPr>
                <w:b/>
                <w:sz w:val="18"/>
                <w:szCs w:val="18"/>
              </w:rPr>
              <w:t>Name</w:t>
            </w:r>
          </w:p>
        </w:tc>
        <w:tc>
          <w:tcPr>
            <w:tcW w:w="358" w:type="dxa"/>
          </w:tcPr>
          <w:p w14:paraId="79E245E1" w14:textId="77777777" w:rsidR="00A93544" w:rsidRDefault="00A93544" w:rsidP="00A42147">
            <w:pPr>
              <w:pStyle w:val="BodyText"/>
              <w:spacing w:before="0"/>
              <w:rPr>
                <w:sz w:val="18"/>
                <w:szCs w:val="18"/>
              </w:rPr>
            </w:pPr>
          </w:p>
        </w:tc>
      </w:tr>
      <w:tr w:rsidR="00A93544" w:rsidRPr="00477403" w14:paraId="53DEFE77" w14:textId="77777777" w:rsidTr="00C14259">
        <w:trPr>
          <w:trHeight w:val="255"/>
        </w:trPr>
        <w:tc>
          <w:tcPr>
            <w:tcW w:w="2286" w:type="dxa"/>
            <w:noWrap/>
          </w:tcPr>
          <w:p w14:paraId="24543E3B" w14:textId="77777777" w:rsidR="00A93544" w:rsidRPr="00E1434C" w:rsidRDefault="00A93544" w:rsidP="00C14259">
            <w:pPr>
              <w:pStyle w:val="BodyText"/>
              <w:spacing w:before="0"/>
              <w:jc w:val="left"/>
              <w:rPr>
                <w:b/>
                <w:sz w:val="18"/>
                <w:szCs w:val="18"/>
              </w:rPr>
            </w:pPr>
            <w:r w:rsidRPr="00E1434C">
              <w:rPr>
                <w:b/>
                <w:sz w:val="18"/>
                <w:szCs w:val="18"/>
              </w:rPr>
              <w:t>Australian Catholic University</w:t>
            </w:r>
          </w:p>
        </w:tc>
        <w:tc>
          <w:tcPr>
            <w:tcW w:w="378" w:type="dxa"/>
            <w:noWrap/>
          </w:tcPr>
          <w:p w14:paraId="4EE412B5" w14:textId="77777777" w:rsidR="00A93544" w:rsidRPr="00DF50E6" w:rsidRDefault="00A93544" w:rsidP="00A42147">
            <w:pPr>
              <w:pStyle w:val="BodyText"/>
              <w:spacing w:before="0"/>
              <w:rPr>
                <w:sz w:val="18"/>
                <w:szCs w:val="18"/>
              </w:rPr>
            </w:pPr>
            <w:r w:rsidRPr="00101B25">
              <w:rPr>
                <w:b/>
                <w:sz w:val="18"/>
                <w:szCs w:val="18"/>
              </w:rPr>
              <w:sym w:font="Wingdings" w:char="F0FC"/>
            </w:r>
          </w:p>
        </w:tc>
        <w:tc>
          <w:tcPr>
            <w:tcW w:w="2715" w:type="dxa"/>
            <w:noWrap/>
          </w:tcPr>
          <w:p w14:paraId="1EAE8937" w14:textId="77777777" w:rsidR="00A93544" w:rsidRPr="00101B25" w:rsidRDefault="00A93544" w:rsidP="00C14259">
            <w:pPr>
              <w:pStyle w:val="BodyText"/>
              <w:spacing w:before="0"/>
              <w:jc w:val="left"/>
              <w:rPr>
                <w:b/>
                <w:sz w:val="18"/>
                <w:szCs w:val="18"/>
              </w:rPr>
            </w:pPr>
            <w:r w:rsidRPr="00101B25">
              <w:rPr>
                <w:b/>
                <w:sz w:val="18"/>
                <w:szCs w:val="18"/>
              </w:rPr>
              <w:t>Monash University</w:t>
            </w:r>
          </w:p>
        </w:tc>
        <w:tc>
          <w:tcPr>
            <w:tcW w:w="358" w:type="dxa"/>
            <w:noWrap/>
          </w:tcPr>
          <w:p w14:paraId="28D2C631" w14:textId="77777777" w:rsidR="00A93544" w:rsidRPr="00101B25" w:rsidRDefault="00A93544" w:rsidP="00A42147">
            <w:pPr>
              <w:pStyle w:val="BodyText"/>
              <w:spacing w:before="0"/>
              <w:rPr>
                <w:b/>
                <w:sz w:val="18"/>
                <w:szCs w:val="18"/>
              </w:rPr>
            </w:pPr>
            <w:r w:rsidRPr="00101B25">
              <w:rPr>
                <w:b/>
                <w:sz w:val="18"/>
                <w:szCs w:val="18"/>
              </w:rPr>
              <w:sym w:font="Wingdings" w:char="F0FC"/>
            </w:r>
          </w:p>
        </w:tc>
        <w:tc>
          <w:tcPr>
            <w:tcW w:w="2407" w:type="dxa"/>
            <w:noWrap/>
          </w:tcPr>
          <w:p w14:paraId="390A1D05" w14:textId="77777777" w:rsidR="00A93544" w:rsidRPr="00477403" w:rsidRDefault="00A93544" w:rsidP="00C14259">
            <w:pPr>
              <w:pStyle w:val="BodyText"/>
              <w:spacing w:before="0"/>
              <w:jc w:val="left"/>
              <w:rPr>
                <w:sz w:val="18"/>
                <w:szCs w:val="18"/>
              </w:rPr>
            </w:pPr>
            <w:r w:rsidRPr="00477403">
              <w:rPr>
                <w:sz w:val="18"/>
                <w:szCs w:val="18"/>
              </w:rPr>
              <w:t>The University of Western Australia</w:t>
            </w:r>
          </w:p>
        </w:tc>
        <w:tc>
          <w:tcPr>
            <w:tcW w:w="358" w:type="dxa"/>
          </w:tcPr>
          <w:p w14:paraId="54080CC7" w14:textId="77777777" w:rsidR="00A93544" w:rsidRPr="00477403" w:rsidRDefault="00A93544" w:rsidP="00A42147">
            <w:pPr>
              <w:pStyle w:val="BodyText"/>
              <w:spacing w:before="0"/>
              <w:rPr>
                <w:sz w:val="18"/>
                <w:szCs w:val="18"/>
              </w:rPr>
            </w:pPr>
          </w:p>
        </w:tc>
      </w:tr>
      <w:tr w:rsidR="00A93544" w:rsidRPr="00477403" w14:paraId="7D492F9F" w14:textId="77777777" w:rsidTr="00C14259">
        <w:trPr>
          <w:trHeight w:val="255"/>
        </w:trPr>
        <w:tc>
          <w:tcPr>
            <w:tcW w:w="2286" w:type="dxa"/>
            <w:noWrap/>
            <w:hideMark/>
          </w:tcPr>
          <w:p w14:paraId="2CD502B5" w14:textId="77777777" w:rsidR="00A93544" w:rsidRPr="00477403" w:rsidRDefault="00A93544" w:rsidP="00C14259">
            <w:pPr>
              <w:pStyle w:val="BodyText"/>
              <w:spacing w:before="0"/>
              <w:jc w:val="left"/>
              <w:rPr>
                <w:sz w:val="18"/>
                <w:szCs w:val="18"/>
              </w:rPr>
            </w:pPr>
            <w:r w:rsidRPr="00477403">
              <w:rPr>
                <w:sz w:val="18"/>
                <w:szCs w:val="18"/>
              </w:rPr>
              <w:t>Central Queensland University</w:t>
            </w:r>
          </w:p>
        </w:tc>
        <w:tc>
          <w:tcPr>
            <w:tcW w:w="378" w:type="dxa"/>
            <w:noWrap/>
            <w:hideMark/>
          </w:tcPr>
          <w:p w14:paraId="02D5ADAD" w14:textId="77777777" w:rsidR="00A93544" w:rsidRPr="00477403" w:rsidRDefault="00A93544" w:rsidP="00A42147">
            <w:pPr>
              <w:pStyle w:val="BodyText"/>
              <w:spacing w:before="0"/>
              <w:rPr>
                <w:sz w:val="18"/>
                <w:szCs w:val="18"/>
              </w:rPr>
            </w:pPr>
          </w:p>
        </w:tc>
        <w:tc>
          <w:tcPr>
            <w:tcW w:w="2715" w:type="dxa"/>
            <w:noWrap/>
            <w:hideMark/>
          </w:tcPr>
          <w:p w14:paraId="5A748A1B" w14:textId="77777777" w:rsidR="00A93544" w:rsidRPr="00477403" w:rsidRDefault="00A93544" w:rsidP="00C14259">
            <w:pPr>
              <w:pStyle w:val="BodyText"/>
              <w:spacing w:before="0"/>
              <w:jc w:val="left"/>
              <w:rPr>
                <w:sz w:val="18"/>
                <w:szCs w:val="18"/>
              </w:rPr>
            </w:pPr>
            <w:r w:rsidRPr="00477403">
              <w:rPr>
                <w:sz w:val="18"/>
                <w:szCs w:val="18"/>
              </w:rPr>
              <w:t>Murdoch University</w:t>
            </w:r>
          </w:p>
        </w:tc>
        <w:tc>
          <w:tcPr>
            <w:tcW w:w="358" w:type="dxa"/>
            <w:noWrap/>
            <w:hideMark/>
          </w:tcPr>
          <w:p w14:paraId="43E319DC" w14:textId="77777777" w:rsidR="00A93544" w:rsidRPr="00477403" w:rsidRDefault="00A93544" w:rsidP="00A42147">
            <w:pPr>
              <w:pStyle w:val="BodyText"/>
              <w:spacing w:before="0"/>
              <w:rPr>
                <w:sz w:val="18"/>
                <w:szCs w:val="18"/>
              </w:rPr>
            </w:pPr>
          </w:p>
        </w:tc>
        <w:tc>
          <w:tcPr>
            <w:tcW w:w="2407" w:type="dxa"/>
            <w:noWrap/>
          </w:tcPr>
          <w:p w14:paraId="7A63D48D" w14:textId="77777777" w:rsidR="00A93544" w:rsidRPr="0086796A" w:rsidRDefault="00A93544" w:rsidP="00C14259">
            <w:pPr>
              <w:pStyle w:val="BodyText"/>
              <w:spacing w:before="0"/>
              <w:jc w:val="left"/>
              <w:rPr>
                <w:b/>
                <w:sz w:val="18"/>
                <w:szCs w:val="18"/>
              </w:rPr>
            </w:pPr>
            <w:r w:rsidRPr="0086796A">
              <w:rPr>
                <w:b/>
                <w:sz w:val="18"/>
                <w:szCs w:val="18"/>
              </w:rPr>
              <w:t>The University of Wollongong</w:t>
            </w:r>
          </w:p>
        </w:tc>
        <w:tc>
          <w:tcPr>
            <w:tcW w:w="358" w:type="dxa"/>
          </w:tcPr>
          <w:p w14:paraId="62DE17F0" w14:textId="77777777" w:rsidR="00A93544" w:rsidRPr="00477403" w:rsidRDefault="00A93544" w:rsidP="00A42147">
            <w:pPr>
              <w:pStyle w:val="BodyText"/>
              <w:spacing w:before="0"/>
              <w:rPr>
                <w:sz w:val="18"/>
                <w:szCs w:val="18"/>
              </w:rPr>
            </w:pPr>
            <w:r w:rsidRPr="00101B25">
              <w:rPr>
                <w:b/>
                <w:sz w:val="18"/>
                <w:szCs w:val="18"/>
              </w:rPr>
              <w:sym w:font="Wingdings" w:char="F0FC"/>
            </w:r>
          </w:p>
        </w:tc>
      </w:tr>
      <w:tr w:rsidR="00A93544" w:rsidRPr="00477403" w14:paraId="0264BC7A" w14:textId="77777777" w:rsidTr="00C14259">
        <w:trPr>
          <w:trHeight w:val="255"/>
        </w:trPr>
        <w:tc>
          <w:tcPr>
            <w:tcW w:w="2286" w:type="dxa"/>
            <w:noWrap/>
            <w:hideMark/>
          </w:tcPr>
          <w:p w14:paraId="7BB4D401" w14:textId="77777777" w:rsidR="00A93544" w:rsidRPr="00477403" w:rsidRDefault="00A93544" w:rsidP="00C14259">
            <w:pPr>
              <w:pStyle w:val="BodyText"/>
              <w:spacing w:before="0"/>
              <w:jc w:val="left"/>
              <w:rPr>
                <w:sz w:val="18"/>
                <w:szCs w:val="18"/>
              </w:rPr>
            </w:pPr>
            <w:r w:rsidRPr="00477403">
              <w:rPr>
                <w:sz w:val="18"/>
                <w:szCs w:val="18"/>
              </w:rPr>
              <w:t>Charles Darwin University</w:t>
            </w:r>
          </w:p>
        </w:tc>
        <w:tc>
          <w:tcPr>
            <w:tcW w:w="378" w:type="dxa"/>
            <w:noWrap/>
            <w:hideMark/>
          </w:tcPr>
          <w:p w14:paraId="63362445" w14:textId="77777777" w:rsidR="00A93544" w:rsidRPr="00477403" w:rsidRDefault="00A93544" w:rsidP="00A42147">
            <w:pPr>
              <w:pStyle w:val="BodyText"/>
              <w:spacing w:before="0"/>
              <w:rPr>
                <w:sz w:val="18"/>
                <w:szCs w:val="18"/>
              </w:rPr>
            </w:pPr>
          </w:p>
        </w:tc>
        <w:tc>
          <w:tcPr>
            <w:tcW w:w="2715" w:type="dxa"/>
            <w:noWrap/>
            <w:hideMark/>
          </w:tcPr>
          <w:p w14:paraId="2F1A594A" w14:textId="77777777" w:rsidR="00A93544" w:rsidRPr="00101B25" w:rsidRDefault="00A93544" w:rsidP="00C14259">
            <w:pPr>
              <w:pStyle w:val="BodyText"/>
              <w:spacing w:before="0"/>
              <w:jc w:val="left"/>
              <w:rPr>
                <w:b/>
                <w:sz w:val="18"/>
                <w:szCs w:val="18"/>
              </w:rPr>
            </w:pPr>
            <w:r w:rsidRPr="00101B25">
              <w:rPr>
                <w:b/>
                <w:sz w:val="18"/>
                <w:szCs w:val="18"/>
              </w:rPr>
              <w:t>Queensland University of Technology</w:t>
            </w:r>
          </w:p>
        </w:tc>
        <w:tc>
          <w:tcPr>
            <w:tcW w:w="358" w:type="dxa"/>
            <w:noWrap/>
            <w:hideMark/>
          </w:tcPr>
          <w:p w14:paraId="20E026C7" w14:textId="77777777" w:rsidR="00A93544" w:rsidRPr="00101B25" w:rsidRDefault="00A93544" w:rsidP="00A42147">
            <w:pPr>
              <w:pStyle w:val="BodyText"/>
              <w:spacing w:before="0"/>
              <w:rPr>
                <w:b/>
                <w:sz w:val="18"/>
                <w:szCs w:val="18"/>
              </w:rPr>
            </w:pPr>
            <w:r w:rsidRPr="00101B25">
              <w:rPr>
                <w:b/>
                <w:sz w:val="18"/>
                <w:szCs w:val="18"/>
              </w:rPr>
              <w:sym w:font="Wingdings" w:char="F0FC"/>
            </w:r>
          </w:p>
        </w:tc>
        <w:tc>
          <w:tcPr>
            <w:tcW w:w="2407" w:type="dxa"/>
            <w:noWrap/>
          </w:tcPr>
          <w:p w14:paraId="523C714A" w14:textId="77777777" w:rsidR="00A93544" w:rsidRPr="00477403" w:rsidRDefault="00A93544" w:rsidP="00C14259">
            <w:pPr>
              <w:pStyle w:val="BodyText"/>
              <w:spacing w:before="0"/>
              <w:jc w:val="left"/>
              <w:rPr>
                <w:sz w:val="18"/>
                <w:szCs w:val="18"/>
              </w:rPr>
            </w:pPr>
            <w:r w:rsidRPr="00477403">
              <w:rPr>
                <w:sz w:val="18"/>
                <w:szCs w:val="18"/>
              </w:rPr>
              <w:t>University of Canberra</w:t>
            </w:r>
          </w:p>
        </w:tc>
        <w:tc>
          <w:tcPr>
            <w:tcW w:w="358" w:type="dxa"/>
          </w:tcPr>
          <w:p w14:paraId="73D30B48" w14:textId="77777777" w:rsidR="00A93544" w:rsidRPr="00477403" w:rsidRDefault="00A93544" w:rsidP="00A42147">
            <w:pPr>
              <w:pStyle w:val="BodyText"/>
              <w:spacing w:before="0"/>
              <w:rPr>
                <w:sz w:val="18"/>
                <w:szCs w:val="18"/>
              </w:rPr>
            </w:pPr>
          </w:p>
        </w:tc>
      </w:tr>
      <w:tr w:rsidR="00A93544" w:rsidRPr="00477403" w14:paraId="1667C4FD" w14:textId="77777777" w:rsidTr="00C14259">
        <w:trPr>
          <w:trHeight w:val="255"/>
        </w:trPr>
        <w:tc>
          <w:tcPr>
            <w:tcW w:w="2286" w:type="dxa"/>
            <w:noWrap/>
            <w:hideMark/>
          </w:tcPr>
          <w:p w14:paraId="6D9F3669" w14:textId="77777777" w:rsidR="00A93544" w:rsidRPr="00101B25" w:rsidRDefault="00A93544" w:rsidP="00C14259">
            <w:pPr>
              <w:pStyle w:val="BodyText"/>
              <w:spacing w:before="0"/>
              <w:jc w:val="left"/>
              <w:rPr>
                <w:b/>
                <w:sz w:val="18"/>
                <w:szCs w:val="18"/>
              </w:rPr>
            </w:pPr>
            <w:r w:rsidRPr="00101B25">
              <w:rPr>
                <w:b/>
                <w:sz w:val="18"/>
                <w:szCs w:val="18"/>
              </w:rPr>
              <w:t>Charles Sturt University</w:t>
            </w:r>
          </w:p>
        </w:tc>
        <w:tc>
          <w:tcPr>
            <w:tcW w:w="378" w:type="dxa"/>
            <w:noWrap/>
            <w:hideMark/>
          </w:tcPr>
          <w:p w14:paraId="0FF74CCA" w14:textId="77777777" w:rsidR="00A93544" w:rsidRPr="00101B25" w:rsidRDefault="00A93544" w:rsidP="00A42147">
            <w:pPr>
              <w:pStyle w:val="BodyText"/>
              <w:spacing w:before="0"/>
              <w:rPr>
                <w:b/>
                <w:sz w:val="18"/>
                <w:szCs w:val="18"/>
              </w:rPr>
            </w:pPr>
            <w:r w:rsidRPr="00101B25">
              <w:rPr>
                <w:b/>
                <w:sz w:val="18"/>
                <w:szCs w:val="18"/>
              </w:rPr>
              <w:sym w:font="Wingdings" w:char="F0FC"/>
            </w:r>
          </w:p>
        </w:tc>
        <w:tc>
          <w:tcPr>
            <w:tcW w:w="2715" w:type="dxa"/>
            <w:noWrap/>
            <w:hideMark/>
          </w:tcPr>
          <w:p w14:paraId="1D49A87E" w14:textId="77777777" w:rsidR="00A93544" w:rsidRPr="00477403" w:rsidRDefault="00A93544" w:rsidP="00C14259">
            <w:pPr>
              <w:pStyle w:val="BodyText"/>
              <w:spacing w:before="0"/>
              <w:jc w:val="left"/>
              <w:rPr>
                <w:sz w:val="18"/>
                <w:szCs w:val="18"/>
              </w:rPr>
            </w:pPr>
            <w:r w:rsidRPr="00477403">
              <w:rPr>
                <w:sz w:val="18"/>
                <w:szCs w:val="18"/>
              </w:rPr>
              <w:t>RMIT University</w:t>
            </w:r>
          </w:p>
        </w:tc>
        <w:tc>
          <w:tcPr>
            <w:tcW w:w="358" w:type="dxa"/>
            <w:noWrap/>
            <w:hideMark/>
          </w:tcPr>
          <w:p w14:paraId="2DD1ABB6" w14:textId="77777777" w:rsidR="00A93544" w:rsidRPr="00477403" w:rsidRDefault="00A93544" w:rsidP="00A42147">
            <w:pPr>
              <w:pStyle w:val="BodyText"/>
              <w:spacing w:before="0"/>
              <w:rPr>
                <w:sz w:val="18"/>
                <w:szCs w:val="18"/>
              </w:rPr>
            </w:pPr>
          </w:p>
        </w:tc>
        <w:tc>
          <w:tcPr>
            <w:tcW w:w="2407" w:type="dxa"/>
            <w:noWrap/>
          </w:tcPr>
          <w:p w14:paraId="5FB538F6" w14:textId="77777777" w:rsidR="00A93544" w:rsidRPr="0086796A" w:rsidRDefault="00A93544" w:rsidP="00C14259">
            <w:pPr>
              <w:pStyle w:val="BodyText"/>
              <w:spacing w:before="0"/>
              <w:jc w:val="left"/>
              <w:rPr>
                <w:sz w:val="18"/>
                <w:szCs w:val="18"/>
              </w:rPr>
            </w:pPr>
            <w:r w:rsidRPr="0086796A">
              <w:rPr>
                <w:sz w:val="18"/>
                <w:szCs w:val="18"/>
              </w:rPr>
              <w:t>University of South Australia</w:t>
            </w:r>
          </w:p>
        </w:tc>
        <w:tc>
          <w:tcPr>
            <w:tcW w:w="358" w:type="dxa"/>
          </w:tcPr>
          <w:p w14:paraId="46571906" w14:textId="77777777" w:rsidR="00A93544" w:rsidRPr="00101B25" w:rsidRDefault="00A93544" w:rsidP="00A42147">
            <w:pPr>
              <w:pStyle w:val="BodyText"/>
              <w:spacing w:before="0"/>
              <w:rPr>
                <w:b/>
                <w:sz w:val="18"/>
                <w:szCs w:val="18"/>
              </w:rPr>
            </w:pPr>
          </w:p>
        </w:tc>
      </w:tr>
      <w:tr w:rsidR="00A93544" w:rsidRPr="00477403" w14:paraId="4075AE92" w14:textId="77777777" w:rsidTr="00C14259">
        <w:trPr>
          <w:trHeight w:val="255"/>
        </w:trPr>
        <w:tc>
          <w:tcPr>
            <w:tcW w:w="2286" w:type="dxa"/>
            <w:noWrap/>
            <w:hideMark/>
          </w:tcPr>
          <w:p w14:paraId="25FCCE2A" w14:textId="77777777" w:rsidR="00A93544" w:rsidRPr="00101B25" w:rsidRDefault="00A93544" w:rsidP="00C14259">
            <w:pPr>
              <w:pStyle w:val="BodyText"/>
              <w:spacing w:before="0"/>
              <w:jc w:val="left"/>
              <w:rPr>
                <w:b/>
                <w:sz w:val="18"/>
                <w:szCs w:val="18"/>
              </w:rPr>
            </w:pPr>
            <w:r w:rsidRPr="00101B25">
              <w:rPr>
                <w:b/>
                <w:sz w:val="18"/>
                <w:szCs w:val="18"/>
              </w:rPr>
              <w:t>Curtin University of Technology</w:t>
            </w:r>
          </w:p>
        </w:tc>
        <w:tc>
          <w:tcPr>
            <w:tcW w:w="378" w:type="dxa"/>
            <w:noWrap/>
            <w:hideMark/>
          </w:tcPr>
          <w:p w14:paraId="6E7DFA32" w14:textId="77777777" w:rsidR="00A93544" w:rsidRPr="00101B25" w:rsidRDefault="00A93544" w:rsidP="00A42147">
            <w:pPr>
              <w:pStyle w:val="BodyText"/>
              <w:spacing w:before="0"/>
              <w:rPr>
                <w:b/>
                <w:sz w:val="18"/>
                <w:szCs w:val="18"/>
              </w:rPr>
            </w:pPr>
            <w:r w:rsidRPr="00101B25">
              <w:rPr>
                <w:b/>
                <w:sz w:val="18"/>
                <w:szCs w:val="18"/>
              </w:rPr>
              <w:sym w:font="Wingdings" w:char="F0FC"/>
            </w:r>
          </w:p>
        </w:tc>
        <w:tc>
          <w:tcPr>
            <w:tcW w:w="2715" w:type="dxa"/>
            <w:noWrap/>
            <w:hideMark/>
          </w:tcPr>
          <w:p w14:paraId="71F4414E" w14:textId="77777777" w:rsidR="00A93544" w:rsidRPr="00E1434C" w:rsidRDefault="00A93544" w:rsidP="00C14259">
            <w:pPr>
              <w:pStyle w:val="BodyText"/>
              <w:spacing w:before="0"/>
              <w:jc w:val="left"/>
              <w:rPr>
                <w:b/>
                <w:sz w:val="18"/>
                <w:szCs w:val="18"/>
              </w:rPr>
            </w:pPr>
            <w:r w:rsidRPr="00E1434C">
              <w:rPr>
                <w:b/>
                <w:sz w:val="18"/>
                <w:szCs w:val="18"/>
              </w:rPr>
              <w:t>Southern Cross University</w:t>
            </w:r>
          </w:p>
        </w:tc>
        <w:tc>
          <w:tcPr>
            <w:tcW w:w="358" w:type="dxa"/>
            <w:noWrap/>
            <w:hideMark/>
          </w:tcPr>
          <w:p w14:paraId="427A31F7" w14:textId="77777777" w:rsidR="00A93544" w:rsidRPr="00477403" w:rsidRDefault="00A93544" w:rsidP="00A42147">
            <w:pPr>
              <w:pStyle w:val="BodyText"/>
              <w:spacing w:before="0"/>
              <w:rPr>
                <w:sz w:val="18"/>
                <w:szCs w:val="18"/>
              </w:rPr>
            </w:pPr>
            <w:r w:rsidRPr="00101B25">
              <w:rPr>
                <w:b/>
                <w:sz w:val="18"/>
                <w:szCs w:val="18"/>
              </w:rPr>
              <w:sym w:font="Wingdings" w:char="F0FC"/>
            </w:r>
          </w:p>
        </w:tc>
        <w:tc>
          <w:tcPr>
            <w:tcW w:w="2407" w:type="dxa"/>
            <w:noWrap/>
          </w:tcPr>
          <w:p w14:paraId="64DBA878" w14:textId="77777777" w:rsidR="00A93544" w:rsidRPr="0086796A" w:rsidRDefault="00A93544" w:rsidP="00C14259">
            <w:pPr>
              <w:pStyle w:val="BodyText"/>
              <w:spacing w:before="0"/>
              <w:jc w:val="left"/>
              <w:rPr>
                <w:b/>
                <w:sz w:val="18"/>
                <w:szCs w:val="18"/>
              </w:rPr>
            </w:pPr>
            <w:r w:rsidRPr="0086796A">
              <w:rPr>
                <w:b/>
                <w:sz w:val="18"/>
                <w:szCs w:val="18"/>
              </w:rPr>
              <w:t>University of Southern Queensland</w:t>
            </w:r>
          </w:p>
        </w:tc>
        <w:tc>
          <w:tcPr>
            <w:tcW w:w="358" w:type="dxa"/>
          </w:tcPr>
          <w:p w14:paraId="59DAF855" w14:textId="77777777" w:rsidR="00A93544" w:rsidRPr="00477403" w:rsidRDefault="00A93544" w:rsidP="00A42147">
            <w:pPr>
              <w:pStyle w:val="BodyText"/>
              <w:spacing w:before="0"/>
              <w:rPr>
                <w:sz w:val="18"/>
                <w:szCs w:val="18"/>
              </w:rPr>
            </w:pPr>
            <w:r w:rsidRPr="00101B25">
              <w:rPr>
                <w:b/>
                <w:sz w:val="18"/>
                <w:szCs w:val="18"/>
              </w:rPr>
              <w:sym w:font="Wingdings" w:char="F0FC"/>
            </w:r>
          </w:p>
        </w:tc>
      </w:tr>
      <w:tr w:rsidR="00A93544" w:rsidRPr="00477403" w14:paraId="3C55D7F8" w14:textId="77777777" w:rsidTr="00C14259">
        <w:trPr>
          <w:trHeight w:val="255"/>
        </w:trPr>
        <w:tc>
          <w:tcPr>
            <w:tcW w:w="2286" w:type="dxa"/>
            <w:noWrap/>
            <w:hideMark/>
          </w:tcPr>
          <w:p w14:paraId="7DB6DAC5" w14:textId="77777777" w:rsidR="00A93544" w:rsidRPr="00101B25" w:rsidRDefault="00A93544" w:rsidP="00C14259">
            <w:pPr>
              <w:pStyle w:val="BodyText"/>
              <w:spacing w:before="0"/>
              <w:jc w:val="left"/>
              <w:rPr>
                <w:b/>
                <w:sz w:val="18"/>
                <w:szCs w:val="18"/>
              </w:rPr>
            </w:pPr>
            <w:r w:rsidRPr="00101B25">
              <w:rPr>
                <w:b/>
                <w:sz w:val="18"/>
                <w:szCs w:val="18"/>
              </w:rPr>
              <w:t>Deakin University</w:t>
            </w:r>
          </w:p>
        </w:tc>
        <w:tc>
          <w:tcPr>
            <w:tcW w:w="378" w:type="dxa"/>
            <w:noWrap/>
            <w:hideMark/>
          </w:tcPr>
          <w:p w14:paraId="6AF3BF8F" w14:textId="77777777" w:rsidR="00A93544" w:rsidRPr="00101B25" w:rsidRDefault="00A93544" w:rsidP="00A42147">
            <w:pPr>
              <w:pStyle w:val="BodyText"/>
              <w:spacing w:before="0"/>
              <w:rPr>
                <w:b/>
                <w:sz w:val="18"/>
                <w:szCs w:val="18"/>
              </w:rPr>
            </w:pPr>
            <w:r w:rsidRPr="00101B25">
              <w:rPr>
                <w:b/>
                <w:sz w:val="18"/>
                <w:szCs w:val="18"/>
              </w:rPr>
              <w:sym w:font="Wingdings" w:char="F0FC"/>
            </w:r>
          </w:p>
        </w:tc>
        <w:tc>
          <w:tcPr>
            <w:tcW w:w="2715" w:type="dxa"/>
            <w:noWrap/>
            <w:hideMark/>
          </w:tcPr>
          <w:p w14:paraId="2408C4DE" w14:textId="77777777" w:rsidR="00A93544" w:rsidRPr="00477403" w:rsidRDefault="00A93544" w:rsidP="00C14259">
            <w:pPr>
              <w:pStyle w:val="BodyText"/>
              <w:spacing w:before="0"/>
              <w:jc w:val="left"/>
              <w:rPr>
                <w:sz w:val="18"/>
                <w:szCs w:val="18"/>
              </w:rPr>
            </w:pPr>
            <w:r w:rsidRPr="00477403">
              <w:rPr>
                <w:sz w:val="18"/>
                <w:szCs w:val="18"/>
              </w:rPr>
              <w:t>Swinburne University of Technology</w:t>
            </w:r>
          </w:p>
        </w:tc>
        <w:tc>
          <w:tcPr>
            <w:tcW w:w="358" w:type="dxa"/>
            <w:noWrap/>
            <w:hideMark/>
          </w:tcPr>
          <w:p w14:paraId="7F752C1F" w14:textId="77777777" w:rsidR="00A93544" w:rsidRPr="00477403" w:rsidRDefault="00A93544" w:rsidP="00A42147">
            <w:pPr>
              <w:pStyle w:val="BodyText"/>
              <w:spacing w:before="0"/>
              <w:rPr>
                <w:sz w:val="18"/>
                <w:szCs w:val="18"/>
              </w:rPr>
            </w:pPr>
          </w:p>
        </w:tc>
        <w:tc>
          <w:tcPr>
            <w:tcW w:w="2407" w:type="dxa"/>
            <w:noWrap/>
          </w:tcPr>
          <w:p w14:paraId="4D2A994C" w14:textId="77777777" w:rsidR="00A93544" w:rsidRPr="00101B25" w:rsidRDefault="00A93544" w:rsidP="00C14259">
            <w:pPr>
              <w:pStyle w:val="BodyText"/>
              <w:spacing w:before="0"/>
              <w:jc w:val="left"/>
              <w:rPr>
                <w:b/>
                <w:sz w:val="18"/>
                <w:szCs w:val="18"/>
              </w:rPr>
            </w:pPr>
            <w:r w:rsidRPr="00101B25">
              <w:rPr>
                <w:b/>
                <w:sz w:val="18"/>
                <w:szCs w:val="18"/>
              </w:rPr>
              <w:t>University of Sydney</w:t>
            </w:r>
          </w:p>
        </w:tc>
        <w:tc>
          <w:tcPr>
            <w:tcW w:w="358" w:type="dxa"/>
          </w:tcPr>
          <w:p w14:paraId="7647D225" w14:textId="77777777" w:rsidR="00A93544" w:rsidRPr="00101B25" w:rsidRDefault="00A93544" w:rsidP="00A42147">
            <w:pPr>
              <w:pStyle w:val="BodyText"/>
              <w:spacing w:before="0"/>
              <w:rPr>
                <w:b/>
                <w:sz w:val="18"/>
                <w:szCs w:val="18"/>
              </w:rPr>
            </w:pPr>
            <w:r w:rsidRPr="00101B25">
              <w:rPr>
                <w:b/>
                <w:sz w:val="18"/>
                <w:szCs w:val="18"/>
              </w:rPr>
              <w:sym w:font="Wingdings" w:char="F0FC"/>
            </w:r>
          </w:p>
        </w:tc>
      </w:tr>
      <w:tr w:rsidR="00A93544" w:rsidRPr="00101B25" w14:paraId="16780FDE" w14:textId="77777777" w:rsidTr="00C14259">
        <w:trPr>
          <w:trHeight w:val="255"/>
        </w:trPr>
        <w:tc>
          <w:tcPr>
            <w:tcW w:w="2286" w:type="dxa"/>
            <w:noWrap/>
            <w:hideMark/>
          </w:tcPr>
          <w:p w14:paraId="444B08C1" w14:textId="77777777" w:rsidR="00A93544" w:rsidRPr="00477403" w:rsidRDefault="00A93544" w:rsidP="00C14259">
            <w:pPr>
              <w:pStyle w:val="BodyText"/>
              <w:spacing w:before="0"/>
              <w:jc w:val="left"/>
              <w:rPr>
                <w:sz w:val="18"/>
                <w:szCs w:val="18"/>
              </w:rPr>
            </w:pPr>
            <w:r w:rsidRPr="00477403">
              <w:rPr>
                <w:sz w:val="18"/>
                <w:szCs w:val="18"/>
              </w:rPr>
              <w:t>Edith Cowan University</w:t>
            </w:r>
          </w:p>
        </w:tc>
        <w:tc>
          <w:tcPr>
            <w:tcW w:w="378" w:type="dxa"/>
            <w:noWrap/>
            <w:hideMark/>
          </w:tcPr>
          <w:p w14:paraId="0D9BAEC8" w14:textId="77777777" w:rsidR="00A93544" w:rsidRPr="00477403" w:rsidRDefault="00A93544" w:rsidP="00A42147">
            <w:pPr>
              <w:pStyle w:val="BodyText"/>
              <w:spacing w:before="0"/>
              <w:rPr>
                <w:sz w:val="18"/>
                <w:szCs w:val="18"/>
              </w:rPr>
            </w:pPr>
          </w:p>
        </w:tc>
        <w:tc>
          <w:tcPr>
            <w:tcW w:w="2715" w:type="dxa"/>
            <w:noWrap/>
            <w:hideMark/>
          </w:tcPr>
          <w:p w14:paraId="288CD9E4" w14:textId="77777777" w:rsidR="00A93544" w:rsidRPr="00477403" w:rsidRDefault="00A93544" w:rsidP="00C14259">
            <w:pPr>
              <w:pStyle w:val="BodyText"/>
              <w:spacing w:before="0"/>
              <w:jc w:val="left"/>
              <w:rPr>
                <w:sz w:val="18"/>
                <w:szCs w:val="18"/>
              </w:rPr>
            </w:pPr>
            <w:r w:rsidRPr="00477403">
              <w:rPr>
                <w:sz w:val="18"/>
                <w:szCs w:val="18"/>
              </w:rPr>
              <w:t>The Australian National University</w:t>
            </w:r>
          </w:p>
        </w:tc>
        <w:tc>
          <w:tcPr>
            <w:tcW w:w="358" w:type="dxa"/>
            <w:noWrap/>
            <w:hideMark/>
          </w:tcPr>
          <w:p w14:paraId="3E8FD240" w14:textId="77777777" w:rsidR="00A93544" w:rsidRPr="00477403" w:rsidRDefault="00A93544" w:rsidP="00A42147">
            <w:pPr>
              <w:pStyle w:val="BodyText"/>
              <w:spacing w:before="0"/>
              <w:rPr>
                <w:sz w:val="18"/>
                <w:szCs w:val="18"/>
              </w:rPr>
            </w:pPr>
          </w:p>
        </w:tc>
        <w:tc>
          <w:tcPr>
            <w:tcW w:w="2407" w:type="dxa"/>
            <w:noWrap/>
          </w:tcPr>
          <w:p w14:paraId="2E81B399" w14:textId="77777777" w:rsidR="00A93544" w:rsidRPr="00477403" w:rsidRDefault="00A93544" w:rsidP="00C14259">
            <w:pPr>
              <w:pStyle w:val="BodyText"/>
              <w:spacing w:before="0"/>
              <w:jc w:val="left"/>
              <w:rPr>
                <w:sz w:val="18"/>
                <w:szCs w:val="18"/>
              </w:rPr>
            </w:pPr>
            <w:r w:rsidRPr="00477403">
              <w:rPr>
                <w:sz w:val="18"/>
                <w:szCs w:val="18"/>
              </w:rPr>
              <w:t>University of Tasmania</w:t>
            </w:r>
          </w:p>
        </w:tc>
        <w:tc>
          <w:tcPr>
            <w:tcW w:w="358" w:type="dxa"/>
          </w:tcPr>
          <w:p w14:paraId="40D3BFF6" w14:textId="77777777" w:rsidR="00A93544" w:rsidRPr="00477403" w:rsidRDefault="00A93544" w:rsidP="00A42147">
            <w:pPr>
              <w:pStyle w:val="BodyText"/>
              <w:spacing w:before="0"/>
              <w:rPr>
                <w:sz w:val="18"/>
                <w:szCs w:val="18"/>
              </w:rPr>
            </w:pPr>
          </w:p>
        </w:tc>
      </w:tr>
      <w:tr w:rsidR="00A93544" w:rsidRPr="00477403" w14:paraId="62ED775D" w14:textId="77777777" w:rsidTr="00C14259">
        <w:trPr>
          <w:trHeight w:val="255"/>
        </w:trPr>
        <w:tc>
          <w:tcPr>
            <w:tcW w:w="2286" w:type="dxa"/>
            <w:noWrap/>
            <w:hideMark/>
          </w:tcPr>
          <w:p w14:paraId="170586C7" w14:textId="77777777" w:rsidR="00A93544" w:rsidRPr="00477403" w:rsidRDefault="00A93544" w:rsidP="00C14259">
            <w:pPr>
              <w:pStyle w:val="BodyText"/>
              <w:spacing w:before="0"/>
              <w:jc w:val="left"/>
              <w:rPr>
                <w:sz w:val="18"/>
                <w:szCs w:val="18"/>
              </w:rPr>
            </w:pPr>
            <w:r w:rsidRPr="00477403">
              <w:rPr>
                <w:sz w:val="18"/>
                <w:szCs w:val="18"/>
              </w:rPr>
              <w:t>Federation University Australia</w:t>
            </w:r>
          </w:p>
        </w:tc>
        <w:tc>
          <w:tcPr>
            <w:tcW w:w="378" w:type="dxa"/>
            <w:noWrap/>
            <w:hideMark/>
          </w:tcPr>
          <w:p w14:paraId="4A102C93" w14:textId="77777777" w:rsidR="00A93544" w:rsidRPr="00477403" w:rsidRDefault="00A93544" w:rsidP="00A42147">
            <w:pPr>
              <w:pStyle w:val="BodyText"/>
              <w:spacing w:before="0"/>
              <w:rPr>
                <w:sz w:val="18"/>
                <w:szCs w:val="18"/>
              </w:rPr>
            </w:pPr>
          </w:p>
        </w:tc>
        <w:tc>
          <w:tcPr>
            <w:tcW w:w="2715" w:type="dxa"/>
            <w:noWrap/>
            <w:hideMark/>
          </w:tcPr>
          <w:p w14:paraId="698AEAA7" w14:textId="77777777" w:rsidR="00A93544" w:rsidRPr="00477403" w:rsidRDefault="00A93544" w:rsidP="00C14259">
            <w:pPr>
              <w:pStyle w:val="BodyText"/>
              <w:spacing w:before="0"/>
              <w:jc w:val="left"/>
              <w:rPr>
                <w:sz w:val="18"/>
                <w:szCs w:val="18"/>
              </w:rPr>
            </w:pPr>
            <w:r w:rsidRPr="00477403">
              <w:rPr>
                <w:sz w:val="18"/>
                <w:szCs w:val="18"/>
              </w:rPr>
              <w:t>The University of Adelaide</w:t>
            </w:r>
          </w:p>
        </w:tc>
        <w:tc>
          <w:tcPr>
            <w:tcW w:w="358" w:type="dxa"/>
            <w:noWrap/>
            <w:hideMark/>
          </w:tcPr>
          <w:p w14:paraId="1158EE0D" w14:textId="77777777" w:rsidR="00A93544" w:rsidRPr="00477403" w:rsidRDefault="00A93544" w:rsidP="00A42147">
            <w:pPr>
              <w:pStyle w:val="BodyText"/>
              <w:spacing w:before="0"/>
              <w:rPr>
                <w:sz w:val="18"/>
                <w:szCs w:val="18"/>
              </w:rPr>
            </w:pPr>
          </w:p>
        </w:tc>
        <w:tc>
          <w:tcPr>
            <w:tcW w:w="2407" w:type="dxa"/>
            <w:noWrap/>
          </w:tcPr>
          <w:p w14:paraId="1BB112FC" w14:textId="77777777" w:rsidR="00A93544" w:rsidRPr="00477403" w:rsidRDefault="00A93544" w:rsidP="00C14259">
            <w:pPr>
              <w:pStyle w:val="BodyText"/>
              <w:spacing w:before="0"/>
              <w:jc w:val="left"/>
              <w:rPr>
                <w:sz w:val="18"/>
                <w:szCs w:val="18"/>
              </w:rPr>
            </w:pPr>
            <w:r w:rsidRPr="00477403">
              <w:rPr>
                <w:sz w:val="18"/>
                <w:szCs w:val="18"/>
              </w:rPr>
              <w:t>University of Technology Sydney</w:t>
            </w:r>
          </w:p>
        </w:tc>
        <w:tc>
          <w:tcPr>
            <w:tcW w:w="358" w:type="dxa"/>
          </w:tcPr>
          <w:p w14:paraId="7332121A" w14:textId="77777777" w:rsidR="00A93544" w:rsidRPr="00477403" w:rsidRDefault="00A93544" w:rsidP="00A42147">
            <w:pPr>
              <w:pStyle w:val="BodyText"/>
              <w:spacing w:before="0"/>
              <w:rPr>
                <w:sz w:val="18"/>
                <w:szCs w:val="18"/>
              </w:rPr>
            </w:pPr>
          </w:p>
        </w:tc>
      </w:tr>
      <w:tr w:rsidR="00A93544" w:rsidRPr="00477403" w14:paraId="4F598348" w14:textId="77777777" w:rsidTr="00C14259">
        <w:trPr>
          <w:trHeight w:val="255"/>
        </w:trPr>
        <w:tc>
          <w:tcPr>
            <w:tcW w:w="2286" w:type="dxa"/>
            <w:noWrap/>
            <w:hideMark/>
          </w:tcPr>
          <w:p w14:paraId="4B0917CE" w14:textId="77777777" w:rsidR="00A93544" w:rsidRPr="00477403" w:rsidRDefault="00A93544" w:rsidP="00C14259">
            <w:pPr>
              <w:pStyle w:val="BodyText"/>
              <w:spacing w:before="0"/>
              <w:jc w:val="left"/>
              <w:rPr>
                <w:sz w:val="18"/>
                <w:szCs w:val="18"/>
              </w:rPr>
            </w:pPr>
            <w:r w:rsidRPr="00477403">
              <w:rPr>
                <w:sz w:val="18"/>
                <w:szCs w:val="18"/>
              </w:rPr>
              <w:t>Flinders University</w:t>
            </w:r>
          </w:p>
        </w:tc>
        <w:tc>
          <w:tcPr>
            <w:tcW w:w="378" w:type="dxa"/>
            <w:noWrap/>
            <w:hideMark/>
          </w:tcPr>
          <w:p w14:paraId="36E31EB1" w14:textId="77777777" w:rsidR="00A93544" w:rsidRPr="00477403" w:rsidRDefault="00A93544" w:rsidP="00A42147">
            <w:pPr>
              <w:pStyle w:val="BodyText"/>
              <w:spacing w:before="0"/>
              <w:rPr>
                <w:sz w:val="18"/>
                <w:szCs w:val="18"/>
              </w:rPr>
            </w:pPr>
          </w:p>
        </w:tc>
        <w:tc>
          <w:tcPr>
            <w:tcW w:w="2715" w:type="dxa"/>
            <w:noWrap/>
            <w:hideMark/>
          </w:tcPr>
          <w:p w14:paraId="421D3282" w14:textId="77777777" w:rsidR="00A93544" w:rsidRPr="00101B25" w:rsidRDefault="00A93544" w:rsidP="00C14259">
            <w:pPr>
              <w:pStyle w:val="BodyText"/>
              <w:spacing w:before="0"/>
              <w:jc w:val="left"/>
              <w:rPr>
                <w:b/>
                <w:sz w:val="18"/>
                <w:szCs w:val="18"/>
              </w:rPr>
            </w:pPr>
            <w:r w:rsidRPr="00101B25">
              <w:rPr>
                <w:b/>
                <w:sz w:val="18"/>
                <w:szCs w:val="18"/>
              </w:rPr>
              <w:t>The University of Melbourne</w:t>
            </w:r>
          </w:p>
        </w:tc>
        <w:tc>
          <w:tcPr>
            <w:tcW w:w="358" w:type="dxa"/>
            <w:noWrap/>
            <w:hideMark/>
          </w:tcPr>
          <w:p w14:paraId="752786A1" w14:textId="77777777" w:rsidR="00A93544" w:rsidRPr="00101B25" w:rsidRDefault="00A93544" w:rsidP="00A42147">
            <w:pPr>
              <w:pStyle w:val="BodyText"/>
              <w:spacing w:before="0"/>
              <w:rPr>
                <w:b/>
                <w:sz w:val="18"/>
                <w:szCs w:val="18"/>
              </w:rPr>
            </w:pPr>
            <w:r w:rsidRPr="00101B25">
              <w:rPr>
                <w:b/>
                <w:sz w:val="18"/>
                <w:szCs w:val="18"/>
              </w:rPr>
              <w:sym w:font="Wingdings" w:char="F0FC"/>
            </w:r>
          </w:p>
        </w:tc>
        <w:tc>
          <w:tcPr>
            <w:tcW w:w="2407" w:type="dxa"/>
            <w:noWrap/>
          </w:tcPr>
          <w:p w14:paraId="0864D3CA" w14:textId="77777777" w:rsidR="00A93544" w:rsidRPr="00101B25" w:rsidRDefault="00A93544" w:rsidP="00C14259">
            <w:pPr>
              <w:pStyle w:val="BodyText"/>
              <w:spacing w:before="0"/>
              <w:jc w:val="left"/>
              <w:rPr>
                <w:b/>
                <w:sz w:val="18"/>
                <w:szCs w:val="18"/>
              </w:rPr>
            </w:pPr>
            <w:r w:rsidRPr="00101B25">
              <w:rPr>
                <w:b/>
                <w:sz w:val="18"/>
                <w:szCs w:val="18"/>
              </w:rPr>
              <w:t>University of the Sunshine Coast</w:t>
            </w:r>
          </w:p>
        </w:tc>
        <w:tc>
          <w:tcPr>
            <w:tcW w:w="358" w:type="dxa"/>
          </w:tcPr>
          <w:p w14:paraId="1F1DA541" w14:textId="77777777" w:rsidR="00A93544" w:rsidRPr="00101B25" w:rsidRDefault="00A93544" w:rsidP="00A42147">
            <w:pPr>
              <w:pStyle w:val="BodyText"/>
              <w:spacing w:before="0"/>
              <w:rPr>
                <w:b/>
                <w:sz w:val="18"/>
                <w:szCs w:val="18"/>
              </w:rPr>
            </w:pPr>
            <w:r w:rsidRPr="00101B25">
              <w:rPr>
                <w:b/>
                <w:sz w:val="18"/>
                <w:szCs w:val="18"/>
              </w:rPr>
              <w:sym w:font="Wingdings" w:char="F0FC"/>
            </w:r>
          </w:p>
        </w:tc>
      </w:tr>
      <w:tr w:rsidR="00A93544" w:rsidRPr="00477403" w14:paraId="102A8F3B" w14:textId="77777777" w:rsidTr="00C14259">
        <w:trPr>
          <w:trHeight w:val="255"/>
        </w:trPr>
        <w:tc>
          <w:tcPr>
            <w:tcW w:w="2286" w:type="dxa"/>
            <w:noWrap/>
            <w:hideMark/>
          </w:tcPr>
          <w:p w14:paraId="380E44BD" w14:textId="77777777" w:rsidR="00A93544" w:rsidRPr="00101B25" w:rsidRDefault="00A93544" w:rsidP="00C14259">
            <w:pPr>
              <w:pStyle w:val="BodyText"/>
              <w:spacing w:before="0"/>
              <w:jc w:val="left"/>
              <w:rPr>
                <w:b/>
                <w:sz w:val="18"/>
                <w:szCs w:val="18"/>
              </w:rPr>
            </w:pPr>
            <w:r w:rsidRPr="00101B25">
              <w:rPr>
                <w:b/>
                <w:sz w:val="18"/>
                <w:szCs w:val="18"/>
              </w:rPr>
              <w:t>Griffith University</w:t>
            </w:r>
          </w:p>
        </w:tc>
        <w:tc>
          <w:tcPr>
            <w:tcW w:w="378" w:type="dxa"/>
            <w:noWrap/>
            <w:hideMark/>
          </w:tcPr>
          <w:p w14:paraId="166FC980" w14:textId="77777777" w:rsidR="00A93544" w:rsidRPr="00101B25" w:rsidRDefault="00A93544" w:rsidP="00A42147">
            <w:pPr>
              <w:pStyle w:val="BodyText"/>
              <w:spacing w:before="0"/>
              <w:rPr>
                <w:b/>
                <w:sz w:val="18"/>
                <w:szCs w:val="18"/>
              </w:rPr>
            </w:pPr>
            <w:r w:rsidRPr="00101B25">
              <w:rPr>
                <w:b/>
                <w:sz w:val="18"/>
                <w:szCs w:val="18"/>
              </w:rPr>
              <w:sym w:font="Wingdings" w:char="F0FC"/>
            </w:r>
          </w:p>
        </w:tc>
        <w:tc>
          <w:tcPr>
            <w:tcW w:w="2715" w:type="dxa"/>
            <w:noWrap/>
            <w:hideMark/>
          </w:tcPr>
          <w:p w14:paraId="5991E7E0" w14:textId="77777777" w:rsidR="00A93544" w:rsidRPr="00101B25" w:rsidRDefault="00A93544" w:rsidP="00C14259">
            <w:pPr>
              <w:pStyle w:val="BodyText"/>
              <w:spacing w:before="0"/>
              <w:jc w:val="left"/>
              <w:rPr>
                <w:b/>
                <w:sz w:val="18"/>
                <w:szCs w:val="18"/>
              </w:rPr>
            </w:pPr>
            <w:r w:rsidRPr="00101B25">
              <w:rPr>
                <w:b/>
                <w:sz w:val="18"/>
                <w:szCs w:val="18"/>
              </w:rPr>
              <w:t>The University of New England</w:t>
            </w:r>
          </w:p>
        </w:tc>
        <w:tc>
          <w:tcPr>
            <w:tcW w:w="358" w:type="dxa"/>
            <w:noWrap/>
            <w:hideMark/>
          </w:tcPr>
          <w:p w14:paraId="4D7954F1" w14:textId="77777777" w:rsidR="00A93544" w:rsidRPr="00101B25" w:rsidRDefault="00A93544" w:rsidP="00A42147">
            <w:pPr>
              <w:pStyle w:val="BodyText"/>
              <w:spacing w:before="0"/>
              <w:rPr>
                <w:b/>
                <w:sz w:val="18"/>
                <w:szCs w:val="18"/>
              </w:rPr>
            </w:pPr>
            <w:r w:rsidRPr="00101B25">
              <w:rPr>
                <w:b/>
                <w:sz w:val="18"/>
                <w:szCs w:val="18"/>
              </w:rPr>
              <w:sym w:font="Wingdings" w:char="F0FC"/>
            </w:r>
          </w:p>
        </w:tc>
        <w:tc>
          <w:tcPr>
            <w:tcW w:w="2407" w:type="dxa"/>
            <w:noWrap/>
          </w:tcPr>
          <w:p w14:paraId="42BC6FDA" w14:textId="77777777" w:rsidR="00A93544" w:rsidRPr="00101B25" w:rsidRDefault="00A93544" w:rsidP="00C14259">
            <w:pPr>
              <w:pStyle w:val="BodyText"/>
              <w:spacing w:before="0"/>
              <w:jc w:val="left"/>
              <w:rPr>
                <w:b/>
                <w:sz w:val="18"/>
                <w:szCs w:val="18"/>
              </w:rPr>
            </w:pPr>
            <w:r w:rsidRPr="00101B25">
              <w:rPr>
                <w:b/>
                <w:sz w:val="18"/>
                <w:szCs w:val="18"/>
              </w:rPr>
              <w:t>Victoria University</w:t>
            </w:r>
          </w:p>
        </w:tc>
        <w:tc>
          <w:tcPr>
            <w:tcW w:w="358" w:type="dxa"/>
          </w:tcPr>
          <w:p w14:paraId="521BD0EA" w14:textId="77777777" w:rsidR="00A93544" w:rsidRPr="00101B25" w:rsidRDefault="00A93544" w:rsidP="00A42147">
            <w:pPr>
              <w:pStyle w:val="BodyText"/>
              <w:spacing w:before="0"/>
              <w:rPr>
                <w:b/>
                <w:sz w:val="18"/>
                <w:szCs w:val="18"/>
              </w:rPr>
            </w:pPr>
            <w:r w:rsidRPr="00101B25">
              <w:rPr>
                <w:b/>
                <w:sz w:val="18"/>
                <w:szCs w:val="18"/>
              </w:rPr>
              <w:sym w:font="Wingdings" w:char="F0FC"/>
            </w:r>
          </w:p>
        </w:tc>
      </w:tr>
      <w:tr w:rsidR="00A93544" w:rsidRPr="00477403" w14:paraId="377CF34B" w14:textId="77777777" w:rsidTr="00C14259">
        <w:trPr>
          <w:trHeight w:val="255"/>
        </w:trPr>
        <w:tc>
          <w:tcPr>
            <w:tcW w:w="2286" w:type="dxa"/>
            <w:noWrap/>
            <w:hideMark/>
          </w:tcPr>
          <w:p w14:paraId="4BC58554" w14:textId="77777777" w:rsidR="00A93544" w:rsidRPr="00101B25" w:rsidRDefault="00A93544" w:rsidP="00C14259">
            <w:pPr>
              <w:pStyle w:val="BodyText"/>
              <w:spacing w:before="0"/>
              <w:jc w:val="left"/>
              <w:rPr>
                <w:b/>
                <w:sz w:val="18"/>
                <w:szCs w:val="18"/>
              </w:rPr>
            </w:pPr>
            <w:r w:rsidRPr="00101B25">
              <w:rPr>
                <w:b/>
                <w:sz w:val="18"/>
                <w:szCs w:val="18"/>
              </w:rPr>
              <w:t>James Cook University</w:t>
            </w:r>
          </w:p>
        </w:tc>
        <w:tc>
          <w:tcPr>
            <w:tcW w:w="378" w:type="dxa"/>
            <w:noWrap/>
            <w:hideMark/>
          </w:tcPr>
          <w:p w14:paraId="7398B883" w14:textId="77777777" w:rsidR="00A93544" w:rsidRPr="00101B25" w:rsidRDefault="00A93544" w:rsidP="00A42147">
            <w:pPr>
              <w:pStyle w:val="BodyText"/>
              <w:spacing w:before="0"/>
              <w:rPr>
                <w:b/>
                <w:sz w:val="18"/>
                <w:szCs w:val="18"/>
              </w:rPr>
            </w:pPr>
            <w:r w:rsidRPr="00101B25">
              <w:rPr>
                <w:b/>
                <w:sz w:val="18"/>
                <w:szCs w:val="18"/>
              </w:rPr>
              <w:sym w:font="Wingdings" w:char="F0FC"/>
            </w:r>
          </w:p>
        </w:tc>
        <w:tc>
          <w:tcPr>
            <w:tcW w:w="2715" w:type="dxa"/>
            <w:noWrap/>
            <w:hideMark/>
          </w:tcPr>
          <w:p w14:paraId="44EB60FE" w14:textId="77777777" w:rsidR="00A93544" w:rsidRPr="00477403" w:rsidRDefault="00A93544" w:rsidP="00C14259">
            <w:pPr>
              <w:pStyle w:val="BodyText"/>
              <w:spacing w:before="0"/>
              <w:jc w:val="left"/>
              <w:rPr>
                <w:sz w:val="18"/>
                <w:szCs w:val="18"/>
              </w:rPr>
            </w:pPr>
            <w:r w:rsidRPr="00477403">
              <w:rPr>
                <w:sz w:val="18"/>
                <w:szCs w:val="18"/>
              </w:rPr>
              <w:t>The University of New South Wales</w:t>
            </w:r>
          </w:p>
        </w:tc>
        <w:tc>
          <w:tcPr>
            <w:tcW w:w="358" w:type="dxa"/>
            <w:noWrap/>
            <w:hideMark/>
          </w:tcPr>
          <w:p w14:paraId="14F4BD3A" w14:textId="77777777" w:rsidR="00A93544" w:rsidRPr="00477403" w:rsidRDefault="00A93544" w:rsidP="00A42147">
            <w:pPr>
              <w:pStyle w:val="BodyText"/>
              <w:spacing w:before="0"/>
              <w:rPr>
                <w:sz w:val="18"/>
                <w:szCs w:val="18"/>
              </w:rPr>
            </w:pPr>
          </w:p>
        </w:tc>
        <w:tc>
          <w:tcPr>
            <w:tcW w:w="2407" w:type="dxa"/>
            <w:noWrap/>
          </w:tcPr>
          <w:p w14:paraId="0C0C2274" w14:textId="77777777" w:rsidR="00A93544" w:rsidRPr="00477403" w:rsidRDefault="00A93544" w:rsidP="00C14259">
            <w:pPr>
              <w:pStyle w:val="BodyText"/>
              <w:spacing w:before="0"/>
              <w:jc w:val="left"/>
              <w:rPr>
                <w:sz w:val="18"/>
                <w:szCs w:val="18"/>
              </w:rPr>
            </w:pPr>
            <w:r w:rsidRPr="00477403">
              <w:rPr>
                <w:sz w:val="18"/>
                <w:szCs w:val="18"/>
              </w:rPr>
              <w:t>Western Sydney University</w:t>
            </w:r>
          </w:p>
        </w:tc>
        <w:tc>
          <w:tcPr>
            <w:tcW w:w="358" w:type="dxa"/>
          </w:tcPr>
          <w:p w14:paraId="48928173" w14:textId="77777777" w:rsidR="00A93544" w:rsidRPr="00477403" w:rsidRDefault="00A93544" w:rsidP="00A42147">
            <w:pPr>
              <w:pStyle w:val="BodyText"/>
              <w:spacing w:before="0"/>
              <w:rPr>
                <w:sz w:val="18"/>
                <w:szCs w:val="18"/>
              </w:rPr>
            </w:pPr>
          </w:p>
        </w:tc>
      </w:tr>
      <w:tr w:rsidR="00A93544" w:rsidRPr="00477403" w14:paraId="369BEAAD" w14:textId="77777777" w:rsidTr="00C14259">
        <w:trPr>
          <w:trHeight w:val="255"/>
        </w:trPr>
        <w:tc>
          <w:tcPr>
            <w:tcW w:w="2286" w:type="dxa"/>
            <w:noWrap/>
            <w:hideMark/>
          </w:tcPr>
          <w:p w14:paraId="4F8E47E8" w14:textId="77777777" w:rsidR="00A93544" w:rsidRPr="00477403" w:rsidRDefault="00A93544" w:rsidP="00C14259">
            <w:pPr>
              <w:pStyle w:val="BodyText"/>
              <w:spacing w:before="0"/>
              <w:jc w:val="left"/>
              <w:rPr>
                <w:sz w:val="18"/>
                <w:szCs w:val="18"/>
              </w:rPr>
            </w:pPr>
            <w:r w:rsidRPr="00477403">
              <w:rPr>
                <w:sz w:val="18"/>
                <w:szCs w:val="18"/>
              </w:rPr>
              <w:t>La Trobe University</w:t>
            </w:r>
          </w:p>
        </w:tc>
        <w:tc>
          <w:tcPr>
            <w:tcW w:w="378" w:type="dxa"/>
            <w:noWrap/>
            <w:hideMark/>
          </w:tcPr>
          <w:p w14:paraId="206969F2" w14:textId="77777777" w:rsidR="00A93544" w:rsidRPr="00477403" w:rsidRDefault="00A93544" w:rsidP="00A42147">
            <w:pPr>
              <w:pStyle w:val="BodyText"/>
              <w:spacing w:before="0"/>
              <w:rPr>
                <w:sz w:val="18"/>
                <w:szCs w:val="18"/>
              </w:rPr>
            </w:pPr>
          </w:p>
        </w:tc>
        <w:tc>
          <w:tcPr>
            <w:tcW w:w="2715" w:type="dxa"/>
            <w:noWrap/>
            <w:hideMark/>
          </w:tcPr>
          <w:p w14:paraId="07123A84" w14:textId="77777777" w:rsidR="00A93544" w:rsidRPr="00101B25" w:rsidRDefault="00A93544" w:rsidP="00C14259">
            <w:pPr>
              <w:pStyle w:val="BodyText"/>
              <w:spacing w:before="0"/>
              <w:jc w:val="left"/>
              <w:rPr>
                <w:b/>
                <w:sz w:val="18"/>
                <w:szCs w:val="18"/>
              </w:rPr>
            </w:pPr>
            <w:r w:rsidRPr="00101B25">
              <w:rPr>
                <w:b/>
                <w:sz w:val="18"/>
                <w:szCs w:val="18"/>
              </w:rPr>
              <w:t>The University of Newcastle</w:t>
            </w:r>
          </w:p>
        </w:tc>
        <w:tc>
          <w:tcPr>
            <w:tcW w:w="358" w:type="dxa"/>
            <w:noWrap/>
            <w:hideMark/>
          </w:tcPr>
          <w:p w14:paraId="615B8602" w14:textId="77777777" w:rsidR="00A93544" w:rsidRPr="00101B25" w:rsidRDefault="00A93544" w:rsidP="00A42147">
            <w:pPr>
              <w:pStyle w:val="BodyText"/>
              <w:spacing w:before="0"/>
              <w:rPr>
                <w:b/>
                <w:sz w:val="18"/>
                <w:szCs w:val="18"/>
              </w:rPr>
            </w:pPr>
            <w:r w:rsidRPr="00101B25">
              <w:rPr>
                <w:b/>
                <w:sz w:val="18"/>
                <w:szCs w:val="18"/>
              </w:rPr>
              <w:sym w:font="Wingdings" w:char="F0FC"/>
            </w:r>
          </w:p>
        </w:tc>
        <w:tc>
          <w:tcPr>
            <w:tcW w:w="2407" w:type="dxa"/>
            <w:noWrap/>
          </w:tcPr>
          <w:p w14:paraId="0F30F370" w14:textId="77777777" w:rsidR="00A93544" w:rsidRPr="00477403" w:rsidRDefault="00A93544" w:rsidP="00C14259">
            <w:pPr>
              <w:pStyle w:val="BodyText"/>
              <w:spacing w:before="0"/>
              <w:jc w:val="left"/>
              <w:rPr>
                <w:sz w:val="18"/>
                <w:szCs w:val="18"/>
              </w:rPr>
            </w:pPr>
          </w:p>
        </w:tc>
        <w:tc>
          <w:tcPr>
            <w:tcW w:w="358" w:type="dxa"/>
          </w:tcPr>
          <w:p w14:paraId="63F7DB10" w14:textId="77777777" w:rsidR="00A93544" w:rsidRPr="00477403" w:rsidRDefault="00A93544" w:rsidP="00A42147">
            <w:pPr>
              <w:pStyle w:val="BodyText"/>
              <w:spacing w:before="0"/>
              <w:rPr>
                <w:sz w:val="18"/>
                <w:szCs w:val="18"/>
              </w:rPr>
            </w:pPr>
          </w:p>
        </w:tc>
      </w:tr>
      <w:tr w:rsidR="00A93544" w:rsidRPr="00477403" w14:paraId="24E44B6C" w14:textId="77777777" w:rsidTr="00C14259">
        <w:trPr>
          <w:trHeight w:val="255"/>
        </w:trPr>
        <w:tc>
          <w:tcPr>
            <w:tcW w:w="2286" w:type="dxa"/>
            <w:noWrap/>
            <w:hideMark/>
          </w:tcPr>
          <w:p w14:paraId="1686BDFA" w14:textId="77777777" w:rsidR="00A93544" w:rsidRPr="00477403" w:rsidRDefault="00A93544" w:rsidP="00C14259">
            <w:pPr>
              <w:pStyle w:val="BodyText"/>
              <w:spacing w:before="0"/>
              <w:jc w:val="left"/>
              <w:rPr>
                <w:sz w:val="18"/>
                <w:szCs w:val="18"/>
              </w:rPr>
            </w:pPr>
            <w:r w:rsidRPr="00477403">
              <w:rPr>
                <w:sz w:val="18"/>
                <w:szCs w:val="18"/>
              </w:rPr>
              <w:t>Macquarie University</w:t>
            </w:r>
          </w:p>
        </w:tc>
        <w:tc>
          <w:tcPr>
            <w:tcW w:w="378" w:type="dxa"/>
            <w:noWrap/>
            <w:hideMark/>
          </w:tcPr>
          <w:p w14:paraId="4A32CC1A" w14:textId="77777777" w:rsidR="00A93544" w:rsidRPr="00477403" w:rsidRDefault="00A93544" w:rsidP="00A42147">
            <w:pPr>
              <w:pStyle w:val="BodyText"/>
              <w:spacing w:before="0"/>
              <w:rPr>
                <w:sz w:val="18"/>
                <w:szCs w:val="18"/>
              </w:rPr>
            </w:pPr>
          </w:p>
        </w:tc>
        <w:tc>
          <w:tcPr>
            <w:tcW w:w="2715" w:type="dxa"/>
            <w:noWrap/>
            <w:hideMark/>
          </w:tcPr>
          <w:p w14:paraId="19CCE8B3" w14:textId="77777777" w:rsidR="00A93544" w:rsidRPr="00101B25" w:rsidRDefault="00A93544" w:rsidP="00C14259">
            <w:pPr>
              <w:pStyle w:val="BodyText"/>
              <w:spacing w:before="0"/>
              <w:jc w:val="left"/>
              <w:rPr>
                <w:b/>
                <w:sz w:val="18"/>
                <w:szCs w:val="18"/>
              </w:rPr>
            </w:pPr>
            <w:r w:rsidRPr="00101B25">
              <w:rPr>
                <w:b/>
                <w:sz w:val="18"/>
                <w:szCs w:val="18"/>
              </w:rPr>
              <w:t>The University of Queensland</w:t>
            </w:r>
          </w:p>
        </w:tc>
        <w:tc>
          <w:tcPr>
            <w:tcW w:w="358" w:type="dxa"/>
            <w:noWrap/>
            <w:hideMark/>
          </w:tcPr>
          <w:p w14:paraId="6507DA0A" w14:textId="77777777" w:rsidR="00A93544" w:rsidRPr="00101B25" w:rsidRDefault="00A93544" w:rsidP="00A42147">
            <w:pPr>
              <w:pStyle w:val="BodyText"/>
              <w:spacing w:before="0"/>
              <w:rPr>
                <w:b/>
                <w:sz w:val="18"/>
                <w:szCs w:val="18"/>
              </w:rPr>
            </w:pPr>
            <w:r w:rsidRPr="00101B25">
              <w:rPr>
                <w:b/>
                <w:sz w:val="18"/>
                <w:szCs w:val="18"/>
              </w:rPr>
              <w:sym w:font="Wingdings" w:char="F0FC"/>
            </w:r>
          </w:p>
        </w:tc>
        <w:tc>
          <w:tcPr>
            <w:tcW w:w="2407" w:type="dxa"/>
            <w:noWrap/>
            <w:hideMark/>
          </w:tcPr>
          <w:p w14:paraId="7944A89E" w14:textId="77777777" w:rsidR="00A93544" w:rsidRPr="00477403" w:rsidRDefault="00A93544" w:rsidP="00C14259">
            <w:pPr>
              <w:pStyle w:val="BodyText"/>
              <w:spacing w:before="0"/>
              <w:jc w:val="left"/>
              <w:rPr>
                <w:sz w:val="18"/>
                <w:szCs w:val="18"/>
              </w:rPr>
            </w:pPr>
          </w:p>
        </w:tc>
        <w:tc>
          <w:tcPr>
            <w:tcW w:w="358" w:type="dxa"/>
          </w:tcPr>
          <w:p w14:paraId="5A05A052" w14:textId="77777777" w:rsidR="00A93544" w:rsidRPr="00477403" w:rsidRDefault="00A93544" w:rsidP="00A42147">
            <w:pPr>
              <w:pStyle w:val="BodyText"/>
              <w:spacing w:before="0"/>
              <w:rPr>
                <w:sz w:val="18"/>
                <w:szCs w:val="18"/>
              </w:rPr>
            </w:pPr>
          </w:p>
        </w:tc>
      </w:tr>
    </w:tbl>
    <w:p w14:paraId="652E3BB5" w14:textId="77777777" w:rsidR="00A93544" w:rsidRDefault="00A93544" w:rsidP="00A93544">
      <w:pPr>
        <w:pStyle w:val="Source"/>
      </w:pPr>
      <w:r>
        <w:t>Source: Universities Australia. Table A universities shown only.</w:t>
      </w:r>
      <w:r w:rsidR="000F4313">
        <w:t xml:space="preserve"> Note one university provided partial data.</w:t>
      </w:r>
    </w:p>
    <w:p w14:paraId="39B587EA" w14:textId="77777777" w:rsidR="00A93544" w:rsidRDefault="00A93544" w:rsidP="00A93544">
      <w:pPr>
        <w:pStyle w:val="Heading3"/>
      </w:pPr>
      <w:bookmarkStart w:id="197" w:name="_Ref465934530"/>
      <w:r>
        <w:t>Dimensions of representativeness</w:t>
      </w:r>
      <w:bookmarkEnd w:id="197"/>
    </w:p>
    <w:p w14:paraId="042BEAD6" w14:textId="327DD01E" w:rsidR="00A93544" w:rsidRPr="00082776" w:rsidRDefault="00A93544" w:rsidP="00A93544">
      <w:pPr>
        <w:pStyle w:val="BodyText"/>
      </w:pPr>
      <w:r>
        <w:t>Nine university characteristics or attributes are identified as relevant to the determination of representativeness for the purposes of ascertaining the cost of higher education provision and understanding the factors that drive its variation.  These characteristics have been based on the findings of previous analysis – principally Deloitte Access Economics’ 2011 study – and based on a wider review of university costs and cost drivers/indicators.  Each of these characteristics is analyse</w:t>
      </w:r>
      <w:r w:rsidR="001A25AF">
        <w:t>d</w:t>
      </w:r>
      <w:r>
        <w:t xml:space="preserve"> in the sub-sections below. </w:t>
      </w:r>
    </w:p>
    <w:p w14:paraId="23DCCA84" w14:textId="77777777" w:rsidR="00A93544" w:rsidRPr="000A461B" w:rsidRDefault="00A93544" w:rsidP="00A93544">
      <w:pPr>
        <w:pStyle w:val="HeadingC"/>
      </w:pPr>
      <w:r w:rsidRPr="000A461B">
        <w:t>Characteristic #1 – Affiliation and geography</w:t>
      </w:r>
    </w:p>
    <w:p w14:paraId="6851FB53" w14:textId="77777777" w:rsidR="00A93544" w:rsidRDefault="00A93544" w:rsidP="00A93544">
      <w:pPr>
        <w:pStyle w:val="BodyText"/>
      </w:pPr>
      <w:r>
        <w:t xml:space="preserve">Affiliations are not direct drivers of cost, but are important signals of other attributes, such as size, metro-rural location, and research intensity. Geography is an important factor in </w:t>
      </w:r>
      <w:r w:rsidRPr="00327327">
        <w:t>determining the cost base, as well as the ability to attract well-qualified academic staff</w:t>
      </w:r>
      <w:r>
        <w:t xml:space="preserve"> (which in turn impacts costs)</w:t>
      </w:r>
      <w:r w:rsidRPr="00327327">
        <w:t xml:space="preserve">.  </w:t>
      </w:r>
    </w:p>
    <w:p w14:paraId="2C238309" w14:textId="77777777" w:rsidR="00A93544" w:rsidRDefault="00A93544" w:rsidP="00A93544">
      <w:pPr>
        <w:pStyle w:val="BodyText"/>
      </w:pPr>
      <w:r>
        <w:fldChar w:fldCharType="begin"/>
      </w:r>
      <w:r>
        <w:instrText xml:space="preserve"> REF _Ref464814927 \r \h </w:instrText>
      </w:r>
      <w:r>
        <w:fldChar w:fldCharType="separate"/>
      </w:r>
      <w:r w:rsidR="00595C6E">
        <w:t>Chart 2.1</w:t>
      </w:r>
      <w:r>
        <w:fldChar w:fldCharType="end"/>
      </w:r>
      <w:r>
        <w:t xml:space="preserve"> </w:t>
      </w:r>
      <w:r w:rsidRPr="00327327">
        <w:t>shows the affiliation and geography of participating universities. The ATN affiliation is represent</w:t>
      </w:r>
      <w:r>
        <w:t>ed by Curtin University, and Queensland University of Technology</w:t>
      </w:r>
      <w:r w:rsidRPr="00327327">
        <w:t xml:space="preserve">. The Group of Eight affiliation is represented by Monash, </w:t>
      </w:r>
      <w:r>
        <w:t>University of Melbourne</w:t>
      </w:r>
      <w:r w:rsidRPr="00327327">
        <w:t xml:space="preserve">, </w:t>
      </w:r>
      <w:r>
        <w:t>University of Sydney, and University of Queensland</w:t>
      </w:r>
      <w:r w:rsidRPr="00327327">
        <w:t xml:space="preserve">. The IRU affiliation is represented by </w:t>
      </w:r>
      <w:r w:rsidRPr="00327327">
        <w:lastRenderedPageBreak/>
        <w:t xml:space="preserve">Griffith, and James Cook University. RUN universities include University of New England, University of </w:t>
      </w:r>
      <w:r>
        <w:t>Southern Queensland,</w:t>
      </w:r>
      <w:r w:rsidRPr="00327327">
        <w:t xml:space="preserve"> University of the Sunshine Coast</w:t>
      </w:r>
      <w:r>
        <w:t>, and Southern Cross University</w:t>
      </w:r>
      <w:r w:rsidRPr="00327327">
        <w:t xml:space="preserve">. Unaligned universities include Charles Sturt, Deakin, The University of Newcastle, The University of </w:t>
      </w:r>
      <w:r>
        <w:t xml:space="preserve">Wollongong, </w:t>
      </w:r>
      <w:r w:rsidRPr="00327327">
        <w:t>and Victoria University</w:t>
      </w:r>
      <w:r w:rsidR="00E20F62">
        <w:t>, and Australian Catholic Universities</w:t>
      </w:r>
      <w:r w:rsidRPr="00327327">
        <w:t xml:space="preserve">. </w:t>
      </w:r>
    </w:p>
    <w:p w14:paraId="6966A89D" w14:textId="3B0C6A43" w:rsidR="00A93544" w:rsidRDefault="00A93544" w:rsidP="00A93544">
      <w:pPr>
        <w:pStyle w:val="BodyText"/>
      </w:pPr>
      <w:r w:rsidRPr="00327327">
        <w:t>The Eastern States are well-represented, with Vic</w:t>
      </w:r>
      <w:r>
        <w:t>toria</w:t>
      </w:r>
      <w:r w:rsidRPr="00327327">
        <w:t xml:space="preserve">, </w:t>
      </w:r>
      <w:r>
        <w:t xml:space="preserve">New South Wales </w:t>
      </w:r>
      <w:r w:rsidRPr="00327327">
        <w:t xml:space="preserve">and </w:t>
      </w:r>
      <w:r>
        <w:t>Queensland</w:t>
      </w:r>
      <w:r w:rsidRPr="00327327">
        <w:t xml:space="preserve"> exemplified by four pa</w:t>
      </w:r>
      <w:r>
        <w:t>rticipants each. Neither the ACT</w:t>
      </w:r>
      <w:r w:rsidRPr="00327327">
        <w:t xml:space="preserve">, </w:t>
      </w:r>
      <w:r>
        <w:t>Northern Territory</w:t>
      </w:r>
      <w:r w:rsidRPr="00327327">
        <w:t>,</w:t>
      </w:r>
      <w:r>
        <w:t xml:space="preserve"> South Australia</w:t>
      </w:r>
      <w:r w:rsidRPr="00327327">
        <w:t xml:space="preserve"> </w:t>
      </w:r>
      <w:r>
        <w:t>nor</w:t>
      </w:r>
      <w:r w:rsidRPr="00327327">
        <w:t xml:space="preserve"> </w:t>
      </w:r>
      <w:r>
        <w:t>Tasmania are represented. Western Australia only has one institution on the participant list. Australian Catholic University has campuses throughout the country, but predominantly in the Eastern States.</w:t>
      </w:r>
    </w:p>
    <w:p w14:paraId="225F7FA8" w14:textId="77777777" w:rsidR="00A93544" w:rsidRDefault="00A93544" w:rsidP="00A93544">
      <w:pPr>
        <w:pStyle w:val="CaptionChart"/>
      </w:pPr>
      <w:bookmarkStart w:id="198" w:name="_Toc464812090"/>
      <w:bookmarkStart w:id="199" w:name="_Ref464814927"/>
      <w:bookmarkStart w:id="200" w:name="_Toc469927359"/>
      <w:r>
        <w:t>: Australian universities by affiliation and geography</w:t>
      </w:r>
      <w:bookmarkEnd w:id="198"/>
      <w:bookmarkEnd w:id="199"/>
      <w:bookmarkEnd w:id="200"/>
    </w:p>
    <w:p w14:paraId="44B103BB" w14:textId="77777777" w:rsidR="00A93544" w:rsidRDefault="00A93544" w:rsidP="00A93544">
      <w:pPr>
        <w:pStyle w:val="BodyText"/>
        <w:jc w:val="center"/>
      </w:pPr>
      <w:r w:rsidRPr="00F91DAE">
        <w:rPr>
          <w:noProof/>
          <w:lang w:eastAsia="en-AU"/>
        </w:rPr>
        <w:drawing>
          <wp:inline distT="0" distB="0" distL="0" distR="0" wp14:anchorId="039C6086" wp14:editId="6A1EA05C">
            <wp:extent cx="3863340" cy="2276209"/>
            <wp:effectExtent l="0" t="0" r="3810" b="0"/>
            <wp:docPr id="29" name="Picture 29" descr="Comparison of university affiliation in WA, VIC, TAS, SA, QA, NT, NSW, ACT and Multi-state " title="Australian Universities by affiliation and ge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t="4401"/>
                    <a:stretch/>
                  </pic:blipFill>
                  <pic:spPr bwMode="auto">
                    <a:xfrm>
                      <a:off x="0" y="0"/>
                      <a:ext cx="3866219" cy="2277905"/>
                    </a:xfrm>
                    <a:prstGeom prst="rect">
                      <a:avLst/>
                    </a:prstGeom>
                    <a:ln>
                      <a:noFill/>
                    </a:ln>
                    <a:extLst>
                      <a:ext uri="{53640926-AAD7-44D8-BBD7-CCE9431645EC}">
                        <a14:shadowObscured xmlns:a14="http://schemas.microsoft.com/office/drawing/2010/main"/>
                      </a:ext>
                    </a:extLst>
                  </pic:spPr>
                </pic:pic>
              </a:graphicData>
            </a:graphic>
          </wp:inline>
        </w:drawing>
      </w:r>
    </w:p>
    <w:p w14:paraId="55E90382" w14:textId="77777777" w:rsidR="00A93544" w:rsidRDefault="00A93544" w:rsidP="00A93544">
      <w:pPr>
        <w:pStyle w:val="Source"/>
        <w:ind w:left="720" w:firstLine="720"/>
      </w:pPr>
      <w:r>
        <w:t>Source: Deloitte Access Economics</w:t>
      </w:r>
      <w:r w:rsidR="00F15E05">
        <w:t xml:space="preserve"> analysis</w:t>
      </w:r>
    </w:p>
    <w:p w14:paraId="7E6ACDBE" w14:textId="77777777" w:rsidR="00A93544" w:rsidRDefault="00A93544" w:rsidP="00A93544">
      <w:pPr>
        <w:pStyle w:val="CaptionChart"/>
      </w:pPr>
      <w:bookmarkStart w:id="201" w:name="_Toc469927360"/>
      <w:bookmarkStart w:id="202" w:name="_Ref465938404"/>
      <w:r>
        <w:t>: Australian universities by remoteness and EFTSL</w:t>
      </w:r>
      <w:bookmarkEnd w:id="201"/>
      <w:r>
        <w:t xml:space="preserve"> </w:t>
      </w:r>
      <w:bookmarkEnd w:id="202"/>
    </w:p>
    <w:p w14:paraId="6263FFF0" w14:textId="77777777" w:rsidR="00A93544" w:rsidRDefault="00A93544" w:rsidP="00A93544">
      <w:pPr>
        <w:pStyle w:val="Source"/>
        <w:jc w:val="center"/>
      </w:pPr>
      <w:r w:rsidRPr="00885C6B">
        <w:rPr>
          <w:noProof/>
          <w:lang w:eastAsia="en-AU"/>
        </w:rPr>
        <w:drawing>
          <wp:inline distT="0" distB="0" distL="0" distR="0" wp14:anchorId="3978B90D" wp14:editId="67600C0D">
            <wp:extent cx="4019550" cy="2296886"/>
            <wp:effectExtent l="0" t="0" r="0" b="8255"/>
            <wp:docPr id="419" name="Picture 419" descr="Comparison of Australian universities by remoteness and EFTSL " title="Australian universities by remoteness and EFT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020502" cy="2297430"/>
                    </a:xfrm>
                    <a:prstGeom prst="rect">
                      <a:avLst/>
                    </a:prstGeom>
                    <a:noFill/>
                    <a:ln>
                      <a:noFill/>
                    </a:ln>
                  </pic:spPr>
                </pic:pic>
              </a:graphicData>
            </a:graphic>
          </wp:inline>
        </w:drawing>
      </w:r>
    </w:p>
    <w:p w14:paraId="315E753A" w14:textId="77777777" w:rsidR="00A93544" w:rsidRDefault="00A93544" w:rsidP="00C65E81">
      <w:pPr>
        <w:pStyle w:val="Source"/>
        <w:ind w:left="1134" w:firstLine="567"/>
      </w:pPr>
      <w:r>
        <w:lastRenderedPageBreak/>
        <w:t>Source: Deloitte Access Economics</w:t>
      </w:r>
      <w:r w:rsidR="00F15E05">
        <w:t xml:space="preserve"> analysis, Department of education and Training</w:t>
      </w:r>
    </w:p>
    <w:p w14:paraId="3BF2B005" w14:textId="5D5D4F92" w:rsidR="00C65E81" w:rsidRPr="003E5C6F" w:rsidRDefault="00C65E81" w:rsidP="00C65E81">
      <w:pPr>
        <w:pStyle w:val="BodyText"/>
      </w:pPr>
      <w:r>
        <w:t>There is also consistent representation in terms of the remoteness of student (EFTSL) enrolments, with 54% of metropolitan EFTSL participating in this study, and 58% of regional EFTSL participating (</w:t>
      </w:r>
      <w:r>
        <w:fldChar w:fldCharType="begin"/>
      </w:r>
      <w:r>
        <w:instrText xml:space="preserve"> REF _Ref465938404 \r \h </w:instrText>
      </w:r>
      <w:r>
        <w:fldChar w:fldCharType="separate"/>
      </w:r>
      <w:r w:rsidR="00595C6E">
        <w:t>Chart 2.2</w:t>
      </w:r>
      <w:r>
        <w:fldChar w:fldCharType="end"/>
      </w:r>
      <w:r>
        <w:t xml:space="preserve">). </w:t>
      </w:r>
    </w:p>
    <w:p w14:paraId="0FC40026" w14:textId="77777777" w:rsidR="00A93544" w:rsidRPr="000A461B" w:rsidRDefault="00A93544" w:rsidP="00A93544">
      <w:pPr>
        <w:pStyle w:val="HeadingC"/>
      </w:pPr>
      <w:r w:rsidRPr="000A461B">
        <w:t>Characteristic #2 - Size</w:t>
      </w:r>
    </w:p>
    <w:p w14:paraId="6D466F9E" w14:textId="77777777" w:rsidR="00A93544" w:rsidRPr="00567C8A" w:rsidRDefault="00A93544" w:rsidP="00A93544">
      <w:pPr>
        <w:pStyle w:val="BodyText"/>
      </w:pPr>
      <w:r>
        <w:t xml:space="preserve">Size is a clear driver of unit cost, given the presence of economies of scale and scope within these institutions. </w:t>
      </w:r>
      <w:r>
        <w:fldChar w:fldCharType="begin"/>
      </w:r>
      <w:r>
        <w:instrText xml:space="preserve"> REF _Ref464814914 \r \h </w:instrText>
      </w:r>
      <w:r>
        <w:fldChar w:fldCharType="separate"/>
      </w:r>
      <w:r w:rsidR="00595C6E">
        <w:t>Chart 2.3</w:t>
      </w:r>
      <w:r>
        <w:fldChar w:fldCharType="end"/>
      </w:r>
      <w:r>
        <w:t xml:space="preserve"> shows 2015 student enrolments per university. The box plot on the right hand side shows that there is a reasonable level of representation of universities across the scale of enrolments in the current set of participating universities. However, the second and third quartiles are relatively underrepresented, with only two of nine universities in each, including </w:t>
      </w:r>
      <w:r w:rsidRPr="00327327">
        <w:t>Victoria University</w:t>
      </w:r>
      <w:r>
        <w:t xml:space="preserve">, </w:t>
      </w:r>
      <w:r w:rsidRPr="00327327">
        <w:t>University</w:t>
      </w:r>
      <w:r>
        <w:t xml:space="preserve"> </w:t>
      </w:r>
      <w:r w:rsidRPr="00327327">
        <w:t>of South Australia</w:t>
      </w:r>
      <w:r>
        <w:t xml:space="preserve">, </w:t>
      </w:r>
      <w:r w:rsidRPr="00327327">
        <w:t>The University of Newcastle</w:t>
      </w:r>
      <w:r>
        <w:t xml:space="preserve">, and </w:t>
      </w:r>
      <w:r w:rsidRPr="00327327">
        <w:t>Charles Sturt University</w:t>
      </w:r>
      <w:r>
        <w:t>.</w:t>
      </w:r>
    </w:p>
    <w:p w14:paraId="4234FAFB" w14:textId="77777777" w:rsidR="00A93544" w:rsidRDefault="00A93544" w:rsidP="00A93544">
      <w:pPr>
        <w:pStyle w:val="CaptionChart"/>
      </w:pPr>
      <w:bookmarkStart w:id="203" w:name="_Toc464812091"/>
      <w:bookmarkStart w:id="204" w:name="_Ref464814914"/>
      <w:bookmarkStart w:id="205" w:name="_Toc469927361"/>
      <w:r>
        <w:t>: Australian universities by 2015 enrolments</w:t>
      </w:r>
      <w:bookmarkEnd w:id="203"/>
      <w:bookmarkEnd w:id="204"/>
      <w:r w:rsidR="00374447">
        <w:t xml:space="preserve"> (count)</w:t>
      </w:r>
      <w:bookmarkEnd w:id="205"/>
    </w:p>
    <w:p w14:paraId="058D4F52" w14:textId="77777777" w:rsidR="00A93544" w:rsidRDefault="00A93544" w:rsidP="00A93544">
      <w:pPr>
        <w:pStyle w:val="BodyText"/>
        <w:jc w:val="center"/>
      </w:pPr>
      <w:r w:rsidRPr="00F91DAE">
        <w:rPr>
          <w:noProof/>
          <w:lang w:eastAsia="en-AU"/>
        </w:rPr>
        <w:drawing>
          <wp:inline distT="0" distB="0" distL="0" distR="0" wp14:anchorId="6ABB30E0" wp14:editId="2A4EFFA1">
            <wp:extent cx="5685256" cy="3295650"/>
            <wp:effectExtent l="0" t="0" r="0" b="0"/>
            <wp:docPr id="31" name="Picture 31" descr="Comparison between australian universities by enrolment numbers and affiliation in 2015" title="Australian universities by 2015 enrol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688190" cy="3297351"/>
                    </a:xfrm>
                    <a:prstGeom prst="rect">
                      <a:avLst/>
                    </a:prstGeom>
                  </pic:spPr>
                </pic:pic>
              </a:graphicData>
            </a:graphic>
          </wp:inline>
        </w:drawing>
      </w:r>
    </w:p>
    <w:p w14:paraId="1928B1FE" w14:textId="77777777" w:rsidR="00A93544" w:rsidRDefault="00A93544" w:rsidP="00A93544">
      <w:pPr>
        <w:pStyle w:val="Source"/>
      </w:pPr>
      <w:r>
        <w:t>Source: Department of Education and Training. A red label indicates that the institution participated in the collection process.</w:t>
      </w:r>
    </w:p>
    <w:p w14:paraId="49410F66" w14:textId="77777777" w:rsidR="00A93544" w:rsidRDefault="00A93544" w:rsidP="00A93544">
      <w:pPr>
        <w:pStyle w:val="HeadingC"/>
      </w:pPr>
      <w:r w:rsidRPr="000A461B">
        <w:t xml:space="preserve">Characteristic #3 – </w:t>
      </w:r>
      <w:r>
        <w:t>R</w:t>
      </w:r>
      <w:r w:rsidRPr="000A461B">
        <w:t>esearch intensity</w:t>
      </w:r>
      <w:r>
        <w:t xml:space="preserve"> and ranking</w:t>
      </w:r>
    </w:p>
    <w:p w14:paraId="5FF8A9C0" w14:textId="77777777" w:rsidR="00A93544" w:rsidRPr="006E7CED" w:rsidRDefault="00A93544" w:rsidP="00A93544">
      <w:pPr>
        <w:pStyle w:val="BodyText"/>
      </w:pPr>
      <w:r>
        <w:t xml:space="preserve">Research ranking is an important consideration in the study, given that research incurs a cost, and universities jointly produce teaching and research. Despite the data collection tool being designed to isolate the costs of teaching and scholarship, it is important to capture teaching cost observations across the spectrum of research intensity and ranking. </w:t>
      </w:r>
      <w:r>
        <w:fldChar w:fldCharType="begin"/>
      </w:r>
      <w:r>
        <w:instrText xml:space="preserve"> REF _Ref464814971 \r \h </w:instrText>
      </w:r>
      <w:r>
        <w:fldChar w:fldCharType="separate"/>
      </w:r>
      <w:r w:rsidR="00595C6E">
        <w:t>Chart 2.4</w:t>
      </w:r>
      <w:r>
        <w:fldChar w:fldCharType="end"/>
      </w:r>
      <w:r>
        <w:t xml:space="preserve"> below shows two 2015 university rankings. </w:t>
      </w:r>
      <w:r w:rsidR="00DD7E40">
        <w:t xml:space="preserve">There </w:t>
      </w:r>
      <w:r w:rsidR="00E20F62">
        <w:t xml:space="preserve">is a broad representation of </w:t>
      </w:r>
      <w:r>
        <w:t xml:space="preserve">participating universities </w:t>
      </w:r>
      <w:r w:rsidR="00E20F62">
        <w:t xml:space="preserve">across both dimensions of </w:t>
      </w:r>
      <w:r>
        <w:t>rankings.</w:t>
      </w:r>
    </w:p>
    <w:p w14:paraId="61950197" w14:textId="77777777" w:rsidR="00A93544" w:rsidRDefault="00A93544" w:rsidP="00A93544">
      <w:pPr>
        <w:pStyle w:val="CaptionChart"/>
      </w:pPr>
      <w:bookmarkStart w:id="206" w:name="_Toc464812092"/>
      <w:bookmarkStart w:id="207" w:name="_Ref464814971"/>
      <w:bookmarkStart w:id="208" w:name="_Toc469927362"/>
      <w:r>
        <w:lastRenderedPageBreak/>
        <w:t>: Australian universities by ranking</w:t>
      </w:r>
      <w:bookmarkEnd w:id="206"/>
      <w:bookmarkEnd w:id="207"/>
      <w:bookmarkEnd w:id="208"/>
    </w:p>
    <w:p w14:paraId="2C6AEBB4" w14:textId="77777777" w:rsidR="00A93544" w:rsidRDefault="00A93544" w:rsidP="00A93544">
      <w:pPr>
        <w:pStyle w:val="BodyText"/>
        <w:jc w:val="center"/>
      </w:pPr>
      <w:r>
        <w:rPr>
          <w:noProof/>
          <w:lang w:eastAsia="en-AU"/>
        </w:rPr>
        <w:drawing>
          <wp:inline distT="0" distB="0" distL="0" distR="0" wp14:anchorId="33B19FCD" wp14:editId="17EFE84C">
            <wp:extent cx="5224216" cy="3350525"/>
            <wp:effectExtent l="0" t="0" r="0" b="2540"/>
            <wp:docPr id="389" name="Picture 389" descr="Comparison of Australian universities by university research ranking and overall university ranking" title="Australian universities by ra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241802" cy="3361804"/>
                    </a:xfrm>
                    <a:prstGeom prst="rect">
                      <a:avLst/>
                    </a:prstGeom>
                  </pic:spPr>
                </pic:pic>
              </a:graphicData>
            </a:graphic>
          </wp:inline>
        </w:drawing>
      </w:r>
    </w:p>
    <w:p w14:paraId="1CE116CF" w14:textId="77777777" w:rsidR="00A93544" w:rsidRDefault="00A93544" w:rsidP="00A93544">
      <w:pPr>
        <w:pStyle w:val="Source"/>
      </w:pPr>
      <w:r>
        <w:t xml:space="preserve">Source: </w:t>
      </w:r>
      <w:r w:rsidRPr="007418A8">
        <w:t>Times Higher Education Supplement, Quacquarelli Symonds, ARC Excellence in Research for Australia</w:t>
      </w:r>
    </w:p>
    <w:p w14:paraId="0234C271" w14:textId="77777777" w:rsidR="00A93544" w:rsidRPr="000A461B" w:rsidRDefault="00A93544" w:rsidP="00A93544">
      <w:pPr>
        <w:pStyle w:val="HeadingC"/>
      </w:pPr>
      <w:r w:rsidRPr="000A461B">
        <w:t xml:space="preserve">Characteristic #4 – </w:t>
      </w:r>
      <w:r>
        <w:t>Single versus dual sector</w:t>
      </w:r>
    </w:p>
    <w:p w14:paraId="3D142837" w14:textId="085E12AA" w:rsidR="00A93544" w:rsidRDefault="00A93544" w:rsidP="00A93544">
      <w:pPr>
        <w:pStyle w:val="BodyText"/>
      </w:pPr>
      <w:r>
        <w:t xml:space="preserve">Dual sector institutions are those which have a significant vocational education and training component, as well as the higher education component. This can affect economies of scale and scope as well as the characteristics of the student cohort. In particular, the ability for dual sector institutions to transition students through VET into higher education </w:t>
      </w:r>
      <w:r w:rsidR="00374447">
        <w:t xml:space="preserve">may lead to </w:t>
      </w:r>
      <w:r>
        <w:t xml:space="preserve">different student attraction and retention costs. </w:t>
      </w:r>
    </w:p>
    <w:p w14:paraId="4957A48B" w14:textId="77777777" w:rsidR="00A93544" w:rsidRDefault="00A93544" w:rsidP="00A93544">
      <w:pPr>
        <w:pStyle w:val="BodyText"/>
      </w:pPr>
      <w:r>
        <w:t xml:space="preserve">Deloitte Access Economics understands that there are six </w:t>
      </w:r>
      <w:r w:rsidRPr="001A471C">
        <w:t xml:space="preserve">institutions </w:t>
      </w:r>
      <w:r>
        <w:t>commonly defined as dual sector: RMIT, Swinburne University of Technology, Federation University, Central Queensland University, Charles Darwin University, and Victoria University. Of these, only Victoria University participated in this study. Other universities may have RTO affiliates</w:t>
      </w:r>
      <w:r w:rsidR="00DF37DF">
        <w:t xml:space="preserve"> or may have smaller VET operations that would not lead them to be classified as dual sector</w:t>
      </w:r>
      <w:r>
        <w:t>.</w:t>
      </w:r>
    </w:p>
    <w:p w14:paraId="42503BD1" w14:textId="77777777" w:rsidR="00A93544" w:rsidRDefault="00A93544" w:rsidP="00A93544">
      <w:pPr>
        <w:pStyle w:val="CaptionChart"/>
        <w:spacing w:after="120"/>
      </w:pPr>
      <w:bookmarkStart w:id="209" w:name="_Toc464812093"/>
      <w:bookmarkStart w:id="210" w:name="_Toc469927363"/>
      <w:r>
        <w:lastRenderedPageBreak/>
        <w:t>: Australian universities by dual sector status</w:t>
      </w:r>
      <w:bookmarkEnd w:id="209"/>
      <w:bookmarkEnd w:id="210"/>
    </w:p>
    <w:p w14:paraId="1B139A2B" w14:textId="77777777" w:rsidR="00A93544" w:rsidRDefault="002402C7" w:rsidP="00A93544">
      <w:pPr>
        <w:pStyle w:val="BodyText"/>
        <w:spacing w:before="120"/>
        <w:jc w:val="center"/>
      </w:pPr>
      <w:r w:rsidRPr="00F91DAE">
        <w:rPr>
          <w:noProof/>
          <w:lang w:eastAsia="en-AU"/>
        </w:rPr>
        <w:drawing>
          <wp:anchor distT="0" distB="0" distL="114300" distR="114300" simplePos="0" relativeHeight="251660288" behindDoc="0" locked="0" layoutInCell="1" allowOverlap="1" wp14:anchorId="4A2FBE38" wp14:editId="24A144EF">
            <wp:simplePos x="0" y="0"/>
            <wp:positionH relativeFrom="page">
              <wp:posOffset>3659505</wp:posOffset>
            </wp:positionH>
            <wp:positionV relativeFrom="paragraph">
              <wp:posOffset>1475104</wp:posOffset>
            </wp:positionV>
            <wp:extent cx="245745" cy="135255"/>
            <wp:effectExtent l="0" t="0" r="1905" b="0"/>
            <wp:wrapNone/>
            <wp:docPr id="30" name="Picture 30" descr="Comparison of australian university dual sector status in WA, VIC, TAS, SA QLD, NT. NSW. Multi-State and ACT" title="Australian universities by dual sector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cstate="print">
                      <a:extLst>
                        <a:ext uri="{28A0092B-C50C-407E-A947-70E740481C1C}">
                          <a14:useLocalDpi xmlns:a14="http://schemas.microsoft.com/office/drawing/2010/main" val="0"/>
                        </a:ext>
                      </a:extLst>
                    </a:blip>
                    <a:srcRect/>
                    <a:stretch/>
                  </pic:blipFill>
                  <pic:spPr bwMode="auto">
                    <a:xfrm>
                      <a:off x="0" y="0"/>
                      <a:ext cx="254760" cy="14021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91DAE">
        <w:rPr>
          <w:noProof/>
          <w:lang w:eastAsia="en-AU"/>
        </w:rPr>
        <w:drawing>
          <wp:anchor distT="0" distB="0" distL="114300" distR="114300" simplePos="0" relativeHeight="251658240" behindDoc="0" locked="0" layoutInCell="1" allowOverlap="1" wp14:anchorId="59DE4F74" wp14:editId="409AEBAF">
            <wp:simplePos x="0" y="0"/>
            <wp:positionH relativeFrom="page">
              <wp:align>center</wp:align>
            </wp:positionH>
            <wp:positionV relativeFrom="paragraph">
              <wp:posOffset>1305217</wp:posOffset>
            </wp:positionV>
            <wp:extent cx="235409" cy="136525"/>
            <wp:effectExtent l="0" t="0" r="0" b="0"/>
            <wp:wrapNone/>
            <wp:docPr id="396" name="Picture 396" descr="Comparison of australian university dual sector status in WA, VIC, TAS, SA QLD, NT. NSW. Multi-State and ACT" title="Australian universities by dual sector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cstate="print">
                      <a:extLst>
                        <a:ext uri="{28A0092B-C50C-407E-A947-70E740481C1C}">
                          <a14:useLocalDpi xmlns:a14="http://schemas.microsoft.com/office/drawing/2010/main" val="0"/>
                        </a:ext>
                      </a:extLst>
                    </a:blip>
                    <a:srcRect/>
                    <a:stretch/>
                  </pic:blipFill>
                  <pic:spPr bwMode="auto">
                    <a:xfrm>
                      <a:off x="0" y="0"/>
                      <a:ext cx="237028" cy="1374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93544">
        <w:t xml:space="preserve"> </w:t>
      </w:r>
      <w:r w:rsidRPr="00F91DAE">
        <w:rPr>
          <w:noProof/>
          <w:lang w:eastAsia="en-AU"/>
        </w:rPr>
        <w:drawing>
          <wp:inline distT="0" distB="0" distL="0" distR="0" wp14:anchorId="12506A8D" wp14:editId="61230FF3">
            <wp:extent cx="3848318" cy="2371725"/>
            <wp:effectExtent l="0" t="0" r="0" b="0"/>
            <wp:docPr id="21" name="Picture 21" descr="Comparison of australian university dual sector status in WA, VIC, TAS, SA QLD, NT, NSW, Multi-State and ACT" title="Australian universities by dual sector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850652" cy="2373164"/>
                    </a:xfrm>
                    <a:prstGeom prst="rect">
                      <a:avLst/>
                    </a:prstGeom>
                  </pic:spPr>
                </pic:pic>
              </a:graphicData>
            </a:graphic>
          </wp:inline>
        </w:drawing>
      </w:r>
    </w:p>
    <w:p w14:paraId="5A0E23E9" w14:textId="24B83178" w:rsidR="00F15E05" w:rsidRPr="003E5C6F" w:rsidRDefault="00F15E05" w:rsidP="00D55F3F">
      <w:pPr>
        <w:pStyle w:val="Source"/>
        <w:ind w:left="567" w:firstLine="567"/>
      </w:pPr>
      <w:r>
        <w:t xml:space="preserve">Source: Deloitte Access Economics analysis, Department of </w:t>
      </w:r>
      <w:r w:rsidR="00374447">
        <w:t>E</w:t>
      </w:r>
      <w:r>
        <w:t>ducation and Training</w:t>
      </w:r>
      <w:r w:rsidR="0049715A">
        <w:t>.</w:t>
      </w:r>
    </w:p>
    <w:p w14:paraId="6B8475A3" w14:textId="77777777" w:rsidR="00A93544" w:rsidRPr="000A461B" w:rsidRDefault="00A93544" w:rsidP="00A93544">
      <w:pPr>
        <w:pStyle w:val="HeadingC"/>
      </w:pPr>
      <w:r w:rsidRPr="000A461B">
        <w:t xml:space="preserve">Characteristic #5 – </w:t>
      </w:r>
      <w:r>
        <w:t>S</w:t>
      </w:r>
      <w:r w:rsidRPr="000A461B">
        <w:t>ingle v</w:t>
      </w:r>
      <w:r>
        <w:t>ersus</w:t>
      </w:r>
      <w:r w:rsidRPr="000A461B">
        <w:t xml:space="preserve"> multi-campus</w:t>
      </w:r>
    </w:p>
    <w:p w14:paraId="53A1DFCE" w14:textId="67E59790" w:rsidR="00A93544" w:rsidRPr="00567C8A" w:rsidRDefault="00A93544" w:rsidP="00A93544">
      <w:pPr>
        <w:pStyle w:val="BodyText"/>
      </w:pPr>
      <w:r>
        <w:t xml:space="preserve">The number of campuses is also a relevant consideration in cost determination, given there are costs which are likely denominated on a per-campus basis: this may include building costs, maintenance, and security staff, for example. </w:t>
      </w:r>
      <w:r>
        <w:fldChar w:fldCharType="begin"/>
      </w:r>
      <w:r>
        <w:instrText xml:space="preserve"> REF _Ref464815052 \r \h </w:instrText>
      </w:r>
      <w:r>
        <w:fldChar w:fldCharType="separate"/>
      </w:r>
      <w:r w:rsidR="00595C6E">
        <w:t>Chart 2.6</w:t>
      </w:r>
      <w:r>
        <w:fldChar w:fldCharType="end"/>
      </w:r>
      <w:r>
        <w:t xml:space="preserve"> describes the number of campuses per university. The box plot on the right hand side shows that there is a reasonable level of representation of universities with </w:t>
      </w:r>
      <w:r w:rsidR="002402C7">
        <w:t xml:space="preserve">multiple </w:t>
      </w:r>
      <w:r>
        <w:t xml:space="preserve">campuses, but the </w:t>
      </w:r>
      <w:r w:rsidR="002402C7">
        <w:t xml:space="preserve">first </w:t>
      </w:r>
      <w:r>
        <w:t>quartile is relatively underrepresented.</w:t>
      </w:r>
    </w:p>
    <w:p w14:paraId="0413C9C4" w14:textId="77777777" w:rsidR="00A93544" w:rsidRDefault="00A93544" w:rsidP="00A93544">
      <w:pPr>
        <w:pStyle w:val="CaptionChart"/>
      </w:pPr>
      <w:bookmarkStart w:id="211" w:name="_Toc464812094"/>
      <w:bookmarkStart w:id="212" w:name="_Ref464815052"/>
      <w:bookmarkStart w:id="213" w:name="_Toc469927364"/>
      <w:r>
        <w:t>: Australian universities by number of campuses</w:t>
      </w:r>
      <w:bookmarkEnd w:id="211"/>
      <w:bookmarkEnd w:id="212"/>
      <w:bookmarkEnd w:id="213"/>
    </w:p>
    <w:p w14:paraId="06301536" w14:textId="77777777" w:rsidR="00A93544" w:rsidRDefault="00DB6363" w:rsidP="00A93544">
      <w:pPr>
        <w:pStyle w:val="BodyText"/>
        <w:jc w:val="center"/>
      </w:pPr>
      <w:r>
        <w:rPr>
          <w:noProof/>
          <w:lang w:eastAsia="en-AU"/>
        </w:rPr>
        <w:drawing>
          <wp:inline distT="0" distB="0" distL="0" distR="0" wp14:anchorId="4FAB3595" wp14:editId="76336261">
            <wp:extent cx="5219700" cy="2829560"/>
            <wp:effectExtent l="0" t="0" r="0" b="8890"/>
            <wp:docPr id="461" name="Picture 461" descr="Comparison of australian universities by number of campuses. Box plot demonstrating the spread of data " title="Australian universities by number of campu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219700" cy="2829560"/>
                    </a:xfrm>
                    <a:prstGeom prst="rect">
                      <a:avLst/>
                    </a:prstGeom>
                  </pic:spPr>
                </pic:pic>
              </a:graphicData>
            </a:graphic>
          </wp:inline>
        </w:drawing>
      </w:r>
      <w:r w:rsidRPr="00F91DAE" w:rsidDel="00DB6363">
        <w:rPr>
          <w:noProof/>
          <w:lang w:eastAsia="en-AU"/>
        </w:rPr>
        <w:t xml:space="preserve"> </w:t>
      </w:r>
    </w:p>
    <w:p w14:paraId="7DAA6426" w14:textId="6DF46D1D" w:rsidR="00A93544" w:rsidRPr="003E5C6F" w:rsidRDefault="00F15E05" w:rsidP="00A93544">
      <w:pPr>
        <w:pStyle w:val="Source"/>
      </w:pPr>
      <w:r>
        <w:t xml:space="preserve">Source: Deloitte Access Economics analysis, Department of </w:t>
      </w:r>
      <w:r w:rsidR="00374447">
        <w:t>E</w:t>
      </w:r>
      <w:r>
        <w:t xml:space="preserve">ducation and Training. </w:t>
      </w:r>
      <w:r w:rsidR="00A93544">
        <w:t>A red label indicates that the institution participated in the collection process.</w:t>
      </w:r>
    </w:p>
    <w:p w14:paraId="0CD0F41A" w14:textId="77777777" w:rsidR="00A93544" w:rsidRPr="000A461B" w:rsidRDefault="00A93544" w:rsidP="00A93544">
      <w:pPr>
        <w:pStyle w:val="HeadingC"/>
      </w:pPr>
      <w:r w:rsidRPr="000A461B">
        <w:lastRenderedPageBreak/>
        <w:t xml:space="preserve">Characteristic #6 – </w:t>
      </w:r>
      <w:r>
        <w:t>M</w:t>
      </w:r>
      <w:r w:rsidRPr="000A461B">
        <w:t>ode of enrolment</w:t>
      </w:r>
    </w:p>
    <w:p w14:paraId="47314B4F" w14:textId="77777777" w:rsidR="00A93544" w:rsidRDefault="00A93544" w:rsidP="00A93544">
      <w:pPr>
        <w:pStyle w:val="BodyText"/>
      </w:pPr>
      <w:r>
        <w:t>The mode of enrolment</w:t>
      </w:r>
      <w:r>
        <w:rPr>
          <w:rStyle w:val="FootnoteReference"/>
        </w:rPr>
        <w:footnoteReference w:id="9"/>
      </w:r>
      <w:r>
        <w:t xml:space="preserve"> is a strong driver of costs, given it determines the inputs that are used to deliver tuition. </w:t>
      </w:r>
      <w:r>
        <w:fldChar w:fldCharType="begin"/>
      </w:r>
      <w:r>
        <w:instrText xml:space="preserve"> REF _Ref464815131 \r \h </w:instrText>
      </w:r>
      <w:r>
        <w:fldChar w:fldCharType="separate"/>
      </w:r>
      <w:r w:rsidR="00595C6E">
        <w:t>Chart 2.7</w:t>
      </w:r>
      <w:r>
        <w:fldChar w:fldCharType="end"/>
      </w:r>
      <w:r>
        <w:t xml:space="preserve"> below shows the share of enrolments at each university that are external or mixed-mode. The box plot on the right hand side shows that there is a reasonable level of representation of universities across the mode of enrolment. </w:t>
      </w:r>
    </w:p>
    <w:p w14:paraId="4922E293" w14:textId="77777777" w:rsidR="00A93544" w:rsidRDefault="00A93544" w:rsidP="00A93544">
      <w:pPr>
        <w:pStyle w:val="CaptionChart"/>
      </w:pPr>
      <w:bookmarkStart w:id="214" w:name="_Toc464812095"/>
      <w:bookmarkStart w:id="215" w:name="_Ref464815131"/>
      <w:bookmarkStart w:id="216" w:name="_Toc469927365"/>
      <w:r>
        <w:t>: Australian universities by external or mixed-mode share of attendance</w:t>
      </w:r>
      <w:bookmarkEnd w:id="214"/>
      <w:bookmarkEnd w:id="215"/>
      <w:bookmarkEnd w:id="216"/>
    </w:p>
    <w:p w14:paraId="5A5B092D" w14:textId="77777777" w:rsidR="00A93544" w:rsidRDefault="00A93544" w:rsidP="00A93544">
      <w:pPr>
        <w:pStyle w:val="BodyText"/>
      </w:pPr>
      <w:r w:rsidRPr="001A50E8">
        <w:rPr>
          <w:noProof/>
          <w:lang w:eastAsia="en-AU"/>
        </w:rPr>
        <w:drawing>
          <wp:inline distT="0" distB="0" distL="0" distR="0" wp14:anchorId="2C52077E" wp14:editId="61F6481C">
            <wp:extent cx="5619530" cy="3257550"/>
            <wp:effectExtent l="0" t="0" r="635" b="0"/>
            <wp:docPr id="409" name="Picture 409" descr="Comparison of Australian univerisities by the proportion of external or mixed-mode share of enrolments. Box plot demonstrating the spread in proportion of external or mixed-mode share of enrolments" title="Australian universities by external or mixed-mode share of attend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624953" cy="3260694"/>
                    </a:xfrm>
                    <a:prstGeom prst="rect">
                      <a:avLst/>
                    </a:prstGeom>
                  </pic:spPr>
                </pic:pic>
              </a:graphicData>
            </a:graphic>
          </wp:inline>
        </w:drawing>
      </w:r>
    </w:p>
    <w:p w14:paraId="717BF323" w14:textId="550AF0C3" w:rsidR="00A93544" w:rsidRDefault="00F15E05" w:rsidP="00A93544">
      <w:pPr>
        <w:pStyle w:val="Source"/>
      </w:pPr>
      <w:r>
        <w:t xml:space="preserve">Source: Deloitte Access Economics analysis, Department of </w:t>
      </w:r>
      <w:r w:rsidR="00374447">
        <w:t>E</w:t>
      </w:r>
      <w:r>
        <w:t>ducation and Training</w:t>
      </w:r>
      <w:r w:rsidR="00A93544">
        <w:t>. A red label indicates that the institution participated in the collection process.</w:t>
      </w:r>
    </w:p>
    <w:p w14:paraId="3B2B8638" w14:textId="77777777" w:rsidR="00A93544" w:rsidRPr="000A461B" w:rsidRDefault="00A93544" w:rsidP="00A93544">
      <w:pPr>
        <w:pStyle w:val="HeadingC"/>
      </w:pPr>
      <w:r w:rsidRPr="000A461B">
        <w:t>Characteristic #7 – International share of enrolments</w:t>
      </w:r>
    </w:p>
    <w:p w14:paraId="0FC8D99B" w14:textId="77777777" w:rsidR="00A93544" w:rsidRDefault="00A93544" w:rsidP="00A93544">
      <w:pPr>
        <w:pStyle w:val="BodyText"/>
      </w:pPr>
      <w:r>
        <w:t xml:space="preserve">International students may involve higher costs for universities, due to student attraction, orientation, and student support costs. </w:t>
      </w:r>
      <w:r>
        <w:fldChar w:fldCharType="begin"/>
      </w:r>
      <w:r>
        <w:instrText xml:space="preserve"> REF _Ref464815149 \r \h </w:instrText>
      </w:r>
      <w:r>
        <w:fldChar w:fldCharType="separate"/>
      </w:r>
      <w:r w:rsidR="00595C6E">
        <w:t>Chart 2.8</w:t>
      </w:r>
      <w:r>
        <w:fldChar w:fldCharType="end"/>
      </w:r>
      <w:r>
        <w:t xml:space="preserve"> below shows the share of enrolments at each university that are international. The box plot on the right hand side shows that there is a reasonable level of representation of universities across the scale; however, the third quartile is relatively underrepresented, with the University of Sydney and University of Queensland the only two institutions currently participating, out of a total of nine institutions.</w:t>
      </w:r>
    </w:p>
    <w:p w14:paraId="2750B8D2" w14:textId="1FC3532A" w:rsidR="00A93544" w:rsidRDefault="00A93544" w:rsidP="00A93544">
      <w:pPr>
        <w:pStyle w:val="CaptionChart"/>
      </w:pPr>
      <w:bookmarkStart w:id="217" w:name="_Toc469927366"/>
      <w:bookmarkStart w:id="218" w:name="_Toc464812096"/>
      <w:bookmarkStart w:id="219" w:name="_Ref464815149"/>
      <w:r>
        <w:lastRenderedPageBreak/>
        <w:t xml:space="preserve">: Participating universities by share of </w:t>
      </w:r>
      <w:r w:rsidR="00622903">
        <w:t xml:space="preserve">international </w:t>
      </w:r>
      <w:r>
        <w:t>students</w:t>
      </w:r>
      <w:bookmarkEnd w:id="217"/>
      <w:r>
        <w:t xml:space="preserve"> </w:t>
      </w:r>
      <w:bookmarkEnd w:id="218"/>
      <w:bookmarkEnd w:id="219"/>
    </w:p>
    <w:p w14:paraId="5ECF1BE4" w14:textId="77777777" w:rsidR="00A93544" w:rsidRDefault="00A93544" w:rsidP="00A93544">
      <w:pPr>
        <w:pStyle w:val="BodyText"/>
      </w:pPr>
      <w:r w:rsidRPr="001A50E8">
        <w:rPr>
          <w:noProof/>
          <w:lang w:eastAsia="en-AU"/>
        </w:rPr>
        <w:drawing>
          <wp:inline distT="0" distB="0" distL="0" distR="0" wp14:anchorId="4039441F" wp14:editId="6FF72CF4">
            <wp:extent cx="5750981" cy="3333750"/>
            <wp:effectExtent l="0" t="0" r="2540" b="0"/>
            <wp:docPr id="410" name="Picture 410" descr="Comparison of universities by the proportion of students that are international. Box plot demonstrating the spread in the proportion of international share of enrolments " title="Participating universities by share of students that are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54762" cy="3335942"/>
                    </a:xfrm>
                    <a:prstGeom prst="rect">
                      <a:avLst/>
                    </a:prstGeom>
                  </pic:spPr>
                </pic:pic>
              </a:graphicData>
            </a:graphic>
          </wp:inline>
        </w:drawing>
      </w:r>
    </w:p>
    <w:p w14:paraId="4A6DDE3B" w14:textId="17507024" w:rsidR="00A93544" w:rsidRDefault="00F15E05" w:rsidP="00A93544">
      <w:pPr>
        <w:pStyle w:val="Source"/>
      </w:pPr>
      <w:r>
        <w:t xml:space="preserve">Source: Deloitte Access Economics analysis, Department of </w:t>
      </w:r>
      <w:r w:rsidR="00374447">
        <w:t>E</w:t>
      </w:r>
      <w:r>
        <w:t>ducation and Training</w:t>
      </w:r>
      <w:r w:rsidR="00A93544">
        <w:t>. A red label indicates that the institution participated in the collection process.</w:t>
      </w:r>
    </w:p>
    <w:p w14:paraId="73F3668E" w14:textId="77777777" w:rsidR="00A93544" w:rsidRPr="000A461B" w:rsidRDefault="00A93544" w:rsidP="00A93544">
      <w:pPr>
        <w:pStyle w:val="HeadingC"/>
      </w:pPr>
      <w:r w:rsidRPr="000A461B">
        <w:t>Characteristic #8 – Maintenance costs as a share of total revenue</w:t>
      </w:r>
    </w:p>
    <w:p w14:paraId="5BB24FB8" w14:textId="618CDC36" w:rsidR="00A93544" w:rsidRDefault="00A93544" w:rsidP="00A93544">
      <w:pPr>
        <w:pStyle w:val="BodyText"/>
      </w:pPr>
      <w:r>
        <w:t xml:space="preserve">Maintenance and repair costs are not strategic costs, given universities do not compete on levels of maintenance. Hence, the maintenance and repair cost as a share of total revenue can be seen to reflect the ongoing liability of maintaining assets. Without any prior expectations on a reasonable level of maintenance </w:t>
      </w:r>
      <w:r w:rsidRPr="00011804">
        <w:t>cost for universities to incur, the burden o</w:t>
      </w:r>
      <w:r>
        <w:t>f</w:t>
      </w:r>
      <w:r w:rsidRPr="00011804">
        <w:t xml:space="preserve"> maintenance costs </w:t>
      </w:r>
      <w:r w:rsidRPr="00BB02E3">
        <w:t xml:space="preserve">may be a reflection that universities have reduced </w:t>
      </w:r>
      <w:r>
        <w:t>or delayed the maintenance program</w:t>
      </w:r>
      <w:r w:rsidRPr="00BB02E3">
        <w:t xml:space="preserve"> as a cost-saving measure. Alternatively, it </w:t>
      </w:r>
      <w:r w:rsidRPr="00011804">
        <w:t xml:space="preserve">may be a measure of the efficiency of built assets held by universities. </w:t>
      </w:r>
      <w:r>
        <w:t>Campus locations and buildings are key asset</w:t>
      </w:r>
      <w:r w:rsidR="009A5E9A">
        <w:t>s</w:t>
      </w:r>
      <w:r>
        <w:t xml:space="preserve"> for institutions</w:t>
      </w:r>
      <w:r w:rsidR="009A5E9A">
        <w:t>,</w:t>
      </w:r>
      <w:r>
        <w:t xml:space="preserve"> and cannot be relocated as other businesses have the option to do. </w:t>
      </w:r>
    </w:p>
    <w:p w14:paraId="62A922AE" w14:textId="77777777" w:rsidR="00A93544" w:rsidRDefault="00A93544" w:rsidP="00A93544">
      <w:pPr>
        <w:pStyle w:val="BodyText"/>
      </w:pPr>
      <w:r>
        <w:fldChar w:fldCharType="begin"/>
      </w:r>
      <w:r>
        <w:instrText xml:space="preserve"> REF _Ref464815200 \r \h </w:instrText>
      </w:r>
      <w:r>
        <w:fldChar w:fldCharType="separate"/>
      </w:r>
      <w:r w:rsidR="00595C6E">
        <w:t>Chart 2.9</w:t>
      </w:r>
      <w:r>
        <w:fldChar w:fldCharType="end"/>
      </w:r>
      <w:r>
        <w:t xml:space="preserve"> </w:t>
      </w:r>
      <w:r w:rsidRPr="00011804">
        <w:t>shows the share of revenue that is allocated to maintenance costs. The box plot on the right hand side shows that the first quartile</w:t>
      </w:r>
      <w:r>
        <w:t xml:space="preserve"> has been supplemented by the addition of University of Wollongong and University of Southern Queensland,</w:t>
      </w:r>
      <w:r w:rsidRPr="00011804">
        <w:t xml:space="preserve"> with Curtin University </w:t>
      </w:r>
      <w:r>
        <w:t>participating</w:t>
      </w:r>
      <w:r w:rsidRPr="00011804">
        <w:t xml:space="preserve"> </w:t>
      </w:r>
      <w:r>
        <w:t>(</w:t>
      </w:r>
      <w:r w:rsidRPr="00011804">
        <w:t>out of nine in the quartile</w:t>
      </w:r>
      <w:r>
        <w:t>)</w:t>
      </w:r>
      <w:r w:rsidRPr="00011804">
        <w:t>.</w:t>
      </w:r>
    </w:p>
    <w:p w14:paraId="0DA44914" w14:textId="77777777" w:rsidR="00A93544" w:rsidRDefault="00A93544" w:rsidP="00A93544">
      <w:pPr>
        <w:pStyle w:val="Source"/>
      </w:pPr>
    </w:p>
    <w:p w14:paraId="72942BE6" w14:textId="77777777" w:rsidR="00A93544" w:rsidRPr="000A461B" w:rsidRDefault="00A93544" w:rsidP="00A93544">
      <w:pPr>
        <w:pStyle w:val="CaptionChart"/>
      </w:pPr>
      <w:bookmarkStart w:id="220" w:name="_Toc464812097"/>
      <w:bookmarkStart w:id="221" w:name="_Ref464815200"/>
      <w:bookmarkStart w:id="222" w:name="_Toc469927367"/>
      <w:r>
        <w:lastRenderedPageBreak/>
        <w:t xml:space="preserve">: Australian </w:t>
      </w:r>
      <w:r w:rsidRPr="000A461B">
        <w:t xml:space="preserve">universities </w:t>
      </w:r>
      <w:r w:rsidRPr="000E0873">
        <w:t>by share of revenue allocated to maintenance costs</w:t>
      </w:r>
      <w:bookmarkEnd w:id="220"/>
      <w:bookmarkEnd w:id="221"/>
      <w:bookmarkEnd w:id="222"/>
    </w:p>
    <w:p w14:paraId="39651A21" w14:textId="77777777" w:rsidR="00A93544" w:rsidRDefault="00A93544" w:rsidP="00A93544">
      <w:pPr>
        <w:pStyle w:val="BodyText"/>
      </w:pPr>
      <w:r w:rsidRPr="001A50E8">
        <w:rPr>
          <w:noProof/>
          <w:lang w:eastAsia="en-AU"/>
        </w:rPr>
        <w:drawing>
          <wp:inline distT="0" distB="0" distL="0" distR="0" wp14:anchorId="788488B8" wp14:editId="0F7DF342">
            <wp:extent cx="5635961" cy="3267075"/>
            <wp:effectExtent l="0" t="0" r="3175" b="0"/>
            <wp:docPr id="411" name="Picture 411" descr="Comparison of Australian univerisities by the proportion of revenue allocated to maintenance costs. Box plot demonstrating the dispersion in the ratio between maintenance costs to Total Revenue" title="Australian universities by share of revenue allocated to maintenance co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639312" cy="3269018"/>
                    </a:xfrm>
                    <a:prstGeom prst="rect">
                      <a:avLst/>
                    </a:prstGeom>
                  </pic:spPr>
                </pic:pic>
              </a:graphicData>
            </a:graphic>
          </wp:inline>
        </w:drawing>
      </w:r>
    </w:p>
    <w:p w14:paraId="76A83C53" w14:textId="73E8FC19" w:rsidR="00A93544" w:rsidRDefault="00F15E05" w:rsidP="00A93544">
      <w:pPr>
        <w:pStyle w:val="Source"/>
      </w:pPr>
      <w:r>
        <w:t xml:space="preserve">Source: Deloitte Access Economics analysis, Department of </w:t>
      </w:r>
      <w:r w:rsidR="00374447">
        <w:t>E</w:t>
      </w:r>
      <w:r>
        <w:t>ducation and Training</w:t>
      </w:r>
      <w:r w:rsidR="00A93544">
        <w:t>. A red label indicates that the institution participated in the collection process.</w:t>
      </w:r>
    </w:p>
    <w:p w14:paraId="2F1F4246" w14:textId="77777777" w:rsidR="00A93544" w:rsidRPr="000A461B" w:rsidRDefault="00A93544" w:rsidP="00A93544">
      <w:pPr>
        <w:pStyle w:val="HeadingC"/>
      </w:pPr>
      <w:r w:rsidRPr="000A461B">
        <w:t>Characteristic #9 – Enrolment</w:t>
      </w:r>
      <w:r>
        <w:t>s</w:t>
      </w:r>
      <w:r w:rsidRPr="000A461B">
        <w:t xml:space="preserve"> by </w:t>
      </w:r>
      <w:r>
        <w:t>d</w:t>
      </w:r>
      <w:r w:rsidRPr="000A461B">
        <w:t>iscipline</w:t>
      </w:r>
    </w:p>
    <w:p w14:paraId="5D3E56A9" w14:textId="77777777" w:rsidR="00A93544" w:rsidRDefault="00A93544" w:rsidP="00A93544">
      <w:pPr>
        <w:pStyle w:val="BodyText"/>
      </w:pPr>
      <w:r w:rsidRPr="004D6DAA">
        <w:t>Given the focus of this study on the relative costs by discipline, it is important to ensure that all disciplines are sufficiently represented</w:t>
      </w:r>
      <w:r>
        <w:t xml:space="preserve"> in the sample of institutions</w:t>
      </w:r>
      <w:r w:rsidRPr="004D6DAA">
        <w:t xml:space="preserve">.  The green bars in </w:t>
      </w:r>
      <w:r>
        <w:fldChar w:fldCharType="begin"/>
      </w:r>
      <w:r>
        <w:instrText xml:space="preserve"> REF _Ref464815217 \r \h </w:instrText>
      </w:r>
      <w:r>
        <w:fldChar w:fldCharType="separate"/>
      </w:r>
      <w:r w:rsidR="00595C6E">
        <w:t>Chart 2.10</w:t>
      </w:r>
      <w:r>
        <w:fldChar w:fldCharType="end"/>
      </w:r>
      <w:r>
        <w:t xml:space="preserve"> </w:t>
      </w:r>
      <w:r w:rsidRPr="004D6DAA">
        <w:t>below show the shares of students in each discipline that are enrolled in participating institution</w:t>
      </w:r>
      <w:r w:rsidR="00F81762">
        <w:t>s</w:t>
      </w:r>
      <w:r w:rsidRPr="004D6DAA">
        <w:t xml:space="preserve">. This shows strong representation across all fields, owing to the generalist nature of universities in Australia.  </w:t>
      </w:r>
    </w:p>
    <w:p w14:paraId="3B8F8C6D" w14:textId="77777777" w:rsidR="00A93544" w:rsidRPr="00B9355F" w:rsidRDefault="00A93544" w:rsidP="00A93544">
      <w:pPr>
        <w:pStyle w:val="BodyText"/>
        <w:rPr>
          <w:highlight w:val="yellow"/>
        </w:rPr>
      </w:pPr>
      <w:r>
        <w:t>T</w:t>
      </w:r>
      <w:r w:rsidRPr="004D6DAA">
        <w:t>he blue bars represent the Hirschman Herfindahl Index (HHI), which is a measure of concentration</w:t>
      </w:r>
      <w:r>
        <w:rPr>
          <w:rStyle w:val="FootnoteReference"/>
        </w:rPr>
        <w:footnoteReference w:id="10"/>
      </w:r>
      <w:r>
        <w:t xml:space="preserve">. </w:t>
      </w:r>
    </w:p>
    <w:p w14:paraId="30A26F9C" w14:textId="77777777" w:rsidR="00C65E81" w:rsidRDefault="00A93544" w:rsidP="00C65E81">
      <w:pPr>
        <w:pStyle w:val="CaptionChart"/>
        <w:spacing w:before="0" w:after="120"/>
      </w:pPr>
      <w:bookmarkStart w:id="223" w:name="_Toc464812098"/>
      <w:bookmarkStart w:id="224" w:name="_Ref464815217"/>
      <w:bookmarkStart w:id="225" w:name="_Toc469927368"/>
      <w:r>
        <w:lastRenderedPageBreak/>
        <w:t>: Participating universities share of total enrolment</w:t>
      </w:r>
      <w:bookmarkEnd w:id="223"/>
      <w:bookmarkEnd w:id="224"/>
      <w:bookmarkEnd w:id="225"/>
    </w:p>
    <w:p w14:paraId="7D38488B" w14:textId="0BF7897F" w:rsidR="00A93544" w:rsidRDefault="00A93544" w:rsidP="00C65E81">
      <w:r w:rsidRPr="00703F8E">
        <w:rPr>
          <w:noProof/>
          <w:lang w:eastAsia="en-AU"/>
        </w:rPr>
        <w:drawing>
          <wp:inline distT="0" distB="0" distL="0" distR="0" wp14:anchorId="6DE9DA8E" wp14:editId="3F72608A">
            <wp:extent cx="5219700" cy="2618031"/>
            <wp:effectExtent l="0" t="0" r="0" b="0"/>
            <wp:docPr id="413" name="Picture 413" descr="Comparison of share of total enrolment by FOE" title="Participating universities share of total enrol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219700" cy="2618031"/>
                    </a:xfrm>
                    <a:prstGeom prst="rect">
                      <a:avLst/>
                    </a:prstGeom>
                    <a:noFill/>
                    <a:ln>
                      <a:noFill/>
                    </a:ln>
                  </pic:spPr>
                </pic:pic>
              </a:graphicData>
            </a:graphic>
          </wp:inline>
        </w:drawing>
      </w:r>
    </w:p>
    <w:p w14:paraId="7343FD98" w14:textId="4C1C4E48" w:rsidR="00A93544" w:rsidRDefault="00A93544" w:rsidP="00C65E81">
      <w:pPr>
        <w:pStyle w:val="Source"/>
      </w:pPr>
      <w:r>
        <w:t xml:space="preserve">Source: </w:t>
      </w:r>
      <w:r w:rsidR="00F15E05">
        <w:t xml:space="preserve">Source: Deloitte Access Economics analysis, Department of </w:t>
      </w:r>
      <w:r w:rsidR="00374447">
        <w:t>E</w:t>
      </w:r>
      <w:r w:rsidR="00F15E05">
        <w:t>ducation and Training</w:t>
      </w:r>
      <w:r>
        <w:t>.</w:t>
      </w:r>
      <w:r w:rsidRPr="00BB02E3">
        <w:t xml:space="preserve"> </w:t>
      </w:r>
      <w:r>
        <w:t>HHI calculated in share, rather than percentage point, form.</w:t>
      </w:r>
    </w:p>
    <w:p w14:paraId="21B135ED" w14:textId="77777777" w:rsidR="00C65E81" w:rsidRDefault="00C65E81" w:rsidP="00C65E81"/>
    <w:p w14:paraId="1264AF3A" w14:textId="77777777" w:rsidR="00A93544" w:rsidRPr="00BC4626" w:rsidRDefault="00A93544" w:rsidP="00A93544">
      <w:pPr>
        <w:pStyle w:val="Source"/>
        <w:rPr>
          <w:rFonts w:cs="Times New Roman"/>
          <w:sz w:val="22"/>
        </w:rPr>
      </w:pPr>
      <w:r>
        <w:rPr>
          <w:rFonts w:cs="Times New Roman"/>
          <w:sz w:val="22"/>
        </w:rPr>
        <w:t xml:space="preserve">Similarly for </w:t>
      </w:r>
      <w:r>
        <w:rPr>
          <w:rFonts w:cs="Times New Roman"/>
          <w:sz w:val="22"/>
        </w:rPr>
        <w:fldChar w:fldCharType="begin"/>
      </w:r>
      <w:r>
        <w:rPr>
          <w:rFonts w:cs="Times New Roman"/>
          <w:sz w:val="22"/>
        </w:rPr>
        <w:instrText xml:space="preserve"> REF _Ref464815287 \r \h </w:instrText>
      </w:r>
      <w:r>
        <w:rPr>
          <w:rFonts w:cs="Times New Roman"/>
          <w:sz w:val="22"/>
        </w:rPr>
      </w:r>
      <w:r>
        <w:rPr>
          <w:rFonts w:cs="Times New Roman"/>
          <w:sz w:val="22"/>
        </w:rPr>
        <w:fldChar w:fldCharType="separate"/>
      </w:r>
      <w:r w:rsidR="00595C6E">
        <w:rPr>
          <w:rFonts w:cs="Times New Roman"/>
          <w:sz w:val="22"/>
        </w:rPr>
        <w:t>Chart 2.11</w:t>
      </w:r>
      <w:r>
        <w:rPr>
          <w:rFonts w:cs="Times New Roman"/>
          <w:sz w:val="22"/>
        </w:rPr>
        <w:fldChar w:fldCharType="end"/>
      </w:r>
      <w:r>
        <w:rPr>
          <w:rFonts w:cs="Times New Roman"/>
          <w:sz w:val="22"/>
        </w:rPr>
        <w:t xml:space="preserve">, postgraduate coursework fields are well represented, and not dominated by individual universities. With respect to sub-bachelor (including enabling) enrolments, as shown in </w:t>
      </w:r>
      <w:r>
        <w:rPr>
          <w:rFonts w:cs="Times New Roman"/>
          <w:sz w:val="22"/>
        </w:rPr>
        <w:fldChar w:fldCharType="begin"/>
      </w:r>
      <w:r>
        <w:rPr>
          <w:rFonts w:cs="Times New Roman"/>
          <w:sz w:val="22"/>
        </w:rPr>
        <w:instrText xml:space="preserve"> REF _Ref464815300 \r \h </w:instrText>
      </w:r>
      <w:r>
        <w:rPr>
          <w:rFonts w:cs="Times New Roman"/>
          <w:sz w:val="22"/>
        </w:rPr>
      </w:r>
      <w:r>
        <w:rPr>
          <w:rFonts w:cs="Times New Roman"/>
          <w:sz w:val="22"/>
        </w:rPr>
        <w:fldChar w:fldCharType="separate"/>
      </w:r>
      <w:r w:rsidR="00595C6E">
        <w:rPr>
          <w:rFonts w:cs="Times New Roman"/>
          <w:sz w:val="22"/>
        </w:rPr>
        <w:t>Chart 2.12</w:t>
      </w:r>
      <w:r>
        <w:rPr>
          <w:rFonts w:cs="Times New Roman"/>
          <w:sz w:val="22"/>
        </w:rPr>
        <w:fldChar w:fldCharType="end"/>
      </w:r>
      <w:r>
        <w:rPr>
          <w:rFonts w:cs="Times New Roman"/>
          <w:sz w:val="22"/>
        </w:rPr>
        <w:t xml:space="preserve">, the coverage is less comprehensive. </w:t>
      </w:r>
    </w:p>
    <w:p w14:paraId="3BA2F30D" w14:textId="74F3FC17" w:rsidR="00A93544" w:rsidRDefault="00A93544" w:rsidP="00A93544">
      <w:pPr>
        <w:pStyle w:val="CaptionChart"/>
        <w:spacing w:after="120"/>
      </w:pPr>
      <w:bookmarkStart w:id="226" w:name="_Toc464812099"/>
      <w:bookmarkStart w:id="227" w:name="_Ref464815287"/>
      <w:bookmarkStart w:id="228" w:name="_Toc469927369"/>
      <w:r>
        <w:t xml:space="preserve">: Participating universities share of </w:t>
      </w:r>
      <w:r w:rsidR="00622903">
        <w:t>p</w:t>
      </w:r>
      <w:r>
        <w:t>ostgraduate coursework enrolment</w:t>
      </w:r>
      <w:bookmarkEnd w:id="226"/>
      <w:bookmarkEnd w:id="227"/>
      <w:bookmarkEnd w:id="228"/>
    </w:p>
    <w:p w14:paraId="75530F4A" w14:textId="28DC91C5" w:rsidR="00A93544" w:rsidRDefault="00DB6363" w:rsidP="00C65E81">
      <w:pPr>
        <w:jc w:val="center"/>
      </w:pPr>
      <w:r>
        <w:rPr>
          <w:noProof/>
          <w:lang w:eastAsia="en-AU"/>
        </w:rPr>
        <w:drawing>
          <wp:inline distT="0" distB="0" distL="0" distR="0" wp14:anchorId="21EE57CA" wp14:editId="4FAAA910">
            <wp:extent cx="4647717" cy="2340367"/>
            <wp:effectExtent l="0" t="0" r="635" b="3175"/>
            <wp:docPr id="462" name="Picture 462" descr="Comparison of field of education by percentage of postgraduate coursework enrolments relative to total enrolments" title="Participating universities share of postgraduate coursework enrol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657485" cy="2345286"/>
                    </a:xfrm>
                    <a:prstGeom prst="rect">
                      <a:avLst/>
                    </a:prstGeom>
                    <a:noFill/>
                  </pic:spPr>
                </pic:pic>
              </a:graphicData>
            </a:graphic>
          </wp:inline>
        </w:drawing>
      </w:r>
    </w:p>
    <w:p w14:paraId="0E7E745C" w14:textId="7FD09D14" w:rsidR="00A93544" w:rsidRDefault="00F15E05" w:rsidP="00A93544">
      <w:pPr>
        <w:pStyle w:val="Source"/>
      </w:pPr>
      <w:r>
        <w:t xml:space="preserve">Source: Deloitte Access Economics analysis, Department of </w:t>
      </w:r>
      <w:r w:rsidR="00374447">
        <w:t>E</w:t>
      </w:r>
      <w:r>
        <w:t xml:space="preserve">ducation and Training. </w:t>
      </w:r>
      <w:r w:rsidR="00A93544">
        <w:t>HHI calculated in share, rather than percentage point, form.</w:t>
      </w:r>
    </w:p>
    <w:p w14:paraId="2442A53F" w14:textId="77777777" w:rsidR="00A93544" w:rsidRDefault="00A93544" w:rsidP="00A93544">
      <w:pPr>
        <w:pStyle w:val="CaptionChart"/>
        <w:spacing w:after="120"/>
      </w:pPr>
      <w:bookmarkStart w:id="229" w:name="_Toc464812100"/>
      <w:bookmarkStart w:id="230" w:name="_Ref464815300"/>
      <w:bookmarkStart w:id="231" w:name="_Toc469927370"/>
      <w:r>
        <w:lastRenderedPageBreak/>
        <w:t>: Participating universities share of sub-bachelor enrolment (incl. enabling)</w:t>
      </w:r>
      <w:bookmarkEnd w:id="229"/>
      <w:bookmarkEnd w:id="230"/>
      <w:bookmarkEnd w:id="231"/>
    </w:p>
    <w:p w14:paraId="2BCA21BA" w14:textId="6A51C4AE" w:rsidR="00A93544" w:rsidRDefault="00DB6363" w:rsidP="00C65E81">
      <w:pPr>
        <w:jc w:val="center"/>
      </w:pPr>
      <w:r>
        <w:rPr>
          <w:noProof/>
          <w:lang w:eastAsia="en-AU"/>
        </w:rPr>
        <w:drawing>
          <wp:inline distT="0" distB="0" distL="0" distR="0" wp14:anchorId="6124ABFE" wp14:editId="56E71FAA">
            <wp:extent cx="4501122" cy="2196427"/>
            <wp:effectExtent l="0" t="0" r="0" b="0"/>
            <wp:docPr id="463" name="Picture 463" descr="Comparison of FOE by share of sub-bachelor enrolments as percentage of total enrolments and HHI" title="Participating universities share of sub-bachelor enrol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505150" cy="2198393"/>
                    </a:xfrm>
                    <a:prstGeom prst="rect">
                      <a:avLst/>
                    </a:prstGeom>
                    <a:noFill/>
                  </pic:spPr>
                </pic:pic>
              </a:graphicData>
            </a:graphic>
          </wp:inline>
        </w:drawing>
      </w:r>
    </w:p>
    <w:p w14:paraId="047CAD1F" w14:textId="0126F37E" w:rsidR="00A93544" w:rsidRDefault="00F15E05" w:rsidP="00A93544">
      <w:pPr>
        <w:pStyle w:val="Source"/>
      </w:pPr>
      <w:r>
        <w:t xml:space="preserve">Source: Deloitte Access Economics analysis, Department of </w:t>
      </w:r>
      <w:r w:rsidR="00374447">
        <w:t>E</w:t>
      </w:r>
      <w:r>
        <w:t>ducation and Training</w:t>
      </w:r>
      <w:r w:rsidR="00A93544">
        <w:t>.</w:t>
      </w:r>
      <w:r w:rsidR="00A93544" w:rsidRPr="00BB02E3">
        <w:t xml:space="preserve"> </w:t>
      </w:r>
      <w:r w:rsidR="00A93544">
        <w:t>HHI calculated in share form, rather than percentage point form.</w:t>
      </w:r>
    </w:p>
    <w:p w14:paraId="3E0A3BDA" w14:textId="77777777" w:rsidR="00A93544" w:rsidRDefault="00A93544" w:rsidP="00A93544">
      <w:pPr>
        <w:pStyle w:val="BodyText"/>
      </w:pPr>
      <w:r w:rsidRPr="00E1434C">
        <w:t xml:space="preserve">Overall the sample is a reasonable reflection of the variety of university characteristics. </w:t>
      </w:r>
      <w:r w:rsidRPr="00673F6D">
        <w:t xml:space="preserve">However, the sample set of universities could </w:t>
      </w:r>
      <w:r w:rsidR="00673F6D">
        <w:t>have been</w:t>
      </w:r>
      <w:r w:rsidRPr="00673F6D">
        <w:t xml:space="preserve"> rendered more robust with the addition of one to two more universities </w:t>
      </w:r>
      <w:r w:rsidRPr="00E1434C">
        <w:t>that have a focus on sub-bachelor students.</w:t>
      </w:r>
      <w:r>
        <w:t xml:space="preserve"> </w:t>
      </w:r>
    </w:p>
    <w:p w14:paraId="29A6FFE0" w14:textId="77777777" w:rsidR="00775B44" w:rsidRDefault="00775B44" w:rsidP="00775B44">
      <w:pPr>
        <w:pStyle w:val="BodyText"/>
      </w:pPr>
      <w:r>
        <w:t xml:space="preserve"> </w:t>
      </w:r>
    </w:p>
    <w:p w14:paraId="06B2FA83" w14:textId="4E57D98D" w:rsidR="00775B44" w:rsidRDefault="00775B44" w:rsidP="00FC6060">
      <w:pPr>
        <w:pStyle w:val="Heading1"/>
        <w:spacing w:after="120"/>
        <w:ind w:left="0" w:hanging="567"/>
      </w:pPr>
      <w:bookmarkStart w:id="232" w:name="_Toc469927320"/>
      <w:r w:rsidRPr="00A65BA3">
        <w:lastRenderedPageBreak/>
        <w:t xml:space="preserve">Teaching and </w:t>
      </w:r>
      <w:r w:rsidR="00461021">
        <w:t>Scholarship</w:t>
      </w:r>
      <w:r w:rsidR="00461021" w:rsidRPr="00A65BA3">
        <w:t xml:space="preserve"> </w:t>
      </w:r>
      <w:r w:rsidRPr="00A65BA3">
        <w:t>costs</w:t>
      </w:r>
      <w:bookmarkEnd w:id="232"/>
    </w:p>
    <w:tbl>
      <w:tblPr>
        <w:tblStyle w:val="TableGrid"/>
        <w:tblW w:w="0" w:type="auto"/>
        <w:tblBorders>
          <w:top w:val="single" w:sz="4" w:space="0" w:color="002776"/>
          <w:left w:val="single" w:sz="4" w:space="0" w:color="002776"/>
          <w:bottom w:val="single" w:sz="4" w:space="0" w:color="002776"/>
          <w:right w:val="single" w:sz="4" w:space="0" w:color="002776"/>
        </w:tblBorders>
        <w:shd w:val="clear" w:color="auto" w:fill="DCDCDC"/>
        <w:tblLook w:val="04A0" w:firstRow="1" w:lastRow="0" w:firstColumn="1" w:lastColumn="0" w:noHBand="0" w:noVBand="1"/>
      </w:tblPr>
      <w:tblGrid>
        <w:gridCol w:w="8210"/>
      </w:tblGrid>
      <w:tr w:rsidR="0053612A" w14:paraId="0A1EF617" w14:textId="77777777" w:rsidTr="00FC3C09">
        <w:tc>
          <w:tcPr>
            <w:tcW w:w="8210" w:type="dxa"/>
            <w:shd w:val="clear" w:color="auto" w:fill="F2F2F2" w:themeFill="background1" w:themeFillShade="F2"/>
          </w:tcPr>
          <w:p w14:paraId="1B4127AB" w14:textId="7933F8D9" w:rsidR="0053612A" w:rsidRPr="00477B53" w:rsidRDefault="0053612A" w:rsidP="00797CA5">
            <w:pPr>
              <w:pStyle w:val="Bullet1"/>
              <w:numPr>
                <w:ilvl w:val="0"/>
                <w:numId w:val="0"/>
              </w:numPr>
              <w:ind w:left="360" w:hanging="360"/>
              <w:rPr>
                <w:b/>
              </w:rPr>
            </w:pPr>
            <w:r>
              <w:rPr>
                <w:b/>
                <w:color w:val="002776"/>
              </w:rPr>
              <w:t>Key points</w:t>
            </w:r>
            <w:r w:rsidRPr="00477B53">
              <w:rPr>
                <w:b/>
                <w:color w:val="002776"/>
              </w:rPr>
              <w:t xml:space="preserve">: </w:t>
            </w:r>
            <w:r>
              <w:rPr>
                <w:b/>
                <w:color w:val="002776"/>
              </w:rPr>
              <w:t xml:space="preserve">Teaching and </w:t>
            </w:r>
            <w:r w:rsidR="00461021">
              <w:rPr>
                <w:b/>
                <w:color w:val="002776"/>
              </w:rPr>
              <w:t xml:space="preserve">scholarship </w:t>
            </w:r>
            <w:r>
              <w:rPr>
                <w:b/>
                <w:color w:val="002776"/>
              </w:rPr>
              <w:t>costs</w:t>
            </w:r>
          </w:p>
          <w:p w14:paraId="2D9B87D1" w14:textId="77777777" w:rsidR="0053612A" w:rsidRDefault="0053612A" w:rsidP="00797CA5">
            <w:pPr>
              <w:pStyle w:val="Bullet1"/>
            </w:pPr>
            <w:r>
              <w:t>While direct comparison with the 2011 results are difficult given the smaller – and different – sample in the previous work, the cost relativities across FOEs have largely been preserved.</w:t>
            </w:r>
          </w:p>
          <w:p w14:paraId="42B61559" w14:textId="59DEA127" w:rsidR="0053612A" w:rsidRDefault="0053612A" w:rsidP="00797CA5">
            <w:pPr>
              <w:pStyle w:val="Bullet2"/>
            </w:pPr>
            <w:r>
              <w:t xml:space="preserve">Agriculture and Environmental </w:t>
            </w:r>
            <w:r w:rsidR="00FF7656">
              <w:t>S</w:t>
            </w:r>
            <w:r>
              <w:t>tudies and Health remain the highest cost FOEs at the two digit level.</w:t>
            </w:r>
          </w:p>
          <w:p w14:paraId="5E5DC88E" w14:textId="77777777" w:rsidR="0053612A" w:rsidRDefault="0053612A" w:rsidP="00797CA5">
            <w:pPr>
              <w:pStyle w:val="Bullet2"/>
            </w:pPr>
            <w:r>
              <w:t xml:space="preserve">Those FOEs with a lower proportion of non-salary costs have lower costs per EFTSL. </w:t>
            </w:r>
          </w:p>
          <w:p w14:paraId="4EE3C587" w14:textId="010807C0" w:rsidR="0053612A" w:rsidRDefault="0053612A" w:rsidP="00797CA5">
            <w:pPr>
              <w:pStyle w:val="Bullet1"/>
            </w:pPr>
            <w:r>
              <w:t xml:space="preserve">At the four digit FOE level Veterinary and Dental </w:t>
            </w:r>
            <w:r w:rsidR="00FF7656">
              <w:t>S</w:t>
            </w:r>
            <w:r>
              <w:t xml:space="preserve">tudies have the highest costs out of </w:t>
            </w:r>
            <w:r w:rsidR="00052F9C">
              <w:t xml:space="preserve">bachelor </w:t>
            </w:r>
            <w:r>
              <w:t>level courses, with mean reported costs of $4</w:t>
            </w:r>
            <w:r w:rsidR="00E76E8C">
              <w:t>9</w:t>
            </w:r>
            <w:r>
              <w:t>,000 to $</w:t>
            </w:r>
            <w:r w:rsidR="006951BE">
              <w:t>4</w:t>
            </w:r>
            <w:r>
              <w:t>5,000</w:t>
            </w:r>
            <w:r w:rsidR="006951BE">
              <w:t>, respectively</w:t>
            </w:r>
            <w:r>
              <w:t>.</w:t>
            </w:r>
          </w:p>
          <w:p w14:paraId="131DB2FF" w14:textId="77777777" w:rsidR="0053612A" w:rsidRDefault="0053612A" w:rsidP="00797CA5">
            <w:pPr>
              <w:pStyle w:val="Bullet2"/>
              <w:ind w:left="924" w:hanging="357"/>
            </w:pPr>
            <w:r>
              <w:t>Management and Commerce has the lowest mean reported cost at around $12,000, with several other courses having mean costs below the $15,000 mark.</w:t>
            </w:r>
          </w:p>
          <w:p w14:paraId="7568AA23" w14:textId="77777777" w:rsidR="0053612A" w:rsidRDefault="0053612A" w:rsidP="00797CA5">
            <w:pPr>
              <w:pStyle w:val="Bullet2"/>
              <w:ind w:left="924" w:hanging="357"/>
            </w:pPr>
            <w:r>
              <w:t>There is significant variation in reported costs across these average values in each FOE. The variance tends to be proportional to the average, with greater variation for the higher cost courses.</w:t>
            </w:r>
          </w:p>
          <w:p w14:paraId="4B54082F" w14:textId="77777777" w:rsidR="0053612A" w:rsidRDefault="0053612A" w:rsidP="00797CA5">
            <w:pPr>
              <w:pStyle w:val="Bullet1"/>
            </w:pPr>
            <w:r>
              <w:t>Variations around the average costs will have two broad drivers:</w:t>
            </w:r>
          </w:p>
          <w:p w14:paraId="71CADC7F" w14:textId="77777777" w:rsidR="0053612A" w:rsidRDefault="0053612A" w:rsidP="00797CA5">
            <w:pPr>
              <w:pStyle w:val="Bullet2"/>
            </w:pPr>
            <w:r>
              <w:t>University costs are a function of various unique contextual (such as student intake characteristics) and strategic factors (such as staff to student ratios) that will mean the cost of provision will vary across institutions</w:t>
            </w:r>
            <w:r w:rsidR="00052F9C">
              <w:t>.</w:t>
            </w:r>
          </w:p>
          <w:p w14:paraId="0E79E3C9" w14:textId="77777777" w:rsidR="0053612A" w:rsidRDefault="0053612A" w:rsidP="00797CA5">
            <w:pPr>
              <w:pStyle w:val="Bullet2"/>
            </w:pPr>
            <w:r>
              <w:t xml:space="preserve">Differences in approaches to allocating costs to each FOE may drive some of the variation. While it appeared that broadly similar assumptions and approaches were used by universities, it is difficult to tell how much the differences that remained drove the results reported in this </w:t>
            </w:r>
            <w:r w:rsidR="00052F9C">
              <w:t>chapter</w:t>
            </w:r>
            <w:r>
              <w:t>.</w:t>
            </w:r>
          </w:p>
          <w:p w14:paraId="75243C01" w14:textId="77777777" w:rsidR="0053612A" w:rsidRDefault="0053612A" w:rsidP="00797CA5">
            <w:pPr>
              <w:pStyle w:val="Bullet1"/>
              <w:spacing w:after="120"/>
            </w:pPr>
            <w:r>
              <w:t>Universities identified several reasons for realised, and ongoing, cost growth in the sector. These reasons principally related to rising salary costs, and rising placement costs. These mean that the results reported may represent a point in time estimate only, and may not be representative of future costs.</w:t>
            </w:r>
          </w:p>
        </w:tc>
      </w:tr>
    </w:tbl>
    <w:p w14:paraId="60D3906B" w14:textId="77777777" w:rsidR="00B36128" w:rsidRDefault="00B36128" w:rsidP="00B36128">
      <w:pPr>
        <w:pStyle w:val="BodyText"/>
      </w:pPr>
      <w:r>
        <w:t xml:space="preserve">This </w:t>
      </w:r>
      <w:r w:rsidR="00052F9C">
        <w:t>chapter</w:t>
      </w:r>
      <w:r>
        <w:t xml:space="preserve"> provides a summary of the evidence collected as part of this study. It begins by setting out the key summary statistics from the data collected from participating universities. Key statistics such as the mean, median and spread of reported costs by field of education are provided. The following </w:t>
      </w:r>
      <w:r w:rsidR="00052F9C">
        <w:t xml:space="preserve">chapters </w:t>
      </w:r>
      <w:r>
        <w:t>of this report provide more detailed analysis of this data, indicating the extent to which the observed costs can be explained by observable factors, and the extent to which unexplained differences in costs across universities may be tied to notions of efficiency.</w:t>
      </w:r>
    </w:p>
    <w:p w14:paraId="2F583E53" w14:textId="77777777" w:rsidR="00B36128" w:rsidRPr="00B36128" w:rsidRDefault="00B36128" w:rsidP="00B36128">
      <w:pPr>
        <w:pStyle w:val="BodyText"/>
      </w:pPr>
      <w:r>
        <w:t xml:space="preserve">This </w:t>
      </w:r>
      <w:r w:rsidR="00052F9C">
        <w:t>chapter</w:t>
      </w:r>
      <w:r>
        <w:t xml:space="preserve"> also includes a summary of the qualitative information that participants provided as part of this study. This includes insights on the difficulties in undertaking the </w:t>
      </w:r>
      <w:r>
        <w:lastRenderedPageBreak/>
        <w:t>data collection exercise (and associated implications for the accuracy of the findings) as well as their perspectives on the key trends that may drive costs into the future.</w:t>
      </w:r>
    </w:p>
    <w:p w14:paraId="675BCDBE" w14:textId="2C1E00EE" w:rsidR="00950594" w:rsidRDefault="00950594" w:rsidP="00950594">
      <w:pPr>
        <w:pStyle w:val="Heading2"/>
        <w:tabs>
          <w:tab w:val="clear" w:pos="709"/>
        </w:tabs>
        <w:ind w:left="851" w:hanging="851"/>
      </w:pPr>
      <w:bookmarkStart w:id="233" w:name="_Toc469927321"/>
      <w:r>
        <w:t xml:space="preserve">Summary of </w:t>
      </w:r>
      <w:r w:rsidR="00461021">
        <w:t>teaching and scholarship</w:t>
      </w:r>
      <w:r>
        <w:t xml:space="preserve"> costs</w:t>
      </w:r>
      <w:bookmarkEnd w:id="233"/>
    </w:p>
    <w:p w14:paraId="47F0D8D3" w14:textId="77777777" w:rsidR="00DC51DD" w:rsidRDefault="00DC51DD" w:rsidP="00DC51DD">
      <w:pPr>
        <w:pStyle w:val="BodyText"/>
      </w:pPr>
      <w:r>
        <w:t xml:space="preserve">This section provides a high level comparison of the data collected in the 2011 Deloitte Access Economics study and this study to understand the consistency of the data collected and changes over time, and provides descriptive and summary statistics of the data collected as part of this study. </w:t>
      </w:r>
    </w:p>
    <w:p w14:paraId="7DBAF895" w14:textId="77777777" w:rsidR="00DC51DD" w:rsidRDefault="00DC51DD" w:rsidP="00DC51DD">
      <w:pPr>
        <w:pStyle w:val="Heading3"/>
      </w:pPr>
      <w:r>
        <w:t>Comparison of 201</w:t>
      </w:r>
      <w:r w:rsidR="004A6D1D">
        <w:t>0</w:t>
      </w:r>
      <w:r>
        <w:t xml:space="preserve"> and 2015 data</w:t>
      </w:r>
    </w:p>
    <w:p w14:paraId="08DF557B" w14:textId="77777777" w:rsidR="00DC51DD" w:rsidRDefault="00DC51DD" w:rsidP="00DC51DD">
      <w:pPr>
        <w:pStyle w:val="BodyText"/>
      </w:pPr>
      <w:r>
        <w:t xml:space="preserve">The results </w:t>
      </w:r>
      <w:r w:rsidR="00B36128">
        <w:t xml:space="preserve">from the current study </w:t>
      </w:r>
      <w:r>
        <w:t xml:space="preserve">are broadly similar to the findings from </w:t>
      </w:r>
      <w:r w:rsidR="004A6D1D">
        <w:t xml:space="preserve">the </w:t>
      </w:r>
      <w:r>
        <w:t>2011</w:t>
      </w:r>
      <w:r w:rsidR="004A6D1D">
        <w:t xml:space="preserve"> study, which used 2010 data</w:t>
      </w:r>
      <w:r>
        <w:t xml:space="preserve">. </w:t>
      </w:r>
      <w:r>
        <w:fldChar w:fldCharType="begin"/>
      </w:r>
      <w:r>
        <w:instrText xml:space="preserve"> REF _Ref465874674 \r \h </w:instrText>
      </w:r>
      <w:r>
        <w:fldChar w:fldCharType="separate"/>
      </w:r>
      <w:r w:rsidR="00595C6E">
        <w:t>Chart 3.1</w:t>
      </w:r>
      <w:r>
        <w:fldChar w:fldCharType="end"/>
      </w:r>
      <w:r>
        <w:t xml:space="preserve"> below compares the mean cost estimates and distributions across the two studies for bachelor degrees. Broadly, there are </w:t>
      </w:r>
      <w:r w:rsidR="00B36128">
        <w:t xml:space="preserve">only relatively </w:t>
      </w:r>
      <w:r>
        <w:t>small changes in costs (either positive or negative) across FOEs</w:t>
      </w:r>
      <w:r w:rsidR="00B36128">
        <w:t xml:space="preserve"> between the two studies</w:t>
      </w:r>
      <w:r>
        <w:t xml:space="preserve">. </w:t>
      </w:r>
    </w:p>
    <w:p w14:paraId="7ADF1224" w14:textId="77777777" w:rsidR="00DC51DD" w:rsidRDefault="00DC51DD" w:rsidP="00176B69">
      <w:pPr>
        <w:pStyle w:val="BodyText"/>
      </w:pPr>
      <w:r>
        <w:t xml:space="preserve">However, for a number of fields, the reported costs across universities has </w:t>
      </w:r>
      <w:r w:rsidR="00B36128">
        <w:t xml:space="preserve">increased across the studies. </w:t>
      </w:r>
      <w:r>
        <w:t xml:space="preserve">The relatively sharp increase in </w:t>
      </w:r>
      <w:r w:rsidR="00B36128">
        <w:t xml:space="preserve">costs for Agriculture and </w:t>
      </w:r>
      <w:r w:rsidR="000F4313">
        <w:t xml:space="preserve">Environmental </w:t>
      </w:r>
      <w:r w:rsidR="00B36128">
        <w:t xml:space="preserve">studies </w:t>
      </w:r>
      <w:r>
        <w:t xml:space="preserve">has </w:t>
      </w:r>
      <w:r w:rsidR="00B36128">
        <w:t xml:space="preserve">extended its top </w:t>
      </w:r>
      <w:r>
        <w:t xml:space="preserve">rank </w:t>
      </w:r>
      <w:r w:rsidR="00B36128">
        <w:t xml:space="preserve">over the remaining fields. </w:t>
      </w:r>
      <w:r w:rsidR="00B30238">
        <w:t>Significant cost increases were also present in Architecture</w:t>
      </w:r>
      <w:r>
        <w:t>.</w:t>
      </w:r>
      <w:r w:rsidR="00B30238">
        <w:t xml:space="preserve"> At the other end of the scale, </w:t>
      </w:r>
      <w:r w:rsidR="004A6D1D">
        <w:t>Society and Culture is the least costly per EFTSL</w:t>
      </w:r>
      <w:r w:rsidR="00B30238">
        <w:t>, albeit not significantly behind several other fields.</w:t>
      </w:r>
      <w:r>
        <w:t xml:space="preserve"> </w:t>
      </w:r>
    </w:p>
    <w:p w14:paraId="5AC7F3B3" w14:textId="77777777" w:rsidR="00DC51DD" w:rsidRDefault="00DC51DD" w:rsidP="00DC51DD">
      <w:pPr>
        <w:pStyle w:val="CaptionChart"/>
      </w:pPr>
      <w:bookmarkStart w:id="234" w:name="_Ref465874674"/>
      <w:bookmarkStart w:id="235" w:name="_Toc469927371"/>
      <w:r>
        <w:t>: Bachelor costs per EFTSL, 201</w:t>
      </w:r>
      <w:r w:rsidR="004A6D1D">
        <w:t>0</w:t>
      </w:r>
      <w:r>
        <w:t xml:space="preserve"> vs 2015</w:t>
      </w:r>
      <w:bookmarkEnd w:id="234"/>
      <w:bookmarkEnd w:id="235"/>
    </w:p>
    <w:p w14:paraId="43DD0759" w14:textId="77777777" w:rsidR="00DC51DD" w:rsidRDefault="00FC5E0C" w:rsidP="00DC51DD">
      <w:pPr>
        <w:pStyle w:val="BodyText"/>
        <w:jc w:val="center"/>
      </w:pPr>
      <w:r>
        <w:rPr>
          <w:noProof/>
          <w:lang w:eastAsia="en-AU"/>
        </w:rPr>
        <w:drawing>
          <wp:inline distT="0" distB="0" distL="0" distR="0" wp14:anchorId="7BB6A847" wp14:editId="6059B638">
            <wp:extent cx="5215459" cy="2887980"/>
            <wp:effectExtent l="0" t="0" r="4445" b="7620"/>
            <wp:docPr id="406" name="Picture 406" descr="Comparison between 2010 and 2015 variation  in bachelor costs per EFTSL by broad FOE" title="Bachelor costs per EFT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15459" cy="2887980"/>
                    </a:xfrm>
                    <a:prstGeom prst="rect">
                      <a:avLst/>
                    </a:prstGeom>
                    <a:noFill/>
                  </pic:spPr>
                </pic:pic>
              </a:graphicData>
            </a:graphic>
          </wp:inline>
        </w:drawing>
      </w:r>
    </w:p>
    <w:p w14:paraId="116FBBB3" w14:textId="77777777" w:rsidR="00DC51DD" w:rsidRDefault="00DC51DD" w:rsidP="007D7A5A">
      <w:pPr>
        <w:pStyle w:val="Source"/>
      </w:pPr>
      <w:r>
        <w:t>Source: Deloitte Access Economics analysis</w:t>
      </w:r>
      <w:r w:rsidR="00F15E05">
        <w:t>.</w:t>
      </w:r>
    </w:p>
    <w:p w14:paraId="068077C1" w14:textId="77777777" w:rsidR="004F7B6B" w:rsidRPr="006F4316" w:rsidRDefault="004F7B6B" w:rsidP="004F7B6B">
      <w:pPr>
        <w:pStyle w:val="BodyText"/>
      </w:pPr>
      <w:r>
        <w:t xml:space="preserve">Given </w:t>
      </w:r>
      <w:r w:rsidRPr="003C4E74">
        <w:t xml:space="preserve">the variation in sample size, sample representativeness, and in approach between the current study and the </w:t>
      </w:r>
      <w:r w:rsidRPr="006F4316">
        <w:t xml:space="preserve">2011 study, </w:t>
      </w:r>
      <w:r w:rsidRPr="00D55F3F">
        <w:t xml:space="preserve">it is not appropriate to attempt to determine precise cost growth over this period from a direct comparison of the two studies. </w:t>
      </w:r>
    </w:p>
    <w:p w14:paraId="097EE3A9" w14:textId="2A1612A3" w:rsidR="00DC51DD" w:rsidRDefault="00DC51DD" w:rsidP="00DC51DD">
      <w:pPr>
        <w:pStyle w:val="BodyText"/>
      </w:pPr>
      <w:r>
        <w:lastRenderedPageBreak/>
        <w:t xml:space="preserve">The costs for postgraduate courses have increased by relatively more than bachelor costs over this period, as shown in </w:t>
      </w:r>
      <w:r>
        <w:fldChar w:fldCharType="begin"/>
      </w:r>
      <w:r>
        <w:instrText xml:space="preserve"> REF _Ref465874940 \r \h </w:instrText>
      </w:r>
      <w:r>
        <w:fldChar w:fldCharType="separate"/>
      </w:r>
      <w:r w:rsidR="00595C6E">
        <w:t>Chart 3.2</w:t>
      </w:r>
      <w:r>
        <w:fldChar w:fldCharType="end"/>
      </w:r>
      <w:r>
        <w:t xml:space="preserve"> below. This is particularly the case for Architecture and building, Health, and Engineering and related </w:t>
      </w:r>
      <w:r w:rsidR="00FF7656">
        <w:t>S</w:t>
      </w:r>
      <w:r>
        <w:t xml:space="preserve">tudies. This </w:t>
      </w:r>
      <w:r w:rsidR="00E44463">
        <w:t xml:space="preserve">broad </w:t>
      </w:r>
      <w:r>
        <w:t>increase in costs at this level has also made the cost differential between undergraduate and graduate FOEs more pronounced across the studies, with the average cost for a postgraduate EFTSL at $</w:t>
      </w:r>
      <w:r w:rsidR="004A6D1D">
        <w:t>20,050</w:t>
      </w:r>
      <w:r>
        <w:t>, compared to $16,0</w:t>
      </w:r>
      <w:r w:rsidR="004A6D1D">
        <w:t>25</w:t>
      </w:r>
      <w:r>
        <w:t xml:space="preserve"> for an undergraduate EFTSL. </w:t>
      </w:r>
      <w:r w:rsidR="004A6D1D" w:rsidRPr="004A6D1D">
        <w:t>The 2010 average for a postgraduate EFTSL was around $16,972, along with $15,021 for an undergraduate EFTSL.</w:t>
      </w:r>
    </w:p>
    <w:p w14:paraId="63F074E1" w14:textId="77777777" w:rsidR="00DC51DD" w:rsidRDefault="00DC51DD" w:rsidP="00DC51DD">
      <w:pPr>
        <w:pStyle w:val="CaptionChart"/>
      </w:pPr>
      <w:bookmarkStart w:id="236" w:name="_Ref465874940"/>
      <w:bookmarkStart w:id="237" w:name="_Toc469927372"/>
      <w:r>
        <w:t>: Postgraduate costs per EFTSL, 201</w:t>
      </w:r>
      <w:r w:rsidR="004A6D1D">
        <w:t>0</w:t>
      </w:r>
      <w:r>
        <w:t xml:space="preserve"> vs 2015</w:t>
      </w:r>
      <w:bookmarkEnd w:id="236"/>
      <w:bookmarkEnd w:id="237"/>
    </w:p>
    <w:p w14:paraId="1AC0B535" w14:textId="77777777" w:rsidR="00DC51DD" w:rsidRDefault="00FC5E0C" w:rsidP="00DC51DD">
      <w:pPr>
        <w:pStyle w:val="BodyText"/>
        <w:jc w:val="center"/>
      </w:pPr>
      <w:r>
        <w:rPr>
          <w:noProof/>
          <w:lang w:eastAsia="en-AU"/>
        </w:rPr>
        <w:drawing>
          <wp:inline distT="0" distB="0" distL="0" distR="0" wp14:anchorId="47705E59" wp14:editId="691EE6C8">
            <wp:extent cx="5325942" cy="2868295"/>
            <wp:effectExtent l="0" t="0" r="8255" b="8255"/>
            <wp:docPr id="407" name="Picture 407" descr="Comparison between 2010 and 2015 variation in postgraduate costs per EFTSL by broad FOE" title="Postgraduate costs per EFT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30952" cy="2870993"/>
                    </a:xfrm>
                    <a:prstGeom prst="rect">
                      <a:avLst/>
                    </a:prstGeom>
                    <a:noFill/>
                  </pic:spPr>
                </pic:pic>
              </a:graphicData>
            </a:graphic>
          </wp:inline>
        </w:drawing>
      </w:r>
    </w:p>
    <w:p w14:paraId="6DF46115" w14:textId="77777777" w:rsidR="00DC51DD" w:rsidRDefault="00DC51DD" w:rsidP="00DC51DD">
      <w:pPr>
        <w:pStyle w:val="Source"/>
      </w:pPr>
      <w:r>
        <w:t>Source: Deloitte Access Economics analysis</w:t>
      </w:r>
      <w:r w:rsidR="00F15E05">
        <w:t>.</w:t>
      </w:r>
    </w:p>
    <w:p w14:paraId="533D509F" w14:textId="77777777" w:rsidR="00AE63E0" w:rsidRDefault="00AE63E0" w:rsidP="00AE63E0">
      <w:pPr>
        <w:pStyle w:val="BodyText"/>
      </w:pPr>
      <w:r>
        <w:t xml:space="preserve">One source of sampling bias in this measurement can be mitigated, by creating weighted cost averages based on field of education and award level. The FOE-weighted average costs per EFTSL are given in </w:t>
      </w:r>
      <w:r>
        <w:fldChar w:fldCharType="begin"/>
      </w:r>
      <w:r>
        <w:instrText xml:space="preserve"> REF _Ref468688503 \r \h </w:instrText>
      </w:r>
      <w:r>
        <w:fldChar w:fldCharType="separate"/>
      </w:r>
      <w:r w:rsidR="00595C6E">
        <w:t>Table 3.1</w:t>
      </w:r>
      <w:r>
        <w:fldChar w:fldCharType="end"/>
      </w:r>
      <w:r>
        <w:t xml:space="preserve"> below. Though this figure includes resea</w:t>
      </w:r>
      <w:r w:rsidR="00E44463">
        <w:t>rch and commercial activities, d</w:t>
      </w:r>
      <w:r w:rsidRPr="00C90D03">
        <w:t xml:space="preserve">ata </w:t>
      </w:r>
      <w:r>
        <w:t>reported by the Department on the financial position of the sector shows that</w:t>
      </w:r>
      <w:r w:rsidRPr="00C90D03">
        <w:t xml:space="preserve"> ongoing expenses growth per EFTSL has been 16% from 2010 to 2015, or </w:t>
      </w:r>
      <w:r>
        <w:t xml:space="preserve">around </w:t>
      </w:r>
      <w:r w:rsidRPr="00C90D03">
        <w:t>3% per year.</w:t>
      </w:r>
      <w:r>
        <w:t xml:space="preserve"> Broadly, the dif</w:t>
      </w:r>
      <w:r w:rsidR="00E44463">
        <w:t>ference between this 16% growth</w:t>
      </w:r>
      <w:r>
        <w:t xml:space="preserve"> and the </w:t>
      </w:r>
      <w:r w:rsidR="00E44463">
        <w:t xml:space="preserve">10% </w:t>
      </w:r>
      <w:r>
        <w:t>growth observed</w:t>
      </w:r>
      <w:r w:rsidR="00E44463">
        <w:t xml:space="preserve"> across the two costing surveys</w:t>
      </w:r>
      <w:r>
        <w:t xml:space="preserve"> could be due to either </w:t>
      </w:r>
      <w:r w:rsidR="0049715A">
        <w:t xml:space="preserve">differential </w:t>
      </w:r>
      <w:r>
        <w:t xml:space="preserve">growth in commercial and research costs, </w:t>
      </w:r>
      <w:r w:rsidR="00E44463">
        <w:t>issues of representativeness</w:t>
      </w:r>
      <w:r>
        <w:t xml:space="preserve">, and/or measurement uncertainty on behalf of participants. </w:t>
      </w:r>
    </w:p>
    <w:p w14:paraId="724AD679" w14:textId="77777777" w:rsidR="00AE63E0" w:rsidRDefault="00AE63E0" w:rsidP="00AE63E0">
      <w:pPr>
        <w:pStyle w:val="CaptionTable"/>
      </w:pPr>
      <w:bookmarkStart w:id="238" w:name="_Ref468688503"/>
      <w:bookmarkStart w:id="239" w:name="_Toc469927393"/>
      <w:r>
        <w:t>: FOE-weighted average costs per EFTSL</w:t>
      </w:r>
      <w:bookmarkEnd w:id="238"/>
      <w:bookmarkEnd w:id="239"/>
    </w:p>
    <w:tbl>
      <w:tblPr>
        <w:tblStyle w:val="TableAETotals"/>
        <w:tblW w:w="4678" w:type="dxa"/>
        <w:jc w:val="center"/>
        <w:tblLook w:val="04A0" w:firstRow="1" w:lastRow="0" w:firstColumn="1" w:lastColumn="0" w:noHBand="0" w:noVBand="1"/>
      </w:tblPr>
      <w:tblGrid>
        <w:gridCol w:w="1700"/>
        <w:gridCol w:w="1456"/>
        <w:gridCol w:w="1522"/>
      </w:tblGrid>
      <w:tr w:rsidR="00AE63E0" w:rsidRPr="007A5138" w14:paraId="670631B6" w14:textId="77777777" w:rsidTr="00E44463">
        <w:trPr>
          <w:cnfStyle w:val="100000000000" w:firstRow="1" w:lastRow="0" w:firstColumn="0" w:lastColumn="0" w:oddVBand="0" w:evenVBand="0" w:oddHBand="0" w:evenHBand="0" w:firstRowFirstColumn="0" w:firstRowLastColumn="0" w:lastRowFirstColumn="0" w:lastRowLastColumn="0"/>
          <w:trHeight w:val="255"/>
          <w:jc w:val="center"/>
        </w:trPr>
        <w:tc>
          <w:tcPr>
            <w:tcW w:w="1700" w:type="dxa"/>
            <w:noWrap/>
            <w:hideMark/>
          </w:tcPr>
          <w:p w14:paraId="3C12E3AE" w14:textId="77777777" w:rsidR="00AE63E0" w:rsidRPr="007A5138" w:rsidRDefault="00AE63E0" w:rsidP="00E44463">
            <w:pPr>
              <w:rPr>
                <w:rFonts w:ascii="Times New Roman" w:hAnsi="Times New Roman"/>
                <w:sz w:val="20"/>
                <w:szCs w:val="24"/>
                <w:lang w:eastAsia="en-AU"/>
              </w:rPr>
            </w:pPr>
          </w:p>
        </w:tc>
        <w:tc>
          <w:tcPr>
            <w:tcW w:w="1456" w:type="dxa"/>
            <w:noWrap/>
            <w:hideMark/>
          </w:tcPr>
          <w:p w14:paraId="3BB570A3" w14:textId="77777777" w:rsidR="00AE63E0" w:rsidRPr="007A5138" w:rsidRDefault="00AE63E0" w:rsidP="00E44463">
            <w:pPr>
              <w:jc w:val="right"/>
              <w:rPr>
                <w:rFonts w:cs="Arial"/>
                <w:b/>
                <w:bCs/>
                <w:sz w:val="20"/>
                <w:lang w:eastAsia="en-AU"/>
              </w:rPr>
            </w:pPr>
            <w:r w:rsidRPr="007A5138">
              <w:rPr>
                <w:rFonts w:cs="Arial"/>
                <w:b/>
                <w:bCs/>
                <w:sz w:val="20"/>
                <w:lang w:eastAsia="en-AU"/>
              </w:rPr>
              <w:t>2010</w:t>
            </w:r>
            <w:r>
              <w:rPr>
                <w:rFonts w:cs="Arial"/>
                <w:b/>
                <w:bCs/>
                <w:sz w:val="20"/>
                <w:lang w:eastAsia="en-AU"/>
              </w:rPr>
              <w:t xml:space="preserve"> data</w:t>
            </w:r>
          </w:p>
        </w:tc>
        <w:tc>
          <w:tcPr>
            <w:tcW w:w="1522" w:type="dxa"/>
            <w:noWrap/>
            <w:hideMark/>
          </w:tcPr>
          <w:p w14:paraId="3AAF02AB" w14:textId="77777777" w:rsidR="00AE63E0" w:rsidRPr="007A5138" w:rsidRDefault="00AE63E0" w:rsidP="00E44463">
            <w:pPr>
              <w:jc w:val="right"/>
              <w:rPr>
                <w:rFonts w:cs="Arial"/>
                <w:b/>
                <w:bCs/>
                <w:sz w:val="20"/>
                <w:lang w:eastAsia="en-AU"/>
              </w:rPr>
            </w:pPr>
            <w:r w:rsidRPr="007A5138">
              <w:rPr>
                <w:rFonts w:cs="Arial"/>
                <w:b/>
                <w:bCs/>
                <w:sz w:val="20"/>
                <w:lang w:eastAsia="en-AU"/>
              </w:rPr>
              <w:t>2015</w:t>
            </w:r>
            <w:r>
              <w:rPr>
                <w:rFonts w:cs="Arial"/>
                <w:b/>
                <w:bCs/>
                <w:sz w:val="20"/>
                <w:lang w:eastAsia="en-AU"/>
              </w:rPr>
              <w:t xml:space="preserve"> data</w:t>
            </w:r>
          </w:p>
        </w:tc>
      </w:tr>
      <w:tr w:rsidR="00AE63E0" w:rsidRPr="007A5138" w14:paraId="7E365768" w14:textId="77777777" w:rsidTr="00E44463">
        <w:trPr>
          <w:trHeight w:val="255"/>
          <w:jc w:val="center"/>
        </w:trPr>
        <w:tc>
          <w:tcPr>
            <w:tcW w:w="1700" w:type="dxa"/>
            <w:noWrap/>
            <w:hideMark/>
          </w:tcPr>
          <w:p w14:paraId="73ADF9EA" w14:textId="77777777" w:rsidR="00AE63E0" w:rsidRPr="007A5138" w:rsidRDefault="00AE63E0" w:rsidP="00E44463">
            <w:pPr>
              <w:jc w:val="center"/>
              <w:rPr>
                <w:rFonts w:cs="Arial"/>
                <w:b/>
                <w:bCs/>
                <w:sz w:val="20"/>
                <w:lang w:eastAsia="en-AU"/>
              </w:rPr>
            </w:pPr>
            <w:r w:rsidRPr="007A5138">
              <w:rPr>
                <w:rFonts w:cs="Arial"/>
                <w:b/>
                <w:bCs/>
                <w:sz w:val="20"/>
                <w:lang w:eastAsia="en-AU"/>
              </w:rPr>
              <w:t>Undergraduate</w:t>
            </w:r>
          </w:p>
        </w:tc>
        <w:tc>
          <w:tcPr>
            <w:tcW w:w="1456" w:type="dxa"/>
            <w:noWrap/>
            <w:hideMark/>
          </w:tcPr>
          <w:p w14:paraId="74598E4D" w14:textId="77777777" w:rsidR="00AE63E0" w:rsidRPr="00BC153D" w:rsidRDefault="00AE63E0" w:rsidP="00E44463">
            <w:pPr>
              <w:jc w:val="right"/>
              <w:rPr>
                <w:rFonts w:cs="Arial"/>
                <w:sz w:val="20"/>
                <w:lang w:eastAsia="en-AU"/>
              </w:rPr>
            </w:pPr>
            <w:r w:rsidRPr="00BC153D">
              <w:rPr>
                <w:sz w:val="20"/>
              </w:rPr>
              <w:t>$15,021</w:t>
            </w:r>
          </w:p>
        </w:tc>
        <w:tc>
          <w:tcPr>
            <w:tcW w:w="1522" w:type="dxa"/>
            <w:noWrap/>
            <w:hideMark/>
          </w:tcPr>
          <w:p w14:paraId="2AB50966" w14:textId="77777777" w:rsidR="00AE63E0" w:rsidRPr="00BC153D" w:rsidRDefault="00AE63E0" w:rsidP="00E44463">
            <w:pPr>
              <w:jc w:val="right"/>
              <w:rPr>
                <w:rFonts w:cs="Arial"/>
                <w:sz w:val="20"/>
                <w:lang w:eastAsia="en-AU"/>
              </w:rPr>
            </w:pPr>
            <w:r w:rsidRPr="00BC153D">
              <w:rPr>
                <w:sz w:val="20"/>
              </w:rPr>
              <w:t>$16,025</w:t>
            </w:r>
          </w:p>
        </w:tc>
      </w:tr>
      <w:tr w:rsidR="00AE63E0" w:rsidRPr="007A5138" w14:paraId="20000242" w14:textId="77777777" w:rsidTr="00E44463">
        <w:trPr>
          <w:trHeight w:val="255"/>
          <w:jc w:val="center"/>
        </w:trPr>
        <w:tc>
          <w:tcPr>
            <w:tcW w:w="1700" w:type="dxa"/>
            <w:noWrap/>
            <w:hideMark/>
          </w:tcPr>
          <w:p w14:paraId="05C42A52" w14:textId="77777777" w:rsidR="00AE63E0" w:rsidRPr="007A5138" w:rsidRDefault="00AE63E0" w:rsidP="00E44463">
            <w:pPr>
              <w:jc w:val="center"/>
              <w:rPr>
                <w:rFonts w:cs="Arial"/>
                <w:b/>
                <w:bCs/>
                <w:sz w:val="20"/>
                <w:lang w:eastAsia="en-AU"/>
              </w:rPr>
            </w:pPr>
            <w:r w:rsidRPr="007A5138">
              <w:rPr>
                <w:rFonts w:cs="Arial"/>
                <w:b/>
                <w:bCs/>
                <w:sz w:val="20"/>
                <w:lang w:eastAsia="en-AU"/>
              </w:rPr>
              <w:t>Postgraduate</w:t>
            </w:r>
          </w:p>
        </w:tc>
        <w:tc>
          <w:tcPr>
            <w:tcW w:w="1456" w:type="dxa"/>
            <w:noWrap/>
            <w:hideMark/>
          </w:tcPr>
          <w:p w14:paraId="519830E1" w14:textId="77777777" w:rsidR="00AE63E0" w:rsidRPr="00BC153D" w:rsidRDefault="00AE63E0" w:rsidP="00E44463">
            <w:pPr>
              <w:jc w:val="right"/>
              <w:rPr>
                <w:rFonts w:cs="Arial"/>
                <w:sz w:val="20"/>
                <w:lang w:eastAsia="en-AU"/>
              </w:rPr>
            </w:pPr>
            <w:r w:rsidRPr="00BC153D">
              <w:rPr>
                <w:sz w:val="20"/>
              </w:rPr>
              <w:t>$16,972</w:t>
            </w:r>
          </w:p>
        </w:tc>
        <w:tc>
          <w:tcPr>
            <w:tcW w:w="1522" w:type="dxa"/>
            <w:noWrap/>
            <w:hideMark/>
          </w:tcPr>
          <w:p w14:paraId="5697FE34" w14:textId="77777777" w:rsidR="00AE63E0" w:rsidRPr="00BC153D" w:rsidRDefault="00AE63E0" w:rsidP="00E44463">
            <w:pPr>
              <w:jc w:val="right"/>
              <w:rPr>
                <w:rFonts w:cs="Arial"/>
                <w:sz w:val="20"/>
                <w:lang w:eastAsia="en-AU"/>
              </w:rPr>
            </w:pPr>
            <w:r w:rsidRPr="00BC153D">
              <w:rPr>
                <w:sz w:val="20"/>
              </w:rPr>
              <w:t>$20,050</w:t>
            </w:r>
          </w:p>
        </w:tc>
      </w:tr>
      <w:tr w:rsidR="00AE63E0" w:rsidRPr="007A5138" w14:paraId="15DC5862" w14:textId="77777777" w:rsidTr="00E44463">
        <w:trPr>
          <w:trHeight w:val="255"/>
          <w:jc w:val="center"/>
        </w:trPr>
        <w:tc>
          <w:tcPr>
            <w:tcW w:w="1700" w:type="dxa"/>
            <w:noWrap/>
            <w:hideMark/>
          </w:tcPr>
          <w:p w14:paraId="3B6370FF" w14:textId="77777777" w:rsidR="00AE63E0" w:rsidRPr="007A5138" w:rsidRDefault="00AE63E0" w:rsidP="00E44463">
            <w:pPr>
              <w:jc w:val="center"/>
              <w:rPr>
                <w:rFonts w:cs="Arial"/>
                <w:b/>
                <w:bCs/>
                <w:sz w:val="20"/>
                <w:lang w:eastAsia="en-AU"/>
              </w:rPr>
            </w:pPr>
            <w:r w:rsidRPr="007A5138">
              <w:rPr>
                <w:rFonts w:cs="Arial"/>
                <w:b/>
                <w:bCs/>
                <w:sz w:val="20"/>
                <w:lang w:eastAsia="en-AU"/>
              </w:rPr>
              <w:t>Total</w:t>
            </w:r>
          </w:p>
        </w:tc>
        <w:tc>
          <w:tcPr>
            <w:tcW w:w="1456" w:type="dxa"/>
            <w:noWrap/>
            <w:hideMark/>
          </w:tcPr>
          <w:p w14:paraId="70F2CA5D" w14:textId="77777777" w:rsidR="00AE63E0" w:rsidRPr="00BC153D" w:rsidRDefault="00AE63E0" w:rsidP="00E44463">
            <w:pPr>
              <w:jc w:val="right"/>
              <w:rPr>
                <w:rFonts w:cs="Arial"/>
                <w:sz w:val="20"/>
                <w:lang w:eastAsia="en-AU"/>
              </w:rPr>
            </w:pPr>
            <w:r w:rsidRPr="00BC153D">
              <w:rPr>
                <w:sz w:val="20"/>
              </w:rPr>
              <w:t>$15,375</w:t>
            </w:r>
          </w:p>
        </w:tc>
        <w:tc>
          <w:tcPr>
            <w:tcW w:w="1522" w:type="dxa"/>
            <w:noWrap/>
            <w:hideMark/>
          </w:tcPr>
          <w:p w14:paraId="2D4A48EC" w14:textId="77777777" w:rsidR="00AE63E0" w:rsidRPr="00BC153D" w:rsidRDefault="00AE63E0" w:rsidP="00E44463">
            <w:pPr>
              <w:jc w:val="right"/>
              <w:rPr>
                <w:rFonts w:cs="Arial"/>
                <w:sz w:val="20"/>
                <w:lang w:eastAsia="en-AU"/>
              </w:rPr>
            </w:pPr>
            <w:r w:rsidRPr="00BC153D">
              <w:rPr>
                <w:sz w:val="20"/>
              </w:rPr>
              <w:t>$16,839</w:t>
            </w:r>
          </w:p>
        </w:tc>
      </w:tr>
    </w:tbl>
    <w:p w14:paraId="4137687D" w14:textId="77777777" w:rsidR="00AE63E0" w:rsidRDefault="00AE63E0" w:rsidP="00AE63E0">
      <w:pPr>
        <w:pStyle w:val="Source"/>
        <w:ind w:left="1134" w:firstLine="567"/>
      </w:pPr>
      <w:r>
        <w:t>Source: Deloitte Access Economics</w:t>
      </w:r>
      <w:r w:rsidR="00F15E05">
        <w:t xml:space="preserve"> analysis.</w:t>
      </w:r>
    </w:p>
    <w:p w14:paraId="05B068CB" w14:textId="77777777" w:rsidR="00AE63E0" w:rsidRDefault="00AE63E0" w:rsidP="00DC51DD">
      <w:pPr>
        <w:pStyle w:val="Source"/>
      </w:pPr>
    </w:p>
    <w:p w14:paraId="5BB0DE01" w14:textId="77777777" w:rsidR="004A6D1D" w:rsidRDefault="004A6D1D" w:rsidP="00DC51DD">
      <w:pPr>
        <w:pStyle w:val="Source"/>
      </w:pPr>
    </w:p>
    <w:p w14:paraId="2B41B74A" w14:textId="77777777" w:rsidR="00DC51DD" w:rsidRDefault="00DC51DD" w:rsidP="00DC51DD">
      <w:pPr>
        <w:pStyle w:val="Heading3"/>
      </w:pPr>
      <w:r>
        <w:lastRenderedPageBreak/>
        <w:t>Total cost by FOE and qualification level</w:t>
      </w:r>
    </w:p>
    <w:p w14:paraId="13214D14" w14:textId="2BD5B256" w:rsidR="00DC51DD" w:rsidRDefault="00DC51DD" w:rsidP="00DC51DD">
      <w:pPr>
        <w:pStyle w:val="BodyText"/>
      </w:pPr>
      <w:r>
        <w:fldChar w:fldCharType="begin"/>
      </w:r>
      <w:r>
        <w:instrText xml:space="preserve"> REF _Ref465875640 \r \h </w:instrText>
      </w:r>
      <w:r>
        <w:fldChar w:fldCharType="separate"/>
      </w:r>
      <w:r w:rsidR="00595C6E">
        <w:t>Chart 3.3</w:t>
      </w:r>
      <w:r>
        <w:fldChar w:fldCharType="end"/>
      </w:r>
      <w:r>
        <w:t xml:space="preserve"> shows the spread of the estimated cost per EFTSL across FOEs at the bachelor level.</w:t>
      </w:r>
      <w:r>
        <w:rPr>
          <w:rStyle w:val="FootnoteReference"/>
        </w:rPr>
        <w:footnoteReference w:id="11"/>
      </w:r>
      <w:r>
        <w:t xml:space="preserve"> Veterinary </w:t>
      </w:r>
      <w:r w:rsidR="00FF7656">
        <w:t>Studies</w:t>
      </w:r>
      <w:r>
        <w:t xml:space="preserve"> has the largest </w:t>
      </w:r>
      <w:r w:rsidR="004F7B6B">
        <w:t xml:space="preserve">mean </w:t>
      </w:r>
      <w:r>
        <w:t>cost of provision per EFTSL, at around $</w:t>
      </w:r>
      <w:r w:rsidR="004F7B6B">
        <w:t>49</w:t>
      </w:r>
      <w:r>
        <w:t>,000, as well as a large spread of values from around $3</w:t>
      </w:r>
      <w:r w:rsidR="004F7B6B">
        <w:t>5</w:t>
      </w:r>
      <w:r>
        <w:t>,000 to $</w:t>
      </w:r>
      <w:r w:rsidR="004F7B6B">
        <w:t>79</w:t>
      </w:r>
      <w:r>
        <w:t>,000.</w:t>
      </w:r>
      <w:r>
        <w:rPr>
          <w:rStyle w:val="FootnoteReference"/>
        </w:rPr>
        <w:footnoteReference w:id="12"/>
      </w:r>
      <w:r>
        <w:t xml:space="preserve"> </w:t>
      </w:r>
    </w:p>
    <w:p w14:paraId="7F96BEC5" w14:textId="40274CC8" w:rsidR="00DC51DD" w:rsidRDefault="00DC51DD" w:rsidP="00DC51DD">
      <w:pPr>
        <w:pStyle w:val="CaptionChart"/>
      </w:pPr>
      <w:bookmarkStart w:id="240" w:name="_Ref465875640"/>
      <w:bookmarkStart w:id="241" w:name="_Toc469927373"/>
      <w:r>
        <w:t>: Total cost per EFTSL (</w:t>
      </w:r>
      <w:r w:rsidR="009F6F84">
        <w:t>b</w:t>
      </w:r>
      <w:r>
        <w:t>achelor level, outliers removed)</w:t>
      </w:r>
      <w:bookmarkEnd w:id="240"/>
      <w:bookmarkEnd w:id="241"/>
    </w:p>
    <w:p w14:paraId="552188D8" w14:textId="77777777" w:rsidR="00DC51DD" w:rsidRDefault="00FC5E0C" w:rsidP="00DC51DD">
      <w:pPr>
        <w:pStyle w:val="BodyText"/>
        <w:jc w:val="center"/>
      </w:pPr>
      <w:r>
        <w:rPr>
          <w:noProof/>
          <w:lang w:eastAsia="en-AU"/>
        </w:rPr>
        <w:drawing>
          <wp:inline distT="0" distB="0" distL="0" distR="0" wp14:anchorId="07702F7A" wp14:editId="35AE036D">
            <wp:extent cx="5224780" cy="2615565"/>
            <wp:effectExtent l="0" t="0" r="0" b="0"/>
            <wp:docPr id="408" name="Picture 408" descr="Comparisons between the variation of the total cost per EFTSL for Bachelor Degrees by FOE" title="Total cost per EFST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24780" cy="2615565"/>
                    </a:xfrm>
                    <a:prstGeom prst="rect">
                      <a:avLst/>
                    </a:prstGeom>
                    <a:noFill/>
                  </pic:spPr>
                </pic:pic>
              </a:graphicData>
            </a:graphic>
          </wp:inline>
        </w:drawing>
      </w:r>
    </w:p>
    <w:p w14:paraId="028BBB49" w14:textId="77777777" w:rsidR="00DC51DD" w:rsidRPr="00EA798B" w:rsidRDefault="00DC51DD" w:rsidP="00DC51DD">
      <w:pPr>
        <w:pStyle w:val="Source"/>
      </w:pPr>
      <w:r w:rsidRPr="00EA798B">
        <w:t>Source: Deloitte Access Economics analysis.</w:t>
      </w:r>
    </w:p>
    <w:p w14:paraId="459C99D0" w14:textId="3F3831CA" w:rsidR="00DC51DD" w:rsidRDefault="00DC51DD" w:rsidP="00DC51DD">
      <w:pPr>
        <w:pStyle w:val="BodyText"/>
      </w:pPr>
      <w:r>
        <w:t xml:space="preserve">Dental </w:t>
      </w:r>
      <w:r w:rsidR="00FF7656">
        <w:t>Studies</w:t>
      </w:r>
      <w:r w:rsidR="00B30238">
        <w:t>,</w:t>
      </w:r>
      <w:r>
        <w:t xml:space="preserve"> Medical </w:t>
      </w:r>
      <w:r w:rsidR="00FF7656">
        <w:t>Studies</w:t>
      </w:r>
      <w:r w:rsidR="004F7B6B">
        <w:t>,</w:t>
      </w:r>
      <w:r>
        <w:t xml:space="preserve"> and the </w:t>
      </w:r>
      <w:r w:rsidR="004F7B6B">
        <w:t xml:space="preserve">Agriculture and </w:t>
      </w:r>
      <w:r w:rsidR="005909D0">
        <w:t xml:space="preserve">Environmental </w:t>
      </w:r>
      <w:r w:rsidR="00FF7656">
        <w:t>Studies</w:t>
      </w:r>
      <w:r>
        <w:t xml:space="preserve"> fields</w:t>
      </w:r>
      <w:r w:rsidR="00B30238">
        <w:t xml:space="preserve"> follow to round out the top four fields</w:t>
      </w:r>
      <w:r>
        <w:t>. The remainder of fields are predominately costed between $10,000 and $20,000 per EFTSL.</w:t>
      </w:r>
      <w:r w:rsidR="00B30238">
        <w:t xml:space="preserve"> </w:t>
      </w:r>
      <w:r>
        <w:t xml:space="preserve"> </w:t>
      </w:r>
    </w:p>
    <w:p w14:paraId="23C5A68B" w14:textId="77777777" w:rsidR="00DC51DD" w:rsidRDefault="00DC51DD" w:rsidP="00DC51DD">
      <w:pPr>
        <w:pStyle w:val="BodyText"/>
      </w:pPr>
      <w:r>
        <w:t xml:space="preserve">This data shows that there is significant cost variation not just across FOEs, but within FOEs across universities. Indeed, </w:t>
      </w:r>
      <w:r w:rsidR="004F7B6B">
        <w:t>4</w:t>
      </w:r>
      <w:r>
        <w:t xml:space="preserve"> of the 19 fields of education have </w:t>
      </w:r>
      <w:r w:rsidR="004F7B6B">
        <w:t xml:space="preserve">an interquartile range of </w:t>
      </w:r>
      <w:r>
        <w:t xml:space="preserve">costs that </w:t>
      </w:r>
      <w:r w:rsidR="004F7B6B">
        <w:t xml:space="preserve">is greater than </w:t>
      </w:r>
      <w:r>
        <w:t xml:space="preserve">50% of the median FOE cost. </w:t>
      </w:r>
    </w:p>
    <w:p w14:paraId="7092F524" w14:textId="69DADA3D" w:rsidR="00DC51DD" w:rsidRDefault="00DC51DD" w:rsidP="00DC51DD">
      <w:pPr>
        <w:pStyle w:val="BodyText"/>
      </w:pPr>
      <w:r w:rsidRPr="00C62A83">
        <w:t>Similar results are observed at the postgraduate level</w:t>
      </w:r>
      <w:r>
        <w:t xml:space="preserve"> (</w:t>
      </w:r>
      <w:r>
        <w:fldChar w:fldCharType="begin"/>
      </w:r>
      <w:r>
        <w:instrText xml:space="preserve"> REF _Ref465886888 \r \h </w:instrText>
      </w:r>
      <w:r>
        <w:fldChar w:fldCharType="separate"/>
      </w:r>
      <w:r w:rsidR="00595C6E">
        <w:t>Chart 3.4</w:t>
      </w:r>
      <w:r>
        <w:fldChar w:fldCharType="end"/>
      </w:r>
      <w:r>
        <w:t>)</w:t>
      </w:r>
      <w:r w:rsidRPr="00C62A83">
        <w:t xml:space="preserve">, </w:t>
      </w:r>
      <w:r>
        <w:t xml:space="preserve">with significant variation in the cost per EFTSL. Postgraduate studies are on average more costly than their undergraduate counterparts, Other </w:t>
      </w:r>
      <w:r w:rsidR="000F4313">
        <w:t>E</w:t>
      </w:r>
      <w:r>
        <w:t xml:space="preserve">nvironmental </w:t>
      </w:r>
      <w:r w:rsidR="00FF7656">
        <w:t>Studies</w:t>
      </w:r>
      <w:r>
        <w:t>, Dental</w:t>
      </w:r>
      <w:r w:rsidR="000F4313">
        <w:t xml:space="preserve"> S</w:t>
      </w:r>
      <w:r>
        <w:t xml:space="preserve">tudies and Veterinary </w:t>
      </w:r>
      <w:r w:rsidR="000F4313">
        <w:t>S</w:t>
      </w:r>
      <w:r>
        <w:t xml:space="preserve">tudies </w:t>
      </w:r>
      <w:r w:rsidR="00B30238">
        <w:t xml:space="preserve">are estimated to </w:t>
      </w:r>
      <w:r>
        <w:t xml:space="preserve">have the highest average costs. </w:t>
      </w:r>
    </w:p>
    <w:p w14:paraId="50D34D54" w14:textId="0BF3376C" w:rsidR="00DC51DD" w:rsidRDefault="00DC51DD" w:rsidP="00DC51DD">
      <w:pPr>
        <w:pStyle w:val="CaptionChart"/>
      </w:pPr>
      <w:bookmarkStart w:id="242" w:name="_Ref465886888"/>
      <w:bookmarkStart w:id="243" w:name="_Toc469927374"/>
      <w:r>
        <w:lastRenderedPageBreak/>
        <w:t>: Total cost per EFTSL (</w:t>
      </w:r>
      <w:r w:rsidR="00622903">
        <w:t>p</w:t>
      </w:r>
      <w:r>
        <w:t>ostgraduate level, outliers removed)</w:t>
      </w:r>
      <w:bookmarkEnd w:id="242"/>
      <w:bookmarkEnd w:id="243"/>
    </w:p>
    <w:p w14:paraId="554A750B" w14:textId="77777777" w:rsidR="00DC51DD" w:rsidRDefault="004F7B6B" w:rsidP="00DC51DD">
      <w:pPr>
        <w:pStyle w:val="BodyText"/>
        <w:jc w:val="center"/>
      </w:pPr>
      <w:r>
        <w:rPr>
          <w:noProof/>
          <w:lang w:eastAsia="en-AU"/>
        </w:rPr>
        <w:drawing>
          <wp:inline distT="0" distB="0" distL="0" distR="0" wp14:anchorId="48E3E060" wp14:editId="7C4520D4">
            <wp:extent cx="5206365" cy="2749550"/>
            <wp:effectExtent l="0" t="0" r="0" b="0"/>
            <wp:docPr id="4" name="Picture 4" descr="Comparisons between the variation of the total cost per EFTSL for postgraduate level  by FOE" title="Total cost per EFTSL (Postgraduate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06365" cy="2749550"/>
                    </a:xfrm>
                    <a:prstGeom prst="rect">
                      <a:avLst/>
                    </a:prstGeom>
                    <a:noFill/>
                  </pic:spPr>
                </pic:pic>
              </a:graphicData>
            </a:graphic>
          </wp:inline>
        </w:drawing>
      </w:r>
    </w:p>
    <w:p w14:paraId="2479058F" w14:textId="77777777" w:rsidR="00DC51DD" w:rsidRDefault="00DC51DD" w:rsidP="00DC51DD">
      <w:pPr>
        <w:pStyle w:val="Source"/>
      </w:pPr>
      <w:r w:rsidRPr="00EA798B">
        <w:t>Source: Deloitte Access Economics analysis.</w:t>
      </w:r>
    </w:p>
    <w:p w14:paraId="51D6FB44" w14:textId="77777777" w:rsidR="00DC51DD" w:rsidRDefault="00DC51DD" w:rsidP="00DC51DD">
      <w:pPr>
        <w:pStyle w:val="BodyText"/>
      </w:pPr>
      <w:r w:rsidRPr="000438FB">
        <w:t xml:space="preserve">In contrast, at the sub-bachelor level </w:t>
      </w:r>
      <w:r>
        <w:t>(</w:t>
      </w:r>
      <w:r>
        <w:fldChar w:fldCharType="begin"/>
      </w:r>
      <w:r>
        <w:instrText xml:space="preserve"> REF _Ref465886899 \r \h </w:instrText>
      </w:r>
      <w:r>
        <w:fldChar w:fldCharType="separate"/>
      </w:r>
      <w:r w:rsidR="00595C6E">
        <w:t>Chart 3.5</w:t>
      </w:r>
      <w:r>
        <w:fldChar w:fldCharType="end"/>
      </w:r>
      <w:r>
        <w:t xml:space="preserve">) there is significantly more variation in costs per EFTSL within each FOE. </w:t>
      </w:r>
      <w:r w:rsidRPr="000438FB">
        <w:t>These results may reflect the greater variation of FOEs offered by different universities at the sub-bachelor level</w:t>
      </w:r>
      <w:r>
        <w:t xml:space="preserve">, or the relatively small sample of universities offering sub-bachelor qualifications. Higher per EFTSL costs are also likely to be driven by low EFTSL counts in sub-bachelor courses. </w:t>
      </w:r>
    </w:p>
    <w:p w14:paraId="3F724202" w14:textId="77777777" w:rsidR="00DC51DD" w:rsidRPr="00EA798B" w:rsidRDefault="00DC51DD" w:rsidP="00DC51DD">
      <w:pPr>
        <w:pStyle w:val="CaptionChart"/>
      </w:pPr>
      <w:bookmarkStart w:id="244" w:name="_Ref465886899"/>
      <w:bookmarkStart w:id="245" w:name="_Toc469927375"/>
      <w:r>
        <w:t>: Total cost per EFTSL (sub-bachelor, outliers removed)</w:t>
      </w:r>
      <w:bookmarkEnd w:id="244"/>
      <w:bookmarkEnd w:id="245"/>
    </w:p>
    <w:p w14:paraId="1D5B2C8E" w14:textId="77777777" w:rsidR="00DC51DD" w:rsidRDefault="00FC5E0C" w:rsidP="00DC51DD">
      <w:pPr>
        <w:pStyle w:val="BodyText"/>
        <w:jc w:val="center"/>
      </w:pPr>
      <w:r>
        <w:rPr>
          <w:noProof/>
          <w:lang w:eastAsia="en-AU"/>
        </w:rPr>
        <w:drawing>
          <wp:inline distT="0" distB="0" distL="0" distR="0" wp14:anchorId="18F1CB1E" wp14:editId="19889229">
            <wp:extent cx="4669790" cy="2627630"/>
            <wp:effectExtent l="0" t="0" r="0" b="1270"/>
            <wp:docPr id="414" name="Picture 414" descr="Comparisons between the variation of the total cost per EFTSL at sub-bachelor level, by FOE" title="Total cost per EFT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69790" cy="2627630"/>
                    </a:xfrm>
                    <a:prstGeom prst="rect">
                      <a:avLst/>
                    </a:prstGeom>
                    <a:noFill/>
                  </pic:spPr>
                </pic:pic>
              </a:graphicData>
            </a:graphic>
          </wp:inline>
        </w:drawing>
      </w:r>
    </w:p>
    <w:p w14:paraId="4DC917A8" w14:textId="77777777" w:rsidR="00DC51DD" w:rsidRDefault="00DC51DD" w:rsidP="00DC51DD">
      <w:pPr>
        <w:pStyle w:val="Source"/>
      </w:pPr>
      <w:r w:rsidRPr="00EA798B">
        <w:t>Source: Deloitte Access Economics analysis.</w:t>
      </w:r>
    </w:p>
    <w:p w14:paraId="369D5A3A" w14:textId="77777777" w:rsidR="003E0AF9" w:rsidRDefault="003E0AF9" w:rsidP="003E0AF9">
      <w:pPr>
        <w:pStyle w:val="Heading3"/>
      </w:pPr>
      <w:r>
        <w:t xml:space="preserve">Cost and funding relativity </w:t>
      </w:r>
    </w:p>
    <w:p w14:paraId="4D9B46E0" w14:textId="77777777" w:rsidR="0055398A" w:rsidRDefault="0055398A" w:rsidP="0055398A">
      <w:pPr>
        <w:pStyle w:val="BodyText"/>
      </w:pPr>
      <w:r w:rsidRPr="008C1892">
        <w:t xml:space="preserve">The 2011 study represented the costs </w:t>
      </w:r>
      <w:r>
        <w:t xml:space="preserve">within each broad field of education field as a ratio to the base funding provided according to the CGS classification. </w:t>
      </w:r>
      <w:r>
        <w:fldChar w:fldCharType="begin"/>
      </w:r>
      <w:r>
        <w:instrText xml:space="preserve"> REF _Ref466969699 \r \h </w:instrText>
      </w:r>
      <w:r>
        <w:fldChar w:fldCharType="separate"/>
      </w:r>
      <w:r w:rsidR="00595C6E">
        <w:t>Chart 3.6</w:t>
      </w:r>
      <w:r>
        <w:fldChar w:fldCharType="end"/>
      </w:r>
      <w:r w:rsidR="005909D0">
        <w:t xml:space="preserve"> </w:t>
      </w:r>
      <w:r>
        <w:t xml:space="preserve">provides a </w:t>
      </w:r>
      <w:r>
        <w:lastRenderedPageBreak/>
        <w:t xml:space="preserve">comparison between the two studies. There are a handful of fields which recorded lower </w:t>
      </w:r>
      <w:r w:rsidR="00027E15">
        <w:t xml:space="preserve">median </w:t>
      </w:r>
      <w:r>
        <w:t>costs in the current study than the previous study, such as Natural and Physical Science (0.</w:t>
      </w:r>
      <w:r w:rsidR="00027E15">
        <w:t>75</w:t>
      </w:r>
      <w:r>
        <w:t xml:space="preserve"> compared to 0.</w:t>
      </w:r>
      <w:r w:rsidR="00027E15">
        <w:t>86</w:t>
      </w:r>
      <w:r>
        <w:t xml:space="preserve">), </w:t>
      </w:r>
      <w:r w:rsidR="005B450F">
        <w:t>Architecture and Building</w:t>
      </w:r>
      <w:r>
        <w:t xml:space="preserve"> (0.</w:t>
      </w:r>
      <w:r w:rsidR="005B450F">
        <w:t>86</w:t>
      </w:r>
      <w:r>
        <w:t xml:space="preserve"> compared to 0.</w:t>
      </w:r>
      <w:r w:rsidR="005B450F">
        <w:t>99</w:t>
      </w:r>
      <w:r>
        <w:t xml:space="preserve">), and </w:t>
      </w:r>
      <w:r w:rsidR="00027E15">
        <w:t>Information Technology</w:t>
      </w:r>
      <w:r>
        <w:t xml:space="preserve"> (0</w:t>
      </w:r>
      <w:r w:rsidR="00027E15">
        <w:t>.93</w:t>
      </w:r>
      <w:r>
        <w:t xml:space="preserve"> compared to </w:t>
      </w:r>
      <w:r w:rsidR="00027E15">
        <w:t>1.03</w:t>
      </w:r>
      <w:r>
        <w:t xml:space="preserve">). Two fields recorded materially higher </w:t>
      </w:r>
      <w:r w:rsidR="005B450F">
        <w:t xml:space="preserve">median </w:t>
      </w:r>
      <w:r>
        <w:t>cost/funding ratios than the previous study, being Management and Commerce (1.1</w:t>
      </w:r>
      <w:r w:rsidR="005B450F">
        <w:t>1</w:t>
      </w:r>
      <w:r>
        <w:t xml:space="preserve"> v</w:t>
      </w:r>
      <w:r w:rsidR="00685EB1">
        <w:t>ersus</w:t>
      </w:r>
      <w:r>
        <w:t xml:space="preserve"> 1.</w:t>
      </w:r>
      <w:r w:rsidR="005B450F">
        <w:t>03</w:t>
      </w:r>
      <w:r>
        <w:t>), and Society and Culture (</w:t>
      </w:r>
      <w:r w:rsidR="00312FDF">
        <w:t>0.98</w:t>
      </w:r>
      <w:r>
        <w:t xml:space="preserve"> v</w:t>
      </w:r>
      <w:r w:rsidR="00685EB1">
        <w:t>ersus</w:t>
      </w:r>
      <w:r>
        <w:t xml:space="preserve"> 0.</w:t>
      </w:r>
      <w:r w:rsidR="00312FDF">
        <w:t>85</w:t>
      </w:r>
      <w:r>
        <w:t xml:space="preserve">).  The spread of </w:t>
      </w:r>
      <w:r w:rsidR="00C511FA">
        <w:t xml:space="preserve">teaching </w:t>
      </w:r>
      <w:r>
        <w:t>cost to funding ratios is relatively consistent between the two studies, the main difference being the 2015 results for the moderated Architecture and Building observations are more clustered than 2010.</w:t>
      </w:r>
    </w:p>
    <w:p w14:paraId="58FAD71D" w14:textId="77777777" w:rsidR="0055398A" w:rsidRPr="008C1892" w:rsidRDefault="0055398A" w:rsidP="0055398A">
      <w:pPr>
        <w:pStyle w:val="BodyText"/>
      </w:pPr>
      <w:r>
        <w:t xml:space="preserve">The </w:t>
      </w:r>
      <w:r w:rsidR="00027E15">
        <w:t xml:space="preserve">bachelor </w:t>
      </w:r>
      <w:r w:rsidR="00C511FA">
        <w:t xml:space="preserve">teaching </w:t>
      </w:r>
      <w:r>
        <w:t>cost to CSP funding ratio for the 2015 data was 0.</w:t>
      </w:r>
      <w:r w:rsidR="00027E15">
        <w:t>85</w:t>
      </w:r>
      <w:r>
        <w:t>, compared to 0.9</w:t>
      </w:r>
      <w:r w:rsidR="00027E15">
        <w:t>4</w:t>
      </w:r>
      <w:r>
        <w:t xml:space="preserve"> for the 201</w:t>
      </w:r>
      <w:r w:rsidR="005B450F">
        <w:t>0</w:t>
      </w:r>
      <w:r>
        <w:t xml:space="preserve"> </w:t>
      </w:r>
      <w:r w:rsidR="005B450F">
        <w:t>data</w:t>
      </w:r>
      <w:r>
        <w:t>. As noted previously, these figures cannot be compared as direct growth or decline in costs relative to funding over the five years to 2015, given the differences in the sample, and differences in cost collection approaches.</w:t>
      </w:r>
      <w:r w:rsidR="008E0E82">
        <w:t xml:space="preserve"> Similarly, </w:t>
      </w:r>
      <w:r w:rsidR="00C511FA">
        <w:t>caution should be taken in drawing inferences about the sufficiency of CGS funding directly from these ratios</w:t>
      </w:r>
      <w:r w:rsidR="00870DFD">
        <w:t>.</w:t>
      </w:r>
      <w:r w:rsidR="00870DFD" w:rsidRPr="00870DFD">
        <w:t xml:space="preserve"> </w:t>
      </w:r>
      <w:r w:rsidR="00870DFD">
        <w:t xml:space="preserve">While not specifically stated in the </w:t>
      </w:r>
      <w:r w:rsidR="00870DFD" w:rsidRPr="00D11A1B">
        <w:rPr>
          <w:i/>
        </w:rPr>
        <w:t>Higher Education Support Act</w:t>
      </w:r>
      <w:r w:rsidR="00870DFD">
        <w:t xml:space="preserve"> 2003, there is a general view that CGS funding is intended to cover some level of base research activity (which may be excluded from the definition of teaching and scholarship costs used in this study), and the cost of such research may vary as a proportion of teaching costs.</w:t>
      </w:r>
    </w:p>
    <w:p w14:paraId="2A1B6846" w14:textId="5B7C18D4" w:rsidR="0055398A" w:rsidRDefault="0055398A" w:rsidP="0055398A">
      <w:pPr>
        <w:pStyle w:val="CaptionChart"/>
      </w:pPr>
      <w:bookmarkStart w:id="246" w:name="_Ref466969699"/>
      <w:bookmarkStart w:id="247" w:name="_Toc469927376"/>
      <w:r>
        <w:t xml:space="preserve">: </w:t>
      </w:r>
      <w:r w:rsidR="00F3167C">
        <w:t>C</w:t>
      </w:r>
      <w:r>
        <w:t>ost-funding comparison with 2010 (</w:t>
      </w:r>
      <w:r w:rsidR="009F6F84">
        <w:t>b</w:t>
      </w:r>
      <w:r w:rsidR="00027E15">
        <w:t>achelor level</w:t>
      </w:r>
      <w:r>
        <w:t>, outliers removed)</w:t>
      </w:r>
      <w:bookmarkEnd w:id="246"/>
      <w:bookmarkEnd w:id="247"/>
    </w:p>
    <w:p w14:paraId="787C1F1E" w14:textId="77777777" w:rsidR="0055398A" w:rsidRDefault="00027E15" w:rsidP="0055398A">
      <w:pPr>
        <w:pStyle w:val="BodyText"/>
        <w:jc w:val="center"/>
      </w:pPr>
      <w:r>
        <w:rPr>
          <w:noProof/>
          <w:lang w:eastAsia="en-AU"/>
        </w:rPr>
        <w:drawing>
          <wp:inline distT="0" distB="0" distL="0" distR="0" wp14:anchorId="0CAE73D7" wp14:editId="0DCE3F3F">
            <wp:extent cx="4970244" cy="2924810"/>
            <wp:effectExtent l="0" t="0" r="1905" b="8890"/>
            <wp:docPr id="13" name="Picture 13" descr="Comparison between 2010 and 2015 variation in cost-funding ratio for bachelor level, by FOE" title="Cost-Funding comparison with 2010 (Bachelor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74214" cy="2927146"/>
                    </a:xfrm>
                    <a:prstGeom prst="rect">
                      <a:avLst/>
                    </a:prstGeom>
                    <a:noFill/>
                  </pic:spPr>
                </pic:pic>
              </a:graphicData>
            </a:graphic>
          </wp:inline>
        </w:drawing>
      </w:r>
    </w:p>
    <w:p w14:paraId="4CC2ABFF" w14:textId="77777777" w:rsidR="0055398A" w:rsidRDefault="0055398A" w:rsidP="0055398A">
      <w:pPr>
        <w:pStyle w:val="Source"/>
      </w:pPr>
      <w:r w:rsidRPr="00EA798B">
        <w:t>Source: Deloitte Access Economics analysis.</w:t>
      </w:r>
    </w:p>
    <w:p w14:paraId="634D3744" w14:textId="331E3468" w:rsidR="0055398A" w:rsidRDefault="0055398A" w:rsidP="0055398A">
      <w:pPr>
        <w:pStyle w:val="BodyText"/>
      </w:pPr>
      <w:r>
        <w:t xml:space="preserve">At the more disaggregated level, costs per EFTSL relative to CSP funding follows a similar broad pattern to the overall costs per EFTSL, as shown in </w:t>
      </w:r>
      <w:r>
        <w:fldChar w:fldCharType="begin"/>
      </w:r>
      <w:r>
        <w:instrText xml:space="preserve"> REF _Ref466969730 \r \h </w:instrText>
      </w:r>
      <w:r>
        <w:fldChar w:fldCharType="separate"/>
      </w:r>
      <w:r w:rsidR="00595C6E">
        <w:t>Chart 3.7</w:t>
      </w:r>
      <w:r>
        <w:fldChar w:fldCharType="end"/>
      </w:r>
      <w:r>
        <w:t xml:space="preserve">. At this disaggregated level, the </w:t>
      </w:r>
      <w:r w:rsidR="005B450F">
        <w:t xml:space="preserve">two </w:t>
      </w:r>
      <w:r>
        <w:t xml:space="preserve">fields of education where recorded costs exceed </w:t>
      </w:r>
      <w:r w:rsidR="005B450F">
        <w:t xml:space="preserve">base </w:t>
      </w:r>
      <w:r>
        <w:t>funding at the 25</w:t>
      </w:r>
      <w:r w:rsidRPr="008C1892">
        <w:rPr>
          <w:vertAlign w:val="superscript"/>
        </w:rPr>
        <w:t>th</w:t>
      </w:r>
      <w:r>
        <w:t xml:space="preserve"> percentile are Veterinary </w:t>
      </w:r>
      <w:r w:rsidR="0046042A">
        <w:t>Studies</w:t>
      </w:r>
      <w:r>
        <w:t xml:space="preserve">, </w:t>
      </w:r>
      <w:r w:rsidR="005B450F">
        <w:t xml:space="preserve">and </w:t>
      </w:r>
      <w:r>
        <w:t>Management and Commerce.</w:t>
      </w:r>
      <w:r w:rsidR="005B450F">
        <w:t xml:space="preserve"> The 25</w:t>
      </w:r>
      <w:r w:rsidR="005B450F" w:rsidRPr="00D55F3F">
        <w:rPr>
          <w:vertAlign w:val="superscript"/>
        </w:rPr>
        <w:t>th</w:t>
      </w:r>
      <w:r w:rsidR="005B450F">
        <w:t xml:space="preserve"> percentile cost for Dental Studies is close to the funding rate. </w:t>
      </w:r>
      <w:r>
        <w:t xml:space="preserve"> The fields of education where recorded </w:t>
      </w:r>
      <w:r w:rsidR="005B450F">
        <w:t xml:space="preserve">base funding </w:t>
      </w:r>
      <w:r>
        <w:t xml:space="preserve">exceed </w:t>
      </w:r>
      <w:r w:rsidR="005B450F">
        <w:t xml:space="preserve">costs </w:t>
      </w:r>
      <w:r>
        <w:t>at the 75</w:t>
      </w:r>
      <w:r w:rsidRPr="008C1892">
        <w:rPr>
          <w:vertAlign w:val="superscript"/>
        </w:rPr>
        <w:t>th</w:t>
      </w:r>
      <w:r>
        <w:t xml:space="preserve"> percentile are Mathematics, Medical </w:t>
      </w:r>
      <w:r w:rsidR="00FF7656">
        <w:t>Science</w:t>
      </w:r>
      <w:r>
        <w:t xml:space="preserve">, Other Natural and Physical Science, Engineering and Related </w:t>
      </w:r>
      <w:r w:rsidR="00FF7656">
        <w:t>Studies</w:t>
      </w:r>
      <w:r>
        <w:t xml:space="preserve">, Environmental Science, Other Health, Education, and Communications and Media. </w:t>
      </w:r>
    </w:p>
    <w:p w14:paraId="244E1F8B" w14:textId="28CD3CFE" w:rsidR="0055398A" w:rsidRDefault="0055398A" w:rsidP="0055398A">
      <w:pPr>
        <w:pStyle w:val="CaptionChart"/>
      </w:pPr>
      <w:bookmarkStart w:id="248" w:name="_Ref466969730"/>
      <w:bookmarkStart w:id="249" w:name="_Toc469927377"/>
      <w:r>
        <w:lastRenderedPageBreak/>
        <w:t>: Cost-funding per EFTSL (</w:t>
      </w:r>
      <w:r w:rsidR="009F6F84">
        <w:t>b</w:t>
      </w:r>
      <w:r w:rsidR="005B450F">
        <w:t xml:space="preserve">achelor </w:t>
      </w:r>
      <w:r>
        <w:t>level, outliers removed)</w:t>
      </w:r>
      <w:bookmarkEnd w:id="248"/>
      <w:bookmarkEnd w:id="249"/>
    </w:p>
    <w:p w14:paraId="641CEA4A" w14:textId="77777777" w:rsidR="0055398A" w:rsidRDefault="005B450F" w:rsidP="0055398A">
      <w:pPr>
        <w:pStyle w:val="BodyText"/>
        <w:jc w:val="center"/>
      </w:pPr>
      <w:r>
        <w:rPr>
          <w:noProof/>
          <w:lang w:eastAsia="en-AU"/>
        </w:rPr>
        <w:drawing>
          <wp:inline distT="0" distB="0" distL="0" distR="0" wp14:anchorId="35AB27F8" wp14:editId="168E621F">
            <wp:extent cx="5084445" cy="2761615"/>
            <wp:effectExtent l="0" t="0" r="1905" b="635"/>
            <wp:docPr id="14" name="Picture 14" descr="Comparison between variation in cost-funding ratios per EFTSL for bachelor level, by FOE" title="Cost-funding per ETFT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84445" cy="2761615"/>
                    </a:xfrm>
                    <a:prstGeom prst="rect">
                      <a:avLst/>
                    </a:prstGeom>
                    <a:noFill/>
                  </pic:spPr>
                </pic:pic>
              </a:graphicData>
            </a:graphic>
          </wp:inline>
        </w:drawing>
      </w:r>
    </w:p>
    <w:p w14:paraId="44550E12" w14:textId="77777777" w:rsidR="0055398A" w:rsidRDefault="0055398A" w:rsidP="0055398A">
      <w:pPr>
        <w:pStyle w:val="Source"/>
      </w:pPr>
      <w:r w:rsidRPr="00EA798B">
        <w:t>Source: Deloitte Access Economics analysis.</w:t>
      </w:r>
    </w:p>
    <w:p w14:paraId="0E09A5AE" w14:textId="77777777" w:rsidR="00DC51DD" w:rsidRDefault="00DC51DD" w:rsidP="00DC51DD">
      <w:pPr>
        <w:pStyle w:val="Heading3"/>
      </w:pPr>
      <w:r>
        <w:t>Teaching staff by field</w:t>
      </w:r>
    </w:p>
    <w:p w14:paraId="2325AF39" w14:textId="4F95D93A" w:rsidR="00DC51DD" w:rsidRPr="00B939EF" w:rsidRDefault="00DC51DD" w:rsidP="00DC51DD">
      <w:pPr>
        <w:pStyle w:val="BodyText"/>
      </w:pPr>
      <w:r>
        <w:t xml:space="preserve">The number of </w:t>
      </w:r>
      <w:r w:rsidR="000127EF">
        <w:t xml:space="preserve">EFTSL </w:t>
      </w:r>
      <w:r>
        <w:t xml:space="preserve">per </w:t>
      </w:r>
      <w:r w:rsidR="000127EF">
        <w:t xml:space="preserve">teaching staff (in FTE terms) </w:t>
      </w:r>
      <w:r>
        <w:t>varied significantly by field of education (</w:t>
      </w:r>
      <w:r>
        <w:fldChar w:fldCharType="begin"/>
      </w:r>
      <w:r>
        <w:instrText xml:space="preserve"> REF _Ref465886912 \r \h </w:instrText>
      </w:r>
      <w:r>
        <w:fldChar w:fldCharType="separate"/>
      </w:r>
      <w:r w:rsidR="00595C6E">
        <w:t>Chart 3.8</w:t>
      </w:r>
      <w:r>
        <w:fldChar w:fldCharType="end"/>
      </w:r>
      <w:r>
        <w:t xml:space="preserve">), with an overall mean of </w:t>
      </w:r>
      <w:r w:rsidR="00617D61">
        <w:t>19</w:t>
      </w:r>
      <w:r>
        <w:t xml:space="preserve"> </w:t>
      </w:r>
      <w:r w:rsidR="00617D61">
        <w:t xml:space="preserve">EFTSL per FTE </w:t>
      </w:r>
      <w:r>
        <w:t xml:space="preserve">teaching staff (and median of </w:t>
      </w:r>
      <w:r w:rsidR="00617D61">
        <w:t>22</w:t>
      </w:r>
      <w:r>
        <w:t xml:space="preserve"> EFTSL</w:t>
      </w:r>
      <w:r w:rsidR="00617D61">
        <w:t xml:space="preserve"> per FTE</w:t>
      </w:r>
      <w:r>
        <w:t xml:space="preserve">). Dental </w:t>
      </w:r>
      <w:r w:rsidR="00C511FA">
        <w:t>S</w:t>
      </w:r>
      <w:r>
        <w:t xml:space="preserve">tudies and Veterinary </w:t>
      </w:r>
      <w:r w:rsidR="00C511FA">
        <w:t>S</w:t>
      </w:r>
      <w:r>
        <w:t xml:space="preserve">tudies had substantially </w:t>
      </w:r>
      <w:r w:rsidR="00617D61">
        <w:t xml:space="preserve">lower </w:t>
      </w:r>
      <w:r>
        <w:t>ratios, whil</w:t>
      </w:r>
      <w:r w:rsidR="00136129">
        <w:t>e</w:t>
      </w:r>
      <w:r>
        <w:t xml:space="preserve"> Management and </w:t>
      </w:r>
      <w:r w:rsidR="00C511FA">
        <w:t xml:space="preserve">Commerce </w:t>
      </w:r>
      <w:r>
        <w:t xml:space="preserve">and </w:t>
      </w:r>
      <w:r w:rsidR="00617D61">
        <w:t>Other Society and Culture</w:t>
      </w:r>
      <w:r>
        <w:t xml:space="preserve"> had the </w:t>
      </w:r>
      <w:r w:rsidR="00617D61">
        <w:t xml:space="preserve">higher </w:t>
      </w:r>
      <w:r>
        <w:t xml:space="preserve">ratios.  </w:t>
      </w:r>
    </w:p>
    <w:p w14:paraId="77BFDB38" w14:textId="77777777" w:rsidR="00DC51DD" w:rsidRPr="00B939EF" w:rsidRDefault="00DC51DD" w:rsidP="00DC51DD">
      <w:pPr>
        <w:pStyle w:val="CaptionChart"/>
      </w:pPr>
      <w:bookmarkStart w:id="250" w:name="_Ref465886912"/>
      <w:bookmarkStart w:id="251" w:name="_Toc469927378"/>
      <w:r>
        <w:t xml:space="preserve">: Total number of teaching and scholarship staff (FTEs) per EFTSL, </w:t>
      </w:r>
      <w:bookmarkEnd w:id="250"/>
      <w:r>
        <w:t>by field</w:t>
      </w:r>
      <w:bookmarkEnd w:id="251"/>
    </w:p>
    <w:p w14:paraId="1649F86B" w14:textId="77777777" w:rsidR="00DC51DD" w:rsidRDefault="0049715A" w:rsidP="00DC51DD">
      <w:pPr>
        <w:pStyle w:val="Source"/>
        <w:jc w:val="center"/>
      </w:pPr>
      <w:r>
        <w:rPr>
          <w:noProof/>
          <w:lang w:eastAsia="en-AU"/>
        </w:rPr>
        <w:drawing>
          <wp:inline distT="0" distB="0" distL="0" distR="0" wp14:anchorId="006A9EF7" wp14:editId="6A3E3F6B">
            <wp:extent cx="5231130" cy="2749550"/>
            <wp:effectExtent l="0" t="0" r="7620" b="0"/>
            <wp:docPr id="458" name="Picture 458" descr="Comparison of variation in total number of teaching and scholarhsip staff per EFTSL, by field" title="Total number of teaching and scholarship staff (FTEs) per EFTSL, by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31130" cy="2749550"/>
                    </a:xfrm>
                    <a:prstGeom prst="rect">
                      <a:avLst/>
                    </a:prstGeom>
                    <a:noFill/>
                  </pic:spPr>
                </pic:pic>
              </a:graphicData>
            </a:graphic>
          </wp:inline>
        </w:drawing>
      </w:r>
    </w:p>
    <w:p w14:paraId="2ECBEB20" w14:textId="77777777" w:rsidR="00DC51DD" w:rsidRDefault="00DC51DD" w:rsidP="00DC51DD">
      <w:pPr>
        <w:pStyle w:val="Source"/>
      </w:pPr>
      <w:r w:rsidRPr="00EA798B">
        <w:t>Source: Deloitte Access Economics analysis.</w:t>
      </w:r>
    </w:p>
    <w:p w14:paraId="600804B0" w14:textId="77777777" w:rsidR="00DC51DD" w:rsidRDefault="00DC51DD" w:rsidP="00DC51DD">
      <w:pPr>
        <w:pStyle w:val="Heading3"/>
      </w:pPr>
      <w:r>
        <w:lastRenderedPageBreak/>
        <w:t>Labour versus non-labour costs by field</w:t>
      </w:r>
    </w:p>
    <w:p w14:paraId="2EA8BA84" w14:textId="77777777" w:rsidR="00DC51DD" w:rsidRPr="006812B4" w:rsidRDefault="00DC51DD" w:rsidP="00DC51DD">
      <w:pPr>
        <w:pStyle w:val="BodyText"/>
      </w:pPr>
      <w:r>
        <w:t xml:space="preserve">Labour’s share of total costs is shown by FOE in </w:t>
      </w:r>
      <w:r>
        <w:fldChar w:fldCharType="begin"/>
      </w:r>
      <w:r>
        <w:instrText xml:space="preserve"> REF _Ref465884436 \r \h </w:instrText>
      </w:r>
      <w:r>
        <w:fldChar w:fldCharType="separate"/>
      </w:r>
      <w:r w:rsidR="00595C6E">
        <w:t>Chart 3.9</w:t>
      </w:r>
      <w:r>
        <w:fldChar w:fldCharType="end"/>
      </w:r>
      <w:r>
        <w:t xml:space="preserve"> below. The mean labour cost share </w:t>
      </w:r>
      <w:r w:rsidR="00545D00">
        <w:t>i</w:t>
      </w:r>
      <w:r>
        <w:t>s</w:t>
      </w:r>
      <w:r w:rsidR="00545D00">
        <w:t xml:space="preserve"> estimated to be</w:t>
      </w:r>
      <w:r>
        <w:t xml:space="preserve"> 5</w:t>
      </w:r>
      <w:r w:rsidR="00617D61">
        <w:t>8</w:t>
      </w:r>
      <w:r>
        <w:t xml:space="preserve">%, </w:t>
      </w:r>
      <w:r w:rsidR="00B30238">
        <w:t xml:space="preserve">while </w:t>
      </w:r>
      <w:r>
        <w:t xml:space="preserve">the median </w:t>
      </w:r>
      <w:r w:rsidR="00545D00">
        <w:t xml:space="preserve">is </w:t>
      </w:r>
      <w:r>
        <w:t xml:space="preserve">61%. This varied across fields of education, with Information </w:t>
      </w:r>
      <w:r w:rsidR="00234A20">
        <w:t>T</w:t>
      </w:r>
      <w:r>
        <w:t>echnology having the lowest mean and median labour cost share (5</w:t>
      </w:r>
      <w:r w:rsidR="00617D61">
        <w:t>6</w:t>
      </w:r>
      <w:r>
        <w:t>% and 5</w:t>
      </w:r>
      <w:r w:rsidR="00617D61">
        <w:t>7</w:t>
      </w:r>
      <w:r>
        <w:t xml:space="preserve">%, respectively), and Dental </w:t>
      </w:r>
      <w:r w:rsidR="00234A20">
        <w:t>S</w:t>
      </w:r>
      <w:r>
        <w:t xml:space="preserve">tudies having the highest mean and median labour cost share (65% and 68%, respectively). </w:t>
      </w:r>
    </w:p>
    <w:p w14:paraId="1A0826FB" w14:textId="77777777" w:rsidR="00DC51DD" w:rsidRDefault="00DC51DD" w:rsidP="00DC51DD">
      <w:pPr>
        <w:pStyle w:val="CaptionChart"/>
      </w:pPr>
      <w:bookmarkStart w:id="252" w:name="_Ref465884436"/>
      <w:bookmarkStart w:id="253" w:name="_Toc469927379"/>
      <w:r>
        <w:t>: Labour costs as a share of total costs, by FOE</w:t>
      </w:r>
      <w:bookmarkEnd w:id="252"/>
      <w:bookmarkEnd w:id="253"/>
    </w:p>
    <w:p w14:paraId="45CC3A88" w14:textId="77777777" w:rsidR="00DC51DD" w:rsidRPr="0008433E" w:rsidRDefault="00617D61" w:rsidP="00DC51DD">
      <w:pPr>
        <w:pStyle w:val="BodyText"/>
        <w:jc w:val="center"/>
      </w:pPr>
      <w:r>
        <w:rPr>
          <w:noProof/>
          <w:lang w:eastAsia="en-AU"/>
        </w:rPr>
        <w:drawing>
          <wp:inline distT="0" distB="0" distL="0" distR="0" wp14:anchorId="4BBB4B20" wp14:editId="310B21D1">
            <wp:extent cx="5151755" cy="2761615"/>
            <wp:effectExtent l="0" t="0" r="0" b="635"/>
            <wp:docPr id="24" name="Picture 24" descr="Comparison of variation in labour costs as a share of total costs, by FOE" title="Labour costs as a share of total costs, by F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151755" cy="2761615"/>
                    </a:xfrm>
                    <a:prstGeom prst="rect">
                      <a:avLst/>
                    </a:prstGeom>
                    <a:noFill/>
                  </pic:spPr>
                </pic:pic>
              </a:graphicData>
            </a:graphic>
          </wp:inline>
        </w:drawing>
      </w:r>
    </w:p>
    <w:p w14:paraId="46EE5AF5" w14:textId="77777777" w:rsidR="00DC51DD" w:rsidRDefault="00DC51DD" w:rsidP="00DC51DD">
      <w:pPr>
        <w:pStyle w:val="Source"/>
      </w:pPr>
      <w:r w:rsidRPr="00EA798B">
        <w:t>Source: Deloitte Access Economics analysis.</w:t>
      </w:r>
      <w:r w:rsidR="00617D61">
        <w:t xml:space="preserve"> Note two universities were excluded from this analysis. </w:t>
      </w:r>
    </w:p>
    <w:p w14:paraId="412443E4" w14:textId="77777777" w:rsidR="00DC51DD" w:rsidRPr="00327AA3" w:rsidRDefault="00DC51DD" w:rsidP="00DC51DD">
      <w:pPr>
        <w:pStyle w:val="BodyText"/>
      </w:pPr>
      <w:r>
        <w:t xml:space="preserve">The analysis in this section reports the results from the data collection in a relatively ‘raw’ form, presenting the data in simple summary statistics with a focus on variation across FOE, qualification level and university. In practice, some of the </w:t>
      </w:r>
      <w:r w:rsidR="00545D00">
        <w:t xml:space="preserve">observed </w:t>
      </w:r>
      <w:r>
        <w:t xml:space="preserve">variation will be explained by university-specific characteristics that drive costs at the institutional level. This includes factors such as student intake and staff characteristics and decisions around teaching quality (as reflected, for example, </w:t>
      </w:r>
      <w:r w:rsidRPr="005F2DE1">
        <w:t xml:space="preserve">in staff-to-student ratios). Such factors are important in understanding universal or </w:t>
      </w:r>
      <w:r w:rsidRPr="00D55F3F">
        <w:t xml:space="preserve">reasonable </w:t>
      </w:r>
      <w:r w:rsidRPr="005F2DE1">
        <w:t xml:space="preserve">costs across the higher education sector, for the purpose </w:t>
      </w:r>
      <w:r w:rsidRPr="00327AA3">
        <w:t>of informing funding policy.</w:t>
      </w:r>
    </w:p>
    <w:p w14:paraId="274D6855" w14:textId="77777777" w:rsidR="00DC51DD" w:rsidRDefault="00DC51DD" w:rsidP="00DC51DD">
      <w:pPr>
        <w:pStyle w:val="BodyText"/>
      </w:pPr>
      <w:r>
        <w:t>The analysis in Chapter 4 refines the analysis above by identifying and measuring the effects that these observable drivers have, and analysing the implications of these effects for the estimation of ‘reasonable’ costs of delivery.</w:t>
      </w:r>
    </w:p>
    <w:p w14:paraId="5FA84AEF" w14:textId="77777777" w:rsidR="00DC51DD" w:rsidRDefault="00DC51DD" w:rsidP="00DC51DD">
      <w:pPr>
        <w:pStyle w:val="Heading2"/>
        <w:tabs>
          <w:tab w:val="clear" w:pos="709"/>
        </w:tabs>
        <w:ind w:left="851" w:hanging="851"/>
      </w:pPr>
      <w:bookmarkStart w:id="254" w:name="_Toc466036308"/>
      <w:bookmarkStart w:id="255" w:name="_Toc469927322"/>
      <w:r>
        <w:t>Summary of qualitative information provided</w:t>
      </w:r>
      <w:bookmarkEnd w:id="254"/>
      <w:bookmarkEnd w:id="255"/>
    </w:p>
    <w:p w14:paraId="564FACA8" w14:textId="77777777" w:rsidR="00DC51DD" w:rsidRDefault="00DC51DD" w:rsidP="00DC51DD">
      <w:pPr>
        <w:pStyle w:val="BodyText"/>
      </w:pPr>
      <w:r>
        <w:t>The consultations with universities, and subsequent written submissions, identified a range of issues in relation to</w:t>
      </w:r>
      <w:r w:rsidR="00B71DE2">
        <w:t xml:space="preserve"> </w:t>
      </w:r>
      <w:r>
        <w:t xml:space="preserve">difficulties with providing accurate data in the fields required by the </w:t>
      </w:r>
      <w:r>
        <w:lastRenderedPageBreak/>
        <w:t xml:space="preserve">template, and relating to the use of a single reference year for the study. These issues can be summarised under the following themes, and are outlined </w:t>
      </w:r>
      <w:r w:rsidR="00545D00">
        <w:t xml:space="preserve">further </w:t>
      </w:r>
      <w:r>
        <w:t>in this section:</w:t>
      </w:r>
    </w:p>
    <w:p w14:paraId="499F9035" w14:textId="77777777" w:rsidR="00DC51DD" w:rsidRDefault="00DC51DD" w:rsidP="00DC51DD">
      <w:pPr>
        <w:pStyle w:val="Bullet1"/>
      </w:pPr>
      <w:r>
        <w:t>Difficulties in assigning value</w:t>
      </w:r>
      <w:r w:rsidR="00545D00">
        <w:t>s</w:t>
      </w:r>
      <w:r>
        <w:t xml:space="preserve"> to the template, either due to a lack of relevant data or university-specific features</w:t>
      </w:r>
      <w:r w:rsidR="00B71DE2">
        <w:t>.</w:t>
      </w:r>
    </w:p>
    <w:p w14:paraId="096C1FAB" w14:textId="77777777" w:rsidR="00DC51DD" w:rsidRDefault="00DC51DD" w:rsidP="00DC51DD">
      <w:pPr>
        <w:pStyle w:val="Bullet1"/>
      </w:pPr>
      <w:r>
        <w:t>Issues with using 2015 as a representative year given costs that were or were not present that calendar year that are no</w:t>
      </w:r>
      <w:r w:rsidR="00545D00">
        <w:t>t</w:t>
      </w:r>
      <w:r>
        <w:t xml:space="preserve"> reflective of the ‘typical’ year</w:t>
      </w:r>
      <w:r w:rsidR="00B71DE2">
        <w:t>.</w:t>
      </w:r>
    </w:p>
    <w:p w14:paraId="14079181" w14:textId="77777777" w:rsidR="00DC51DD" w:rsidRDefault="00DC51DD" w:rsidP="00DC51DD">
      <w:pPr>
        <w:pStyle w:val="Bullet1"/>
      </w:pPr>
      <w:r>
        <w:t>Broader trends in the sector that mean the costs estimated from a single calendar year may not be representative of future costs.</w:t>
      </w:r>
    </w:p>
    <w:p w14:paraId="0165C60D" w14:textId="77777777" w:rsidR="00DC51DD" w:rsidRDefault="00DC51DD" w:rsidP="00DC51DD">
      <w:pPr>
        <w:pStyle w:val="BodyText"/>
      </w:pPr>
      <w:r>
        <w:t xml:space="preserve">The issues presented in this section reflect the concerns of the sector in participating in this exercise and provide an indication of the context within which the results set out above should be interpreted. They also indicate areas that future data collection processes could seek to resolve. </w:t>
      </w:r>
    </w:p>
    <w:p w14:paraId="386B9F70" w14:textId="77777777" w:rsidR="00DC51DD" w:rsidRDefault="00DC51DD" w:rsidP="00DC51DD">
      <w:pPr>
        <w:pStyle w:val="HeadingC"/>
      </w:pPr>
      <w:r>
        <w:t>Difficulties in assigning values to the template</w:t>
      </w:r>
    </w:p>
    <w:p w14:paraId="13D066CE" w14:textId="77777777" w:rsidR="00DC51DD" w:rsidRDefault="00DC51DD" w:rsidP="00DC51DD">
      <w:pPr>
        <w:pStyle w:val="BodyText"/>
      </w:pPr>
      <w:r>
        <w:t>The majority of participating universities identified concerns with at least some aspects of the data collection exercise. These concerns included varying focusses on:</w:t>
      </w:r>
    </w:p>
    <w:p w14:paraId="3D04A6FB" w14:textId="77777777" w:rsidR="00DC51DD" w:rsidRDefault="00DC51DD" w:rsidP="00DC51DD">
      <w:pPr>
        <w:pStyle w:val="Bullet1"/>
      </w:pPr>
      <w:r>
        <w:t>The short time period over which participants were asked to complete the template, and that the time period coincided with university budgeting processes, further reducing the resources available for the exercise</w:t>
      </w:r>
      <w:r w:rsidR="00B71DE2">
        <w:t>.</w:t>
      </w:r>
    </w:p>
    <w:p w14:paraId="7686C339" w14:textId="77777777" w:rsidR="00DC51DD" w:rsidRDefault="00DC51DD" w:rsidP="00DC51DD">
      <w:pPr>
        <w:pStyle w:val="Bullet1"/>
      </w:pPr>
      <w:r>
        <w:t xml:space="preserve">The non-standard information that was requested, particularly around the allocation of costs to FOEs, which meant that existing systems or models were not well placed to </w:t>
      </w:r>
      <w:r w:rsidR="00545D00">
        <w:t xml:space="preserve">directly </w:t>
      </w:r>
      <w:r>
        <w:t>inform the exercise</w:t>
      </w:r>
      <w:r w:rsidR="00B71DE2">
        <w:t>.</w:t>
      </w:r>
      <w:r>
        <w:t xml:space="preserve"> </w:t>
      </w:r>
    </w:p>
    <w:p w14:paraId="2AFC4BF5" w14:textId="77777777" w:rsidR="00DC51DD" w:rsidRDefault="00DC51DD" w:rsidP="00DC51DD">
      <w:pPr>
        <w:pStyle w:val="Bullet1"/>
      </w:pPr>
      <w:r>
        <w:t>Various assumptions that needed to be made in order to provide the data, again reflecting the largely one-off nature of the exercise</w:t>
      </w:r>
      <w:r w:rsidR="00B71DE2">
        <w:t>.</w:t>
      </w:r>
    </w:p>
    <w:p w14:paraId="2BFABF5C" w14:textId="77777777" w:rsidR="00DC51DD" w:rsidRDefault="00DC51DD" w:rsidP="00DC51DD">
      <w:pPr>
        <w:pStyle w:val="Bullet1"/>
      </w:pPr>
      <w:r>
        <w:t>Specific features of the university or particular budgetary units that were not able to be sufficiently reflected in the template</w:t>
      </w:r>
      <w:r w:rsidR="00B71DE2">
        <w:t>.</w:t>
      </w:r>
    </w:p>
    <w:p w14:paraId="4D8BFF97" w14:textId="77777777" w:rsidR="00DC51DD" w:rsidRDefault="00545D00" w:rsidP="00DC51DD">
      <w:pPr>
        <w:pStyle w:val="Bullet1"/>
      </w:pPr>
      <w:r>
        <w:t xml:space="preserve">Where </w:t>
      </w:r>
      <w:r w:rsidR="00DC51DD">
        <w:t>courses are taught by partners, meaning that there is</w:t>
      </w:r>
      <w:r>
        <w:t xml:space="preserve"> little or</w:t>
      </w:r>
      <w:r w:rsidR="00DC51DD">
        <w:t xml:space="preserve"> no direct oversight of the teaching costs involved.</w:t>
      </w:r>
    </w:p>
    <w:p w14:paraId="0ED93586" w14:textId="77777777" w:rsidR="00DC51DD" w:rsidRDefault="00DC51DD" w:rsidP="00DC51DD">
      <w:pPr>
        <w:pStyle w:val="BodyText"/>
      </w:pPr>
      <w:r>
        <w:t>Of the difficulties encountered in providing the data, two stood out as the most commonly reported: the requirement to split staff time between teaching and research activities, and the need to report data on an FOE basis. The split of staff time between teaching and research activities</w:t>
      </w:r>
      <w:r>
        <w:rPr>
          <w:rStyle w:val="FootnoteReference"/>
        </w:rPr>
        <w:footnoteReference w:id="13"/>
      </w:r>
      <w:r>
        <w:t xml:space="preserve"> was perhaps the area where the approach differed most across universities. While some universities had staff survey data that allowed a relatively detailed split of staff time, other</w:t>
      </w:r>
      <w:r w:rsidR="00545D00">
        <w:t>s</w:t>
      </w:r>
      <w:r>
        <w:t xml:space="preserve"> made more high level assumptions in the absence of similar data. In some cases this was based on estimates at the faculty level, while others </w:t>
      </w:r>
      <w:r w:rsidR="00545D00">
        <w:t xml:space="preserve">based estimates on </w:t>
      </w:r>
      <w:r>
        <w:t>agreements specifying a division of time, which may vary in accuracy across staff levels and disciplines.</w:t>
      </w:r>
    </w:p>
    <w:p w14:paraId="3DE71E36" w14:textId="77777777" w:rsidR="00DC51DD" w:rsidRDefault="00DC51DD" w:rsidP="00DC51DD">
      <w:pPr>
        <w:pStyle w:val="BodyText"/>
      </w:pPr>
      <w:r>
        <w:t xml:space="preserve">Universities also questioned the ability to split staff time between teaching and research activities at a conceptual level. This tended to be based on the notion that research and </w:t>
      </w:r>
      <w:r>
        <w:lastRenderedPageBreak/>
        <w:t xml:space="preserve">teaching are </w:t>
      </w:r>
      <w:r w:rsidR="00545D00">
        <w:t xml:space="preserve">intrinsically </w:t>
      </w:r>
      <w:r>
        <w:t xml:space="preserve">linked, and that time spent on research was reflected in the quality of teaching. Some noted that regulatory requirements under the Threshold Standards placed requirements on research in order to teach. </w:t>
      </w:r>
    </w:p>
    <w:p w14:paraId="667ED0DC" w14:textId="77777777" w:rsidR="0094594B" w:rsidRPr="006812B4" w:rsidRDefault="00DC51DD" w:rsidP="0094594B">
      <w:pPr>
        <w:pStyle w:val="BodyText"/>
      </w:pPr>
      <w:r>
        <w:t>The requirement to report results at the FOE level also caused difficulties for most participants. While universities have relatively refined data on teaching costs at the faculty or school level, mapping this to individual FOEs proved difficult and various assumptions were made in making this mapping. Further, because universities provide courses, which are more granular than FOEs, there will be some variation in the offerings (that is, differences in the weightings of particular courses) included within an FOE across institutions</w:t>
      </w:r>
      <w:r w:rsidR="0094594B">
        <w:t xml:space="preserve">. </w:t>
      </w:r>
      <w:r w:rsidR="0094594B">
        <w:fldChar w:fldCharType="begin"/>
      </w:r>
      <w:r w:rsidR="0094594B">
        <w:instrText xml:space="preserve"> REF _Ref466645457 \r \h </w:instrText>
      </w:r>
      <w:r w:rsidR="0094594B">
        <w:fldChar w:fldCharType="separate"/>
      </w:r>
      <w:r w:rsidR="00595C6E">
        <w:t>Chart 3.10</w:t>
      </w:r>
      <w:r w:rsidR="0094594B">
        <w:fldChar w:fldCharType="end"/>
      </w:r>
      <w:r w:rsidR="0094594B">
        <w:t xml:space="preserve"> below contains data from one participant university as an example of this issue. The chart shows how costs that may be well-observed and understood at the college level on the left hand side, become more assumption driven, as these costs are allocated to FOEs according to EFTSL.</w:t>
      </w:r>
    </w:p>
    <w:p w14:paraId="2A1F808F" w14:textId="77777777" w:rsidR="0094594B" w:rsidRDefault="0094594B" w:rsidP="0094594B">
      <w:pPr>
        <w:pStyle w:val="CaptionChart"/>
      </w:pPr>
      <w:bookmarkStart w:id="256" w:name="_Ref466645457"/>
      <w:bookmarkStart w:id="257" w:name="_Toc469927380"/>
      <w:r>
        <w:t xml:space="preserve">: </w:t>
      </w:r>
      <w:r w:rsidR="00234A20">
        <w:t>Example m</w:t>
      </w:r>
      <w:r>
        <w:t>apping cost (via EFTSL) from Colleges to FOEs</w:t>
      </w:r>
      <w:bookmarkEnd w:id="256"/>
      <w:bookmarkEnd w:id="257"/>
    </w:p>
    <w:p w14:paraId="1593B25D" w14:textId="77777777" w:rsidR="0094594B" w:rsidRPr="0008433E" w:rsidRDefault="0094594B" w:rsidP="0094594B">
      <w:pPr>
        <w:pStyle w:val="BodyText"/>
        <w:jc w:val="center"/>
      </w:pPr>
      <w:r w:rsidRPr="0094594B">
        <w:rPr>
          <w:noProof/>
          <w:lang w:eastAsia="en-AU"/>
        </w:rPr>
        <w:drawing>
          <wp:inline distT="0" distB="0" distL="0" distR="0" wp14:anchorId="4340629F" wp14:editId="778051A5">
            <wp:extent cx="5219700" cy="3131820"/>
            <wp:effectExtent l="0" t="0" r="0" b="0"/>
            <wp:docPr id="479" name="Picture 479" descr="Demonstration of mapping costs via EFTSL drivers, from 8 colleges to 19 FOEs&#10;" title="Example mapping cost (via EFSTL) from colleges to F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wparker\AppData\Local\Microsoft\Windows\INetCache\Content.Outlook\N2PRTRAD\sankeymatic_College_FoE.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219700" cy="3131820"/>
                    </a:xfrm>
                    <a:prstGeom prst="rect">
                      <a:avLst/>
                    </a:prstGeom>
                    <a:noFill/>
                    <a:ln>
                      <a:noFill/>
                    </a:ln>
                  </pic:spPr>
                </pic:pic>
              </a:graphicData>
            </a:graphic>
          </wp:inline>
        </w:drawing>
      </w:r>
    </w:p>
    <w:p w14:paraId="5E2E470A" w14:textId="77777777" w:rsidR="0094594B" w:rsidRDefault="0094594B" w:rsidP="0094594B">
      <w:pPr>
        <w:pStyle w:val="Source"/>
      </w:pPr>
      <w:r w:rsidRPr="00EA798B">
        <w:t>Source: Deloitte Access Economics analysis</w:t>
      </w:r>
      <w:r>
        <w:t>, participant data.</w:t>
      </w:r>
    </w:p>
    <w:p w14:paraId="30683FBF" w14:textId="77777777" w:rsidR="00DC51DD" w:rsidRDefault="00DC51DD" w:rsidP="00DC51DD">
      <w:pPr>
        <w:pStyle w:val="BodyText"/>
      </w:pPr>
      <w:r>
        <w:t>Equivalently, allocating costs across sub-bachelor, bachelor, and postgraduate levels proved difficult for some universities.  Many allocated costs across levels within an FOE according to EFTSL, meaning that the estimated cost per EFTSL was equal. This was generally seen to provide a downwards biased estimate of postgraduate costs, and upwardly biased estimate of sub-bachelor costs, due to the staff-student ratios, contact time, and seniority of staff generally associated with postgraduate coursework classes. According to supplementary data provided by one university, this approach across levels produces a 10% underestimate in salary costs for postgraduate activity across the university.</w:t>
      </w:r>
    </w:p>
    <w:p w14:paraId="2A62588E" w14:textId="77777777" w:rsidR="00DC51DD" w:rsidRDefault="00DC51DD" w:rsidP="00DC51DD">
      <w:pPr>
        <w:pStyle w:val="BodyText"/>
      </w:pPr>
      <w:r>
        <w:t xml:space="preserve">More generally, participating universities varied in the sophistication of their data collection and reporting ability. Some universities have developed relatively sophisticated Activity Based Costing (ABC) models that are capable of reporting costs at a granular level, based on </w:t>
      </w:r>
      <w:r>
        <w:lastRenderedPageBreak/>
        <w:t xml:space="preserve">pre-existing data structures, such as the general ledger, payroll, timetabling, and asset registers. Others collect aggregated information in their finance functions for reporting purposes, but without the ease or sophistication that more detailed models are capable of providing. </w:t>
      </w:r>
    </w:p>
    <w:p w14:paraId="19EC1515" w14:textId="77777777" w:rsidR="00DC51DD" w:rsidRDefault="00DC51DD" w:rsidP="00DC51DD">
      <w:pPr>
        <w:pStyle w:val="BodyText"/>
      </w:pPr>
      <w:r>
        <w:t xml:space="preserve">Nonetheless, where ABC models were used, the assumptions on which they were based were not necessarily more granular </w:t>
      </w:r>
      <w:r w:rsidR="00545D00">
        <w:t xml:space="preserve">or robust </w:t>
      </w:r>
      <w:r>
        <w:t xml:space="preserve">than those of institutions that collated data in the absence of such models. Overall, the consultations with the sector indicated that broadly similar approaches were used to allocate both budgetary unit level and central costs to individual FOEs. The consultations with universities aimed at furthering the consistency of approaches and assumptions used. </w:t>
      </w:r>
    </w:p>
    <w:p w14:paraId="10F183C6" w14:textId="77777777" w:rsidR="00DC51DD" w:rsidRDefault="00DC51DD" w:rsidP="00DC51DD">
      <w:pPr>
        <w:pStyle w:val="BodyText"/>
      </w:pPr>
      <w:r>
        <w:t>Finally, some universities noted that where courses were provided by partner institutions</w:t>
      </w:r>
      <w:r w:rsidR="00B71DE2">
        <w:t>,</w:t>
      </w:r>
      <w:r>
        <w:t xml:space="preserve"> they had little oversight over the cost of provision. While the costs to the participa</w:t>
      </w:r>
      <w:r w:rsidR="00545D00">
        <w:t>ting university</w:t>
      </w:r>
      <w:r>
        <w:t xml:space="preserve"> will generally be reflected in the data provided, these simply represent a transfer of the fee paid for the course and may not reflect the true cost of teaching at the partner institution.</w:t>
      </w:r>
    </w:p>
    <w:p w14:paraId="1C58FECD" w14:textId="77777777" w:rsidR="00DC51DD" w:rsidRDefault="00DC51DD" w:rsidP="00DC51DD">
      <w:pPr>
        <w:pStyle w:val="HeadingC"/>
      </w:pPr>
      <w:r>
        <w:t>Issues with using 2015 as a representative year</w:t>
      </w:r>
    </w:p>
    <w:p w14:paraId="1D33B6F9" w14:textId="77777777" w:rsidR="00DC51DD" w:rsidRDefault="00DC51DD" w:rsidP="00DC51DD">
      <w:pPr>
        <w:pStyle w:val="BodyText"/>
      </w:pPr>
      <w:r>
        <w:t>Some universities identified issues with using 2015 as the representative year given specific events or expenditure items that mean the reported costs were not representative of those incurred in a typical year. These concerns almost entirely related to specific instances of capital expenditure, either occurring in 2015, or expected to occur in the near term and therefore not be reflected in the data collection.</w:t>
      </w:r>
    </w:p>
    <w:p w14:paraId="63FF2048" w14:textId="77777777" w:rsidR="00DC51DD" w:rsidRDefault="00DC51DD" w:rsidP="00DC51DD">
      <w:pPr>
        <w:pStyle w:val="BodyText"/>
      </w:pPr>
      <w:r>
        <w:t xml:space="preserve">A number of universities also reported that a proportion of their capital stock had been fully depreciated, and was therefore excluded from the cost data provided. The need to replace this capital in the future, however, implied that accounting depreciation was not reflective of the true costs that were implied by the ongoing need to invest in new </w:t>
      </w:r>
      <w:r w:rsidR="00545D00">
        <w:t>or</w:t>
      </w:r>
      <w:r>
        <w:t xml:space="preserve"> replacement capital.</w:t>
      </w:r>
    </w:p>
    <w:p w14:paraId="4D866257" w14:textId="77777777" w:rsidR="00DC51DD" w:rsidRDefault="00DC51DD" w:rsidP="00DC51DD">
      <w:pPr>
        <w:pStyle w:val="BodyText"/>
      </w:pPr>
      <w:r>
        <w:t xml:space="preserve">The concerns identified above, while potentially reducing the representativeness of the reported costs for some </w:t>
      </w:r>
      <w:r w:rsidR="00B71DE2">
        <w:t xml:space="preserve">institutions, </w:t>
      </w:r>
      <w:r>
        <w:t>are unlikely to detract from the accuracy of the findings overall:</w:t>
      </w:r>
    </w:p>
    <w:p w14:paraId="37778AEF" w14:textId="77777777" w:rsidR="00DC51DD" w:rsidRDefault="00DC51DD" w:rsidP="00DC51DD">
      <w:pPr>
        <w:pStyle w:val="Bullet1"/>
      </w:pPr>
      <w:r>
        <w:t>They are likely to even out to some degree across universities</w:t>
      </w:r>
      <w:r w:rsidR="00B71DE2">
        <w:t>.</w:t>
      </w:r>
    </w:p>
    <w:p w14:paraId="0019B8D0" w14:textId="77777777" w:rsidR="00DC51DD" w:rsidRDefault="00DC51DD" w:rsidP="00DC51DD">
      <w:pPr>
        <w:pStyle w:val="Bullet1"/>
      </w:pPr>
      <w:r>
        <w:t>They are largely independent of other drivers of costs, and therefore will not affect findings of the extent to which these other drivers impact on reported costs in the statistical analysis reported below.</w:t>
      </w:r>
    </w:p>
    <w:p w14:paraId="75D3A9B3" w14:textId="77777777" w:rsidR="00DC51DD" w:rsidRDefault="00DC51DD" w:rsidP="00DC51DD">
      <w:pPr>
        <w:pStyle w:val="BodyText"/>
      </w:pPr>
      <w:r>
        <w:t>Nonetheless, other trends identified by participants are likely to have more material impacts on university costs across the sector going forward. The main trends identified through submissions are outlined below</w:t>
      </w:r>
      <w:r w:rsidR="00545D00">
        <w:t xml:space="preserve">, and broadly accord with the trends outlined in </w:t>
      </w:r>
      <w:r w:rsidR="00B130EF">
        <w:t>Chapter</w:t>
      </w:r>
      <w:r w:rsidR="00545D00">
        <w:t xml:space="preserve"> 1.</w:t>
      </w:r>
    </w:p>
    <w:p w14:paraId="54222353" w14:textId="77777777" w:rsidR="00DC51DD" w:rsidRDefault="00DC51DD" w:rsidP="00DC51DD">
      <w:pPr>
        <w:pStyle w:val="HeadingC"/>
      </w:pPr>
      <w:r>
        <w:t>Broader cost trends in the sector</w:t>
      </w:r>
    </w:p>
    <w:p w14:paraId="3CB212FA" w14:textId="77777777" w:rsidR="00DC51DD" w:rsidRDefault="00DC51DD" w:rsidP="00DC51DD">
      <w:pPr>
        <w:pStyle w:val="BodyText"/>
      </w:pPr>
      <w:r>
        <w:t>While not all institutions identified broader cost trends, three themes were identified relatively consistently across institutions:</w:t>
      </w:r>
    </w:p>
    <w:p w14:paraId="168EC2E9" w14:textId="77777777" w:rsidR="00DC51DD" w:rsidRDefault="00DC51DD" w:rsidP="00DC51DD">
      <w:pPr>
        <w:pStyle w:val="Bullet1"/>
      </w:pPr>
      <w:r>
        <w:lastRenderedPageBreak/>
        <w:t>The increasing cost and supply issues associated with placements, particularly courses requiring clinical placements</w:t>
      </w:r>
      <w:r w:rsidR="00B130EF">
        <w:t>.</w:t>
      </w:r>
    </w:p>
    <w:p w14:paraId="7DD8200F" w14:textId="77777777" w:rsidR="00DC51DD" w:rsidRDefault="00DC51DD" w:rsidP="00DC51DD">
      <w:pPr>
        <w:pStyle w:val="Bullet1"/>
      </w:pPr>
      <w:r>
        <w:t>Cost pressures associated with salary increases</w:t>
      </w:r>
      <w:r w:rsidR="00B130EF">
        <w:t>.</w:t>
      </w:r>
    </w:p>
    <w:p w14:paraId="6752E139" w14:textId="77777777" w:rsidR="00DC51DD" w:rsidRDefault="00DC51DD" w:rsidP="00DC51DD">
      <w:pPr>
        <w:pStyle w:val="Bullet1"/>
      </w:pPr>
      <w:r>
        <w:t>Cost implications from changes to the composition of delivery modes.</w:t>
      </w:r>
    </w:p>
    <w:p w14:paraId="7197389F" w14:textId="77777777" w:rsidR="00DC51DD" w:rsidRDefault="00DC51DD" w:rsidP="00DC51DD">
      <w:pPr>
        <w:pStyle w:val="BodyText"/>
      </w:pPr>
      <w:r>
        <w:t>Of these themes, concerns associated with clinical placements were most prevalent in the consultations and submissions. Almost all universities noted various difficulties in finding or paying for placements, with the key issues relating to:</w:t>
      </w:r>
    </w:p>
    <w:p w14:paraId="516421B3" w14:textId="77777777" w:rsidR="00DC51DD" w:rsidRDefault="00DC51DD" w:rsidP="00DC51DD">
      <w:pPr>
        <w:pStyle w:val="Bullet1"/>
      </w:pPr>
      <w:r>
        <w:t>The reduction of Health Workforce Australia (HWA) funding to cover, or partially cover, the cost of clinical placements</w:t>
      </w:r>
      <w:r w:rsidR="00B130EF">
        <w:t>.</w:t>
      </w:r>
    </w:p>
    <w:p w14:paraId="096DA646" w14:textId="77777777" w:rsidR="00DC51DD" w:rsidRDefault="00DC51DD" w:rsidP="00DC51DD">
      <w:pPr>
        <w:pStyle w:val="Bullet1"/>
      </w:pPr>
      <w:r>
        <w:t>A reduction in the number of placements provided free of charge to the university</w:t>
      </w:r>
      <w:r w:rsidR="00B130EF">
        <w:t>.</w:t>
      </w:r>
    </w:p>
    <w:p w14:paraId="4E908187" w14:textId="77777777" w:rsidR="00DC51DD" w:rsidRDefault="00DC51DD" w:rsidP="00DC51DD">
      <w:pPr>
        <w:pStyle w:val="Bullet1"/>
      </w:pPr>
      <w:r>
        <w:t>A general increase in competition for placements as demand exceed</w:t>
      </w:r>
      <w:r w:rsidR="00545D00">
        <w:t>s</w:t>
      </w:r>
      <w:r>
        <w:t xml:space="preserve"> supply, particularly in geographies where multiple universities compet</w:t>
      </w:r>
      <w:r w:rsidR="00545D00">
        <w:t>e</w:t>
      </w:r>
      <w:r>
        <w:t xml:space="preserve"> for the same places.</w:t>
      </w:r>
    </w:p>
    <w:p w14:paraId="18C5F76E" w14:textId="77777777" w:rsidR="00DC51DD" w:rsidRDefault="00DC51DD" w:rsidP="00DC51DD">
      <w:pPr>
        <w:pStyle w:val="BodyText"/>
      </w:pPr>
      <w:r>
        <w:t>Universities also noted that wage increases under Enterprise Bargaining Agreements had seen salary costs increase at a rate faster than inflation over time. This was seen as increasing costs further into the future, particularly for relatively staff-intensive programs.</w:t>
      </w:r>
    </w:p>
    <w:p w14:paraId="7DB1F333" w14:textId="77777777" w:rsidR="00DC51DD" w:rsidRDefault="00DC51DD" w:rsidP="00DC51DD">
      <w:pPr>
        <w:pStyle w:val="BodyText"/>
      </w:pPr>
      <w:r>
        <w:t xml:space="preserve">Evolving delivery models were also seen to be adding to costs over time. This involved mixed mode delivery, blended learning and less reliance on lectures, and </w:t>
      </w:r>
      <w:r w:rsidR="00545D00">
        <w:t>provid</w:t>
      </w:r>
      <w:r w:rsidR="00B130EF">
        <w:t>ing</w:t>
      </w:r>
      <w:r w:rsidR="00545D00">
        <w:t xml:space="preserve"> </w:t>
      </w:r>
      <w:r>
        <w:t>greater online access to teaching material. This evolution, and expected future evolution, of higher education pedagogy was seen as requiring</w:t>
      </w:r>
      <w:r w:rsidR="00545D00">
        <w:t>, among other things,</w:t>
      </w:r>
      <w:r>
        <w:t xml:space="preserve"> significant ICT investment. It was also noted that a move to increasingly online delivery would not reduce costs as the existing physical infrastructure would still be required.</w:t>
      </w:r>
    </w:p>
    <w:p w14:paraId="2ECBED3B" w14:textId="77777777" w:rsidR="00DC51DD" w:rsidRDefault="00DC51DD" w:rsidP="00DC51DD">
      <w:pPr>
        <w:pStyle w:val="BodyText"/>
      </w:pPr>
      <w:r>
        <w:t>Some universities also noted that greater access to higher education under the demand driven system meant that students that would not otherwise have entered universities are now doing so, increasing the demand for appropriate support services and more intensive teaching approaches.</w:t>
      </w:r>
    </w:p>
    <w:p w14:paraId="6058B418" w14:textId="77777777" w:rsidR="00297764" w:rsidRDefault="00297764" w:rsidP="00297764">
      <w:pPr>
        <w:pStyle w:val="BodyText"/>
      </w:pPr>
    </w:p>
    <w:p w14:paraId="4601D762" w14:textId="77777777" w:rsidR="004818D6" w:rsidRDefault="004818D6" w:rsidP="004818D6">
      <w:pPr>
        <w:pStyle w:val="BodyText"/>
      </w:pPr>
    </w:p>
    <w:p w14:paraId="4FB09C33" w14:textId="77777777" w:rsidR="00297764" w:rsidRPr="00A65BA3" w:rsidRDefault="00297764" w:rsidP="00FC6060">
      <w:pPr>
        <w:pStyle w:val="Heading1"/>
        <w:spacing w:after="120"/>
      </w:pPr>
      <w:bookmarkStart w:id="258" w:name="_Toc465837280"/>
      <w:bookmarkStart w:id="259" w:name="_Toc469927323"/>
      <w:r w:rsidRPr="00A65BA3">
        <w:lastRenderedPageBreak/>
        <w:t>Understanding reasonable cost</w:t>
      </w:r>
      <w:bookmarkEnd w:id="258"/>
      <w:bookmarkEnd w:id="259"/>
    </w:p>
    <w:tbl>
      <w:tblPr>
        <w:tblStyle w:val="TableGrid"/>
        <w:tblW w:w="0" w:type="auto"/>
        <w:tblBorders>
          <w:top w:val="single" w:sz="4" w:space="0" w:color="002776"/>
          <w:left w:val="single" w:sz="4" w:space="0" w:color="002776"/>
          <w:bottom w:val="single" w:sz="4" w:space="0" w:color="002776"/>
          <w:right w:val="single" w:sz="4" w:space="0" w:color="002776"/>
        </w:tblBorders>
        <w:shd w:val="clear" w:color="auto" w:fill="DCDCDC"/>
        <w:tblLook w:val="04A0" w:firstRow="1" w:lastRow="0" w:firstColumn="1" w:lastColumn="0" w:noHBand="0" w:noVBand="1"/>
      </w:tblPr>
      <w:tblGrid>
        <w:gridCol w:w="8436"/>
      </w:tblGrid>
      <w:tr w:rsidR="0053612A" w14:paraId="1F2ADBA2" w14:textId="77777777" w:rsidTr="00FC3C09">
        <w:tc>
          <w:tcPr>
            <w:tcW w:w="8436" w:type="dxa"/>
            <w:shd w:val="clear" w:color="auto" w:fill="F2F2F2" w:themeFill="background1" w:themeFillShade="F2"/>
          </w:tcPr>
          <w:p w14:paraId="456522F3" w14:textId="77777777" w:rsidR="0053612A" w:rsidRPr="00477B53" w:rsidRDefault="009470BD" w:rsidP="00797CA5">
            <w:pPr>
              <w:pStyle w:val="Bullet1"/>
              <w:numPr>
                <w:ilvl w:val="0"/>
                <w:numId w:val="0"/>
              </w:numPr>
              <w:ind w:left="360" w:hanging="360"/>
              <w:rPr>
                <w:b/>
              </w:rPr>
            </w:pPr>
            <w:r>
              <w:rPr>
                <w:b/>
                <w:color w:val="002776"/>
              </w:rPr>
              <w:t>Key points</w:t>
            </w:r>
            <w:r w:rsidR="0053612A" w:rsidRPr="00477B53">
              <w:rPr>
                <w:b/>
                <w:color w:val="002776"/>
              </w:rPr>
              <w:t xml:space="preserve">: </w:t>
            </w:r>
            <w:r w:rsidR="0053612A">
              <w:rPr>
                <w:b/>
                <w:color w:val="002776"/>
              </w:rPr>
              <w:t>Understanding reasonable cost</w:t>
            </w:r>
          </w:p>
          <w:p w14:paraId="53FA969F" w14:textId="77777777" w:rsidR="0053612A" w:rsidRPr="005F2DE1" w:rsidRDefault="0053612A" w:rsidP="00797CA5">
            <w:pPr>
              <w:pStyle w:val="Bullet1"/>
            </w:pPr>
            <w:r>
              <w:t xml:space="preserve">The summary </w:t>
            </w:r>
            <w:r w:rsidRPr="005F2DE1">
              <w:t xml:space="preserve">statistics above provide </w:t>
            </w:r>
            <w:r w:rsidRPr="00D55F3F">
              <w:t>an indication of the current costs</w:t>
            </w:r>
            <w:r w:rsidRPr="005F2DE1">
              <w:t xml:space="preserve"> of university teaching and scholarship. However, the</w:t>
            </w:r>
            <w:r w:rsidRPr="00327AA3">
              <w:t xml:space="preserve">se simple averages should not be interpreted as estimates of </w:t>
            </w:r>
            <w:r w:rsidRPr="00D55F3F">
              <w:t>reasonable costs</w:t>
            </w:r>
            <w:r w:rsidRPr="005F2DE1">
              <w:t>. A concept of reasonable cost should acknowledge that:</w:t>
            </w:r>
          </w:p>
          <w:p w14:paraId="4F714381" w14:textId="77777777" w:rsidR="0053612A" w:rsidRDefault="0053612A" w:rsidP="00797CA5">
            <w:pPr>
              <w:pStyle w:val="Bullet2"/>
            </w:pPr>
            <w:r w:rsidRPr="00327AA3">
              <w:t xml:space="preserve">The link between </w:t>
            </w:r>
            <w:r>
              <w:t>costs and funding is somewhat circular: universities will in aggregate tend to spend what they receive. A notion of reasonable cost should seek to disentangle funding and costs, and identify what it costs universities to provide a typical, contemporary, standard of education for each FOE.</w:t>
            </w:r>
          </w:p>
          <w:p w14:paraId="47377B5D" w14:textId="77777777" w:rsidR="0053612A" w:rsidRDefault="0053612A" w:rsidP="00797CA5">
            <w:pPr>
              <w:pStyle w:val="Bullet2"/>
            </w:pPr>
            <w:r>
              <w:t>This will vary by institution given the various contextual factors that universities face, such as student intake characteristics and localised cost factors.</w:t>
            </w:r>
          </w:p>
          <w:p w14:paraId="36846DE9" w14:textId="42BB709E" w:rsidR="0053612A" w:rsidRDefault="0053612A" w:rsidP="00797CA5">
            <w:pPr>
              <w:pStyle w:val="Bullet2"/>
            </w:pPr>
            <w:r>
              <w:t>The reasonable costs of providing an FOE may therefore vary across universit</w:t>
            </w:r>
            <w:r w:rsidR="00193CD3">
              <w:t>y characteristics</w:t>
            </w:r>
            <w:r>
              <w:t xml:space="preserve"> and across different levels of quality that universities should be expected to provide. The latter is ultimately a decision for </w:t>
            </w:r>
            <w:r w:rsidR="00055D80">
              <w:t>policymakers</w:t>
            </w:r>
            <w:r>
              <w:t xml:space="preserve"> and cannot be made through an assessment of the data alone.</w:t>
            </w:r>
          </w:p>
          <w:p w14:paraId="1179564B" w14:textId="77777777" w:rsidR="0053612A" w:rsidRDefault="0053612A" w:rsidP="00797CA5">
            <w:pPr>
              <w:pStyle w:val="Bullet1"/>
            </w:pPr>
            <w:r>
              <w:t>It is reasonable to expect universities to achieve some benchmark level of efficiency. Hence, having controlled for the various cost drivers, reasonable costs should be set towards the ‘frontier’ of efficiency observed across the universities in the sample.</w:t>
            </w:r>
          </w:p>
          <w:p w14:paraId="76F03C22" w14:textId="77777777" w:rsidR="0053612A" w:rsidRDefault="0053612A" w:rsidP="00797CA5">
            <w:pPr>
              <w:pStyle w:val="Bullet2"/>
              <w:ind w:left="924" w:hanging="357"/>
            </w:pPr>
            <w:r>
              <w:t>There are different ways to define this frontier</w:t>
            </w:r>
            <w:r w:rsidR="00775D89">
              <w:t>;</w:t>
            </w:r>
            <w:r>
              <w:t xml:space="preserve"> this report identifies several such approaches.</w:t>
            </w:r>
          </w:p>
          <w:p w14:paraId="793FC9BA" w14:textId="77777777" w:rsidR="0053612A" w:rsidRDefault="0053612A" w:rsidP="00797CA5">
            <w:pPr>
              <w:pStyle w:val="Bullet2"/>
              <w:spacing w:after="120"/>
              <w:ind w:left="924" w:hanging="357"/>
            </w:pPr>
            <w:r>
              <w:t xml:space="preserve">Decision makers will also need to decide on a ‘reasonable’ efficiency expectation: should universities be expected to perform equally with the most efficient university in the sample, or somewhere close to but inside the frontier? </w:t>
            </w:r>
          </w:p>
        </w:tc>
      </w:tr>
    </w:tbl>
    <w:p w14:paraId="4A38A174" w14:textId="3BEF1D6F" w:rsidR="006432B0" w:rsidRPr="001578D1" w:rsidRDefault="006432B0" w:rsidP="006432B0">
      <w:pPr>
        <w:pStyle w:val="BodyText"/>
      </w:pPr>
      <w:r>
        <w:t xml:space="preserve">The current cost of higher education </w:t>
      </w:r>
      <w:r w:rsidR="00461021">
        <w:t>teaching and scholarship</w:t>
      </w:r>
      <w:r>
        <w:t xml:space="preserve"> in Australia is </w:t>
      </w:r>
      <w:r w:rsidR="00193CD3">
        <w:t>influenced by</w:t>
      </w:r>
      <w:r>
        <w:t xml:space="preserve"> current funding rates a</w:t>
      </w:r>
      <w:r w:rsidR="00193CD3">
        <w:t xml:space="preserve">s well </w:t>
      </w:r>
      <w:r w:rsidR="00193CD3" w:rsidRPr="005F2DE1">
        <w:t>as</w:t>
      </w:r>
      <w:r w:rsidRPr="00327AA3">
        <w:t xml:space="preserve"> the strategic decisions undertaken by different institutions. The challenge in developing an estimate of the </w:t>
      </w:r>
      <w:r w:rsidRPr="00520AA3">
        <w:rPr>
          <w:rStyle w:val="Boldword"/>
          <w:b w:val="0"/>
          <w:color w:val="auto"/>
        </w:rPr>
        <w:t>reasonable cost</w:t>
      </w:r>
      <w:r w:rsidRPr="00520AA3">
        <w:t xml:space="preserve"> of </w:t>
      </w:r>
      <w:r w:rsidR="00461021">
        <w:t>teaching and scholarship</w:t>
      </w:r>
      <w:r w:rsidRPr="00520AA3">
        <w:t xml:space="preserve"> is to develop an estimate that is </w:t>
      </w:r>
      <w:r w:rsidRPr="008A079E">
        <w:rPr>
          <w:rStyle w:val="Boldword"/>
          <w:b w:val="0"/>
          <w:color w:val="auto"/>
        </w:rPr>
        <w:t>ind</w:t>
      </w:r>
      <w:r w:rsidRPr="004E7CC3">
        <w:rPr>
          <w:rStyle w:val="Boldword"/>
          <w:b w:val="0"/>
          <w:color w:val="auto"/>
        </w:rPr>
        <w:t xml:space="preserve">ependent of the incentives created by current funding arrangements </w:t>
      </w:r>
      <w:r w:rsidRPr="001578D1">
        <w:t xml:space="preserve">and can be applied </w:t>
      </w:r>
      <w:r w:rsidRPr="001578D1">
        <w:rPr>
          <w:rStyle w:val="Boldword"/>
          <w:b w:val="0"/>
          <w:color w:val="auto"/>
        </w:rPr>
        <w:t>universally to different institutions, but that also recognises the differing circumstances in which the institutions operate</w:t>
      </w:r>
      <w:r w:rsidRPr="001578D1">
        <w:t xml:space="preserve">. </w:t>
      </w:r>
    </w:p>
    <w:p w14:paraId="7996C38B" w14:textId="0E9FF636" w:rsidR="006432B0" w:rsidRDefault="006432B0" w:rsidP="006432B0">
      <w:pPr>
        <w:pStyle w:val="BodyText"/>
      </w:pPr>
      <w:r w:rsidRPr="001578D1">
        <w:t xml:space="preserve">This </w:t>
      </w:r>
      <w:r w:rsidR="00775D89" w:rsidRPr="001578D1">
        <w:t>chapter</w:t>
      </w:r>
      <w:r w:rsidRPr="001578D1">
        <w:t xml:space="preserve"> sets out the broader </w:t>
      </w:r>
      <w:r>
        <w:t xml:space="preserve">policy context, to motivate this study’s exposition of ‘reasonable cost’ for </w:t>
      </w:r>
      <w:r w:rsidR="00461021">
        <w:t>teaching and scholarship</w:t>
      </w:r>
      <w:r>
        <w:t xml:space="preserve"> activities at Australian universities, before moving to provide a definition of this concept. The </w:t>
      </w:r>
      <w:r w:rsidR="00775D89">
        <w:t>chapter</w:t>
      </w:r>
      <w:r>
        <w:t xml:space="preserve"> concludes by setting out an empirical framework to inform the assessment of the reasonable costs of </w:t>
      </w:r>
      <w:r w:rsidR="00461021">
        <w:t>teaching and scholarship</w:t>
      </w:r>
      <w:r>
        <w:t xml:space="preserve"> across different fields of education. The results from the empirical framework are presented in </w:t>
      </w:r>
      <w:r w:rsidR="00775D89">
        <w:t>Chapter</w:t>
      </w:r>
      <w:r>
        <w:t xml:space="preserve"> 5.</w:t>
      </w:r>
    </w:p>
    <w:p w14:paraId="27D8949F" w14:textId="77777777" w:rsidR="006432B0" w:rsidRDefault="006432B0" w:rsidP="00FC6060">
      <w:pPr>
        <w:pStyle w:val="Heading2"/>
        <w:tabs>
          <w:tab w:val="clear" w:pos="709"/>
        </w:tabs>
        <w:ind w:left="851" w:hanging="851"/>
      </w:pPr>
      <w:bookmarkStart w:id="260" w:name="_Toc466036310"/>
      <w:bookmarkStart w:id="261" w:name="_Toc469927324"/>
      <w:bookmarkStart w:id="262" w:name="_Toc465837281"/>
      <w:r>
        <w:lastRenderedPageBreak/>
        <w:t>The broader policy and institutional context</w:t>
      </w:r>
      <w:bookmarkEnd w:id="260"/>
      <w:bookmarkEnd w:id="261"/>
    </w:p>
    <w:p w14:paraId="3ACA6B9B" w14:textId="29B523DA" w:rsidR="006432B0" w:rsidRDefault="006432B0" w:rsidP="006432B0">
      <w:pPr>
        <w:pStyle w:val="BodyText"/>
      </w:pPr>
      <w:r>
        <w:t xml:space="preserve">The cost of higher education </w:t>
      </w:r>
      <w:r w:rsidR="00461021">
        <w:t>teaching and scholarship</w:t>
      </w:r>
      <w:r>
        <w:t xml:space="preserve"> in Australia is, </w:t>
      </w:r>
      <w:r w:rsidRPr="00F84777">
        <w:rPr>
          <w:i/>
        </w:rPr>
        <w:t>inter alia</w:t>
      </w:r>
      <w:r>
        <w:t xml:space="preserve">, a function of: </w:t>
      </w:r>
    </w:p>
    <w:p w14:paraId="028EFCF8" w14:textId="77777777" w:rsidR="006432B0" w:rsidRDefault="006432B0" w:rsidP="006432B0">
      <w:pPr>
        <w:pStyle w:val="Bullet1"/>
      </w:pPr>
      <w:r>
        <w:t>The current policy settings in relation to funding rates</w:t>
      </w:r>
      <w:r w:rsidR="00775D89">
        <w:t>.</w:t>
      </w:r>
    </w:p>
    <w:p w14:paraId="428B5989" w14:textId="77777777" w:rsidR="006432B0" w:rsidRDefault="006432B0" w:rsidP="006432B0">
      <w:pPr>
        <w:pStyle w:val="Bullet1"/>
      </w:pPr>
      <w:r>
        <w:t xml:space="preserve">The strategic objectives pursued by public universities, each of which has their own unique founding charters and missions. </w:t>
      </w:r>
    </w:p>
    <w:bookmarkEnd w:id="262"/>
    <w:p w14:paraId="76F6B363" w14:textId="77777777" w:rsidR="006432B0" w:rsidRDefault="006432B0" w:rsidP="006432B0">
      <w:pPr>
        <w:pStyle w:val="BodyText"/>
        <w:keepNext/>
        <w:keepLines/>
      </w:pPr>
      <w:r>
        <w:t>Each of these components, and their implications for assessing reasonable cost, is discussed in further detail below in order to motivate the definitions and analysis that follow.</w:t>
      </w:r>
    </w:p>
    <w:p w14:paraId="714CCCE8" w14:textId="77777777" w:rsidR="006432B0" w:rsidRDefault="006432B0" w:rsidP="006432B0">
      <w:pPr>
        <w:pStyle w:val="Heading3"/>
      </w:pPr>
      <w:r>
        <w:t>The current funding and regulatory environment</w:t>
      </w:r>
    </w:p>
    <w:p w14:paraId="2A5DC882" w14:textId="7F185289" w:rsidR="006432B0" w:rsidRDefault="006432B0" w:rsidP="006432B0">
      <w:pPr>
        <w:pStyle w:val="BodyText"/>
        <w:keepNext/>
        <w:keepLines/>
      </w:pPr>
      <w:r>
        <w:t xml:space="preserve">Universities operate in a constrained funding and regulatory environment. In particular, while CSPs for bachelor degrees are uncapped (as part of the ‘Demand Driven System’), sub-bachelor and </w:t>
      </w:r>
      <w:r w:rsidR="00593960">
        <w:t>postgraduate</w:t>
      </w:r>
      <w:r>
        <w:t xml:space="preserve"> places are restricted by the Commonwealth. Similarly, total contributions (by students and government) towards Commonwealth </w:t>
      </w:r>
      <w:r w:rsidR="0055398A">
        <w:t>s</w:t>
      </w:r>
      <w:r>
        <w:t xml:space="preserve">upported higher education places are constrained through Government funding regulation. </w:t>
      </w:r>
    </w:p>
    <w:p w14:paraId="6AE1F02D" w14:textId="77777777" w:rsidR="006432B0" w:rsidRPr="005F2DE1" w:rsidRDefault="006432B0" w:rsidP="006432B0">
      <w:pPr>
        <w:pStyle w:val="BodyText"/>
      </w:pPr>
      <w:r>
        <w:t xml:space="preserve">These funding constraints, as well as quality standards established as part of the TEQSA Act and accompanying legislation and regulation (such as the Standards Framework), play an important role in </w:t>
      </w:r>
      <w:r w:rsidRPr="005F2DE1">
        <w:t>influencing the costs that universities incur towards different teaching, research and broader engagement activities.</w:t>
      </w:r>
    </w:p>
    <w:p w14:paraId="78C7DD17" w14:textId="63233B0B" w:rsidR="006432B0" w:rsidRPr="00520AA3" w:rsidRDefault="006432B0" w:rsidP="006432B0">
      <w:pPr>
        <w:pStyle w:val="BodyText"/>
        <w:rPr>
          <w:rStyle w:val="Boldword"/>
          <w:b w:val="0"/>
          <w:color w:val="auto"/>
        </w:rPr>
      </w:pPr>
      <w:r w:rsidRPr="00327AA3">
        <w:rPr>
          <w:rStyle w:val="Boldword"/>
          <w:b w:val="0"/>
          <w:color w:val="auto"/>
        </w:rPr>
        <w:t xml:space="preserve">A consequence of the current funding environment is that the current concordance between funding and costs (across all institutions) is not necessarily reflective of the underlying costs that are attributable to specific </w:t>
      </w:r>
      <w:r w:rsidR="00461021">
        <w:rPr>
          <w:rStyle w:val="Boldword"/>
          <w:b w:val="0"/>
          <w:color w:val="auto"/>
        </w:rPr>
        <w:t>teaching and scholarship</w:t>
      </w:r>
      <w:r w:rsidRPr="00327AA3">
        <w:rPr>
          <w:rStyle w:val="Boldword"/>
          <w:b w:val="0"/>
          <w:color w:val="auto"/>
        </w:rPr>
        <w:t xml:space="preserve"> activities and that would eventuate independently of the incentives caused by those funding </w:t>
      </w:r>
      <w:r w:rsidRPr="00520AA3">
        <w:rPr>
          <w:rStyle w:val="Boldword"/>
          <w:b w:val="0"/>
          <w:color w:val="auto"/>
        </w:rPr>
        <w:t>arrangements.</w:t>
      </w:r>
    </w:p>
    <w:p w14:paraId="2679A72E" w14:textId="599CF6C7" w:rsidR="006432B0" w:rsidRDefault="006432B0" w:rsidP="006432B0">
      <w:pPr>
        <w:pStyle w:val="BodyText"/>
      </w:pPr>
      <w:r w:rsidRPr="008A079E">
        <w:rPr>
          <w:rStyle w:val="Boldword"/>
          <w:b w:val="0"/>
          <w:color w:val="auto"/>
        </w:rPr>
        <w:t xml:space="preserve">The fact that current contributions towards </w:t>
      </w:r>
      <w:r w:rsidRPr="004E7CC3">
        <w:t xml:space="preserve">Commonwealth </w:t>
      </w:r>
      <w:r w:rsidR="0055398A" w:rsidRPr="001578D1">
        <w:t>s</w:t>
      </w:r>
      <w:r w:rsidR="00775D89" w:rsidRPr="001578D1">
        <w:t>u</w:t>
      </w:r>
      <w:r w:rsidR="0055398A" w:rsidRPr="001578D1">
        <w:t xml:space="preserve">pported </w:t>
      </w:r>
      <w:r w:rsidRPr="001578D1">
        <w:t>places are constrained through Government funding regulation does not imply that costs need to match funding levels for each field of education</w:t>
      </w:r>
      <w:r>
        <w:t xml:space="preserve">. Indeed, universities have some scope to reallocate funding across different fields of education (which may itself provide an indicator of whether current funding rates by discipline are reasonable). However, current costs of </w:t>
      </w:r>
      <w:r w:rsidR="00461021">
        <w:t>teaching and scholarship</w:t>
      </w:r>
      <w:r>
        <w:t xml:space="preserve"> in aggregate will be circularly related to historic funding arrangements.  </w:t>
      </w:r>
    </w:p>
    <w:p w14:paraId="240F51E0" w14:textId="054BDB78" w:rsidR="006432B0" w:rsidRDefault="006432B0" w:rsidP="006432B0">
      <w:pPr>
        <w:pStyle w:val="BodyText"/>
      </w:pPr>
      <w:r>
        <w:t xml:space="preserve">As a result, </w:t>
      </w:r>
      <w:r w:rsidRPr="00136129">
        <w:t>overall</w:t>
      </w:r>
      <w:r>
        <w:t xml:space="preserve"> costs of </w:t>
      </w:r>
      <w:r w:rsidR="00461021">
        <w:t>teaching and scholarship</w:t>
      </w:r>
      <w:r>
        <w:t xml:space="preserve"> may more closely reflect current funding arrangements, rather than the reasonable cost of achieving </w:t>
      </w:r>
      <w:r w:rsidR="00461021">
        <w:t>teaching and scholarship</w:t>
      </w:r>
      <w:r>
        <w:t xml:space="preserve"> outcomes. If universities are prevented from fully reallocating funding across fields of education to reflect the reasonable cost of </w:t>
      </w:r>
      <w:r w:rsidR="00461021">
        <w:t>teaching and scholarship</w:t>
      </w:r>
      <w:r>
        <w:t xml:space="preserve"> in each discipline, costs of </w:t>
      </w:r>
      <w:r w:rsidR="00461021">
        <w:t>teaching and scholarship</w:t>
      </w:r>
      <w:r>
        <w:t xml:space="preserve"> in </w:t>
      </w:r>
      <w:r w:rsidRPr="00136129">
        <w:t>each field of education</w:t>
      </w:r>
      <w:r>
        <w:t xml:space="preserve"> will also be partially driven by current funding arrangements. </w:t>
      </w:r>
    </w:p>
    <w:p w14:paraId="7AC4C0C2" w14:textId="77777777" w:rsidR="006432B0" w:rsidRPr="00214241" w:rsidRDefault="006432B0" w:rsidP="006432B0">
      <w:pPr>
        <w:pStyle w:val="Heading3"/>
      </w:pPr>
      <w:r w:rsidRPr="00214241">
        <w:t>Institutional context</w:t>
      </w:r>
    </w:p>
    <w:p w14:paraId="6923D021" w14:textId="77777777" w:rsidR="006432B0" w:rsidRDefault="006432B0" w:rsidP="006432B0">
      <w:pPr>
        <w:pStyle w:val="BodyText"/>
      </w:pPr>
      <w:r>
        <w:t>Australian universities are</w:t>
      </w:r>
      <w:r w:rsidR="009A5E9A">
        <w:t xml:space="preserve"> predominantly</w:t>
      </w:r>
      <w:r>
        <w:t xml:space="preserve"> autonomous, self-accrediting, public institutions that serve a diverse range of communities and have unique founding charters and missions. </w:t>
      </w:r>
      <w:r>
        <w:lastRenderedPageBreak/>
        <w:t>From a given base of (largely) regulated inputs, these varying contexts and areas of strategic focus result in a natural degree of variation in cost structures.</w:t>
      </w:r>
    </w:p>
    <w:p w14:paraId="1DF4735B" w14:textId="4A2F2AF6" w:rsidR="006432B0" w:rsidRDefault="006432B0" w:rsidP="006432B0">
      <w:pPr>
        <w:pStyle w:val="BodyText"/>
      </w:pPr>
      <w:r>
        <w:t xml:space="preserve">In particular, different universities seek to achieve (to varying degrees) a range of objectives beyond </w:t>
      </w:r>
      <w:r w:rsidR="00461021">
        <w:t>teaching and scholarship</w:t>
      </w:r>
      <w:r>
        <w:t xml:space="preserve">.  Those objectives include: </w:t>
      </w:r>
    </w:p>
    <w:p w14:paraId="45FA3D14" w14:textId="77777777" w:rsidR="006432B0" w:rsidRDefault="006432B0" w:rsidP="006432B0">
      <w:pPr>
        <w:pStyle w:val="Bullet1"/>
      </w:pPr>
      <w:r>
        <w:t>Research and development</w:t>
      </w:r>
    </w:p>
    <w:p w14:paraId="2C060BFF" w14:textId="77777777" w:rsidR="006432B0" w:rsidRDefault="006432B0" w:rsidP="006432B0">
      <w:pPr>
        <w:pStyle w:val="Bullet1"/>
      </w:pPr>
      <w:r>
        <w:t>Community (and social) engagement</w:t>
      </w:r>
    </w:p>
    <w:p w14:paraId="7F070668" w14:textId="77777777" w:rsidR="006432B0" w:rsidRDefault="006432B0" w:rsidP="006432B0">
      <w:pPr>
        <w:pStyle w:val="Bullet1"/>
      </w:pPr>
      <w:r>
        <w:t xml:space="preserve">The provision of broader experiences for students beyond the classroom. </w:t>
      </w:r>
    </w:p>
    <w:p w14:paraId="4B8DBCA4" w14:textId="0E900B31" w:rsidR="006432B0" w:rsidRDefault="006432B0" w:rsidP="006432B0">
      <w:pPr>
        <w:pStyle w:val="BodyText"/>
      </w:pPr>
      <w:r>
        <w:t xml:space="preserve">In general, the variation in activities undertaken by different universities is in line with the broad intent of public funding, which (for a given threshold standard of quality in the activities that are undertaken) does not prescribe specific patterns of expenditure for given </w:t>
      </w:r>
      <w:r w:rsidR="00461021">
        <w:t>teaching and scholarship</w:t>
      </w:r>
      <w:r>
        <w:t xml:space="preserve">, or research, activities. </w:t>
      </w:r>
    </w:p>
    <w:p w14:paraId="178AB8F8" w14:textId="69699E3E" w:rsidR="006432B0" w:rsidRDefault="006432B0" w:rsidP="006432B0">
      <w:pPr>
        <w:pStyle w:val="BodyText"/>
      </w:pPr>
      <w:r>
        <w:t xml:space="preserve">This institutional context has two important implications for assessing reasonable cost. The first is that the current costs of </w:t>
      </w:r>
      <w:r w:rsidR="00461021">
        <w:t>teaching and scholarship</w:t>
      </w:r>
      <w:r>
        <w:t xml:space="preserve"> will in part reflect differences in the strategic priorities given to different fields across institutions. The second is that the costs of </w:t>
      </w:r>
      <w:r w:rsidR="00995626">
        <w:t>teaching and scholarship</w:t>
      </w:r>
      <w:r>
        <w:t xml:space="preserve"> across institutions may to some extent reflect factors that influence what may be considered to be efficient cost, including issues with respect to scale economies, and differences in the characteristics of the underlying student population.</w:t>
      </w:r>
    </w:p>
    <w:p w14:paraId="3FE6D052" w14:textId="77777777" w:rsidR="006432B0" w:rsidRDefault="006432B0" w:rsidP="00FC6060">
      <w:pPr>
        <w:pStyle w:val="Heading2"/>
        <w:tabs>
          <w:tab w:val="clear" w:pos="709"/>
        </w:tabs>
        <w:ind w:left="851" w:hanging="851"/>
      </w:pPr>
      <w:bookmarkStart w:id="263" w:name="_Toc469927325"/>
      <w:r>
        <w:t>The concept of ‘reasonable cost’</w:t>
      </w:r>
      <w:bookmarkEnd w:id="263"/>
    </w:p>
    <w:p w14:paraId="14D2A58B" w14:textId="77777777" w:rsidR="006432B0" w:rsidRDefault="006432B0" w:rsidP="006432B0">
      <w:pPr>
        <w:pStyle w:val="BodyText"/>
        <w:keepNext/>
      </w:pPr>
      <w:r>
        <w:t xml:space="preserve">Understanding the broader policy and institutional context is important for developing a robust measure of reasonable cost that recognises: </w:t>
      </w:r>
    </w:p>
    <w:p w14:paraId="70259179" w14:textId="13E8B24D" w:rsidR="006432B0" w:rsidRDefault="006432B0" w:rsidP="006432B0">
      <w:pPr>
        <w:pStyle w:val="NumberedList"/>
      </w:pPr>
      <w:r>
        <w:t xml:space="preserve">Current </w:t>
      </w:r>
      <w:r w:rsidRPr="006701DE">
        <w:t>reported</w:t>
      </w:r>
      <w:r>
        <w:t xml:space="preserve"> costs for specific disciplines of </w:t>
      </w:r>
      <w:r w:rsidR="00995626">
        <w:t>teaching and scholarship</w:t>
      </w:r>
      <w:r>
        <w:t xml:space="preserve"> are, at least in part, driven by the </w:t>
      </w:r>
      <w:r w:rsidRPr="00136129">
        <w:t>current funding levels</w:t>
      </w:r>
      <w:r>
        <w:t xml:space="preserve"> for these disciplines (due to the nature of institutional finance and budgeting processes); and that reasonable costs should be measured independently of the incentives caused by current funding arrangements. </w:t>
      </w:r>
    </w:p>
    <w:p w14:paraId="6C4AAFD6" w14:textId="610CFE86" w:rsidR="006432B0" w:rsidRDefault="006432B0" w:rsidP="006432B0">
      <w:pPr>
        <w:pStyle w:val="NumberedList"/>
      </w:pPr>
      <w:r>
        <w:t xml:space="preserve">Current reported costs across universities and disciplines are a function of </w:t>
      </w:r>
      <w:r w:rsidRPr="00136129">
        <w:t>institutionally specific</w:t>
      </w:r>
      <w:r>
        <w:t xml:space="preserve"> strategies and objectives with respect to activities of </w:t>
      </w:r>
      <w:r w:rsidR="00995626">
        <w:t>teaching and scholarship</w:t>
      </w:r>
      <w:r>
        <w:t xml:space="preserve"> and </w:t>
      </w:r>
      <w:r w:rsidRPr="00136129">
        <w:t>research</w:t>
      </w:r>
      <w:r>
        <w:t xml:space="preserve"> across disciplines and qualification levels.</w:t>
      </w:r>
    </w:p>
    <w:p w14:paraId="08489FB4" w14:textId="4A8D509E" w:rsidR="006432B0" w:rsidRPr="005F2DE1" w:rsidRDefault="006432B0" w:rsidP="006432B0">
      <w:pPr>
        <w:pStyle w:val="BodyText"/>
        <w:keepNext/>
      </w:pPr>
      <w:r>
        <w:t>In light of these considerations, t</w:t>
      </w:r>
      <w:r w:rsidRPr="002722A0">
        <w:t>he goa</w:t>
      </w:r>
      <w:r>
        <w:t>l of this</w:t>
      </w:r>
      <w:r w:rsidRPr="002722A0">
        <w:t xml:space="preserve"> analysis is </w:t>
      </w:r>
      <w:r w:rsidRPr="005F2DE1">
        <w:t xml:space="preserve">thus to identify a </w:t>
      </w:r>
      <w:r w:rsidRPr="00D55F3F">
        <w:t xml:space="preserve">reasonable cost </w:t>
      </w:r>
      <w:r w:rsidRPr="005F2DE1">
        <w:t xml:space="preserve">for </w:t>
      </w:r>
      <w:r w:rsidR="00995626">
        <w:t>teaching and scholarship</w:t>
      </w:r>
      <w:r w:rsidRPr="005F2DE1">
        <w:t xml:space="preserve"> which:</w:t>
      </w:r>
    </w:p>
    <w:p w14:paraId="652372B6" w14:textId="77777777" w:rsidR="0055398A" w:rsidRPr="00327AA3" w:rsidRDefault="006F4316" w:rsidP="0055398A">
      <w:pPr>
        <w:pStyle w:val="Bullet1"/>
        <w:numPr>
          <w:ilvl w:val="0"/>
          <w:numId w:val="15"/>
        </w:numPr>
      </w:pPr>
      <w:r>
        <w:t>r</w:t>
      </w:r>
      <w:r w:rsidR="0055398A" w:rsidRPr="005F2DE1">
        <w:t>eflects contextual factors faced by universities (such as size and location), which are embedded in the mission of a university</w:t>
      </w:r>
      <w:r>
        <w:t>;</w:t>
      </w:r>
    </w:p>
    <w:p w14:paraId="1BF4A469" w14:textId="77777777" w:rsidR="006432B0" w:rsidRPr="00B50F70" w:rsidRDefault="006F4316" w:rsidP="00CC6FFC">
      <w:pPr>
        <w:pStyle w:val="Bullet1"/>
        <w:numPr>
          <w:ilvl w:val="0"/>
          <w:numId w:val="15"/>
        </w:numPr>
      </w:pPr>
      <w:r>
        <w:t>i</w:t>
      </w:r>
      <w:r w:rsidR="006432B0" w:rsidRPr="00327AA3">
        <w:t xml:space="preserve">s sufficient to provide a </w:t>
      </w:r>
      <w:r w:rsidR="0055398A" w:rsidRPr="00520AA3">
        <w:t>reasonable</w:t>
      </w:r>
      <w:r w:rsidR="006432B0" w:rsidRPr="00520AA3">
        <w:t xml:space="preserve">, contemporary, level of </w:t>
      </w:r>
      <w:r w:rsidR="006432B0" w:rsidRPr="00136129">
        <w:t xml:space="preserve">quality </w:t>
      </w:r>
      <w:r w:rsidR="006432B0" w:rsidRPr="00176B69">
        <w:t xml:space="preserve">in teaching and scholarship (as defined by government policy, including </w:t>
      </w:r>
      <w:r w:rsidR="006432B0" w:rsidRPr="007C07AD">
        <w:t>the Threshold Standards regulated by TEQSA</w:t>
      </w:r>
      <w:r w:rsidR="006432B0" w:rsidRPr="00B50F70">
        <w:t>)</w:t>
      </w:r>
      <w:r>
        <w:t>; and</w:t>
      </w:r>
    </w:p>
    <w:p w14:paraId="13540007" w14:textId="77777777" w:rsidR="006432B0" w:rsidRPr="00F75A34" w:rsidRDefault="006F4316" w:rsidP="00CC6FFC">
      <w:pPr>
        <w:pStyle w:val="Bullet1"/>
        <w:numPr>
          <w:ilvl w:val="0"/>
          <w:numId w:val="15"/>
        </w:numPr>
      </w:pPr>
      <w:r>
        <w:t>g</w:t>
      </w:r>
      <w:r w:rsidR="006432B0" w:rsidRPr="00176B69">
        <w:t xml:space="preserve">iven the varying strategic goals and missions of universities, reflects a level of </w:t>
      </w:r>
      <w:r w:rsidR="006432B0" w:rsidRPr="00136129">
        <w:t>efficiency</w:t>
      </w:r>
      <w:r w:rsidR="006432B0" w:rsidRPr="00D579FE">
        <w:rPr>
          <w:color w:val="002060"/>
        </w:rPr>
        <w:t xml:space="preserve"> </w:t>
      </w:r>
      <w:r w:rsidR="006432B0" w:rsidRPr="00F75A34">
        <w:t>in achieving benchmark quality standards.</w:t>
      </w:r>
    </w:p>
    <w:p w14:paraId="1891C2A5" w14:textId="7FC38F92" w:rsidR="006432B0" w:rsidRPr="001578D1" w:rsidRDefault="006432B0" w:rsidP="006432B0">
      <w:pPr>
        <w:pStyle w:val="BodyText"/>
      </w:pPr>
      <w:r>
        <w:t xml:space="preserve">This goal </w:t>
      </w:r>
      <w:r w:rsidRPr="005F2DE1">
        <w:t xml:space="preserve">recognises that </w:t>
      </w:r>
      <w:r w:rsidRPr="00327AA3">
        <w:rPr>
          <w:rStyle w:val="Boldword"/>
          <w:b w:val="0"/>
          <w:color w:val="auto"/>
        </w:rPr>
        <w:t xml:space="preserve">an appropriate measure of </w:t>
      </w:r>
      <w:r w:rsidR="0055398A" w:rsidRPr="00327AA3">
        <w:rPr>
          <w:rStyle w:val="Boldword"/>
          <w:b w:val="0"/>
          <w:color w:val="auto"/>
        </w:rPr>
        <w:t xml:space="preserve">reasonable </w:t>
      </w:r>
      <w:r w:rsidRPr="00520AA3">
        <w:rPr>
          <w:rStyle w:val="Boldword"/>
          <w:b w:val="0"/>
          <w:color w:val="auto"/>
        </w:rPr>
        <w:t xml:space="preserve">cost </w:t>
      </w:r>
      <w:r w:rsidR="009A5E9A">
        <w:rPr>
          <w:rStyle w:val="Boldword"/>
          <w:b w:val="0"/>
          <w:color w:val="auto"/>
        </w:rPr>
        <w:t>allows for</w:t>
      </w:r>
      <w:r w:rsidRPr="00520AA3">
        <w:rPr>
          <w:rStyle w:val="Boldword"/>
          <w:b w:val="0"/>
          <w:color w:val="auto"/>
        </w:rPr>
        <w:t xml:space="preserve"> the contextual characteristics and strategies that can be expected to </w:t>
      </w:r>
      <w:r w:rsidRPr="008A079E">
        <w:rPr>
          <w:rStyle w:val="Boldword"/>
          <w:b w:val="0"/>
          <w:color w:val="auto"/>
        </w:rPr>
        <w:t>vary across institutions</w:t>
      </w:r>
      <w:r w:rsidR="0055398A" w:rsidRPr="004E7CC3">
        <w:rPr>
          <w:rStyle w:val="Boldword"/>
          <w:b w:val="0"/>
          <w:color w:val="auto"/>
        </w:rPr>
        <w:t>.</w:t>
      </w:r>
      <w:r w:rsidRPr="001578D1">
        <w:t xml:space="preserve"> </w:t>
      </w:r>
      <w:r w:rsidR="0055398A" w:rsidRPr="001578D1">
        <w:t xml:space="preserve">As such, an appropriate measure of cost relies on comparisons across institutions to </w:t>
      </w:r>
      <w:r w:rsidR="0055398A" w:rsidRPr="001578D1">
        <w:lastRenderedPageBreak/>
        <w:t>determine relative costs, and assesses these costs on a common or universal basis, rather than an institution-specific basis</w:t>
      </w:r>
      <w:r w:rsidRPr="001578D1">
        <w:t>.</w:t>
      </w:r>
      <w:r w:rsidRPr="001578D1">
        <w:rPr>
          <w:rStyle w:val="FootnoteReference"/>
        </w:rPr>
        <w:footnoteReference w:id="14"/>
      </w:r>
    </w:p>
    <w:p w14:paraId="2AE4ECF7" w14:textId="6B1278C0" w:rsidR="006432B0" w:rsidRDefault="006432B0" w:rsidP="006432B0">
      <w:pPr>
        <w:pStyle w:val="BodyText"/>
      </w:pPr>
      <w:r w:rsidRPr="001578D1">
        <w:t xml:space="preserve">Importantly, this universal basis of cost comparison necessarily captures a </w:t>
      </w:r>
      <w:r w:rsidRPr="001578D1">
        <w:rPr>
          <w:rStyle w:val="Boldword"/>
          <w:b w:val="0"/>
          <w:color w:val="auto"/>
        </w:rPr>
        <w:t>benchmark level of quality</w:t>
      </w:r>
      <w:r w:rsidRPr="001578D1">
        <w:t xml:space="preserve"> for </w:t>
      </w:r>
      <w:r w:rsidR="00995626">
        <w:t>teaching and scholarship</w:t>
      </w:r>
      <w:r w:rsidRPr="001578D1">
        <w:t xml:space="preserve"> and research activities, with reference to the </w:t>
      </w:r>
      <w:r w:rsidRPr="001578D1">
        <w:rPr>
          <w:rStyle w:val="Boldword"/>
          <w:b w:val="0"/>
          <w:color w:val="auto"/>
        </w:rPr>
        <w:t>intended</w:t>
      </w:r>
      <w:r w:rsidRPr="001578D1">
        <w:t xml:space="preserve"> </w:t>
      </w:r>
      <w:r w:rsidRPr="001578D1">
        <w:rPr>
          <w:rStyle w:val="Boldword"/>
          <w:b w:val="0"/>
          <w:color w:val="auto"/>
        </w:rPr>
        <w:t>outcomes of public funding</w:t>
      </w:r>
      <w:r w:rsidRPr="001578D1">
        <w:t xml:space="preserve"> towards </w:t>
      </w:r>
      <w:r w:rsidR="00995626">
        <w:t>teaching and scholarship</w:t>
      </w:r>
      <w:r>
        <w:t xml:space="preserve"> activities; while simultaneously recognising that variations in institutional strategies and objectives are inherent to a system which recognises universities as autonomous institutions.</w:t>
      </w:r>
      <w:r>
        <w:rPr>
          <w:rStyle w:val="FootnoteReference"/>
        </w:rPr>
        <w:footnoteReference w:id="15"/>
      </w:r>
      <w:r w:rsidRPr="006A1318">
        <w:t xml:space="preserve"> </w:t>
      </w:r>
    </w:p>
    <w:p w14:paraId="2B637BF9" w14:textId="3EAF44A1" w:rsidR="006432B0" w:rsidRPr="003D3C23" w:rsidRDefault="006432B0" w:rsidP="006432B0">
      <w:pPr>
        <w:pStyle w:val="BodyText"/>
      </w:pPr>
      <w:r>
        <w:t xml:space="preserve">What is meant by ‘a benchmark level of quality’ is difficult to specify.  Ideally, a typical level of teaching quality would be specified with reference to specific longer term graduate outcomes, recognising that universities may seek to achieve this in different ways (including through different combinations of inputs). Such a benchmark would necessarily ensure that reasonable costs are driven by a clear notion of </w:t>
      </w:r>
      <w:r w:rsidR="00995626">
        <w:t>teaching and scholarship</w:t>
      </w:r>
      <w:r>
        <w:t xml:space="preserve"> outcomes, and the costs associated with achieving these, rather than incentives created by current funding levels which centre on historically defined input-based notions of quality. </w:t>
      </w:r>
    </w:p>
    <w:p w14:paraId="2297DACC" w14:textId="77777777" w:rsidR="006432B0" w:rsidRDefault="006432B0" w:rsidP="00FC6060">
      <w:pPr>
        <w:pStyle w:val="Heading2"/>
        <w:tabs>
          <w:tab w:val="clear" w:pos="709"/>
        </w:tabs>
        <w:ind w:left="851" w:hanging="851"/>
      </w:pPr>
      <w:bookmarkStart w:id="264" w:name="_Toc465837282"/>
      <w:bookmarkStart w:id="265" w:name="_Toc466036311"/>
      <w:bookmarkStart w:id="266" w:name="_Toc469927326"/>
      <w:r>
        <w:t>An a</w:t>
      </w:r>
      <w:r w:rsidRPr="00A65BA3">
        <w:t xml:space="preserve">nalytical </w:t>
      </w:r>
      <w:bookmarkEnd w:id="264"/>
      <w:bookmarkEnd w:id="265"/>
      <w:r>
        <w:t>framework for informing an estimate</w:t>
      </w:r>
      <w:r w:rsidR="00CB50F2">
        <w:t xml:space="preserve"> of</w:t>
      </w:r>
      <w:r>
        <w:t xml:space="preserve"> reasonable costs</w:t>
      </w:r>
      <w:bookmarkEnd w:id="266"/>
    </w:p>
    <w:p w14:paraId="36B187B2" w14:textId="64E89719" w:rsidR="006432B0" w:rsidRDefault="006432B0" w:rsidP="006432B0">
      <w:pPr>
        <w:pStyle w:val="BodyText"/>
      </w:pPr>
      <w:r>
        <w:t xml:space="preserve">This section outlines how empirical analysis can be used to provide evidence on the reasonable costs of </w:t>
      </w:r>
      <w:r w:rsidR="00995626">
        <w:t>teaching and scholarship</w:t>
      </w:r>
      <w:r>
        <w:t xml:space="preserve"> in Australian universities, based on the definition of reasonable cost articulated in </w:t>
      </w:r>
      <w:r w:rsidR="005E5B0C">
        <w:t>Chapter</w:t>
      </w:r>
      <w:r>
        <w:t xml:space="preserve"> 4.2 above.</w:t>
      </w:r>
    </w:p>
    <w:p w14:paraId="53AF8B5C" w14:textId="37BD2462" w:rsidR="001C73F1" w:rsidRDefault="00A30A4A" w:rsidP="00FD6091">
      <w:pPr>
        <w:pStyle w:val="BodyText"/>
      </w:pPr>
      <w:r>
        <w:t xml:space="preserve">In principle, there are two different approaches that can be </w:t>
      </w:r>
      <w:r w:rsidR="00610DBE">
        <w:t>used</w:t>
      </w:r>
      <w:r>
        <w:t xml:space="preserve"> to inform an estimate of reasonable costs. The first involves specifying a benchmark level of </w:t>
      </w:r>
      <w:r w:rsidR="00995626">
        <w:t>teaching and scholarship</w:t>
      </w:r>
      <w:r>
        <w:t xml:space="preserve"> quality and estimating the efficient costs for meeting this benchmark. </w:t>
      </w:r>
      <w:r w:rsidR="00610DBE">
        <w:t xml:space="preserve">An advantage of this approach is that it can be applied empirically in a way that recognises </w:t>
      </w:r>
      <w:r w:rsidR="001C73F1">
        <w:t xml:space="preserve">that </w:t>
      </w:r>
      <w:r>
        <w:t xml:space="preserve">universities may allocate resources in different ways to achieve specific </w:t>
      </w:r>
      <w:r w:rsidR="00995626">
        <w:t>teaching and scholarship</w:t>
      </w:r>
      <w:r>
        <w:t xml:space="preserve"> outcomes. </w:t>
      </w:r>
      <w:r w:rsidR="00610DBE">
        <w:t xml:space="preserve">However, </w:t>
      </w:r>
      <w:r w:rsidR="00FD6091">
        <w:t xml:space="preserve">a challenge in applying this approach in the current context is that it is difficult to find </w:t>
      </w:r>
      <w:r w:rsidR="001C73F1">
        <w:t xml:space="preserve">robust measures of </w:t>
      </w:r>
      <w:r w:rsidR="00995626">
        <w:t>teaching and scholarship</w:t>
      </w:r>
      <w:r w:rsidR="001C73F1">
        <w:t xml:space="preserve"> </w:t>
      </w:r>
      <w:r w:rsidR="00E44463">
        <w:t xml:space="preserve">quality and </w:t>
      </w:r>
      <w:r w:rsidR="001C73F1">
        <w:t xml:space="preserve">outcomes </w:t>
      </w:r>
      <w:r w:rsidR="00FD6091">
        <w:t xml:space="preserve">at a field of education level. </w:t>
      </w:r>
      <w:r w:rsidR="001C73F1">
        <w:t xml:space="preserve">Such outcomes should </w:t>
      </w:r>
      <w:r w:rsidR="00CF5E3F">
        <w:t xml:space="preserve">also </w:t>
      </w:r>
      <w:r w:rsidR="001C73F1">
        <w:t>ideally be adjusted for differences in student intake</w:t>
      </w:r>
      <w:r w:rsidR="00E44463">
        <w:t xml:space="preserve"> </w:t>
      </w:r>
      <w:r w:rsidR="00E44463" w:rsidRPr="00E44463">
        <w:t>(such that the quality of the education can be distinguished from the quality of the students)</w:t>
      </w:r>
      <w:r w:rsidR="001C73F1">
        <w:t xml:space="preserve">. </w:t>
      </w:r>
    </w:p>
    <w:p w14:paraId="10821E25" w14:textId="77777777" w:rsidR="00CF5E3F" w:rsidRDefault="00FD6091" w:rsidP="006432B0">
      <w:pPr>
        <w:pStyle w:val="BodyText"/>
      </w:pPr>
      <w:r>
        <w:t xml:space="preserve">An alternative approach is to identify </w:t>
      </w:r>
      <w:r w:rsidR="001C73F1">
        <w:t xml:space="preserve">the </w:t>
      </w:r>
      <w:r w:rsidR="00CF5E3F">
        <w:t xml:space="preserve">main </w:t>
      </w:r>
      <w:r w:rsidR="00653DE6">
        <w:t>cost drivers</w:t>
      </w:r>
      <w:r w:rsidR="001C73F1">
        <w:t xml:space="preserve"> that explain differences in cost</w:t>
      </w:r>
      <w:r w:rsidR="00CF5E3F">
        <w:t xml:space="preserve"> across universities and fields of education. </w:t>
      </w:r>
      <w:r>
        <w:t>These c</w:t>
      </w:r>
      <w:r w:rsidR="00CF5E3F">
        <w:t>ost drivers include</w:t>
      </w:r>
      <w:r w:rsidR="00653DE6">
        <w:t xml:space="preserve">:  </w:t>
      </w:r>
    </w:p>
    <w:p w14:paraId="6ACB1D1F" w14:textId="77777777" w:rsidR="00CF5E3F" w:rsidRDefault="00CF5E3F" w:rsidP="00D55F3F">
      <w:pPr>
        <w:pStyle w:val="Bullet1"/>
      </w:pPr>
      <w:r>
        <w:t xml:space="preserve">the </w:t>
      </w:r>
      <w:r w:rsidR="00653DE6">
        <w:t>choice of inputs such as staff to student ratios</w:t>
      </w:r>
      <w:r w:rsidR="00A50BF9">
        <w:t>;</w:t>
      </w:r>
      <w:r w:rsidR="00653DE6">
        <w:rPr>
          <w:rStyle w:val="FootnoteReference"/>
        </w:rPr>
        <w:footnoteReference w:id="16"/>
      </w:r>
      <w:r w:rsidR="00653DE6">
        <w:t xml:space="preserve"> </w:t>
      </w:r>
    </w:p>
    <w:p w14:paraId="0D292A7F" w14:textId="77777777" w:rsidR="00CF5E3F" w:rsidRDefault="00653DE6" w:rsidP="00D55F3F">
      <w:pPr>
        <w:pStyle w:val="Bullet1"/>
      </w:pPr>
      <w:r>
        <w:lastRenderedPageBreak/>
        <w:t xml:space="preserve">the environment in which a university operates including student demographics, location and the way courses are delivered; and </w:t>
      </w:r>
    </w:p>
    <w:p w14:paraId="7F5003E7" w14:textId="6E29A0E3" w:rsidR="00FD6091" w:rsidRDefault="00FD6091" w:rsidP="00D55F3F">
      <w:pPr>
        <w:pStyle w:val="Bullet1"/>
      </w:pPr>
      <w:r>
        <w:t xml:space="preserve">indirect measures of </w:t>
      </w:r>
      <w:r w:rsidR="00995626">
        <w:t>teaching and scholarship</w:t>
      </w:r>
      <w:r>
        <w:t xml:space="preserve"> quality or</w:t>
      </w:r>
      <w:r w:rsidR="00653DE6">
        <w:t xml:space="preserve"> </w:t>
      </w:r>
      <w:r w:rsidR="00A50BF9">
        <w:t xml:space="preserve">other outputs </w:t>
      </w:r>
      <w:r w:rsidR="00653DE6">
        <w:t>such as research</w:t>
      </w:r>
      <w:r w:rsidR="00A50BF9">
        <w:t xml:space="preserve"> which may impact the cost of delivery</w:t>
      </w:r>
      <w:r w:rsidR="00653DE6">
        <w:t xml:space="preserve">.  </w:t>
      </w:r>
    </w:p>
    <w:p w14:paraId="3BB2B6D8" w14:textId="27D70023" w:rsidR="000018E0" w:rsidRDefault="00FD6091">
      <w:pPr>
        <w:pStyle w:val="BodyText"/>
      </w:pPr>
      <w:r>
        <w:t xml:space="preserve">This second approach seeks to measure the </w:t>
      </w:r>
      <w:r w:rsidR="00CF5E3F">
        <w:t xml:space="preserve">relative impact of these cost drivers </w:t>
      </w:r>
      <w:r>
        <w:t xml:space="preserve">and thus develop an estimate of the </w:t>
      </w:r>
      <w:r w:rsidR="00CF5E3F">
        <w:t xml:space="preserve">reasonable costs of </w:t>
      </w:r>
      <w:r w:rsidR="00995626">
        <w:t>teaching and scholarship</w:t>
      </w:r>
      <w:r w:rsidR="00CF5E3F">
        <w:t xml:space="preserve"> for a university with typical </w:t>
      </w:r>
      <w:r w:rsidR="00E93F56">
        <w:t xml:space="preserve">(or specified) </w:t>
      </w:r>
      <w:r w:rsidR="00CF5E3F">
        <w:t xml:space="preserve">levels of each of </w:t>
      </w:r>
      <w:r w:rsidR="00E93F56">
        <w:t xml:space="preserve">these cost drivers. </w:t>
      </w:r>
      <w:r>
        <w:t xml:space="preserve">While this second approach can incorporate different levels of efficiency, unlike the first approach it does not directly estimate the minimum cost required to </w:t>
      </w:r>
      <w:r w:rsidR="00E93F56">
        <w:t xml:space="preserve">achieve a benchmark level of </w:t>
      </w:r>
      <w:r w:rsidR="00995626">
        <w:t>teaching and scholarship</w:t>
      </w:r>
      <w:r w:rsidR="00E93F56">
        <w:t xml:space="preserve"> quality. </w:t>
      </w:r>
      <w:r w:rsidR="000018E0">
        <w:t>In particular, the l</w:t>
      </w:r>
      <w:r w:rsidR="00E93F56">
        <w:t xml:space="preserve">evel of inputs (or cost drivers) required to achieve benchmark levels of </w:t>
      </w:r>
      <w:r w:rsidR="00995626">
        <w:t>teaching and scholarship</w:t>
      </w:r>
      <w:r w:rsidR="00E93F56">
        <w:t xml:space="preserve"> quality may differ from </w:t>
      </w:r>
      <w:r w:rsidR="00A50BF9">
        <w:t xml:space="preserve">the typical levels of these cost drivers in Australian universities. </w:t>
      </w:r>
    </w:p>
    <w:p w14:paraId="521D551C" w14:textId="21050AB9" w:rsidR="006432B0" w:rsidRDefault="00A50BF9" w:rsidP="006432B0">
      <w:pPr>
        <w:pStyle w:val="BodyText"/>
      </w:pPr>
      <w:r>
        <w:t>I</w:t>
      </w:r>
      <w:r w:rsidR="00E93F56">
        <w:t xml:space="preserve">n the absence of robust measures of </w:t>
      </w:r>
      <w:r w:rsidR="00995626">
        <w:t>teaching and scholarship</w:t>
      </w:r>
      <w:r w:rsidR="00E93F56">
        <w:t xml:space="preserve"> quality</w:t>
      </w:r>
      <w:r w:rsidR="003450DB">
        <w:t xml:space="preserve"> and/or outcomes</w:t>
      </w:r>
      <w:r w:rsidR="00E93F56">
        <w:t>, the second approach is used in this report</w:t>
      </w:r>
      <w:r>
        <w:t xml:space="preserve"> and seeks to provide an estimate of reasonable costs for a university with typical characteristics in a given field of education. This approach</w:t>
      </w:r>
      <w:r w:rsidR="00E93F56">
        <w:t xml:space="preserve"> recognis</w:t>
      </w:r>
      <w:r w:rsidR="003450DB">
        <w:t>es</w:t>
      </w:r>
      <w:r w:rsidR="00E93F56">
        <w:t xml:space="preserve"> that </w:t>
      </w:r>
      <w:r w:rsidR="003C1F4E">
        <w:t xml:space="preserve">the estimate of </w:t>
      </w:r>
      <w:r>
        <w:t xml:space="preserve">reasonable costs will vary depending on </w:t>
      </w:r>
      <w:r w:rsidR="003C1F4E">
        <w:t xml:space="preserve">what </w:t>
      </w:r>
      <w:r w:rsidR="00055D80">
        <w:t>policymakers</w:t>
      </w:r>
      <w:r w:rsidR="003C1F4E">
        <w:t xml:space="preserve"> assess to be an appropriate level of investment in specific cost drivers such as staff to student ratios. </w:t>
      </w:r>
      <w:r w:rsidR="006432B0">
        <w:t xml:space="preserve">To develop a robust assessment of the reasonable costs of </w:t>
      </w:r>
      <w:r w:rsidR="00995626">
        <w:t>teaching and scholarship</w:t>
      </w:r>
      <w:r w:rsidR="006432B0">
        <w:t xml:space="preserve"> it is important </w:t>
      </w:r>
      <w:r w:rsidR="006432B0" w:rsidRPr="00B50F70">
        <w:t>to</w:t>
      </w:r>
      <w:r w:rsidR="006432B0">
        <w:t>,</w:t>
      </w:r>
      <w:r w:rsidR="006432B0" w:rsidRPr="00B50F70">
        <w:t xml:space="preserve"> first</w:t>
      </w:r>
      <w:r w:rsidR="006432B0">
        <w:t>,</w:t>
      </w:r>
      <w:r w:rsidR="006432B0" w:rsidRPr="00B50F70">
        <w:t xml:space="preserve"> empirically </w:t>
      </w:r>
      <w:r w:rsidR="006432B0" w:rsidRPr="00136129">
        <w:t xml:space="preserve">identify the key cost drivers (both contextual and strategic) that impact </w:t>
      </w:r>
      <w:r w:rsidR="00995626">
        <w:t>teaching and scholarship</w:t>
      </w:r>
      <w:r w:rsidR="006432B0" w:rsidRPr="00136129">
        <w:t xml:space="preserve"> costs</w:t>
      </w:r>
      <w:r w:rsidR="006432B0" w:rsidRPr="00B50F70">
        <w:t xml:space="preserve"> and the relative impact of each cost driver on </w:t>
      </w:r>
      <w:r w:rsidR="00995626">
        <w:t>teaching and scholarship</w:t>
      </w:r>
      <w:r w:rsidR="006432B0" w:rsidRPr="00B50F70">
        <w:t xml:space="preserve"> costs</w:t>
      </w:r>
      <w:r w:rsidR="006432B0">
        <w:t>;</w:t>
      </w:r>
      <w:r w:rsidR="006432B0" w:rsidRPr="00B50F70">
        <w:t xml:space="preserve"> and</w:t>
      </w:r>
      <w:r w:rsidR="006432B0">
        <w:t>,</w:t>
      </w:r>
      <w:r w:rsidR="006432B0" w:rsidRPr="00B50F70">
        <w:t xml:space="preserve"> second</w:t>
      </w:r>
      <w:r w:rsidR="006432B0">
        <w:t>,</w:t>
      </w:r>
      <w:r w:rsidR="006432B0" w:rsidRPr="00B50F70">
        <w:t xml:space="preserve"> </w:t>
      </w:r>
      <w:r w:rsidR="006432B0" w:rsidRPr="00136129">
        <w:t xml:space="preserve">use this understanding of cost drivers to develop an estimate of what the reasonable cost of </w:t>
      </w:r>
      <w:r w:rsidR="00995626">
        <w:t>teaching and scholarship</w:t>
      </w:r>
      <w:r w:rsidR="006432B0" w:rsidRPr="00136129">
        <w:t xml:space="preserve"> might be based on</w:t>
      </w:r>
      <w:r w:rsidR="006432B0" w:rsidRPr="00B50F70">
        <w:t>.</w:t>
      </w:r>
      <w:r w:rsidR="006432B0">
        <w:t xml:space="preserve"> </w:t>
      </w:r>
    </w:p>
    <w:p w14:paraId="4A56E871" w14:textId="59791F77" w:rsidR="006432B0" w:rsidRDefault="006432B0" w:rsidP="006432B0">
      <w:pPr>
        <w:pStyle w:val="Heading3"/>
      </w:pPr>
      <w:r>
        <w:t xml:space="preserve">Identifying the key cost drivers of </w:t>
      </w:r>
      <w:r w:rsidR="00995626">
        <w:t>teaching and scholarship</w:t>
      </w:r>
      <w:r>
        <w:t xml:space="preserve"> </w:t>
      </w:r>
    </w:p>
    <w:p w14:paraId="032005A8" w14:textId="77777777" w:rsidR="006432B0" w:rsidRPr="00FA2549" w:rsidRDefault="006432B0" w:rsidP="006432B0">
      <w:pPr>
        <w:pStyle w:val="BodyText"/>
      </w:pPr>
      <w:r>
        <w:t>In principle, there are a number of reasons w</w:t>
      </w:r>
      <w:r w:rsidR="005E5B0C">
        <w:t>h</w:t>
      </w:r>
      <w:r>
        <w:t>y aggregate costs differ between universities. For the same level of activity</w:t>
      </w:r>
      <w:r w:rsidR="005E5B0C">
        <w:t>,</w:t>
      </w:r>
      <w:r>
        <w:t xml:space="preserve"> universities may:</w:t>
      </w:r>
    </w:p>
    <w:p w14:paraId="7E859FE5" w14:textId="77777777" w:rsidR="006432B0" w:rsidRDefault="0049715A" w:rsidP="006432B0">
      <w:pPr>
        <w:pStyle w:val="Bullet1"/>
      </w:pPr>
      <w:r>
        <w:t>f</w:t>
      </w:r>
      <w:r w:rsidR="006432B0">
        <w:t>ace different prices due to different input markets; for example, the price of utilities</w:t>
      </w:r>
      <w:r w:rsidR="006432B0" w:rsidRPr="0056290C">
        <w:t xml:space="preserve"> </w:t>
      </w:r>
      <w:r w:rsidR="006432B0">
        <w:t>may differ or wages of staff may vary</w:t>
      </w:r>
      <w:r>
        <w:t>;</w:t>
      </w:r>
    </w:p>
    <w:p w14:paraId="6754184A" w14:textId="77777777" w:rsidR="006432B0" w:rsidRDefault="0049715A" w:rsidP="006432B0">
      <w:pPr>
        <w:pStyle w:val="Bullet1"/>
      </w:pPr>
      <w:r>
        <w:t>h</w:t>
      </w:r>
      <w:r w:rsidR="006432B0">
        <w:t>ave different levels of efficiency in delivering teaching and scholarship programs</w:t>
      </w:r>
      <w:r>
        <w:t>;</w:t>
      </w:r>
    </w:p>
    <w:p w14:paraId="2034C8A5" w14:textId="77777777" w:rsidR="006432B0" w:rsidRDefault="0049715A" w:rsidP="006432B0">
      <w:pPr>
        <w:pStyle w:val="Bullet1"/>
      </w:pPr>
      <w:r>
        <w:t>c</w:t>
      </w:r>
      <w:r w:rsidR="006432B0">
        <w:t>hoose to provide different levels of the quality of teaching and scholarship</w:t>
      </w:r>
      <w:r>
        <w:t>;</w:t>
      </w:r>
    </w:p>
    <w:p w14:paraId="24021BCA" w14:textId="77777777" w:rsidR="006432B0" w:rsidRDefault="0049715A" w:rsidP="006432B0">
      <w:pPr>
        <w:pStyle w:val="Bullet1"/>
      </w:pPr>
      <w:r>
        <w:t>c</w:t>
      </w:r>
      <w:r w:rsidR="006432B0">
        <w:t>hoose to make other strategic decisions not related to teaching and scholarship quality</w:t>
      </w:r>
      <w:r>
        <w:t>;</w:t>
      </w:r>
      <w:r w:rsidR="006432B0">
        <w:t xml:space="preserve"> </w:t>
      </w:r>
      <w:r>
        <w:t>and</w:t>
      </w:r>
    </w:p>
    <w:p w14:paraId="7FF0D08C" w14:textId="77777777" w:rsidR="006432B0" w:rsidRDefault="0049715A" w:rsidP="006432B0">
      <w:pPr>
        <w:pStyle w:val="Bullet1"/>
      </w:pPr>
      <w:r>
        <w:t>h</w:t>
      </w:r>
      <w:r w:rsidR="006432B0">
        <w:t>ave other non-teaching cost obligations, such as scholarships, which are funded through teaching revenue.</w:t>
      </w:r>
    </w:p>
    <w:p w14:paraId="547D8597" w14:textId="555E3FC9" w:rsidR="006432B0" w:rsidRDefault="00204251" w:rsidP="006432B0">
      <w:pPr>
        <w:pStyle w:val="BodyText"/>
      </w:pPr>
      <w:r>
        <w:fldChar w:fldCharType="begin"/>
      </w:r>
      <w:r>
        <w:instrText xml:space="preserve"> REF _Ref470087200 \r \h </w:instrText>
      </w:r>
      <w:r>
        <w:fldChar w:fldCharType="separate"/>
      </w:r>
      <w:r w:rsidR="00595C6E">
        <w:t>Table 4.1</w:t>
      </w:r>
      <w:r>
        <w:fldChar w:fldCharType="end"/>
      </w:r>
      <w:r w:rsidR="006432B0">
        <w:t xml:space="preserve"> presents a</w:t>
      </w:r>
      <w:r w:rsidR="006432B0" w:rsidRPr="00567FE7">
        <w:t xml:space="preserve"> list of drivers </w:t>
      </w:r>
      <w:r w:rsidR="006432B0">
        <w:t xml:space="preserve">that could potentially affect the cost of </w:t>
      </w:r>
      <w:r w:rsidR="00995626">
        <w:t>teaching and scholarship</w:t>
      </w:r>
      <w:r w:rsidR="006432B0">
        <w:t xml:space="preserve">, </w:t>
      </w:r>
      <w:r w:rsidR="006432B0" w:rsidRPr="00567FE7">
        <w:t xml:space="preserve">and the reasons they </w:t>
      </w:r>
      <w:r w:rsidR="006432B0">
        <w:t>have been considered</w:t>
      </w:r>
      <w:r w:rsidR="006432B0" w:rsidRPr="00567FE7">
        <w:t xml:space="preserve">. </w:t>
      </w:r>
      <w:r w:rsidR="006432B0">
        <w:t>Costs a</w:t>
      </w:r>
      <w:r>
        <w:t xml:space="preserve">re measured as cost per EFTSL. </w:t>
      </w:r>
    </w:p>
    <w:p w14:paraId="55C03EF5" w14:textId="77777777" w:rsidR="006B32D3" w:rsidRDefault="006432B0" w:rsidP="006B32D3">
      <w:pPr>
        <w:pStyle w:val="BodyText"/>
      </w:pPr>
      <w:r>
        <w:t xml:space="preserve">Note that variables that accurately reflect these cost drivers are not always readily available in the higher education context. For example, the Student Experience Survey provides variables that seek to capture the outcomes of investments by universities in </w:t>
      </w:r>
      <w:r w:rsidR="00995626">
        <w:t>teaching and scholarship</w:t>
      </w:r>
      <w:r>
        <w:t xml:space="preserve"> quality (outside staff hiring decisions).  But the available variables are likely to </w:t>
      </w:r>
      <w:r>
        <w:lastRenderedPageBreak/>
        <w:t xml:space="preserve">be relatively ‘noisy’ indicators of </w:t>
      </w:r>
      <w:r w:rsidR="00995626">
        <w:t>teaching and scholarship</w:t>
      </w:r>
      <w:r>
        <w:t xml:space="preserve"> quality. This highlights the importance of undertaking a longer term data gathering process to better understand university investment in </w:t>
      </w:r>
      <w:r w:rsidR="00995626">
        <w:t>teaching and scholarship</w:t>
      </w:r>
      <w:r>
        <w:t xml:space="preserve"> and the subsequent impact on student outcomes. </w:t>
      </w:r>
      <w:bookmarkStart w:id="267" w:name="_Ref297118354"/>
      <w:bookmarkStart w:id="268" w:name="_Toc297120213"/>
      <w:bookmarkStart w:id="269" w:name="_Toc300902920"/>
      <w:bookmarkStart w:id="270" w:name="_Toc469927394"/>
    </w:p>
    <w:p w14:paraId="5B3F680A" w14:textId="4B3C1831" w:rsidR="006432B0" w:rsidRPr="0037275C" w:rsidRDefault="006432B0" w:rsidP="006B32D3">
      <w:pPr>
        <w:pStyle w:val="CaptionTable"/>
      </w:pPr>
      <w:r w:rsidRPr="0037275C">
        <w:t xml:space="preserve"> </w:t>
      </w:r>
      <w:bookmarkStart w:id="271" w:name="_Ref470087200"/>
      <w:r w:rsidRPr="0037275C">
        <w:t>Potential cost drivers</w:t>
      </w:r>
      <w:bookmarkEnd w:id="267"/>
      <w:bookmarkEnd w:id="268"/>
      <w:bookmarkEnd w:id="269"/>
      <w:bookmarkEnd w:id="270"/>
      <w:bookmarkEnd w:id="271"/>
    </w:p>
    <w:tbl>
      <w:tblPr>
        <w:tblW w:w="8609" w:type="dxa"/>
        <w:jc w:val="center"/>
        <w:tblBorders>
          <w:bottom w:val="single" w:sz="12" w:space="0" w:color="002776"/>
        </w:tblBorders>
        <w:tblLayout w:type="fixed"/>
        <w:tblLook w:val="04A0" w:firstRow="1" w:lastRow="0" w:firstColumn="1" w:lastColumn="0" w:noHBand="0" w:noVBand="1"/>
      </w:tblPr>
      <w:tblGrid>
        <w:gridCol w:w="2235"/>
        <w:gridCol w:w="6374"/>
      </w:tblGrid>
      <w:tr w:rsidR="006432B0" w:rsidRPr="0037275C" w14:paraId="592361A4" w14:textId="77777777" w:rsidTr="006B32D3">
        <w:trPr>
          <w:cantSplit/>
          <w:jc w:val="center"/>
        </w:trPr>
        <w:tc>
          <w:tcPr>
            <w:tcW w:w="2235" w:type="dxa"/>
            <w:tcBorders>
              <w:top w:val="single" w:sz="12" w:space="0" w:color="002776"/>
              <w:left w:val="nil"/>
              <w:bottom w:val="single" w:sz="8" w:space="0" w:color="002776"/>
              <w:right w:val="nil"/>
              <w:tl2br w:val="nil"/>
              <w:tr2bl w:val="nil"/>
            </w:tcBorders>
          </w:tcPr>
          <w:p w14:paraId="2A873D0C" w14:textId="77777777" w:rsidR="006432B0" w:rsidRPr="0037275C" w:rsidRDefault="006432B0" w:rsidP="00BE569E">
            <w:pPr>
              <w:pStyle w:val="TableHeadingCentre"/>
              <w:jc w:val="left"/>
            </w:pPr>
            <w:r w:rsidRPr="0037275C">
              <w:t>Cost driver</w:t>
            </w:r>
          </w:p>
        </w:tc>
        <w:tc>
          <w:tcPr>
            <w:tcW w:w="6374" w:type="dxa"/>
            <w:tcBorders>
              <w:top w:val="single" w:sz="12" w:space="0" w:color="002776"/>
              <w:left w:val="nil"/>
              <w:bottom w:val="single" w:sz="8" w:space="0" w:color="002776"/>
              <w:right w:val="nil"/>
              <w:tl2br w:val="nil"/>
              <w:tr2bl w:val="nil"/>
            </w:tcBorders>
          </w:tcPr>
          <w:p w14:paraId="213DC10A" w14:textId="77777777" w:rsidR="006432B0" w:rsidRPr="0037275C" w:rsidRDefault="006432B0" w:rsidP="00BE569E">
            <w:pPr>
              <w:pStyle w:val="TableHeadingCentre"/>
            </w:pPr>
            <w:r w:rsidRPr="0037275C">
              <w:t>Expected relationship to costs per EFTSL</w:t>
            </w:r>
          </w:p>
        </w:tc>
      </w:tr>
      <w:tr w:rsidR="006432B0" w:rsidRPr="0037275C" w14:paraId="0548FB99" w14:textId="77777777" w:rsidTr="006B32D3">
        <w:trPr>
          <w:cantSplit/>
          <w:jc w:val="center"/>
        </w:trPr>
        <w:tc>
          <w:tcPr>
            <w:tcW w:w="2235" w:type="dxa"/>
          </w:tcPr>
          <w:p w14:paraId="3D65B595" w14:textId="77777777" w:rsidR="006432B0" w:rsidRPr="0037275C" w:rsidRDefault="006432B0" w:rsidP="00BE569E">
            <w:pPr>
              <w:pStyle w:val="TabletextLeft"/>
            </w:pPr>
            <w:r w:rsidRPr="0037275C">
              <w:t>Scale factors</w:t>
            </w:r>
          </w:p>
        </w:tc>
        <w:tc>
          <w:tcPr>
            <w:tcW w:w="6374" w:type="dxa"/>
          </w:tcPr>
          <w:p w14:paraId="01F3E947" w14:textId="77777777" w:rsidR="006432B0" w:rsidRPr="0037275C" w:rsidRDefault="006432B0" w:rsidP="004E467C">
            <w:pPr>
              <w:pStyle w:val="TabletextLeft"/>
              <w:jc w:val="both"/>
            </w:pPr>
            <w:r w:rsidRPr="0037275C">
              <w:t xml:space="preserve">Higher student numbers and/or larger </w:t>
            </w:r>
            <w:r w:rsidR="0055398A">
              <w:t>campus</w:t>
            </w:r>
            <w:r w:rsidR="0055398A" w:rsidRPr="0037275C">
              <w:t xml:space="preserve"> </w:t>
            </w:r>
            <w:r w:rsidRPr="0037275C">
              <w:t>sizes are expected to deliver scale efficiencies, reducing average costs.</w:t>
            </w:r>
          </w:p>
        </w:tc>
      </w:tr>
      <w:tr w:rsidR="006432B0" w:rsidRPr="0037275C" w14:paraId="463E0F3E" w14:textId="77777777" w:rsidTr="006B32D3">
        <w:trPr>
          <w:cantSplit/>
          <w:jc w:val="center"/>
        </w:trPr>
        <w:tc>
          <w:tcPr>
            <w:tcW w:w="2235" w:type="dxa"/>
          </w:tcPr>
          <w:p w14:paraId="5BE8D5E7" w14:textId="77777777" w:rsidR="006432B0" w:rsidRPr="0037275C" w:rsidRDefault="006432B0" w:rsidP="00BE569E">
            <w:pPr>
              <w:pStyle w:val="TabletextLeft"/>
            </w:pPr>
            <w:r w:rsidRPr="0037275C">
              <w:t>Student</w:t>
            </w:r>
            <w:r>
              <w:t xml:space="preserve"> characteristics </w:t>
            </w:r>
          </w:p>
        </w:tc>
        <w:tc>
          <w:tcPr>
            <w:tcW w:w="6374" w:type="dxa"/>
          </w:tcPr>
          <w:p w14:paraId="0E62EE08" w14:textId="77777777" w:rsidR="006432B0" w:rsidRPr="0037275C" w:rsidRDefault="006432B0" w:rsidP="00BE569E">
            <w:pPr>
              <w:pStyle w:val="TabletextLeft"/>
              <w:jc w:val="both"/>
            </w:pPr>
            <w:r w:rsidRPr="0037275C">
              <w:t>Average teaching costs are expected to rise as the proportion of (more expensive to teach) postgraduate students increases.</w:t>
            </w:r>
          </w:p>
          <w:p w14:paraId="04525B69" w14:textId="77777777" w:rsidR="006432B0" w:rsidRPr="0037275C" w:rsidRDefault="006432B0" w:rsidP="00BE569E">
            <w:pPr>
              <w:pStyle w:val="TabletextLeft"/>
              <w:jc w:val="both"/>
            </w:pPr>
            <w:r w:rsidRPr="0037275C">
              <w:t>A higher proportion of fee-paying students in a course may increase costs, through raised expectations for quality and by enabling higher education providers to spend more on delivery</w:t>
            </w:r>
            <w:r>
              <w:t>.</w:t>
            </w:r>
          </w:p>
          <w:p w14:paraId="66898EF4" w14:textId="77777777" w:rsidR="006432B0" w:rsidRPr="0037275C" w:rsidRDefault="006432B0" w:rsidP="00BE569E">
            <w:pPr>
              <w:pStyle w:val="TabletextLeft"/>
              <w:jc w:val="both"/>
            </w:pPr>
            <w:r w:rsidRPr="0037275C">
              <w:t xml:space="preserve">Students from disadvantaged or low socio-economic backgrounds </w:t>
            </w:r>
            <w:r>
              <w:t xml:space="preserve">may </w:t>
            </w:r>
            <w:r w:rsidRPr="0037275C">
              <w:t>entail additional support costs. Similarly, students in regional areas may on average come from lower socio-economic backgrounds.</w:t>
            </w:r>
          </w:p>
        </w:tc>
      </w:tr>
      <w:tr w:rsidR="006432B0" w:rsidRPr="0037275C" w14:paraId="58DE0DF2" w14:textId="77777777" w:rsidTr="006B32D3">
        <w:trPr>
          <w:cantSplit/>
          <w:jc w:val="center"/>
        </w:trPr>
        <w:tc>
          <w:tcPr>
            <w:tcW w:w="2235" w:type="dxa"/>
          </w:tcPr>
          <w:p w14:paraId="55DB86E1" w14:textId="77777777" w:rsidR="006432B0" w:rsidRPr="0037275C" w:rsidRDefault="006432B0" w:rsidP="00BE569E">
            <w:pPr>
              <w:pStyle w:val="TabletextLeft"/>
            </w:pPr>
            <w:r w:rsidRPr="0037275C">
              <w:t>Staffing</w:t>
            </w:r>
          </w:p>
        </w:tc>
        <w:tc>
          <w:tcPr>
            <w:tcW w:w="6374" w:type="dxa"/>
          </w:tcPr>
          <w:p w14:paraId="61D238E8" w14:textId="5CA39C0F" w:rsidR="006432B0" w:rsidRPr="0037275C" w:rsidRDefault="006432B0" w:rsidP="00BE569E">
            <w:pPr>
              <w:pStyle w:val="TabletextLeft"/>
              <w:jc w:val="both"/>
            </w:pPr>
            <w:r w:rsidRPr="0037275C">
              <w:t xml:space="preserve">Increased use of (cheaper) casual staff is expected to reduce average costs. A higher staff to student ratio is also likely to raise the costs of </w:t>
            </w:r>
            <w:r w:rsidR="00995626">
              <w:t>teaching and scholarship</w:t>
            </w:r>
            <w:r w:rsidRPr="0037275C">
              <w:t>.</w:t>
            </w:r>
          </w:p>
        </w:tc>
      </w:tr>
      <w:tr w:rsidR="006432B0" w:rsidRPr="0037275C" w14:paraId="6323E2AF" w14:textId="77777777" w:rsidTr="006B32D3">
        <w:trPr>
          <w:cantSplit/>
          <w:jc w:val="center"/>
        </w:trPr>
        <w:tc>
          <w:tcPr>
            <w:tcW w:w="2235" w:type="dxa"/>
          </w:tcPr>
          <w:p w14:paraId="59C9EBCF" w14:textId="77777777" w:rsidR="006432B0" w:rsidRPr="0037275C" w:rsidRDefault="006432B0" w:rsidP="00BE569E">
            <w:pPr>
              <w:pStyle w:val="TabletextLeft"/>
            </w:pPr>
            <w:r w:rsidRPr="0037275C">
              <w:t>Geography</w:t>
            </w:r>
          </w:p>
        </w:tc>
        <w:tc>
          <w:tcPr>
            <w:tcW w:w="6374" w:type="dxa"/>
          </w:tcPr>
          <w:p w14:paraId="32683772" w14:textId="189DB18A" w:rsidR="006432B0" w:rsidRPr="0037275C" w:rsidRDefault="006432B0" w:rsidP="00BE569E">
            <w:pPr>
              <w:pStyle w:val="TabletextLeft"/>
              <w:jc w:val="both"/>
            </w:pPr>
            <w:r w:rsidRPr="0037275C">
              <w:t xml:space="preserve">Regional location and/or large distances between campuses </w:t>
            </w:r>
            <w:r>
              <w:t xml:space="preserve">may </w:t>
            </w:r>
            <w:r w:rsidRPr="0037275C">
              <w:t>raise average costs</w:t>
            </w:r>
            <w:r>
              <w:t xml:space="preserve"> of </w:t>
            </w:r>
            <w:r w:rsidR="00995626">
              <w:t>teaching and scholarship</w:t>
            </w:r>
            <w:r w:rsidRPr="0037275C">
              <w:t>.</w:t>
            </w:r>
          </w:p>
        </w:tc>
      </w:tr>
      <w:tr w:rsidR="006432B0" w:rsidRPr="0037275C" w14:paraId="275AF264" w14:textId="77777777" w:rsidTr="006B32D3">
        <w:trPr>
          <w:cantSplit/>
          <w:jc w:val="center"/>
        </w:trPr>
        <w:tc>
          <w:tcPr>
            <w:tcW w:w="2235" w:type="dxa"/>
          </w:tcPr>
          <w:p w14:paraId="72BC3E58" w14:textId="77777777" w:rsidR="006432B0" w:rsidRPr="0037275C" w:rsidRDefault="006432B0" w:rsidP="00BE569E">
            <w:pPr>
              <w:pStyle w:val="TabletextLeft"/>
            </w:pPr>
            <w:r w:rsidRPr="0037275C">
              <w:t>Discipline mix/mode of delivery</w:t>
            </w:r>
          </w:p>
        </w:tc>
        <w:tc>
          <w:tcPr>
            <w:tcW w:w="6374" w:type="dxa"/>
          </w:tcPr>
          <w:p w14:paraId="3AB0AFF4" w14:textId="74B0BB32" w:rsidR="006432B0" w:rsidRPr="0037275C" w:rsidRDefault="006432B0" w:rsidP="00BE569E">
            <w:pPr>
              <w:pStyle w:val="TabletextLeft"/>
              <w:jc w:val="both"/>
            </w:pPr>
            <w:r w:rsidRPr="0037275C">
              <w:t xml:space="preserve">Some disciplines involve more expensive activities, or require more contact hours, raising the average cost for a FOE. </w:t>
            </w:r>
            <w:r>
              <w:t>T</w:t>
            </w:r>
            <w:r w:rsidRPr="0037275C">
              <w:t xml:space="preserve">he mode of delivery of different disciplines is an important determinant of these differences.  Disciplines that include supervised work placements, a relatively high number of contact hours, smaller class sizes or more resource-intensive delivery (e.g. laboratories, seminars or workshops) are likely to be more expensive to teach. By comparison, disciplines or universities that teach a high proportion of students externally through online or distance education may have lower </w:t>
            </w:r>
            <w:r w:rsidR="00995626">
              <w:t>teaching and scholarship</w:t>
            </w:r>
            <w:r w:rsidRPr="0037275C">
              <w:t xml:space="preserve"> costs. </w:t>
            </w:r>
          </w:p>
        </w:tc>
      </w:tr>
      <w:tr w:rsidR="006432B0" w:rsidRPr="0037275C" w14:paraId="793EE8FD" w14:textId="77777777" w:rsidTr="006B32D3">
        <w:trPr>
          <w:cantSplit/>
          <w:jc w:val="center"/>
        </w:trPr>
        <w:tc>
          <w:tcPr>
            <w:tcW w:w="2235" w:type="dxa"/>
          </w:tcPr>
          <w:p w14:paraId="6711BC7E" w14:textId="77777777" w:rsidR="006432B0" w:rsidRPr="0037275C" w:rsidRDefault="006432B0" w:rsidP="00BE569E">
            <w:pPr>
              <w:pStyle w:val="TabletextLeft"/>
            </w:pPr>
            <w:r w:rsidRPr="0037275C">
              <w:t>Research intensity</w:t>
            </w:r>
          </w:p>
        </w:tc>
        <w:tc>
          <w:tcPr>
            <w:tcW w:w="6374" w:type="dxa"/>
          </w:tcPr>
          <w:p w14:paraId="2E7929A2" w14:textId="3B0A529E" w:rsidR="006432B0" w:rsidRPr="0037275C" w:rsidRDefault="0055398A" w:rsidP="00BE569E">
            <w:pPr>
              <w:pStyle w:val="TabletextLeft"/>
              <w:jc w:val="both"/>
            </w:pPr>
            <w:r w:rsidRPr="0037275C">
              <w:t xml:space="preserve">A focus on research activities in the overall mission of an institution is expected to raise costs.  Research activities are </w:t>
            </w:r>
            <w:r>
              <w:t xml:space="preserve">often </w:t>
            </w:r>
            <w:r w:rsidRPr="0037275C">
              <w:t xml:space="preserve">undertaken by </w:t>
            </w:r>
            <w:r>
              <w:t>more senior</w:t>
            </w:r>
            <w:r w:rsidRPr="0037275C">
              <w:t xml:space="preserve"> </w:t>
            </w:r>
            <w:r>
              <w:t xml:space="preserve">(and more expensive) </w:t>
            </w:r>
            <w:r w:rsidRPr="0037275C">
              <w:t xml:space="preserve">academic staff.  </w:t>
            </w:r>
            <w:r>
              <w:t xml:space="preserve">Higher </w:t>
            </w:r>
            <w:r w:rsidR="00995626">
              <w:t>teaching and scholarship</w:t>
            </w:r>
            <w:r>
              <w:t xml:space="preserve"> costs may result when these </w:t>
            </w:r>
            <w:r w:rsidRPr="0037275C">
              <w:t xml:space="preserve">resources </w:t>
            </w:r>
            <w:r>
              <w:t xml:space="preserve">that are used for research </w:t>
            </w:r>
            <w:r w:rsidRPr="0037275C">
              <w:t>are shared with teaching</w:t>
            </w:r>
            <w:r>
              <w:t>.</w:t>
            </w:r>
            <w:r w:rsidRPr="0037275C">
              <w:t xml:space="preserve"> </w:t>
            </w:r>
          </w:p>
        </w:tc>
      </w:tr>
      <w:tr w:rsidR="006432B0" w:rsidRPr="0037275C" w14:paraId="7E948257" w14:textId="77777777" w:rsidTr="006B32D3">
        <w:trPr>
          <w:cantSplit/>
          <w:jc w:val="center"/>
        </w:trPr>
        <w:tc>
          <w:tcPr>
            <w:tcW w:w="2235" w:type="dxa"/>
          </w:tcPr>
          <w:p w14:paraId="7D7D3A80" w14:textId="77777777" w:rsidR="006432B0" w:rsidRPr="0037275C" w:rsidRDefault="006432B0" w:rsidP="00BE569E">
            <w:pPr>
              <w:pStyle w:val="TabletextLeft"/>
            </w:pPr>
            <w:r>
              <w:t>Investment in teaching quality and student experience</w:t>
            </w:r>
          </w:p>
        </w:tc>
        <w:tc>
          <w:tcPr>
            <w:tcW w:w="6374" w:type="dxa"/>
          </w:tcPr>
          <w:p w14:paraId="483A45CC" w14:textId="77777777" w:rsidR="006432B0" w:rsidRPr="0037275C" w:rsidRDefault="006432B0" w:rsidP="00BE569E">
            <w:pPr>
              <w:pStyle w:val="TabletextLeft"/>
              <w:jc w:val="both"/>
            </w:pPr>
            <w:r>
              <w:t xml:space="preserve">Some universities may choose to invest more in activities such as: the student experience outside the classroom, student career development and work experience opportunities, professional development for teaching staff or central administration services, all of which may improve a student’s learning experience or outcomes after graduating. </w:t>
            </w:r>
          </w:p>
        </w:tc>
      </w:tr>
    </w:tbl>
    <w:p w14:paraId="22593EA4" w14:textId="77777777" w:rsidR="006432B0" w:rsidRDefault="006432B0" w:rsidP="006432B0">
      <w:pPr>
        <w:pStyle w:val="Source"/>
      </w:pPr>
      <w:r w:rsidRPr="0037275C">
        <w:t>Source: Deloitte Access Economics</w:t>
      </w:r>
    </w:p>
    <w:p w14:paraId="54C4D6F2" w14:textId="77777777" w:rsidR="006432B0" w:rsidRDefault="006432B0" w:rsidP="006432B0">
      <w:pPr>
        <w:pStyle w:val="Source"/>
      </w:pPr>
    </w:p>
    <w:p w14:paraId="1E76D2B0" w14:textId="77777777" w:rsidR="006432B0" w:rsidRDefault="006432B0" w:rsidP="006432B0">
      <w:pPr>
        <w:pStyle w:val="Source"/>
      </w:pPr>
    </w:p>
    <w:p w14:paraId="4F7D7C6F" w14:textId="77777777" w:rsidR="006432B0" w:rsidRDefault="006432B0" w:rsidP="006432B0">
      <w:pPr>
        <w:pStyle w:val="Source"/>
      </w:pPr>
    </w:p>
    <w:p w14:paraId="1C1B87A4" w14:textId="77777777" w:rsidR="006432B0" w:rsidRDefault="006432B0" w:rsidP="006432B0">
      <w:pPr>
        <w:pStyle w:val="Heading3"/>
      </w:pPr>
      <w:bookmarkStart w:id="272" w:name="_Ref466493125"/>
      <w:r>
        <w:lastRenderedPageBreak/>
        <w:t>Empirical approaches for identifying cost drivers</w:t>
      </w:r>
      <w:bookmarkEnd w:id="272"/>
    </w:p>
    <w:p w14:paraId="672F65D5" w14:textId="16104F24" w:rsidR="00655FC0" w:rsidRDefault="006432B0" w:rsidP="006432B0">
      <w:pPr>
        <w:pStyle w:val="BodyText"/>
      </w:pPr>
      <w:r>
        <w:t xml:space="preserve">Academic researchers have employed a range of approaches to identify the relative impact of different cost drivers on the costs of </w:t>
      </w:r>
      <w:r w:rsidR="00995626">
        <w:t>teaching and scholarship</w:t>
      </w:r>
      <w:r>
        <w:t>. A detailed discussion of some of these app</w:t>
      </w:r>
      <w:r w:rsidR="00BB3CC5">
        <w:t xml:space="preserve">roaches is set out in </w:t>
      </w:r>
      <w:r w:rsidR="00BB3CC5">
        <w:fldChar w:fldCharType="begin"/>
      </w:r>
      <w:r w:rsidR="00BB3CC5">
        <w:instrText xml:space="preserve"> REF _Ref466492607 \r \h </w:instrText>
      </w:r>
      <w:r w:rsidR="00BB3CC5">
        <w:fldChar w:fldCharType="separate"/>
      </w:r>
      <w:r w:rsidR="00595C6E">
        <w:t>Appendix A</w:t>
      </w:r>
      <w:r w:rsidR="00BB3CC5">
        <w:fldChar w:fldCharType="end"/>
      </w:r>
      <w:r>
        <w:t xml:space="preserve">.  </w:t>
      </w:r>
    </w:p>
    <w:p w14:paraId="2062929E" w14:textId="77777777" w:rsidR="006432B0" w:rsidRDefault="006432B0" w:rsidP="006432B0">
      <w:pPr>
        <w:pStyle w:val="BodyText"/>
      </w:pPr>
      <w:r>
        <w:t xml:space="preserve">This section outlines three statistical approaches:  </w:t>
      </w:r>
    </w:p>
    <w:p w14:paraId="009F8301" w14:textId="77777777" w:rsidR="006432B0" w:rsidRDefault="006432B0" w:rsidP="006432B0">
      <w:pPr>
        <w:pStyle w:val="Bullet1"/>
      </w:pPr>
      <w:r>
        <w:t>Ordinary Least Squares (OLS);</w:t>
      </w:r>
    </w:p>
    <w:p w14:paraId="02717B68" w14:textId="77777777" w:rsidR="006432B0" w:rsidRDefault="0049715A" w:rsidP="006432B0">
      <w:pPr>
        <w:pStyle w:val="Bullet1"/>
      </w:pPr>
      <w:r>
        <w:t>q</w:t>
      </w:r>
      <w:r w:rsidR="006432B0">
        <w:t xml:space="preserve">uantile </w:t>
      </w:r>
      <w:r>
        <w:t>r</w:t>
      </w:r>
      <w:r w:rsidR="006432B0">
        <w:t>egression; and</w:t>
      </w:r>
    </w:p>
    <w:p w14:paraId="5698078B" w14:textId="77777777" w:rsidR="006432B0" w:rsidRDefault="006432B0" w:rsidP="006432B0">
      <w:pPr>
        <w:pStyle w:val="Bullet1"/>
      </w:pPr>
      <w:r>
        <w:t>Stochastic Frontier Analysis (SFA).</w:t>
      </w:r>
    </w:p>
    <w:p w14:paraId="21663EC4" w14:textId="0AB8E675" w:rsidR="006432B0" w:rsidRDefault="006432B0" w:rsidP="006432B0">
      <w:pPr>
        <w:pStyle w:val="BodyText"/>
      </w:pPr>
      <w:r w:rsidRPr="009722F8">
        <w:rPr>
          <w:rStyle w:val="Boldword"/>
        </w:rPr>
        <w:t>Ordinary least squares</w:t>
      </w:r>
      <w:r>
        <w:t xml:space="preserve"> involves applying a linear regression model to estimate the impact of different cost drivers on </w:t>
      </w:r>
      <w:r w:rsidR="00995626">
        <w:t>teaching and scholarship</w:t>
      </w:r>
      <w:r>
        <w:t xml:space="preserve"> costs. The analytical approach in this study uses two different OLS models.  The general form of the model is </w:t>
      </w:r>
    </w:p>
    <w:p w14:paraId="6A82B992" w14:textId="77777777" w:rsidR="006432B0" w:rsidRPr="005F22E4" w:rsidRDefault="006432B0" w:rsidP="006432B0">
      <w:pPr>
        <w:pStyle w:val="BodyText"/>
      </w:pPr>
      <m:oMathPara>
        <m:oMath>
          <m:r>
            <m:rPr>
              <m:sty m:val="p"/>
            </m:rPr>
            <w:rPr>
              <w:rFonts w:ascii="Cambria Math" w:hAnsi="Cambria Math"/>
            </w:rPr>
            <m:t>log⁡</m:t>
          </m:r>
          <m:r>
            <w:rPr>
              <w:rFonts w:ascii="Cambria Math" w:hAnsi="Cambria Math"/>
            </w:rPr>
            <m:t>Cos</m:t>
          </m:r>
          <m:sSub>
            <m:sSubPr>
              <m:ctrlPr>
                <w:rPr>
                  <w:rFonts w:ascii="Cambria Math" w:hAnsi="Cambria Math"/>
                  <w:i/>
                </w:rPr>
              </m:ctrlPr>
            </m:sSubPr>
            <m:e>
              <m:r>
                <w:rPr>
                  <w:rFonts w:ascii="Cambria Math" w:hAnsi="Cambria Math"/>
                </w:rPr>
                <m:t>t</m:t>
              </m:r>
            </m:e>
            <m:sub>
              <m:r>
                <w:rPr>
                  <w:rFonts w:ascii="Cambria Math" w:hAnsi="Cambria Math"/>
                </w:rPr>
                <m:t>ij</m:t>
              </m:r>
            </m:sub>
          </m:sSub>
          <m:r>
            <w:rPr>
              <w:rFonts w:ascii="Cambria Math" w:hAnsi="Cambria Math"/>
            </w:rPr>
            <m:t>=α+</m:t>
          </m:r>
          <m:r>
            <m:rPr>
              <m:sty m:val="bi"/>
            </m:rPr>
            <w:rPr>
              <w:rFonts w:ascii="Cambria Math" w:hAnsi="Cambria Math"/>
            </w:rPr>
            <m:t>β</m:t>
          </m:r>
          <m:sSub>
            <m:sSubPr>
              <m:ctrlPr>
                <w:rPr>
                  <w:rFonts w:ascii="Cambria Math" w:hAnsi="Cambria Math"/>
                  <w:i/>
                </w:rPr>
              </m:ctrlPr>
            </m:sSubPr>
            <m:e>
              <m:r>
                <m:rPr>
                  <m:sty m:val="bi"/>
                </m:rPr>
                <w:rPr>
                  <w:rFonts w:ascii="Cambria Math" w:hAnsi="Cambria Math"/>
                </w:rPr>
                <m:t>X</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ϵ</m:t>
              </m:r>
            </m:e>
            <m:sub>
              <m:r>
                <w:rPr>
                  <w:rFonts w:ascii="Cambria Math" w:hAnsi="Cambria Math"/>
                </w:rPr>
                <m:t>ij</m:t>
              </m:r>
            </m:sub>
          </m:sSub>
        </m:oMath>
      </m:oMathPara>
    </w:p>
    <w:p w14:paraId="3416041C" w14:textId="77777777" w:rsidR="006432B0" w:rsidRDefault="006432B0" w:rsidP="006432B0">
      <w:pPr>
        <w:pStyle w:val="BodyText"/>
      </w:pPr>
      <w:r>
        <w:t xml:space="preserve">where </w:t>
      </w:r>
      <m:oMath>
        <m:r>
          <w:rPr>
            <w:rFonts w:ascii="Cambria Math" w:hAnsi="Cambria Math"/>
          </w:rPr>
          <m:t>Cost</m:t>
        </m:r>
      </m:oMath>
      <w:r>
        <w:t xml:space="preserve"> is cost per EFTSL by university (</w:t>
      </w:r>
      <w:r>
        <w:rPr>
          <w:i/>
        </w:rPr>
        <w:t>i</w:t>
      </w:r>
      <w:r w:rsidRPr="0009720D">
        <w:t>)</w:t>
      </w:r>
      <w:r>
        <w:t xml:space="preserve"> and field of study (</w:t>
      </w:r>
      <w:r>
        <w:rPr>
          <w:i/>
        </w:rPr>
        <w:t>j</w:t>
      </w:r>
      <w:r>
        <w:t>), and X is a vector of explanatory variables (or cost drivers).</w:t>
      </w:r>
      <w:r w:rsidRPr="004A0757">
        <w:rPr>
          <w:rStyle w:val="Boldword"/>
          <w:b w:val="0"/>
          <w:color w:val="auto"/>
        </w:rPr>
        <w:t xml:space="preserve"> </w:t>
      </w:r>
      <w:r>
        <w:rPr>
          <w:rStyle w:val="Boldword"/>
          <w:b w:val="0"/>
          <w:color w:val="auto"/>
        </w:rPr>
        <w:t>Log means natural logarithm and costs are as measured by the data submitted by the universities.</w:t>
      </w:r>
      <w:r>
        <w:rPr>
          <w:rStyle w:val="FootnoteReference"/>
          <w:lang w:eastAsia="en-AU"/>
        </w:rPr>
        <w:footnoteReference w:id="17"/>
      </w:r>
    </w:p>
    <w:p w14:paraId="4BA8797E" w14:textId="77777777" w:rsidR="006432B0" w:rsidRPr="00327AA3" w:rsidRDefault="006432B0" w:rsidP="006432B0">
      <w:pPr>
        <w:pStyle w:val="BodyText"/>
      </w:pPr>
      <w:r>
        <w:t xml:space="preserve">The first OLS model involves estimating an OLS regression in which the explanatory variables include only sets of indicators for the fields of education and the universities (referred to </w:t>
      </w:r>
      <w:r w:rsidR="0055398A">
        <w:t xml:space="preserve">here </w:t>
      </w:r>
      <w:r>
        <w:t xml:space="preserve">as a ‘fixed effects’ model). By definition, this model does not shed light on the specific cost drivers, </w:t>
      </w:r>
      <w:r w:rsidRPr="005F2DE1">
        <w:t xml:space="preserve">but does provide a simple indication of the proportions of the variation in costs per EFTSL that can be attributed to differences across field of education versus university. </w:t>
      </w:r>
      <w:r w:rsidRPr="004E7CC3">
        <w:rPr>
          <w:rStyle w:val="Boldword"/>
          <w:b w:val="0"/>
          <w:color w:val="auto"/>
        </w:rPr>
        <w:t xml:space="preserve">This can help to explain the degree to which reasonable costs may be driven by these </w:t>
      </w:r>
      <w:r w:rsidR="0055398A" w:rsidRPr="007E6048">
        <w:rPr>
          <w:rStyle w:val="Boldword"/>
          <w:b w:val="0"/>
          <w:color w:val="auto"/>
        </w:rPr>
        <w:t xml:space="preserve">field and institution-specific </w:t>
      </w:r>
      <w:r w:rsidRPr="007E6048">
        <w:rPr>
          <w:rStyle w:val="Boldword"/>
          <w:b w:val="0"/>
          <w:color w:val="auto"/>
        </w:rPr>
        <w:t>factors</w:t>
      </w:r>
      <w:r w:rsidRPr="00327AA3">
        <w:t xml:space="preserve">. </w:t>
      </w:r>
    </w:p>
    <w:p w14:paraId="1949B004" w14:textId="77777777" w:rsidR="006432B0" w:rsidRDefault="006432B0" w:rsidP="006432B0">
      <w:pPr>
        <w:pStyle w:val="BodyText"/>
      </w:pPr>
      <w:r w:rsidRPr="00520AA3">
        <w:t xml:space="preserve">The second OLS model seeks to assess the strength of </w:t>
      </w:r>
      <w:r>
        <w:t xml:space="preserve">individual cost drivers. This approach was used in the 2011 study. </w:t>
      </w:r>
    </w:p>
    <w:p w14:paraId="3AF249BE" w14:textId="77777777" w:rsidR="006432B0" w:rsidRDefault="006432B0" w:rsidP="006432B0">
      <w:pPr>
        <w:pStyle w:val="BodyText"/>
      </w:pPr>
      <w:r>
        <w:t xml:space="preserve">In the current study, the following explanatory variables or cost drivers are candidates for inclusion in the model: </w:t>
      </w:r>
    </w:p>
    <w:p w14:paraId="7C03D204" w14:textId="77777777" w:rsidR="006432B0" w:rsidRDefault="0049715A" w:rsidP="006432B0">
      <w:pPr>
        <w:pStyle w:val="Bullet1"/>
      </w:pPr>
      <w:r>
        <w:t>t</w:t>
      </w:r>
      <w:r w:rsidR="006432B0">
        <w:t>otal teaching staff in FTEs to EFTSL ratio;</w:t>
      </w:r>
    </w:p>
    <w:p w14:paraId="399CD50C" w14:textId="77777777" w:rsidR="006432B0" w:rsidRDefault="0049715A" w:rsidP="006432B0">
      <w:pPr>
        <w:pStyle w:val="Bullet1"/>
      </w:pPr>
      <w:r>
        <w:t>t</w:t>
      </w:r>
      <w:r w:rsidR="006432B0">
        <w:t>otal EFTSL;</w:t>
      </w:r>
    </w:p>
    <w:p w14:paraId="50A5EEEC" w14:textId="77777777" w:rsidR="006432B0" w:rsidRDefault="0049715A" w:rsidP="006432B0">
      <w:pPr>
        <w:pStyle w:val="Bullet1"/>
      </w:pPr>
      <w:r>
        <w:t>f</w:t>
      </w:r>
      <w:r w:rsidR="006432B0">
        <w:t>ield of education indicators;</w:t>
      </w:r>
    </w:p>
    <w:p w14:paraId="08CBAB1B" w14:textId="77777777" w:rsidR="006432B0" w:rsidRDefault="006432B0" w:rsidP="006432B0">
      <w:pPr>
        <w:pStyle w:val="Bullet1"/>
      </w:pPr>
      <w:r>
        <w:t>ARC Excellence in Research for Australia rankings;</w:t>
      </w:r>
    </w:p>
    <w:p w14:paraId="086FD658" w14:textId="77777777" w:rsidR="006432B0" w:rsidRDefault="0049715A" w:rsidP="006432B0">
      <w:pPr>
        <w:pStyle w:val="Bullet1"/>
      </w:pPr>
      <w:r>
        <w:t>p</w:t>
      </w:r>
      <w:r w:rsidR="006432B0">
        <w:t>roportion of higher degree research students to total postgraduate students;</w:t>
      </w:r>
    </w:p>
    <w:p w14:paraId="457EB5E6" w14:textId="77777777" w:rsidR="006432B0" w:rsidRDefault="0049715A" w:rsidP="006432B0">
      <w:pPr>
        <w:pStyle w:val="Bullet1"/>
      </w:pPr>
      <w:r>
        <w:t>p</w:t>
      </w:r>
      <w:r w:rsidR="006432B0">
        <w:t>roportion of international students;</w:t>
      </w:r>
    </w:p>
    <w:p w14:paraId="291520C8" w14:textId="77777777" w:rsidR="006432B0" w:rsidRDefault="0049715A" w:rsidP="006432B0">
      <w:pPr>
        <w:pStyle w:val="Bullet1"/>
      </w:pPr>
      <w:r>
        <w:t>p</w:t>
      </w:r>
      <w:r w:rsidR="006432B0">
        <w:t>roportion of regional students;</w:t>
      </w:r>
    </w:p>
    <w:p w14:paraId="2A976589" w14:textId="77777777" w:rsidR="006432B0" w:rsidRDefault="0049715A" w:rsidP="006432B0">
      <w:pPr>
        <w:pStyle w:val="Bullet1"/>
      </w:pPr>
      <w:r>
        <w:t>p</w:t>
      </w:r>
      <w:r w:rsidR="006432B0">
        <w:t>roportion of casual teaching staff;</w:t>
      </w:r>
    </w:p>
    <w:p w14:paraId="0D1EFA2F" w14:textId="77777777" w:rsidR="006432B0" w:rsidRDefault="0049715A" w:rsidP="006432B0">
      <w:pPr>
        <w:pStyle w:val="Bullet1"/>
      </w:pPr>
      <w:r>
        <w:lastRenderedPageBreak/>
        <w:t>p</w:t>
      </w:r>
      <w:r w:rsidR="006432B0">
        <w:t xml:space="preserve">roportion of students studying externally; and </w:t>
      </w:r>
    </w:p>
    <w:p w14:paraId="7870A680" w14:textId="77777777" w:rsidR="006432B0" w:rsidRDefault="0049715A" w:rsidP="006432B0">
      <w:pPr>
        <w:pStyle w:val="Bullet1"/>
      </w:pPr>
      <w:r>
        <w:t>s</w:t>
      </w:r>
      <w:r w:rsidR="006432B0">
        <w:t>tudent assessments of teaching quality from the student experience survey and graduate wage and employment outcomes.</w:t>
      </w:r>
    </w:p>
    <w:p w14:paraId="14B07D01" w14:textId="77777777" w:rsidR="006432B0" w:rsidRDefault="006432B0" w:rsidP="006432B0">
      <w:pPr>
        <w:pStyle w:val="BodyText"/>
        <w:rPr>
          <w:rStyle w:val="Boldword"/>
          <w:b w:val="0"/>
          <w:color w:val="auto"/>
        </w:rPr>
      </w:pPr>
      <w:r>
        <w:rPr>
          <w:rStyle w:val="Boldword"/>
          <w:b w:val="0"/>
          <w:color w:val="auto"/>
        </w:rPr>
        <w:t>Intuitively, this approach recognises that costs are a function of a range of factors, and seeks to measure the extent to which each of the observable factors listed above determines the costs that universities face. The factors will not explain all of the variation in costs across universities, and any unexplained variation may be a function of, amongst other things, the exclusion of variables that drive costs (because they are not observed) or universities differing in the efficiency with which they offer units (given the contextual factors under which they operate).</w:t>
      </w:r>
    </w:p>
    <w:p w14:paraId="51B8569F" w14:textId="77777777" w:rsidR="006432B0" w:rsidRDefault="006432B0" w:rsidP="006432B0">
      <w:pPr>
        <w:pStyle w:val="BodyText"/>
      </w:pPr>
      <w:r>
        <w:rPr>
          <w:rStyle w:val="Boldword"/>
        </w:rPr>
        <w:t>Qu</w:t>
      </w:r>
      <w:r w:rsidRPr="009722F8">
        <w:rPr>
          <w:rStyle w:val="Boldword"/>
        </w:rPr>
        <w:t>antile regression analysis</w:t>
      </w:r>
      <w:r>
        <w:t xml:space="preserve"> can be used to gain </w:t>
      </w:r>
      <w:r w:rsidRPr="008A3097">
        <w:rPr>
          <w:rStyle w:val="Boldword"/>
          <w:b w:val="0"/>
          <w:color w:val="auto"/>
        </w:rPr>
        <w:t>a better understand</w:t>
      </w:r>
      <w:r>
        <w:rPr>
          <w:rStyle w:val="Boldword"/>
          <w:b w:val="0"/>
          <w:color w:val="auto"/>
        </w:rPr>
        <w:t>ing</w:t>
      </w:r>
      <w:r w:rsidRPr="008A3097">
        <w:rPr>
          <w:rStyle w:val="Boldword"/>
          <w:b w:val="0"/>
          <w:color w:val="auto"/>
        </w:rPr>
        <w:t xml:space="preserve"> of </w:t>
      </w:r>
      <w:r>
        <w:rPr>
          <w:rStyle w:val="Boldword"/>
          <w:b w:val="0"/>
          <w:color w:val="auto"/>
        </w:rPr>
        <w:t xml:space="preserve">the role of </w:t>
      </w:r>
      <w:r w:rsidRPr="008A3097">
        <w:rPr>
          <w:rStyle w:val="Boldword"/>
          <w:b w:val="0"/>
          <w:color w:val="auto"/>
        </w:rPr>
        <w:t xml:space="preserve">cost drivers </w:t>
      </w:r>
      <w:r w:rsidRPr="0009720D">
        <w:rPr>
          <w:rStyle w:val="Boldword"/>
          <w:b w:val="0"/>
          <w:i/>
          <w:color w:val="auto"/>
        </w:rPr>
        <w:t>across the cost distribution</w:t>
      </w:r>
      <w:r>
        <w:rPr>
          <w:rStyle w:val="Boldword"/>
          <w:b w:val="0"/>
          <w:color w:val="auto"/>
        </w:rPr>
        <w:t xml:space="preserve">.  </w:t>
      </w:r>
      <w:r>
        <w:t>An assessment of costs at, say, the 25</w:t>
      </w:r>
      <w:r w:rsidRPr="009722F8">
        <w:rPr>
          <w:vertAlign w:val="superscript"/>
        </w:rPr>
        <w:t>th</w:t>
      </w:r>
      <w:r>
        <w:t xml:space="preserve"> percentile of the cost distribution </w:t>
      </w:r>
      <w:r w:rsidRPr="005F2DE1">
        <w:t xml:space="preserve">can provide an indication of the costs at the lower end of the cost distribution and thus may be </w:t>
      </w:r>
      <w:r w:rsidRPr="007E6048">
        <w:rPr>
          <w:rStyle w:val="Boldword"/>
          <w:b w:val="0"/>
          <w:color w:val="auto"/>
        </w:rPr>
        <w:t>more reflective of a relatively efficient organisation</w:t>
      </w:r>
      <w:r w:rsidRPr="005F2DE1">
        <w:t>, holding all e</w:t>
      </w:r>
      <w:r w:rsidRPr="00327AA3">
        <w:t xml:space="preserve">lse constant. The precise percentile applied is arbitrary and ultimately based on a policy consideration depending on the level of relative efficiency that has been sought </w:t>
      </w:r>
      <w:r>
        <w:t>for the purposes of estimating underlying efficient cost.</w:t>
      </w:r>
    </w:p>
    <w:p w14:paraId="27DFE1A3" w14:textId="77777777" w:rsidR="006432B0" w:rsidRDefault="006432B0" w:rsidP="006432B0">
      <w:pPr>
        <w:pStyle w:val="BodyText"/>
      </w:pPr>
      <w:r>
        <w:rPr>
          <w:rStyle w:val="Boldword"/>
        </w:rPr>
        <w:t xml:space="preserve">Stochastic Frontier Analysis (SFA) </w:t>
      </w:r>
      <w:r>
        <w:t xml:space="preserve">is an alternative approach to assessing the relative efficiency of organisations – universities in the current study. The </w:t>
      </w:r>
      <w:r w:rsidRPr="003D3C23">
        <w:t xml:space="preserve">key difference </w:t>
      </w:r>
      <w:r>
        <w:t xml:space="preserve">between a standard OLS approach and </w:t>
      </w:r>
      <w:r w:rsidRPr="003D3C23">
        <w:t xml:space="preserve">SFA is that </w:t>
      </w:r>
      <w:r>
        <w:t>in SFA, the model includes a specific term that reflects inefficiency. This allows for a measure of underlying efficient cost to be revealed from observed cost data, rather than by relying on an arbitrarily defined quantile of cost, as in quantile regression.</w:t>
      </w:r>
      <w:r>
        <w:rPr>
          <w:rStyle w:val="FootnoteReference"/>
        </w:rPr>
        <w:footnoteReference w:id="18"/>
      </w:r>
      <w:r>
        <w:t xml:space="preserve">  </w:t>
      </w:r>
    </w:p>
    <w:p w14:paraId="5D8F5488" w14:textId="4299C176" w:rsidR="006432B0" w:rsidRDefault="00834701" w:rsidP="006432B0">
      <w:pPr>
        <w:pStyle w:val="BodyText"/>
      </w:pPr>
      <w:r w:rsidRPr="004E467C">
        <w:t>SFA, like OLS, requires the modeller to assume that organisations are behaving in a particular way (in this case seeking to minimise costs) and to apply a specific functional form for how inputs are translated to outputs</w:t>
      </w:r>
      <w:r w:rsidR="00B2280C">
        <w:rPr>
          <w:rStyle w:val="FootnoteReference"/>
        </w:rPr>
        <w:footnoteReference w:id="19"/>
      </w:r>
      <w:r w:rsidRPr="004E467C">
        <w:t xml:space="preserve">. Data envelopment analysis (DEA), does not </w:t>
      </w:r>
      <w:r>
        <w:t>specify a particular</w:t>
      </w:r>
      <w:r w:rsidRPr="004E467C">
        <w:t xml:space="preserve"> production technology</w:t>
      </w:r>
      <w:r w:rsidR="009A5E9A">
        <w:t>;</w:t>
      </w:r>
      <w:r>
        <w:t xml:space="preserve"> this is discussed further in Appendix B</w:t>
      </w:r>
      <w:r w:rsidRPr="004E467C">
        <w:t xml:space="preserve">. </w:t>
      </w:r>
    </w:p>
    <w:p w14:paraId="5EAAD68C" w14:textId="77777777" w:rsidR="006432B0" w:rsidRDefault="006432B0" w:rsidP="006432B0">
      <w:pPr>
        <w:pStyle w:val="Heading3"/>
      </w:pPr>
      <w:r>
        <w:t>How the analysis of cost drivers can be used to assess reasonable costs</w:t>
      </w:r>
    </w:p>
    <w:p w14:paraId="5AF59D56" w14:textId="2127B501" w:rsidR="006432B0" w:rsidRDefault="006432B0" w:rsidP="006432B0">
      <w:pPr>
        <w:pStyle w:val="BodyText"/>
      </w:pPr>
      <w:r>
        <w:t xml:space="preserve">The results from the three parametric approaches outlined in </w:t>
      </w:r>
      <w:r w:rsidR="005E5B0C">
        <w:t xml:space="preserve">Chapter </w:t>
      </w:r>
      <w:r>
        <w:t>4.3.2 above can be used to inform a definition of reasonable cost for each field of education based on the notion of  ‘</w:t>
      </w:r>
      <w:r w:rsidRPr="00CD714E">
        <w:t>typical</w:t>
      </w:r>
      <w:r>
        <w:t xml:space="preserve">’ university characteristics, and by removing variations in cost that are not related </w:t>
      </w:r>
      <w:r w:rsidR="00787233">
        <w:t>to</w:t>
      </w:r>
      <w:r w:rsidR="009A5E9A">
        <w:t xml:space="preserve"> </w:t>
      </w:r>
      <w:r>
        <w:t>underlying contextual, or discipline</w:t>
      </w:r>
      <w:r w:rsidR="009A5E9A">
        <w:t>-</w:t>
      </w:r>
      <w:r>
        <w:t>specific drivers of cost.</w:t>
      </w:r>
    </w:p>
    <w:p w14:paraId="1BA1DC56" w14:textId="77777777" w:rsidR="006432B0" w:rsidRDefault="006432B0" w:rsidP="006432B0">
      <w:pPr>
        <w:pStyle w:val="BodyText"/>
      </w:pPr>
      <w:r>
        <w:t>The typical university characteristics are represented by the median of those characteristics for each field of education.</w:t>
      </w:r>
      <w:r w:rsidRPr="004538E4">
        <w:t xml:space="preserve"> </w:t>
      </w:r>
      <w:r>
        <w:t xml:space="preserve">Points on the distribution other than the median could also be </w:t>
      </w:r>
      <w:r>
        <w:lastRenderedPageBreak/>
        <w:t xml:space="preserve">considered in such an analysis. For example, industry benchmarks or benchmarks from high performing institutions could also be applied. </w:t>
      </w:r>
    </w:p>
    <w:p w14:paraId="2B8E9EE4" w14:textId="4E2C222B" w:rsidR="006432B0" w:rsidRDefault="009A5E9A" w:rsidP="006432B0">
      <w:pPr>
        <w:pStyle w:val="BodyText"/>
      </w:pPr>
      <w:r>
        <w:t>E</w:t>
      </w:r>
      <w:r w:rsidR="006432B0">
        <w:t>stimates of the costs are obtained from the models</w:t>
      </w:r>
      <w:r>
        <w:t xml:space="preserve"> using median values of the characteristics</w:t>
      </w:r>
      <w:r w:rsidR="006432B0">
        <w:t>.  The OLS model estimates target average costs, the quantile model targets the lower quartile of costs and the SFA model targets the most cost efficient organisation (all given the definition of the typical characteristics).</w:t>
      </w:r>
    </w:p>
    <w:p w14:paraId="19726DE4" w14:textId="25986849" w:rsidR="006432B0" w:rsidRPr="005F2DE1" w:rsidRDefault="006432B0" w:rsidP="006432B0">
      <w:pPr>
        <w:pStyle w:val="BodyText"/>
      </w:pPr>
      <w:r>
        <w:t xml:space="preserve">It is </w:t>
      </w:r>
      <w:r w:rsidRPr="005F2DE1">
        <w:t xml:space="preserve">important to note that any approach taken at this step will reflect an underlying consideration of what </w:t>
      </w:r>
      <w:r w:rsidR="005E5B0C" w:rsidRPr="00327AA3">
        <w:t xml:space="preserve">is </w:t>
      </w:r>
      <w:r w:rsidRPr="00327AA3">
        <w:t xml:space="preserve">a ‘typical’ level of </w:t>
      </w:r>
      <w:r w:rsidR="00995626">
        <w:t>teaching and scholarship</w:t>
      </w:r>
      <w:r w:rsidRPr="00327AA3">
        <w:t xml:space="preserve"> quality and wh</w:t>
      </w:r>
      <w:r w:rsidRPr="00520AA3">
        <w:t xml:space="preserve">at is a ‘reasonable’ cost. This is </w:t>
      </w:r>
      <w:r w:rsidRPr="001578D1">
        <w:rPr>
          <w:rStyle w:val="Boldword"/>
          <w:b w:val="0"/>
          <w:color w:val="auto"/>
        </w:rPr>
        <w:t>ultimately determined by policymakers, depending on the intent of any funding policy which the defined notion of reasonable cost is intended to support</w:t>
      </w:r>
      <w:r w:rsidRPr="005F2DE1">
        <w:t>.</w:t>
      </w:r>
    </w:p>
    <w:p w14:paraId="55EE8E3B" w14:textId="77777777" w:rsidR="006432B0" w:rsidRPr="00D55F3F" w:rsidRDefault="006432B0" w:rsidP="006432B0">
      <w:pPr>
        <w:pStyle w:val="HeadingC"/>
        <w:rPr>
          <w:b w:val="0"/>
          <w:color w:val="auto"/>
          <w:sz w:val="22"/>
          <w:szCs w:val="22"/>
        </w:rPr>
      </w:pPr>
      <w:r w:rsidRPr="00327AA3">
        <w:rPr>
          <w:b w:val="0"/>
          <w:color w:val="auto"/>
          <w:sz w:val="22"/>
          <w:szCs w:val="22"/>
        </w:rPr>
        <w:t>The remainder of this section expands on some of these points.</w:t>
      </w:r>
    </w:p>
    <w:p w14:paraId="3BD3556F" w14:textId="77777777" w:rsidR="006432B0" w:rsidRDefault="006432B0" w:rsidP="006432B0">
      <w:pPr>
        <w:pStyle w:val="HeadingC"/>
      </w:pPr>
      <w:r>
        <w:t>Incorporating contextual characteristics</w:t>
      </w:r>
    </w:p>
    <w:p w14:paraId="358161A9" w14:textId="77777777" w:rsidR="006432B0" w:rsidRDefault="006432B0" w:rsidP="006432B0">
      <w:pPr>
        <w:pStyle w:val="BodyText"/>
      </w:pPr>
      <w:r>
        <w:t xml:space="preserve">In defining the concept of reasonable cost, it is important for such an estimate to take into account the role of </w:t>
      </w:r>
      <w:r w:rsidRPr="003D4D85">
        <w:t>contextual characteristics (</w:t>
      </w:r>
      <w:r>
        <w:t>namely those which universities cannot control</w:t>
      </w:r>
      <w:r w:rsidRPr="003D4D85">
        <w:t xml:space="preserve"> and are not explicitly related to quality</w:t>
      </w:r>
      <w:r w:rsidRPr="00FD1B1A">
        <w:t>)</w:t>
      </w:r>
      <w:r>
        <w:t xml:space="preserve">. Differences in contextual characteristics imply </w:t>
      </w:r>
      <w:r w:rsidRPr="003D4D85">
        <w:t xml:space="preserve">that funding arrangements based on the notion of reasonable cost may appropriately vary on the basis of these </w:t>
      </w:r>
      <w:r>
        <w:t>factors</w:t>
      </w:r>
      <w:r w:rsidRPr="00FD1B1A">
        <w:t>.</w:t>
      </w:r>
      <w:r>
        <w:rPr>
          <w:rStyle w:val="FootnoteReference"/>
        </w:rPr>
        <w:footnoteReference w:id="20"/>
      </w:r>
      <w:r w:rsidRPr="00FD1B1A">
        <w:t xml:space="preserve"> </w:t>
      </w:r>
      <w:r>
        <w:t xml:space="preserve">This can be achieved by estimating a level of reasonable cost that varies based on estimates of how these contextual cost drivers impact average cost. </w:t>
      </w:r>
    </w:p>
    <w:p w14:paraId="3F8C5E2C" w14:textId="62E587A4" w:rsidR="006432B0" w:rsidRDefault="006432B0" w:rsidP="006432B0">
      <w:pPr>
        <w:pStyle w:val="HeadingC"/>
      </w:pPr>
      <w:r>
        <w:t xml:space="preserve">Incorporating a benchmark level of </w:t>
      </w:r>
      <w:r w:rsidR="00995626">
        <w:t>teaching and scholarship</w:t>
      </w:r>
      <w:r>
        <w:t xml:space="preserve"> quality</w:t>
      </w:r>
    </w:p>
    <w:p w14:paraId="0705864B" w14:textId="5E713CBE" w:rsidR="006432B0" w:rsidRDefault="006432B0" w:rsidP="006432B0">
      <w:pPr>
        <w:pStyle w:val="BodyText"/>
      </w:pPr>
      <w:r>
        <w:t xml:space="preserve">The notion of reasonable cost also implies the achievement of a benchmark level of </w:t>
      </w:r>
      <w:r w:rsidR="00995626">
        <w:t>teaching and scholarship</w:t>
      </w:r>
      <w:r>
        <w:t xml:space="preserve"> quality. While input based measures (such as staff to student ratios) provide an indirect measure of quality, ultimately quality should be assessed on the basis of actual student outcomes. </w:t>
      </w:r>
      <w:r w:rsidRPr="003D3C23">
        <w:t xml:space="preserve">From this, the typical cost </w:t>
      </w:r>
      <w:r>
        <w:t xml:space="preserve">required in order to </w:t>
      </w:r>
      <w:r w:rsidRPr="003D3C23">
        <w:t xml:space="preserve">meet this benchmark standard </w:t>
      </w:r>
      <w:r w:rsidRPr="00FD1B1A">
        <w:t>c</w:t>
      </w:r>
      <w:r w:rsidRPr="001E493E">
        <w:t>an be defined.</w:t>
      </w:r>
      <w:r>
        <w:t xml:space="preserve"> The analysis in this report is able to draw on some measures of </w:t>
      </w:r>
      <w:r w:rsidR="00995626">
        <w:t>teaching and scholarship</w:t>
      </w:r>
      <w:r>
        <w:t xml:space="preserve"> quality from the Student Experience Survey and graduate wage and employment outcomes to estimate reasonable cost. However, there are a number of limitations associated with the use of these measures:</w:t>
      </w:r>
    </w:p>
    <w:p w14:paraId="79FDA995" w14:textId="77777777" w:rsidR="006432B0" w:rsidRDefault="0049715A" w:rsidP="00CC6FFC">
      <w:pPr>
        <w:pStyle w:val="Bullet1"/>
        <w:numPr>
          <w:ilvl w:val="0"/>
          <w:numId w:val="18"/>
        </w:numPr>
        <w:ind w:left="567" w:hanging="567"/>
      </w:pPr>
      <w:r>
        <w:t>g</w:t>
      </w:r>
      <w:r w:rsidR="006432B0">
        <w:t>raduate outcomes are not well defined at the Field of Education level, given they are measured at a course level</w:t>
      </w:r>
      <w:r>
        <w:t xml:space="preserve">; </w:t>
      </w:r>
    </w:p>
    <w:p w14:paraId="135FBE21" w14:textId="77777777" w:rsidR="006432B0" w:rsidRDefault="0049715A" w:rsidP="00CC6FFC">
      <w:pPr>
        <w:pStyle w:val="Bullet1"/>
        <w:numPr>
          <w:ilvl w:val="0"/>
          <w:numId w:val="18"/>
        </w:numPr>
        <w:ind w:left="567" w:hanging="567"/>
      </w:pPr>
      <w:r>
        <w:t>t</w:t>
      </w:r>
      <w:r w:rsidR="006432B0">
        <w:t>here is limited variation in quality measures across universities</w:t>
      </w:r>
      <w:r>
        <w:t>;</w:t>
      </w:r>
    </w:p>
    <w:p w14:paraId="5B0DBB59" w14:textId="77777777" w:rsidR="006432B0" w:rsidRDefault="0049715A" w:rsidP="00CC6FFC">
      <w:pPr>
        <w:pStyle w:val="Bullet1"/>
        <w:numPr>
          <w:ilvl w:val="0"/>
          <w:numId w:val="18"/>
        </w:numPr>
        <w:ind w:left="567" w:hanging="567"/>
      </w:pPr>
      <w:r>
        <w:t>s</w:t>
      </w:r>
      <w:r w:rsidR="006432B0">
        <w:t>mall sample sizes (in particular the single year of data) limit the representativeness of university specific measures</w:t>
      </w:r>
      <w:r>
        <w:t>;</w:t>
      </w:r>
    </w:p>
    <w:p w14:paraId="38D92A7C" w14:textId="77777777" w:rsidR="006432B0" w:rsidRDefault="0049715A" w:rsidP="00CC6FFC">
      <w:pPr>
        <w:pStyle w:val="Bullet1"/>
        <w:numPr>
          <w:ilvl w:val="0"/>
          <w:numId w:val="18"/>
        </w:numPr>
        <w:ind w:left="567" w:hanging="567"/>
      </w:pPr>
      <w:r>
        <w:t>o</w:t>
      </w:r>
      <w:r w:rsidR="006432B0">
        <w:t>utcomes measures do not control for student intake characteristics across universities and fields of education</w:t>
      </w:r>
      <w:r>
        <w:t>;</w:t>
      </w:r>
    </w:p>
    <w:p w14:paraId="7E3FB920" w14:textId="77777777" w:rsidR="006432B0" w:rsidRDefault="0049715A" w:rsidP="00CC6FFC">
      <w:pPr>
        <w:pStyle w:val="Bullet1"/>
        <w:numPr>
          <w:ilvl w:val="0"/>
          <w:numId w:val="18"/>
        </w:numPr>
        <w:ind w:left="567" w:hanging="567"/>
      </w:pPr>
      <w:r>
        <w:t>n</w:t>
      </w:r>
      <w:r w:rsidR="006432B0">
        <w:t>or do those measures typically capture longer term dynamics in labour market outcomes</w:t>
      </w:r>
      <w:r w:rsidR="005E5B0C">
        <w:t>,</w:t>
      </w:r>
      <w:r w:rsidR="006432B0">
        <w:t xml:space="preserve"> including controlling for differences in occupation choices</w:t>
      </w:r>
      <w:r>
        <w:t>; and</w:t>
      </w:r>
    </w:p>
    <w:p w14:paraId="6DADF7E9" w14:textId="77777777" w:rsidR="006432B0" w:rsidRDefault="0049715A" w:rsidP="00CC6FFC">
      <w:pPr>
        <w:pStyle w:val="Bullet1"/>
        <w:numPr>
          <w:ilvl w:val="0"/>
          <w:numId w:val="18"/>
        </w:numPr>
        <w:ind w:left="567" w:hanging="567"/>
      </w:pPr>
      <w:r>
        <w:lastRenderedPageBreak/>
        <w:t>f</w:t>
      </w:r>
      <w:r w:rsidR="006432B0">
        <w:t>avourable course experience measures have an ambiguous relationship with learning and vocational outcomes.</w:t>
      </w:r>
    </w:p>
    <w:p w14:paraId="460C8614" w14:textId="214B820B" w:rsidR="006432B0" w:rsidRDefault="006432B0" w:rsidP="006432B0">
      <w:pPr>
        <w:pStyle w:val="BodyText"/>
      </w:pPr>
      <w:r>
        <w:t xml:space="preserve">Further research should ideally seek to develop better measures of </w:t>
      </w:r>
      <w:r w:rsidR="00995626">
        <w:t>teaching and scholarship</w:t>
      </w:r>
      <w:r>
        <w:t xml:space="preserve"> outcomes over a longer time frame after graduation. Such research will provide policymakers with a better understanding of the typical costs involved in attaining benchmark </w:t>
      </w:r>
      <w:r w:rsidR="00995626">
        <w:t>teaching and scholarship</w:t>
      </w:r>
      <w:r>
        <w:t xml:space="preserve"> outcomes and would have benefits outside of the current study.</w:t>
      </w:r>
    </w:p>
    <w:p w14:paraId="69807E69" w14:textId="77777777" w:rsidR="006432B0" w:rsidRDefault="006432B0" w:rsidP="006432B0">
      <w:pPr>
        <w:pStyle w:val="HeadingC"/>
      </w:pPr>
      <w:r>
        <w:t>Efficiency</w:t>
      </w:r>
    </w:p>
    <w:p w14:paraId="017E777D" w14:textId="77777777" w:rsidR="006432B0" w:rsidRDefault="006432B0" w:rsidP="006432B0">
      <w:pPr>
        <w:pStyle w:val="BodyText"/>
      </w:pPr>
      <w:r>
        <w:t xml:space="preserve">The notion of reasonable cost is premised on universities achieving a certain level of efficiency in achieving a benchmark level of quality. </w:t>
      </w:r>
      <w:r w:rsidRPr="00FD1B1A">
        <w:t>In the current</w:t>
      </w:r>
      <w:r w:rsidRPr="001E493E">
        <w:t xml:space="preserve"> funding model, </w:t>
      </w:r>
      <w:r w:rsidRPr="00681370">
        <w:t xml:space="preserve">universities’ costs align closely with funding levels, meaning that true efficient costs for a given field of education, in an ‘unconstrained’ environment, may not be easily identified. Nevertheless, it is possible to estimate a </w:t>
      </w:r>
      <w:r>
        <w:t>potential efficiency frontier</w:t>
      </w:r>
      <w:r w:rsidRPr="00681370">
        <w:t xml:space="preserve"> for universities after comparing observable characteristics</w:t>
      </w:r>
      <w:r>
        <w:t xml:space="preserve"> and different costs across universities. </w:t>
      </w:r>
    </w:p>
    <w:p w14:paraId="6BBA94C1" w14:textId="68C8A48E" w:rsidR="006432B0" w:rsidRDefault="006432B0" w:rsidP="006432B0">
      <w:pPr>
        <w:pStyle w:val="BodyText"/>
      </w:pPr>
      <w:r>
        <w:t xml:space="preserve">To understand how reasonable costs may differ at different points in the cost distribution, it </w:t>
      </w:r>
      <w:r w:rsidRPr="00681370">
        <w:t xml:space="preserve">is possible to estimate underlying drivers of cost in terms of the </w:t>
      </w:r>
      <w:r>
        <w:t>first</w:t>
      </w:r>
      <w:r w:rsidRPr="00681370">
        <w:t xml:space="preserve"> quartile (or other reference point) of observed cost by field of education (as a measure of benchmark efficiency</w:t>
      </w:r>
      <w:r w:rsidRPr="003D3C23">
        <w:t xml:space="preserve"> as is estimated in a quantile regression model</w:t>
      </w:r>
      <w:r w:rsidRPr="00FD1B1A">
        <w:t xml:space="preserve">). Alternatively, </w:t>
      </w:r>
      <w:r>
        <w:t>SFA</w:t>
      </w:r>
      <w:r w:rsidRPr="00FD1B1A">
        <w:t xml:space="preserve"> may be applied to benchmark universities in terms of their inputs and observed costs, and derive a measure of relative efficiency. </w:t>
      </w:r>
      <w:r>
        <w:t xml:space="preserve">These approaches can be used to provide an indication of the relative level of efficient costs where a university has the typical characteristics of the sample in each field of education. </w:t>
      </w:r>
    </w:p>
    <w:p w14:paraId="6FE99F9B" w14:textId="77777777" w:rsidR="006432B0" w:rsidRDefault="006432B0" w:rsidP="006432B0">
      <w:pPr>
        <w:pStyle w:val="BodyText"/>
      </w:pPr>
      <w:r>
        <w:t xml:space="preserve">The precise level of benchmark efficiency is ultimately a question for policymakers and needs to involve a consideration of the range of objectives universities seek to achieve. </w:t>
      </w:r>
      <w:r w:rsidRPr="00FD1B1A">
        <w:t xml:space="preserve">Given that quality, related to efficient cost, is </w:t>
      </w:r>
      <w:r>
        <w:t xml:space="preserve">poorly measured in </w:t>
      </w:r>
      <w:r w:rsidRPr="00FD1B1A">
        <w:t>this analysis, the results of thi</w:t>
      </w:r>
      <w:r w:rsidRPr="001E493E">
        <w:t xml:space="preserve">s modelling may understate the reasonable costs required to achieve currently implicit benchmark levels of quality. </w:t>
      </w:r>
      <w:r>
        <w:t>That is, some universities may appear to be inefficient based on current data simply because they decide to offer a higher level of quality to students.</w:t>
      </w:r>
    </w:p>
    <w:p w14:paraId="709CED79" w14:textId="745DBD24" w:rsidR="00DD230E" w:rsidRPr="00525DA6" w:rsidRDefault="006432B0" w:rsidP="006432B0">
      <w:pPr>
        <w:pStyle w:val="BodyText"/>
        <w:rPr>
          <w:rStyle w:val="Boldword"/>
          <w:highlight w:val="yellow"/>
        </w:rPr>
      </w:pPr>
      <w:r>
        <w:t xml:space="preserve">As noted in the discussion of previous approaches in the academic literature (see </w:t>
      </w:r>
      <w:r w:rsidR="00BB3CC5">
        <w:fldChar w:fldCharType="begin"/>
      </w:r>
      <w:r w:rsidR="00BB3CC5">
        <w:instrText xml:space="preserve"> REF _Ref466492607 \r \h </w:instrText>
      </w:r>
      <w:r w:rsidR="00BB3CC5">
        <w:fldChar w:fldCharType="separate"/>
      </w:r>
      <w:r w:rsidR="00595C6E">
        <w:t>Appendix A</w:t>
      </w:r>
      <w:r w:rsidR="00BB3CC5">
        <w:fldChar w:fldCharType="end"/>
      </w:r>
      <w:r>
        <w:t xml:space="preserve">), non-parametric approaches such as DEA can also be used to assess the efficient cost of achieving specific </w:t>
      </w:r>
      <w:r w:rsidR="00995626">
        <w:t>teaching and scholarship</w:t>
      </w:r>
      <w:r>
        <w:t xml:space="preserve"> outcomes. One challenge of carrying out DEA at a field of education level is the relatively small sample size of universities collected for this study</w:t>
      </w:r>
      <w:r w:rsidR="003C3211">
        <w:t xml:space="preserve">. This is an issue for all analytical techniques used there, but DEA is relatively more </w:t>
      </w:r>
      <w:r w:rsidR="009A5E9A">
        <w:br/>
      </w:r>
      <w:r w:rsidR="003C3211">
        <w:t>data-exigent than others</w:t>
      </w:r>
      <w:r>
        <w:t>. T</w:t>
      </w:r>
      <w:r w:rsidRPr="00317BCD">
        <w:t xml:space="preserve">he results of some exploratory analysis using DEA is discussed in </w:t>
      </w:r>
      <w:r w:rsidR="00BB3CC5">
        <w:fldChar w:fldCharType="begin"/>
      </w:r>
      <w:r w:rsidR="00BB3CC5">
        <w:instrText xml:space="preserve"> REF _Ref466492607 \r \h </w:instrText>
      </w:r>
      <w:r w:rsidR="00BB3CC5">
        <w:fldChar w:fldCharType="separate"/>
      </w:r>
      <w:r w:rsidR="00595C6E">
        <w:t>Appendix A</w:t>
      </w:r>
      <w:r w:rsidR="00BB3CC5">
        <w:fldChar w:fldCharType="end"/>
      </w:r>
      <w:r>
        <w:t>. The analysis of reasonable cost in Chapter 5 is based on the three parametric approaches discussed above.</w:t>
      </w:r>
    </w:p>
    <w:p w14:paraId="7F5A14F2" w14:textId="77777777" w:rsidR="00DD230E" w:rsidRPr="00DB64BD" w:rsidRDefault="00DD230E" w:rsidP="00DD230E">
      <w:pPr>
        <w:pStyle w:val="BodyText"/>
      </w:pPr>
    </w:p>
    <w:p w14:paraId="3DE29322" w14:textId="77777777" w:rsidR="00DD230E" w:rsidRPr="00A65BA3" w:rsidRDefault="00DD230E" w:rsidP="00DD230E">
      <w:pPr>
        <w:pStyle w:val="Heading1"/>
      </w:pPr>
      <w:bookmarkStart w:id="273" w:name="_Toc465837283"/>
      <w:bookmarkStart w:id="274" w:name="_Toc466036312"/>
      <w:bookmarkStart w:id="275" w:name="_Toc469927327"/>
      <w:r w:rsidRPr="00A65BA3">
        <w:lastRenderedPageBreak/>
        <w:t>Measuring reasonable cost</w:t>
      </w:r>
      <w:bookmarkEnd w:id="273"/>
      <w:bookmarkEnd w:id="274"/>
      <w:bookmarkEnd w:id="275"/>
    </w:p>
    <w:tbl>
      <w:tblPr>
        <w:tblStyle w:val="TableGrid"/>
        <w:tblW w:w="0" w:type="auto"/>
        <w:tblBorders>
          <w:top w:val="single" w:sz="4" w:space="0" w:color="002776"/>
          <w:left w:val="single" w:sz="4" w:space="0" w:color="002776"/>
          <w:bottom w:val="single" w:sz="4" w:space="0" w:color="002776"/>
          <w:right w:val="single" w:sz="4" w:space="0" w:color="002776"/>
        </w:tblBorders>
        <w:shd w:val="clear" w:color="auto" w:fill="DCDCDC"/>
        <w:tblLook w:val="04A0" w:firstRow="1" w:lastRow="0" w:firstColumn="1" w:lastColumn="0" w:noHBand="0" w:noVBand="1"/>
      </w:tblPr>
      <w:tblGrid>
        <w:gridCol w:w="8210"/>
      </w:tblGrid>
      <w:tr w:rsidR="00374D2C" w14:paraId="449EF038" w14:textId="77777777" w:rsidTr="00512092">
        <w:tc>
          <w:tcPr>
            <w:tcW w:w="8210" w:type="dxa"/>
            <w:shd w:val="clear" w:color="auto" w:fill="F2F2F2" w:themeFill="background1" w:themeFillShade="F2"/>
          </w:tcPr>
          <w:p w14:paraId="383345B6" w14:textId="77777777" w:rsidR="00374D2C" w:rsidRPr="00797CA5" w:rsidRDefault="00374D2C" w:rsidP="00512092">
            <w:pPr>
              <w:pStyle w:val="Bullet1"/>
              <w:numPr>
                <w:ilvl w:val="0"/>
                <w:numId w:val="0"/>
              </w:numPr>
              <w:ind w:left="360" w:hanging="360"/>
              <w:rPr>
                <w:b/>
              </w:rPr>
            </w:pPr>
            <w:r>
              <w:t xml:space="preserve"> </w:t>
            </w:r>
            <w:r w:rsidRPr="00797CA5">
              <w:rPr>
                <w:b/>
                <w:color w:val="002776"/>
              </w:rPr>
              <w:t xml:space="preserve">Key points: Measuring reasonable cost </w:t>
            </w:r>
          </w:p>
          <w:p w14:paraId="22062019" w14:textId="77777777" w:rsidR="00374D2C" w:rsidRPr="00797CA5" w:rsidRDefault="00374D2C" w:rsidP="00512092">
            <w:pPr>
              <w:pStyle w:val="Bullet1"/>
            </w:pPr>
            <w:r w:rsidRPr="00797CA5">
              <w:t xml:space="preserve">This section provides a </w:t>
            </w:r>
            <w:r>
              <w:t xml:space="preserve">stylised representation </w:t>
            </w:r>
            <w:r w:rsidRPr="00797CA5">
              <w:t xml:space="preserve">of reasonable cost for each FOE for a </w:t>
            </w:r>
            <w:r w:rsidRPr="004E467C">
              <w:t xml:space="preserve">university with </w:t>
            </w:r>
            <w:r w:rsidRPr="00797CA5">
              <w:t xml:space="preserve">‘typical’ </w:t>
            </w:r>
            <w:r w:rsidRPr="004E467C">
              <w:t>characteristics</w:t>
            </w:r>
            <w:r w:rsidRPr="00797CA5">
              <w:t xml:space="preserve"> and different target levels of quality and efficiency. It does this as follows:</w:t>
            </w:r>
          </w:p>
          <w:p w14:paraId="600A35C6" w14:textId="77777777" w:rsidR="00374D2C" w:rsidRPr="00797CA5" w:rsidRDefault="00327AA3" w:rsidP="00512092">
            <w:pPr>
              <w:pStyle w:val="Bullet2"/>
            </w:pPr>
            <w:r>
              <w:t>e</w:t>
            </w:r>
            <w:r w:rsidR="00374D2C" w:rsidRPr="00797CA5">
              <w:t>conometric analysis is used to identify the extent to which different factors drive costs</w:t>
            </w:r>
            <w:r w:rsidR="003C4CA5">
              <w:t xml:space="preserve"> of provision</w:t>
            </w:r>
            <w:r w:rsidR="00374D2C" w:rsidRPr="00797CA5">
              <w:t>. These factors include the FOEs themselves, as well as the contextual and quality factors discussed previously</w:t>
            </w:r>
            <w:r>
              <w:t>;</w:t>
            </w:r>
          </w:p>
          <w:p w14:paraId="02BDCCD8" w14:textId="77777777" w:rsidR="00374D2C" w:rsidRPr="00797CA5" w:rsidRDefault="00327AA3" w:rsidP="00512092">
            <w:pPr>
              <w:pStyle w:val="Bullet2"/>
            </w:pPr>
            <w:r>
              <w:t>t</w:t>
            </w:r>
            <w:r w:rsidR="003C4CA5">
              <w:t>his</w:t>
            </w:r>
            <w:r w:rsidR="00374D2C" w:rsidRPr="00797CA5">
              <w:t xml:space="preserve"> analysis provides a</w:t>
            </w:r>
            <w:r w:rsidR="003C4CA5">
              <w:t xml:space="preserve"> cost</w:t>
            </w:r>
            <w:r w:rsidR="00374D2C" w:rsidRPr="00797CA5">
              <w:t xml:space="preserve"> equation</w:t>
            </w:r>
            <w:r w:rsidR="003C4CA5">
              <w:t xml:space="preserve"> and parameterisation of cost drivers, whereby values of each driver can be ‘plugged in’ to estimate a resulting cost</w:t>
            </w:r>
            <w:r>
              <w:t>; and</w:t>
            </w:r>
          </w:p>
          <w:p w14:paraId="46681AC3" w14:textId="77777777" w:rsidR="00374D2C" w:rsidRPr="00797CA5" w:rsidRDefault="00327AA3" w:rsidP="00512092">
            <w:pPr>
              <w:pStyle w:val="Bullet2"/>
            </w:pPr>
            <w:r>
              <w:t>w</w:t>
            </w:r>
            <w:r w:rsidR="00374D2C" w:rsidRPr="00797CA5">
              <w:t>hat values should be plugged in to represent the ‘reasonable’ cost? This section uses the median values observed across FOEs to estimate the cost for a</w:t>
            </w:r>
            <w:r w:rsidR="00374D2C" w:rsidRPr="004E467C">
              <w:t xml:space="preserve"> university with typical characteristics</w:t>
            </w:r>
            <w:r w:rsidR="00374D2C" w:rsidRPr="00797CA5">
              <w:t xml:space="preserve">, but ultimately the values used </w:t>
            </w:r>
            <w:r w:rsidR="00374D2C">
              <w:t xml:space="preserve">to provide a measure of reasonable cost </w:t>
            </w:r>
            <w:r w:rsidR="00374D2C" w:rsidRPr="00797CA5">
              <w:t>should represent those commensurate with the expected level of quality.</w:t>
            </w:r>
          </w:p>
          <w:p w14:paraId="22D78FB3" w14:textId="77777777" w:rsidR="00374D2C" w:rsidRPr="00797CA5" w:rsidRDefault="00374D2C" w:rsidP="00512092">
            <w:pPr>
              <w:pStyle w:val="Bullet1"/>
            </w:pPr>
            <w:r w:rsidRPr="00797CA5">
              <w:t>The estimated equation has a relatively good fit to the data, or in other words, it is able to explain most of the variation across universities and FOEs</w:t>
            </w:r>
            <w:r>
              <w:t xml:space="preserve"> described</w:t>
            </w:r>
            <w:r w:rsidRPr="00797CA5">
              <w:t xml:space="preserve"> in Chapter 3. Further, the </w:t>
            </w:r>
            <w:r w:rsidR="00582404">
              <w:t xml:space="preserve">direction and magnitude of </w:t>
            </w:r>
            <w:r w:rsidRPr="00797CA5">
              <w:t xml:space="preserve">cost drivers broadly align with expectations: </w:t>
            </w:r>
          </w:p>
          <w:p w14:paraId="42B07CE0" w14:textId="77777777" w:rsidR="00374D2C" w:rsidRPr="00797CA5" w:rsidRDefault="00327AA3" w:rsidP="00512092">
            <w:pPr>
              <w:pStyle w:val="Bullet2"/>
              <w:ind w:left="924" w:hanging="357"/>
            </w:pPr>
            <w:r>
              <w:t>h</w:t>
            </w:r>
            <w:r w:rsidR="00374D2C">
              <w:t>igher s</w:t>
            </w:r>
            <w:r w:rsidR="00374D2C" w:rsidRPr="00797CA5">
              <w:t>taff to student ratios significantly increase the cost of teaching;</w:t>
            </w:r>
          </w:p>
          <w:p w14:paraId="07B375B8" w14:textId="77777777" w:rsidR="00374D2C" w:rsidRPr="00797CA5" w:rsidRDefault="00327AA3" w:rsidP="00512092">
            <w:pPr>
              <w:pStyle w:val="Bullet2"/>
              <w:ind w:left="924" w:hanging="357"/>
            </w:pPr>
            <w:r>
              <w:t>g</w:t>
            </w:r>
            <w:r w:rsidR="00374D2C" w:rsidRPr="00797CA5">
              <w:t>reater use of casual staff significantly reduces costs; and</w:t>
            </w:r>
          </w:p>
          <w:p w14:paraId="0AB7CD3E" w14:textId="77777777" w:rsidR="00374D2C" w:rsidRPr="00797CA5" w:rsidRDefault="00327AA3" w:rsidP="00512092">
            <w:pPr>
              <w:pStyle w:val="Bullet2"/>
              <w:ind w:left="924" w:hanging="357"/>
            </w:pPr>
            <w:r>
              <w:t>g</w:t>
            </w:r>
            <w:r w:rsidR="00374D2C" w:rsidRPr="00797CA5">
              <w:t>reater proportion of regional students increases costs.</w:t>
            </w:r>
          </w:p>
          <w:p w14:paraId="48497C3E" w14:textId="77777777" w:rsidR="00374D2C" w:rsidRDefault="00374D2C" w:rsidP="00512092">
            <w:pPr>
              <w:pStyle w:val="Bullet1"/>
              <w:spacing w:after="120"/>
            </w:pPr>
            <w:r w:rsidRPr="00797CA5">
              <w:t>Not all of the variation in costs across universities can be explained by this model.</w:t>
            </w:r>
            <w:r w:rsidR="00582404">
              <w:t xml:space="preserve"> This ‘residual’ variation in costs </w:t>
            </w:r>
            <w:r w:rsidR="00B12331">
              <w:t>is</w:t>
            </w:r>
            <w:r w:rsidR="00582404">
              <w:t>, in part,</w:t>
            </w:r>
            <w:r w:rsidRPr="00797CA5">
              <w:t xml:space="preserve"> likely due to </w:t>
            </w:r>
            <w:r w:rsidR="00582404">
              <w:t>varying</w:t>
            </w:r>
            <w:r w:rsidR="00582404" w:rsidRPr="00797CA5">
              <w:t xml:space="preserve"> </w:t>
            </w:r>
            <w:r w:rsidRPr="00797CA5">
              <w:t xml:space="preserve">levels of efficiency. </w:t>
            </w:r>
            <w:r w:rsidR="00582404">
              <w:t>A number of m</w:t>
            </w:r>
            <w:r w:rsidRPr="00797CA5">
              <w:t xml:space="preserve">odels are able to be estimated to reflect how achieving greater efficiency changes the estimate of reasonable cost. </w:t>
            </w:r>
          </w:p>
          <w:p w14:paraId="4630439E" w14:textId="77777777" w:rsidR="00374D2C" w:rsidRDefault="00374D2C" w:rsidP="00512092">
            <w:pPr>
              <w:pStyle w:val="Bullet1"/>
              <w:spacing w:after="120"/>
            </w:pPr>
            <w:r w:rsidRPr="00797CA5">
              <w:t>These largely differ according to how close to the cost ‘frontier’ decision makers may ask universities to operate. Nonetheless, it is difficult to estimate how much of the unexplained variation in costs is due to efficiency, and this may temper the extent to which universities should be asked to operate at the estimated frontier.</w:t>
            </w:r>
          </w:p>
        </w:tc>
      </w:tr>
    </w:tbl>
    <w:p w14:paraId="20727CCC" w14:textId="4A4D137C" w:rsidR="00374D2C" w:rsidRPr="00520AA3" w:rsidRDefault="00374D2C" w:rsidP="00374D2C">
      <w:pPr>
        <w:pStyle w:val="BodyText"/>
      </w:pPr>
      <w:r>
        <w:t xml:space="preserve">This section outlines the results of the empirical analysis undertaken to inform an understanding of the key cost drivers for higher education </w:t>
      </w:r>
      <w:r w:rsidR="00995626">
        <w:t>teaching and scholarship</w:t>
      </w:r>
      <w:r>
        <w:t xml:space="preserve"> (section 5.1) and uses this to </w:t>
      </w:r>
      <w:r w:rsidRPr="005F2DE1">
        <w:t xml:space="preserve">provide a stylised representation of the reasonable cost of </w:t>
      </w:r>
      <w:r w:rsidR="00995626">
        <w:t>teaching and scholarship</w:t>
      </w:r>
      <w:r w:rsidRPr="005F2DE1">
        <w:t xml:space="preserve"> for a typical university in each field of education (section 5.2). This stylised estimate </w:t>
      </w:r>
      <w:r w:rsidRPr="00327AA3">
        <w:rPr>
          <w:rStyle w:val="Boldword"/>
          <w:b w:val="0"/>
          <w:color w:val="auto"/>
        </w:rPr>
        <w:t>recognises that ultimately what is encompassed in the notion of reasonable costs is a question for policymakers</w:t>
      </w:r>
      <w:r w:rsidRPr="00520AA3">
        <w:t xml:space="preserve">.  </w:t>
      </w:r>
    </w:p>
    <w:p w14:paraId="632A5987" w14:textId="77777777" w:rsidR="00B12331" w:rsidRDefault="00B12331" w:rsidP="00D55F3F">
      <w:pPr>
        <w:pStyle w:val="BodyText"/>
      </w:pPr>
      <w:r w:rsidRPr="008A079E">
        <w:t>The anal</w:t>
      </w:r>
      <w:r w:rsidRPr="004E7CC3">
        <w:t xml:space="preserve">ysis in this report builds on that in the previous 2011 report in a number of ways. In particular, this study is </w:t>
      </w:r>
      <w:r>
        <w:t xml:space="preserve">able to make use of data from a larger sample of 19 universities (compared to eight), and further disaggregates the data into finer fields of education and three levels of higher education. </w:t>
      </w:r>
    </w:p>
    <w:p w14:paraId="6AB96B74" w14:textId="77777777" w:rsidR="005B6D3D" w:rsidRDefault="00B12331" w:rsidP="00D55F3F">
      <w:pPr>
        <w:pStyle w:val="BodyText"/>
      </w:pPr>
      <w:r>
        <w:lastRenderedPageBreak/>
        <w:t xml:space="preserve">This additional data relative to the 2011 report </w:t>
      </w:r>
      <w:r w:rsidR="005B6D3D">
        <w:t xml:space="preserve">has allowed for: </w:t>
      </w:r>
    </w:p>
    <w:p w14:paraId="665C320E" w14:textId="77777777" w:rsidR="005B6D3D" w:rsidRDefault="00B12331">
      <w:pPr>
        <w:pStyle w:val="Bullet1"/>
      </w:pPr>
      <w:r>
        <w:t xml:space="preserve">more cost drivers to be included in the analysis, building on the regression analysis contained in </w:t>
      </w:r>
      <w:r w:rsidR="005B6D3D">
        <w:t>the 2011</w:t>
      </w:r>
      <w:r>
        <w:t xml:space="preserve"> report</w:t>
      </w:r>
      <w:r w:rsidR="005B6D3D">
        <w:t>;</w:t>
      </w:r>
      <w:r>
        <w:t xml:space="preserve"> </w:t>
      </w:r>
      <w:r w:rsidR="0049715A">
        <w:t>and</w:t>
      </w:r>
    </w:p>
    <w:p w14:paraId="79F93905" w14:textId="77777777" w:rsidR="005B6D3D" w:rsidRDefault="005B6D3D">
      <w:pPr>
        <w:pStyle w:val="Bullet1"/>
      </w:pPr>
      <w:r>
        <w:t>additional</w:t>
      </w:r>
      <w:r w:rsidR="00B12331">
        <w:t xml:space="preserve"> </w:t>
      </w:r>
      <w:r>
        <w:t xml:space="preserve">regression </w:t>
      </w:r>
      <w:r w:rsidR="00B12331">
        <w:t>specifications</w:t>
      </w:r>
      <w:r>
        <w:t xml:space="preserve"> to be run such as Quantile Regression and SFA</w:t>
      </w:r>
      <w:r w:rsidR="00B12331">
        <w:t xml:space="preserve"> </w:t>
      </w:r>
      <w:r>
        <w:t>which incorporate a notion of efficiency in the estimate of costs;</w:t>
      </w:r>
    </w:p>
    <w:p w14:paraId="690D7145" w14:textId="77777777" w:rsidR="00B12331" w:rsidRDefault="005B6D3D" w:rsidP="00B12331">
      <w:pPr>
        <w:pStyle w:val="BodyText"/>
      </w:pPr>
      <w:r>
        <w:t>The additional analysis which could be performed on the data in this study has been used to provide an estimate of reasonable costs which was not includ</w:t>
      </w:r>
      <w:r w:rsidR="003450DB">
        <w:t>ed</w:t>
      </w:r>
      <w:r>
        <w:t xml:space="preserve"> in the 2011 report. </w:t>
      </w:r>
      <w:r w:rsidR="00B12331">
        <w:t xml:space="preserve">Notwithstanding </w:t>
      </w:r>
      <w:r>
        <w:t xml:space="preserve">the </w:t>
      </w:r>
      <w:r w:rsidR="00B12331">
        <w:t xml:space="preserve">new analysis and findings, this study remains constrained by breadth and depth in data, and identifies a number of extensions </w:t>
      </w:r>
      <w:r w:rsidR="003450DB">
        <w:t>from</w:t>
      </w:r>
      <w:r w:rsidR="00B12331">
        <w:t xml:space="preserve"> which future studies may benefit.    </w:t>
      </w:r>
    </w:p>
    <w:p w14:paraId="43BF5908" w14:textId="77777777" w:rsidR="00374D2C" w:rsidRPr="00A65BA3" w:rsidRDefault="00374D2C" w:rsidP="00FC3C09">
      <w:pPr>
        <w:pStyle w:val="Heading2"/>
        <w:numPr>
          <w:ilvl w:val="1"/>
          <w:numId w:val="31"/>
        </w:numPr>
      </w:pPr>
      <w:bookmarkStart w:id="276" w:name="_Toc468732674"/>
      <w:bookmarkStart w:id="277" w:name="_Toc468732681"/>
      <w:bookmarkStart w:id="278" w:name="_Toc469927328"/>
      <w:bookmarkEnd w:id="276"/>
      <w:bookmarkEnd w:id="277"/>
      <w:r>
        <w:t>Modelling r</w:t>
      </w:r>
      <w:r w:rsidRPr="00A65BA3">
        <w:t>esults</w:t>
      </w:r>
      <w:bookmarkEnd w:id="278"/>
    </w:p>
    <w:p w14:paraId="1EC75024" w14:textId="77777777" w:rsidR="00374D2C" w:rsidRDefault="00374D2C" w:rsidP="00374D2C">
      <w:pPr>
        <w:pStyle w:val="BodyText"/>
      </w:pPr>
      <w:r>
        <w:t xml:space="preserve">The discussion of empirical approaches in section </w:t>
      </w:r>
      <w:r>
        <w:fldChar w:fldCharType="begin"/>
      </w:r>
      <w:r>
        <w:instrText xml:space="preserve"> REF _Ref466493125 \r \h </w:instrText>
      </w:r>
      <w:r>
        <w:fldChar w:fldCharType="separate"/>
      </w:r>
      <w:r w:rsidR="00595C6E">
        <w:t>4.3.2</w:t>
      </w:r>
      <w:r>
        <w:fldChar w:fldCharType="end"/>
      </w:r>
      <w:r>
        <w:t xml:space="preserve"> above, considered a number of statistical approaches:  </w:t>
      </w:r>
    </w:p>
    <w:p w14:paraId="5F5A2C73" w14:textId="77777777" w:rsidR="00374D2C" w:rsidRDefault="00374D2C" w:rsidP="00374D2C">
      <w:pPr>
        <w:pStyle w:val="Bullet1"/>
      </w:pPr>
      <w:r>
        <w:t>Ordinary Least Squares (OLS)</w:t>
      </w:r>
    </w:p>
    <w:p w14:paraId="21681A89" w14:textId="77777777" w:rsidR="00374D2C" w:rsidRDefault="00374D2C" w:rsidP="00374D2C">
      <w:pPr>
        <w:pStyle w:val="Bullet2"/>
      </w:pPr>
      <w:r>
        <w:t>Based on a model specified to assess the degree of variation in costs which are attributable to fields of education and universities.</w:t>
      </w:r>
    </w:p>
    <w:p w14:paraId="31CEBCAF" w14:textId="77777777" w:rsidR="00374D2C" w:rsidRDefault="00374D2C" w:rsidP="00374D2C">
      <w:pPr>
        <w:pStyle w:val="Bullet2"/>
      </w:pPr>
      <w:r>
        <w:t xml:space="preserve">Based on a model specified to more explicitly </w:t>
      </w:r>
      <w:r w:rsidR="00582404">
        <w:t xml:space="preserve">examine </w:t>
      </w:r>
      <w:r>
        <w:t>the impact of different cost drivers on overall costs per EFTSL.</w:t>
      </w:r>
    </w:p>
    <w:p w14:paraId="632940EA" w14:textId="77777777" w:rsidR="00374D2C" w:rsidRDefault="00374D2C" w:rsidP="00374D2C">
      <w:pPr>
        <w:pStyle w:val="Bullet1"/>
      </w:pPr>
      <w:r>
        <w:t>Quantile Regression; and</w:t>
      </w:r>
    </w:p>
    <w:p w14:paraId="40AC4BD1" w14:textId="77777777" w:rsidR="00374D2C" w:rsidRDefault="00374D2C" w:rsidP="00374D2C">
      <w:pPr>
        <w:pStyle w:val="Bullet1"/>
      </w:pPr>
      <w:r>
        <w:t>Stochastic Frontier Analysis (SFA).</w:t>
      </w:r>
    </w:p>
    <w:p w14:paraId="2CE55F9A" w14:textId="77777777" w:rsidR="00374D2C" w:rsidRDefault="00374D2C" w:rsidP="00374D2C">
      <w:pPr>
        <w:pStyle w:val="Bullet1"/>
        <w:numPr>
          <w:ilvl w:val="0"/>
          <w:numId w:val="0"/>
        </w:numPr>
        <w:spacing w:before="240"/>
      </w:pPr>
      <w:r>
        <w:t>The last two approaches build on the second OLS model to provide alternative estimates of reasonable cost</w:t>
      </w:r>
      <w:r w:rsidR="00582404">
        <w:t xml:space="preserve">, by </w:t>
      </w:r>
      <w:r w:rsidR="005B6D3D">
        <w:t>incorporating a degree of efficiency into the estimate of reasonable costs</w:t>
      </w:r>
      <w:r>
        <w:t>.</w:t>
      </w:r>
    </w:p>
    <w:p w14:paraId="76916624" w14:textId="77777777" w:rsidR="00374D2C" w:rsidRDefault="00374D2C" w:rsidP="00374D2C">
      <w:pPr>
        <w:pStyle w:val="Bullet1"/>
        <w:numPr>
          <w:ilvl w:val="0"/>
          <w:numId w:val="0"/>
        </w:numPr>
        <w:spacing w:before="240"/>
      </w:pPr>
      <w:r>
        <w:t xml:space="preserve">The results presented in this section focus on the bachelor level. Results for other levels and for all students are provided in </w:t>
      </w:r>
      <w:r>
        <w:fldChar w:fldCharType="begin"/>
      </w:r>
      <w:r>
        <w:instrText xml:space="preserve"> REF _Ref466492607 \r \h </w:instrText>
      </w:r>
      <w:r>
        <w:fldChar w:fldCharType="separate"/>
      </w:r>
      <w:r w:rsidR="00595C6E">
        <w:t>Appendix A</w:t>
      </w:r>
      <w:r>
        <w:fldChar w:fldCharType="end"/>
      </w:r>
      <w:r>
        <w:t xml:space="preserve">. The dependent variable used in all regressions is the </w:t>
      </w:r>
      <w:r w:rsidR="008A3468">
        <w:t xml:space="preserve">natural </w:t>
      </w:r>
      <w:r>
        <w:t>logarithm (log) of the total cost per EFTSL,</w:t>
      </w:r>
      <w:r w:rsidR="008A3468">
        <w:t xml:space="preserve"> i.e. both </w:t>
      </w:r>
      <w:r>
        <w:t xml:space="preserve">labour </w:t>
      </w:r>
      <w:r w:rsidR="008A3468">
        <w:t>and</w:t>
      </w:r>
      <w:r>
        <w:t xml:space="preserve"> non-labour cost</w:t>
      </w:r>
      <w:r w:rsidR="008A3468">
        <w:t>s</w:t>
      </w:r>
      <w:r>
        <w:t xml:space="preserve">. Taking the </w:t>
      </w:r>
      <w:r w:rsidR="008A3468">
        <w:t xml:space="preserve">log </w:t>
      </w:r>
      <w:r>
        <w:t>of cost</w:t>
      </w:r>
      <w:r w:rsidR="008A3468">
        <w:t>s</w:t>
      </w:r>
      <w:r>
        <w:t xml:space="preserve"> is a standard approach to improve the accuracy, or fit, of the estimated models and does not influence the key findings of the analysis.</w:t>
      </w:r>
    </w:p>
    <w:p w14:paraId="4308730E" w14:textId="77777777" w:rsidR="00374D2C" w:rsidRDefault="00374D2C" w:rsidP="00374D2C">
      <w:pPr>
        <w:pStyle w:val="Heading3"/>
      </w:pPr>
      <w:r>
        <w:t xml:space="preserve">Understanding the degree of variation explained by fields of education </w:t>
      </w:r>
    </w:p>
    <w:p w14:paraId="3632C338" w14:textId="77777777" w:rsidR="002609CF" w:rsidRDefault="00374D2C" w:rsidP="00374D2C">
      <w:pPr>
        <w:pStyle w:val="BodyText"/>
      </w:pPr>
      <w:r>
        <w:t>Table 5.1 shows the results from the models</w:t>
      </w:r>
      <w:r w:rsidRPr="00770706">
        <w:t xml:space="preserve"> </w:t>
      </w:r>
      <w:r>
        <w:t xml:space="preserve">containing </w:t>
      </w:r>
      <w:r w:rsidR="00BB61EB">
        <w:t xml:space="preserve">only indicators for </w:t>
      </w:r>
      <w:r>
        <w:t>field of education and</w:t>
      </w:r>
      <w:r w:rsidR="00BB61EB">
        <w:t>/or</w:t>
      </w:r>
      <w:r>
        <w:t xml:space="preserve"> university indicator variables</w:t>
      </w:r>
      <w:r w:rsidR="00BB61EB">
        <w:t>.</w:t>
      </w:r>
      <w:r w:rsidR="00E62909">
        <w:t xml:space="preserve"> This initial analysis is designed to </w:t>
      </w:r>
      <w:r w:rsidR="002609CF">
        <w:t xml:space="preserve">identify </w:t>
      </w:r>
      <w:r w:rsidR="00E62909">
        <w:t xml:space="preserve">systematic differences in costs </w:t>
      </w:r>
      <w:r w:rsidR="002609CF">
        <w:t>at either the field or</w:t>
      </w:r>
      <w:r w:rsidR="00E62909">
        <w:t xml:space="preserve"> university level.</w:t>
      </w:r>
      <w:r w:rsidR="002609CF">
        <w:t xml:space="preserve"> That is, </w:t>
      </w:r>
      <w:r w:rsidR="003450DB">
        <w:t xml:space="preserve">to answer the question: </w:t>
      </w:r>
      <w:r w:rsidR="002609CF">
        <w:t xml:space="preserve">are there common cost differentials which are specific to certain fields or universities? </w:t>
      </w:r>
    </w:p>
    <w:p w14:paraId="5477FABB" w14:textId="77777777" w:rsidR="00374D2C" w:rsidRDefault="00374D2C" w:rsidP="00374D2C">
      <w:pPr>
        <w:pStyle w:val="BodyText"/>
      </w:pPr>
      <w:r>
        <w:t>The coefficients reflect the extent to which costs per EFTSL for the fields of education and universities vary from the omitted (control) field or university, and the R</w:t>
      </w:r>
      <w:r>
        <w:rPr>
          <w:vertAlign w:val="superscript"/>
        </w:rPr>
        <w:t>2</w:t>
      </w:r>
      <w:r>
        <w:t xml:space="preserve"> gives the proportion of the variation in costs per EFTSL explained by the model.  </w:t>
      </w:r>
    </w:p>
    <w:p w14:paraId="19DACB67" w14:textId="77777777" w:rsidR="00374D2C" w:rsidRDefault="002609CF" w:rsidP="00374D2C">
      <w:pPr>
        <w:pStyle w:val="BodyText"/>
      </w:pPr>
      <w:r>
        <w:lastRenderedPageBreak/>
        <w:t>Column 1 includes only field of education indicators, column 2 includes only university indicators, whil</w:t>
      </w:r>
      <w:r w:rsidR="003450DB">
        <w:t>e</w:t>
      </w:r>
      <w:r>
        <w:t xml:space="preserve"> column 3 includes both indicators (as a simple test of relative strength). </w:t>
      </w:r>
      <w:r w:rsidR="00374D2C">
        <w:t>In terms of the fit of the models (the R</w:t>
      </w:r>
      <w:r w:rsidR="00374D2C">
        <w:rPr>
          <w:vertAlign w:val="superscript"/>
        </w:rPr>
        <w:t>2</w:t>
      </w:r>
      <w:r w:rsidR="00374D2C">
        <w:t>):</w:t>
      </w:r>
    </w:p>
    <w:p w14:paraId="79B9DE5E" w14:textId="77777777" w:rsidR="00374D2C" w:rsidRDefault="00374D2C" w:rsidP="00374D2C">
      <w:pPr>
        <w:pStyle w:val="Bullet1"/>
      </w:pPr>
      <w:r>
        <w:t>Variation across universities explain</w:t>
      </w:r>
      <w:r w:rsidR="00C26C20">
        <w:t>s</w:t>
      </w:r>
      <w:r>
        <w:t xml:space="preserve"> a relatively small proportion (10%) of the total variation in costs per EFTSL;</w:t>
      </w:r>
    </w:p>
    <w:p w14:paraId="6A94C5F0" w14:textId="77777777" w:rsidR="00374D2C" w:rsidRDefault="00374D2C" w:rsidP="00374D2C">
      <w:pPr>
        <w:pStyle w:val="Bullet1"/>
      </w:pPr>
      <w:r>
        <w:t>In contrast, variation across fields of education alone explain 48</w:t>
      </w:r>
      <w:r w:rsidRPr="001E493E">
        <w:t>%</w:t>
      </w:r>
      <w:r>
        <w:t xml:space="preserve"> of the total variation in costs per EFTS</w:t>
      </w:r>
      <w:r w:rsidR="00C26C20">
        <w:t>L</w:t>
      </w:r>
      <w:r>
        <w:t xml:space="preserve">; and </w:t>
      </w:r>
    </w:p>
    <w:p w14:paraId="687A89E3" w14:textId="77777777" w:rsidR="00374D2C" w:rsidRDefault="00374D2C" w:rsidP="00374D2C">
      <w:pPr>
        <w:pStyle w:val="Bullet1"/>
      </w:pPr>
      <w:r>
        <w:t>Variation in both university and field of education explain 56</w:t>
      </w:r>
      <w:r w:rsidRPr="001E493E">
        <w:t>%</w:t>
      </w:r>
      <w:r>
        <w:t xml:space="preserve"> of the total variation in costs per EFTSL.</w:t>
      </w:r>
      <w:r w:rsidR="00E62909">
        <w:rPr>
          <w:rStyle w:val="FootnoteReference"/>
        </w:rPr>
        <w:footnoteReference w:id="21"/>
      </w:r>
    </w:p>
    <w:p w14:paraId="4008B36A" w14:textId="77777777" w:rsidR="00374D2C" w:rsidRPr="00520AA3" w:rsidRDefault="00374D2C" w:rsidP="00374D2C">
      <w:pPr>
        <w:pStyle w:val="BodyText"/>
        <w:rPr>
          <w:rStyle w:val="Boldword"/>
          <w:b w:val="0"/>
          <w:color w:val="auto"/>
        </w:rPr>
      </w:pPr>
      <w:r w:rsidRPr="00B81BD5">
        <w:rPr>
          <w:rStyle w:val="Boldword"/>
        </w:rPr>
        <w:t>This simple analysis demonstrates that more of the variation in costs per EFTSL appears to be driven by differences between fields of education rather than systematic differences in cost</w:t>
      </w:r>
      <w:r>
        <w:rPr>
          <w:rStyle w:val="Boldword"/>
        </w:rPr>
        <w:t xml:space="preserve">s per EFTSL across universities. </w:t>
      </w:r>
      <w:r w:rsidR="008603DD" w:rsidRPr="005F2DE1">
        <w:rPr>
          <w:rStyle w:val="Boldword"/>
          <w:b w:val="0"/>
          <w:color w:val="auto"/>
        </w:rPr>
        <w:t>However</w:t>
      </w:r>
      <w:r w:rsidRPr="00697FB0">
        <w:rPr>
          <w:rStyle w:val="Boldword"/>
          <w:b w:val="0"/>
          <w:color w:val="auto"/>
        </w:rPr>
        <w:t>, while there is limited evidence of systematic differences in overall cost per EFTSL across universities taken across all fields of stu</w:t>
      </w:r>
      <w:r w:rsidRPr="00327AA3">
        <w:rPr>
          <w:rStyle w:val="Boldword"/>
          <w:b w:val="0"/>
          <w:color w:val="auto"/>
        </w:rPr>
        <w:t xml:space="preserve">dy, the analysis in Chapter 3 indicates that there </w:t>
      </w:r>
      <w:r w:rsidR="008603DD" w:rsidRPr="00327AA3">
        <w:rPr>
          <w:rStyle w:val="Boldword"/>
          <w:b w:val="0"/>
          <w:color w:val="auto"/>
        </w:rPr>
        <w:t>remains</w:t>
      </w:r>
      <w:r w:rsidRPr="00520AA3">
        <w:rPr>
          <w:rStyle w:val="Boldword"/>
          <w:b w:val="0"/>
          <w:color w:val="auto"/>
        </w:rPr>
        <w:t xml:space="preserve"> significant variation between universities at the field of education level. </w:t>
      </w:r>
    </w:p>
    <w:p w14:paraId="28D7BD34" w14:textId="77777777" w:rsidR="00374D2C" w:rsidRPr="00552614" w:rsidRDefault="00374D2C" w:rsidP="00374D2C">
      <w:pPr>
        <w:pStyle w:val="BodyText"/>
        <w:rPr>
          <w:rStyle w:val="Boldword"/>
          <w:b w:val="0"/>
          <w:color w:val="auto"/>
        </w:rPr>
      </w:pPr>
      <w:r w:rsidRPr="008A079E">
        <w:rPr>
          <w:rStyle w:val="Boldword"/>
          <w:b w:val="0"/>
          <w:color w:val="auto"/>
        </w:rPr>
        <w:t>In some ways, this finding is unsurprising. In a r</w:t>
      </w:r>
      <w:r w:rsidRPr="00552614">
        <w:rPr>
          <w:rStyle w:val="Boldword"/>
          <w:b w:val="0"/>
          <w:color w:val="auto"/>
        </w:rPr>
        <w:t>egulated funding environment</w:t>
      </w:r>
      <w:r w:rsidRPr="002F7347">
        <w:rPr>
          <w:rStyle w:val="Boldword"/>
          <w:b w:val="0"/>
          <w:color w:val="auto"/>
        </w:rPr>
        <w:t xml:space="preserve"> there may be </w:t>
      </w:r>
      <w:r>
        <w:rPr>
          <w:rStyle w:val="Boldword"/>
          <w:b w:val="0"/>
          <w:color w:val="auto"/>
        </w:rPr>
        <w:t xml:space="preserve">limited scope for universities to have substantially higher overall costs per EFTSL </w:t>
      </w:r>
      <w:r w:rsidR="00053BEC">
        <w:rPr>
          <w:rStyle w:val="Boldword"/>
          <w:b w:val="0"/>
          <w:color w:val="auto"/>
        </w:rPr>
        <w:t>across all fields of education</w:t>
      </w:r>
      <w:r>
        <w:rPr>
          <w:rStyle w:val="Boldword"/>
          <w:b w:val="0"/>
          <w:color w:val="auto"/>
        </w:rPr>
        <w:t>.</w:t>
      </w:r>
      <w:r>
        <w:rPr>
          <w:rStyle w:val="FootnoteReference"/>
          <w:lang w:eastAsia="en-AU"/>
        </w:rPr>
        <w:footnoteReference w:id="22"/>
      </w:r>
      <w:r>
        <w:rPr>
          <w:rStyle w:val="Boldword"/>
          <w:b w:val="0"/>
          <w:color w:val="auto"/>
        </w:rPr>
        <w:t xml:space="preserve"> However, individual universities may choose to invest different</w:t>
      </w:r>
      <w:r w:rsidR="008603DD">
        <w:rPr>
          <w:rStyle w:val="Boldword"/>
          <w:b w:val="0"/>
          <w:color w:val="auto"/>
        </w:rPr>
        <w:t>ly</w:t>
      </w:r>
      <w:r>
        <w:rPr>
          <w:rStyle w:val="Boldword"/>
          <w:b w:val="0"/>
          <w:color w:val="auto"/>
        </w:rPr>
        <w:t xml:space="preserve"> across individual fields of education, meaning that at </w:t>
      </w:r>
      <w:r w:rsidR="008603DD">
        <w:rPr>
          <w:rStyle w:val="Boldword"/>
          <w:b w:val="0"/>
          <w:color w:val="auto"/>
        </w:rPr>
        <w:t xml:space="preserve">the field </w:t>
      </w:r>
      <w:r>
        <w:rPr>
          <w:rStyle w:val="Boldword"/>
          <w:b w:val="0"/>
          <w:color w:val="auto"/>
        </w:rPr>
        <w:t xml:space="preserve">level there </w:t>
      </w:r>
      <w:r w:rsidR="008603DD">
        <w:rPr>
          <w:rStyle w:val="Boldword"/>
          <w:b w:val="0"/>
          <w:color w:val="auto"/>
        </w:rPr>
        <w:t>may still be</w:t>
      </w:r>
      <w:r>
        <w:rPr>
          <w:rStyle w:val="Boldword"/>
          <w:b w:val="0"/>
          <w:color w:val="auto"/>
        </w:rPr>
        <w:t xml:space="preserve"> significant variations in cost across universities. </w:t>
      </w:r>
    </w:p>
    <w:p w14:paraId="7782499B" w14:textId="77777777" w:rsidR="00374D2C" w:rsidRPr="007330CB" w:rsidRDefault="00374D2C" w:rsidP="00374D2C">
      <w:pPr>
        <w:spacing w:before="240" w:after="240"/>
        <w:jc w:val="both"/>
        <w:rPr>
          <w:rStyle w:val="Boldword"/>
          <w:b w:val="0"/>
          <w:color w:val="auto"/>
        </w:rPr>
      </w:pPr>
      <w:r>
        <w:rPr>
          <w:rStyle w:val="Boldword"/>
          <w:b w:val="0"/>
          <w:color w:val="auto"/>
        </w:rPr>
        <w:t xml:space="preserve">The coefficient estimates for fields of education in Table 5.1 reflect the pattern in cost per EFTSL observed in, for example, </w:t>
      </w:r>
      <w:r>
        <w:rPr>
          <w:rStyle w:val="Boldword"/>
          <w:b w:val="0"/>
          <w:color w:val="auto"/>
        </w:rPr>
        <w:fldChar w:fldCharType="begin"/>
      </w:r>
      <w:r>
        <w:rPr>
          <w:rStyle w:val="Boldword"/>
          <w:b w:val="0"/>
          <w:color w:val="auto"/>
        </w:rPr>
        <w:instrText xml:space="preserve"> REF _Ref465875640 \r \h  \* MERGEFORMAT </w:instrText>
      </w:r>
      <w:r>
        <w:rPr>
          <w:rStyle w:val="Boldword"/>
          <w:b w:val="0"/>
          <w:color w:val="auto"/>
        </w:rPr>
      </w:r>
      <w:r>
        <w:rPr>
          <w:rStyle w:val="Boldword"/>
          <w:b w:val="0"/>
          <w:color w:val="auto"/>
        </w:rPr>
        <w:fldChar w:fldCharType="separate"/>
      </w:r>
      <w:r w:rsidR="00595C6E">
        <w:rPr>
          <w:rStyle w:val="Boldword"/>
          <w:b w:val="0"/>
          <w:color w:val="auto"/>
        </w:rPr>
        <w:t>Chart 3.3</w:t>
      </w:r>
      <w:r>
        <w:rPr>
          <w:rStyle w:val="Boldword"/>
          <w:b w:val="0"/>
          <w:color w:val="auto"/>
        </w:rPr>
        <w:fldChar w:fldCharType="end"/>
      </w:r>
      <w:r>
        <w:rPr>
          <w:rStyle w:val="Boldword"/>
          <w:b w:val="0"/>
          <w:color w:val="auto"/>
        </w:rPr>
        <w:t>.</w:t>
      </w:r>
      <w:r>
        <w:rPr>
          <w:rStyle w:val="Boldword"/>
          <w:b w:val="0"/>
        </w:rPr>
        <w:t xml:space="preserve">  </w:t>
      </w:r>
      <w:r w:rsidR="008603DD">
        <w:rPr>
          <w:rStyle w:val="Boldword"/>
          <w:b w:val="0"/>
          <w:color w:val="auto"/>
        </w:rPr>
        <w:t>Notably</w:t>
      </w:r>
      <w:r w:rsidRPr="00552614">
        <w:rPr>
          <w:rStyle w:val="Boldword"/>
          <w:b w:val="0"/>
          <w:color w:val="auto"/>
        </w:rPr>
        <w:t xml:space="preserve">, the coefficient estimates for most universities </w:t>
      </w:r>
      <w:r w:rsidRPr="002F7347">
        <w:rPr>
          <w:rStyle w:val="Boldword"/>
          <w:b w:val="0"/>
          <w:color w:val="auto"/>
        </w:rPr>
        <w:t xml:space="preserve">move closer to </w:t>
      </w:r>
      <w:r>
        <w:rPr>
          <w:rStyle w:val="Boldword"/>
          <w:b w:val="0"/>
          <w:color w:val="auto"/>
        </w:rPr>
        <w:t>zero</w:t>
      </w:r>
      <w:r w:rsidRPr="002F7347">
        <w:rPr>
          <w:rStyle w:val="Boldword"/>
          <w:b w:val="0"/>
          <w:color w:val="auto"/>
        </w:rPr>
        <w:t xml:space="preserve"> in column</w:t>
      </w:r>
      <w:r w:rsidR="008603DD">
        <w:rPr>
          <w:rStyle w:val="Boldword"/>
          <w:b w:val="0"/>
          <w:color w:val="auto"/>
        </w:rPr>
        <w:t xml:space="preserve"> 3</w:t>
      </w:r>
      <w:r>
        <w:rPr>
          <w:rStyle w:val="Boldword"/>
          <w:b w:val="0"/>
          <w:color w:val="auto"/>
        </w:rPr>
        <w:t xml:space="preserve">, which suggests that some differences in average costs across universities </w:t>
      </w:r>
      <w:r w:rsidR="008603DD">
        <w:rPr>
          <w:rStyle w:val="Boldword"/>
          <w:b w:val="0"/>
          <w:color w:val="auto"/>
        </w:rPr>
        <w:t>may be driven by differences in field enrolments.</w:t>
      </w:r>
    </w:p>
    <w:p w14:paraId="5C4EB7B8" w14:textId="09F15896" w:rsidR="00374D2C" w:rsidRDefault="00374D2C" w:rsidP="00FC3C09">
      <w:pPr>
        <w:pStyle w:val="CaptionTable"/>
        <w:numPr>
          <w:ilvl w:val="6"/>
          <w:numId w:val="32"/>
        </w:numPr>
      </w:pPr>
      <w:bookmarkStart w:id="279" w:name="_Toc469927395"/>
      <w:r>
        <w:t>: Fixed effects results: Total cost per EFTSL (</w:t>
      </w:r>
      <w:r w:rsidR="009F6F84">
        <w:t>b</w:t>
      </w:r>
      <w:r>
        <w:t>achelor level)</w:t>
      </w:r>
      <w:bookmarkEnd w:id="279"/>
      <w:r>
        <w:t xml:space="preserve"> </w:t>
      </w:r>
    </w:p>
    <w:tbl>
      <w:tblPr>
        <w:tblStyle w:val="TableAE"/>
        <w:tblW w:w="7371" w:type="dxa"/>
        <w:tblLayout w:type="fixed"/>
        <w:tblLook w:val="04A0" w:firstRow="1" w:lastRow="0" w:firstColumn="1" w:lastColumn="0" w:noHBand="0" w:noVBand="1"/>
      </w:tblPr>
      <w:tblGrid>
        <w:gridCol w:w="3401"/>
        <w:gridCol w:w="568"/>
        <w:gridCol w:w="679"/>
        <w:gridCol w:w="172"/>
        <w:gridCol w:w="1075"/>
        <w:gridCol w:w="59"/>
        <w:gridCol w:w="1417"/>
      </w:tblGrid>
      <w:tr w:rsidR="00374D2C" w:rsidRPr="0043650E" w14:paraId="324B79A7" w14:textId="77777777" w:rsidTr="00512092">
        <w:trPr>
          <w:cnfStyle w:val="100000000000" w:firstRow="1" w:lastRow="0" w:firstColumn="0" w:lastColumn="0" w:oddVBand="0" w:evenVBand="0" w:oddHBand="0" w:evenHBand="0" w:firstRowFirstColumn="0" w:firstRowLastColumn="0" w:lastRowFirstColumn="0" w:lastRowLastColumn="0"/>
          <w:tblHeader/>
        </w:trPr>
        <w:tc>
          <w:tcPr>
            <w:tcW w:w="3401" w:type="dxa"/>
          </w:tcPr>
          <w:p w14:paraId="52EAE3C9" w14:textId="77777777" w:rsidR="00374D2C" w:rsidRPr="0043650E" w:rsidRDefault="00374D2C" w:rsidP="00512092">
            <w:pPr>
              <w:pStyle w:val="TableHeadingCentre"/>
              <w:jc w:val="left"/>
              <w:rPr>
                <w:rFonts w:asciiTheme="minorHAnsi" w:hAnsiTheme="minorHAnsi"/>
                <w:sz w:val="20"/>
                <w:szCs w:val="18"/>
              </w:rPr>
            </w:pPr>
          </w:p>
        </w:tc>
        <w:tc>
          <w:tcPr>
            <w:tcW w:w="1247" w:type="dxa"/>
            <w:gridSpan w:val="2"/>
          </w:tcPr>
          <w:p w14:paraId="18317CF9" w14:textId="77777777" w:rsidR="00374D2C" w:rsidRDefault="00374D2C" w:rsidP="00512092">
            <w:pPr>
              <w:pStyle w:val="TableHeadingCentre"/>
              <w:tabs>
                <w:tab w:val="left" w:pos="240"/>
                <w:tab w:val="center" w:pos="611"/>
              </w:tabs>
              <w:rPr>
                <w:rFonts w:asciiTheme="minorHAnsi" w:hAnsiTheme="minorHAnsi"/>
                <w:sz w:val="20"/>
                <w:szCs w:val="18"/>
              </w:rPr>
            </w:pPr>
            <w:r>
              <w:rPr>
                <w:rFonts w:asciiTheme="minorHAnsi" w:hAnsiTheme="minorHAnsi"/>
                <w:sz w:val="20"/>
                <w:szCs w:val="18"/>
              </w:rPr>
              <w:t>Field only</w:t>
            </w:r>
          </w:p>
          <w:p w14:paraId="3D9425F6" w14:textId="77777777" w:rsidR="00374D2C" w:rsidRPr="0043650E" w:rsidRDefault="00374D2C" w:rsidP="00512092">
            <w:pPr>
              <w:pStyle w:val="TableHeadingCentre"/>
              <w:tabs>
                <w:tab w:val="left" w:pos="240"/>
                <w:tab w:val="center" w:pos="611"/>
              </w:tabs>
              <w:rPr>
                <w:rFonts w:asciiTheme="minorHAnsi" w:hAnsiTheme="minorHAnsi"/>
                <w:sz w:val="20"/>
                <w:szCs w:val="18"/>
              </w:rPr>
            </w:pPr>
            <w:r w:rsidRPr="0043650E">
              <w:rPr>
                <w:rFonts w:asciiTheme="minorHAnsi" w:hAnsiTheme="minorHAnsi"/>
                <w:sz w:val="20"/>
                <w:szCs w:val="18"/>
              </w:rPr>
              <w:t>(1)</w:t>
            </w:r>
          </w:p>
        </w:tc>
        <w:tc>
          <w:tcPr>
            <w:tcW w:w="1247" w:type="dxa"/>
            <w:gridSpan w:val="2"/>
          </w:tcPr>
          <w:p w14:paraId="77812F79" w14:textId="77777777" w:rsidR="00374D2C" w:rsidRDefault="00374D2C" w:rsidP="00512092">
            <w:pPr>
              <w:pStyle w:val="TableHeadingCentre"/>
              <w:rPr>
                <w:rFonts w:asciiTheme="minorHAnsi" w:hAnsiTheme="minorHAnsi"/>
                <w:sz w:val="20"/>
                <w:szCs w:val="18"/>
              </w:rPr>
            </w:pPr>
            <w:r>
              <w:rPr>
                <w:rFonts w:asciiTheme="minorHAnsi" w:hAnsiTheme="minorHAnsi"/>
                <w:sz w:val="20"/>
                <w:szCs w:val="18"/>
              </w:rPr>
              <w:t>Uni only</w:t>
            </w:r>
          </w:p>
          <w:p w14:paraId="32071E62" w14:textId="77777777" w:rsidR="00374D2C" w:rsidRPr="0043650E" w:rsidRDefault="00374D2C" w:rsidP="00512092">
            <w:pPr>
              <w:pStyle w:val="TableHeadingCentre"/>
              <w:rPr>
                <w:rFonts w:asciiTheme="minorHAnsi" w:hAnsiTheme="minorHAnsi"/>
                <w:sz w:val="20"/>
                <w:szCs w:val="18"/>
              </w:rPr>
            </w:pPr>
            <w:r w:rsidRPr="0043650E">
              <w:rPr>
                <w:rFonts w:asciiTheme="minorHAnsi" w:hAnsiTheme="minorHAnsi"/>
                <w:sz w:val="20"/>
                <w:szCs w:val="18"/>
              </w:rPr>
              <w:t>(2)</w:t>
            </w:r>
          </w:p>
        </w:tc>
        <w:tc>
          <w:tcPr>
            <w:tcW w:w="1476" w:type="dxa"/>
            <w:gridSpan w:val="2"/>
          </w:tcPr>
          <w:p w14:paraId="56255EF5" w14:textId="77777777" w:rsidR="00374D2C" w:rsidRDefault="00374D2C" w:rsidP="00512092">
            <w:pPr>
              <w:pStyle w:val="TableHeadingCentre"/>
              <w:rPr>
                <w:rFonts w:asciiTheme="minorHAnsi" w:hAnsiTheme="minorHAnsi"/>
                <w:sz w:val="20"/>
                <w:szCs w:val="18"/>
              </w:rPr>
            </w:pPr>
            <w:r>
              <w:rPr>
                <w:rFonts w:asciiTheme="minorHAnsi" w:hAnsiTheme="minorHAnsi"/>
                <w:sz w:val="20"/>
                <w:szCs w:val="18"/>
              </w:rPr>
              <w:t>Field and Uni</w:t>
            </w:r>
          </w:p>
          <w:p w14:paraId="72B8B02C" w14:textId="77777777" w:rsidR="00374D2C" w:rsidRPr="0043650E" w:rsidRDefault="00374D2C" w:rsidP="00512092">
            <w:pPr>
              <w:pStyle w:val="TableHeadingCentre"/>
              <w:rPr>
                <w:rFonts w:asciiTheme="minorHAnsi" w:hAnsiTheme="minorHAnsi"/>
                <w:sz w:val="20"/>
                <w:szCs w:val="18"/>
              </w:rPr>
            </w:pPr>
            <w:r w:rsidRPr="0043650E">
              <w:rPr>
                <w:rFonts w:asciiTheme="minorHAnsi" w:hAnsiTheme="minorHAnsi"/>
                <w:sz w:val="20"/>
                <w:szCs w:val="18"/>
              </w:rPr>
              <w:t>(3)</w:t>
            </w:r>
          </w:p>
        </w:tc>
      </w:tr>
      <w:tr w:rsidR="00374D2C" w:rsidRPr="0043650E" w14:paraId="420E0718" w14:textId="77777777" w:rsidTr="00512092">
        <w:trPr>
          <w:gridAfter w:val="1"/>
          <w:wAfter w:w="1417" w:type="dxa"/>
        </w:trPr>
        <w:tc>
          <w:tcPr>
            <w:tcW w:w="4820" w:type="dxa"/>
            <w:gridSpan w:val="4"/>
          </w:tcPr>
          <w:p w14:paraId="1486C447" w14:textId="77777777" w:rsidR="00374D2C" w:rsidRPr="0043650E" w:rsidRDefault="00374D2C" w:rsidP="00512092">
            <w:pPr>
              <w:pStyle w:val="TabletextLeft"/>
              <w:spacing w:before="0"/>
              <w:rPr>
                <w:rFonts w:asciiTheme="minorHAnsi" w:hAnsiTheme="minorHAnsi"/>
                <w:sz w:val="18"/>
                <w:szCs w:val="18"/>
              </w:rPr>
            </w:pPr>
            <w:r w:rsidRPr="0043650E">
              <w:rPr>
                <w:rFonts w:asciiTheme="minorHAnsi" w:hAnsiTheme="minorHAnsi"/>
                <w:i/>
                <w:sz w:val="18"/>
                <w:szCs w:val="18"/>
              </w:rPr>
              <w:t>Field fixed effects: omitted category Mathematical science</w:t>
            </w:r>
          </w:p>
        </w:tc>
        <w:tc>
          <w:tcPr>
            <w:tcW w:w="1134" w:type="dxa"/>
            <w:gridSpan w:val="2"/>
          </w:tcPr>
          <w:p w14:paraId="11248BA6" w14:textId="77777777" w:rsidR="00374D2C" w:rsidRPr="0043650E" w:rsidRDefault="00374D2C" w:rsidP="00512092">
            <w:pPr>
              <w:pStyle w:val="TabletextLeft"/>
              <w:spacing w:before="0"/>
              <w:jc w:val="center"/>
              <w:rPr>
                <w:rFonts w:asciiTheme="minorHAnsi" w:hAnsiTheme="minorHAnsi"/>
                <w:sz w:val="18"/>
                <w:szCs w:val="18"/>
              </w:rPr>
            </w:pPr>
          </w:p>
        </w:tc>
      </w:tr>
      <w:tr w:rsidR="00374D2C" w:rsidRPr="0043650E" w14:paraId="47CD72D5" w14:textId="77777777" w:rsidTr="00512092">
        <w:tc>
          <w:tcPr>
            <w:tcW w:w="3401" w:type="dxa"/>
          </w:tcPr>
          <w:p w14:paraId="2F32E881" w14:textId="77777777" w:rsidR="00374D2C" w:rsidRPr="0043650E" w:rsidRDefault="00374D2C" w:rsidP="00512092">
            <w:pPr>
              <w:pStyle w:val="TabletextLeft"/>
              <w:spacing w:before="0"/>
              <w:rPr>
                <w:rFonts w:asciiTheme="minorHAnsi" w:hAnsiTheme="minorHAnsi"/>
                <w:sz w:val="18"/>
                <w:szCs w:val="18"/>
              </w:rPr>
            </w:pPr>
            <w:r w:rsidRPr="0043650E">
              <w:rPr>
                <w:rFonts w:asciiTheme="minorHAnsi" w:hAnsiTheme="minorHAnsi"/>
                <w:sz w:val="18"/>
                <w:szCs w:val="18"/>
              </w:rPr>
              <w:t>Medical science</w:t>
            </w:r>
          </w:p>
        </w:tc>
        <w:tc>
          <w:tcPr>
            <w:tcW w:w="1247" w:type="dxa"/>
            <w:gridSpan w:val="2"/>
          </w:tcPr>
          <w:p w14:paraId="4F0E6CF6" w14:textId="77777777" w:rsidR="00374D2C" w:rsidRPr="0095497E" w:rsidRDefault="00374D2C" w:rsidP="00512092">
            <w:pPr>
              <w:jc w:val="center"/>
              <w:rPr>
                <w:rFonts w:asciiTheme="minorHAnsi" w:hAnsiTheme="minorHAnsi"/>
                <w:color w:val="000000"/>
                <w:sz w:val="18"/>
                <w:szCs w:val="18"/>
                <w:lang w:eastAsia="en-AU"/>
              </w:rPr>
            </w:pPr>
            <w:r w:rsidRPr="007D780F">
              <w:rPr>
                <w:sz w:val="18"/>
                <w:szCs w:val="18"/>
              </w:rPr>
              <w:t>0.400***</w:t>
            </w:r>
          </w:p>
        </w:tc>
        <w:tc>
          <w:tcPr>
            <w:tcW w:w="1247" w:type="dxa"/>
            <w:gridSpan w:val="2"/>
          </w:tcPr>
          <w:p w14:paraId="7776F9DF" w14:textId="77777777" w:rsidR="00374D2C" w:rsidRPr="0095497E" w:rsidRDefault="00374D2C" w:rsidP="00512092">
            <w:pPr>
              <w:jc w:val="center"/>
              <w:rPr>
                <w:rFonts w:asciiTheme="minorHAnsi" w:hAnsiTheme="minorHAnsi"/>
                <w:color w:val="000000"/>
                <w:sz w:val="18"/>
                <w:szCs w:val="18"/>
              </w:rPr>
            </w:pPr>
          </w:p>
        </w:tc>
        <w:tc>
          <w:tcPr>
            <w:tcW w:w="1476" w:type="dxa"/>
            <w:gridSpan w:val="2"/>
          </w:tcPr>
          <w:p w14:paraId="2A5CDE6B" w14:textId="77777777" w:rsidR="00374D2C" w:rsidRPr="0095497E" w:rsidRDefault="00374D2C" w:rsidP="00512092">
            <w:pPr>
              <w:jc w:val="center"/>
              <w:rPr>
                <w:rFonts w:asciiTheme="minorHAnsi" w:hAnsiTheme="minorHAnsi"/>
                <w:color w:val="000000"/>
                <w:sz w:val="18"/>
                <w:szCs w:val="18"/>
              </w:rPr>
            </w:pPr>
            <w:r w:rsidRPr="007D780F">
              <w:rPr>
                <w:sz w:val="18"/>
                <w:szCs w:val="18"/>
              </w:rPr>
              <w:t>0.391***</w:t>
            </w:r>
          </w:p>
        </w:tc>
      </w:tr>
      <w:tr w:rsidR="00374D2C" w:rsidRPr="0043650E" w14:paraId="5418DCD1" w14:textId="77777777" w:rsidTr="00512092">
        <w:tc>
          <w:tcPr>
            <w:tcW w:w="3401" w:type="dxa"/>
          </w:tcPr>
          <w:p w14:paraId="2FBB258E" w14:textId="77777777" w:rsidR="00374D2C" w:rsidRPr="0043650E" w:rsidRDefault="00374D2C" w:rsidP="00512092">
            <w:pPr>
              <w:pStyle w:val="TabletextLeft"/>
              <w:spacing w:before="0"/>
              <w:rPr>
                <w:rFonts w:asciiTheme="minorHAnsi" w:hAnsiTheme="minorHAnsi"/>
                <w:sz w:val="18"/>
                <w:szCs w:val="18"/>
              </w:rPr>
            </w:pPr>
            <w:r w:rsidRPr="0043650E">
              <w:rPr>
                <w:rFonts w:asciiTheme="minorHAnsi" w:hAnsiTheme="minorHAnsi"/>
                <w:sz w:val="18"/>
                <w:szCs w:val="18"/>
              </w:rPr>
              <w:t>Other sciences</w:t>
            </w:r>
          </w:p>
        </w:tc>
        <w:tc>
          <w:tcPr>
            <w:tcW w:w="1247" w:type="dxa"/>
            <w:gridSpan w:val="2"/>
          </w:tcPr>
          <w:p w14:paraId="399C79B3" w14:textId="77777777" w:rsidR="00374D2C" w:rsidRPr="0095497E" w:rsidRDefault="00374D2C" w:rsidP="00512092">
            <w:pPr>
              <w:jc w:val="center"/>
              <w:rPr>
                <w:rFonts w:asciiTheme="minorHAnsi" w:hAnsiTheme="minorHAnsi"/>
                <w:color w:val="000000"/>
                <w:sz w:val="18"/>
                <w:szCs w:val="18"/>
              </w:rPr>
            </w:pPr>
            <w:r w:rsidRPr="007D780F">
              <w:rPr>
                <w:sz w:val="18"/>
                <w:szCs w:val="18"/>
              </w:rPr>
              <w:t>0.268***</w:t>
            </w:r>
          </w:p>
        </w:tc>
        <w:tc>
          <w:tcPr>
            <w:tcW w:w="1247" w:type="dxa"/>
            <w:gridSpan w:val="2"/>
          </w:tcPr>
          <w:p w14:paraId="42F59BF2" w14:textId="77777777" w:rsidR="00374D2C" w:rsidRPr="0095497E" w:rsidRDefault="00374D2C" w:rsidP="00512092">
            <w:pPr>
              <w:jc w:val="center"/>
              <w:rPr>
                <w:rFonts w:asciiTheme="minorHAnsi" w:hAnsiTheme="minorHAnsi"/>
                <w:color w:val="000000"/>
                <w:sz w:val="18"/>
                <w:szCs w:val="18"/>
              </w:rPr>
            </w:pPr>
          </w:p>
        </w:tc>
        <w:tc>
          <w:tcPr>
            <w:tcW w:w="1476" w:type="dxa"/>
            <w:gridSpan w:val="2"/>
          </w:tcPr>
          <w:p w14:paraId="636C7D89" w14:textId="77777777" w:rsidR="00374D2C" w:rsidRPr="0095497E" w:rsidRDefault="00374D2C" w:rsidP="00512092">
            <w:pPr>
              <w:jc w:val="center"/>
              <w:rPr>
                <w:rFonts w:asciiTheme="minorHAnsi" w:hAnsiTheme="minorHAnsi"/>
                <w:color w:val="000000"/>
                <w:sz w:val="18"/>
                <w:szCs w:val="18"/>
              </w:rPr>
            </w:pPr>
            <w:r w:rsidRPr="007D780F">
              <w:rPr>
                <w:sz w:val="18"/>
                <w:szCs w:val="18"/>
              </w:rPr>
              <w:t>0.268***</w:t>
            </w:r>
          </w:p>
        </w:tc>
      </w:tr>
      <w:tr w:rsidR="00374D2C" w:rsidRPr="0043650E" w14:paraId="783399B0" w14:textId="77777777" w:rsidTr="00512092">
        <w:tc>
          <w:tcPr>
            <w:tcW w:w="3401" w:type="dxa"/>
          </w:tcPr>
          <w:p w14:paraId="58DC14EB" w14:textId="77777777" w:rsidR="00374D2C" w:rsidRPr="0043650E" w:rsidRDefault="00374D2C" w:rsidP="00512092">
            <w:pPr>
              <w:pStyle w:val="TabletextLeft"/>
              <w:spacing w:before="0"/>
              <w:rPr>
                <w:rFonts w:asciiTheme="minorHAnsi" w:hAnsiTheme="minorHAnsi"/>
                <w:sz w:val="18"/>
                <w:szCs w:val="18"/>
              </w:rPr>
            </w:pPr>
            <w:r w:rsidRPr="0043650E">
              <w:rPr>
                <w:rFonts w:asciiTheme="minorHAnsi" w:hAnsiTheme="minorHAnsi"/>
                <w:sz w:val="18"/>
                <w:szCs w:val="18"/>
              </w:rPr>
              <w:t>Information technology</w:t>
            </w:r>
          </w:p>
        </w:tc>
        <w:tc>
          <w:tcPr>
            <w:tcW w:w="1247" w:type="dxa"/>
            <w:gridSpan w:val="2"/>
          </w:tcPr>
          <w:p w14:paraId="0E1B50CB" w14:textId="77777777" w:rsidR="00374D2C" w:rsidRPr="0095497E" w:rsidRDefault="00374D2C" w:rsidP="00512092">
            <w:pPr>
              <w:jc w:val="center"/>
              <w:rPr>
                <w:rFonts w:asciiTheme="minorHAnsi" w:hAnsiTheme="minorHAnsi"/>
                <w:color w:val="000000"/>
                <w:sz w:val="18"/>
                <w:szCs w:val="18"/>
              </w:rPr>
            </w:pPr>
            <w:r w:rsidRPr="007D780F">
              <w:rPr>
                <w:sz w:val="18"/>
                <w:szCs w:val="18"/>
              </w:rPr>
              <w:t>0.158</w:t>
            </w:r>
          </w:p>
        </w:tc>
        <w:tc>
          <w:tcPr>
            <w:tcW w:w="1247" w:type="dxa"/>
            <w:gridSpan w:val="2"/>
          </w:tcPr>
          <w:p w14:paraId="48F731EB" w14:textId="77777777" w:rsidR="00374D2C" w:rsidRPr="0095497E" w:rsidRDefault="00374D2C" w:rsidP="00512092">
            <w:pPr>
              <w:jc w:val="center"/>
              <w:rPr>
                <w:rFonts w:asciiTheme="minorHAnsi" w:hAnsiTheme="minorHAnsi"/>
                <w:color w:val="000000"/>
                <w:sz w:val="18"/>
                <w:szCs w:val="18"/>
              </w:rPr>
            </w:pPr>
          </w:p>
        </w:tc>
        <w:tc>
          <w:tcPr>
            <w:tcW w:w="1476" w:type="dxa"/>
            <w:gridSpan w:val="2"/>
          </w:tcPr>
          <w:p w14:paraId="4E42EAB9" w14:textId="77777777" w:rsidR="00374D2C" w:rsidRPr="0095497E" w:rsidRDefault="00374D2C" w:rsidP="00512092">
            <w:pPr>
              <w:jc w:val="center"/>
              <w:rPr>
                <w:rFonts w:asciiTheme="minorHAnsi" w:hAnsiTheme="minorHAnsi"/>
                <w:color w:val="000000"/>
                <w:sz w:val="18"/>
                <w:szCs w:val="18"/>
              </w:rPr>
            </w:pPr>
            <w:r w:rsidRPr="007D780F">
              <w:rPr>
                <w:sz w:val="18"/>
                <w:szCs w:val="18"/>
              </w:rPr>
              <w:t>0.158</w:t>
            </w:r>
          </w:p>
        </w:tc>
      </w:tr>
      <w:tr w:rsidR="00374D2C" w:rsidRPr="0043650E" w14:paraId="57C73F13" w14:textId="77777777" w:rsidTr="00512092">
        <w:tc>
          <w:tcPr>
            <w:tcW w:w="3401" w:type="dxa"/>
          </w:tcPr>
          <w:p w14:paraId="6E9BF703" w14:textId="77777777" w:rsidR="00374D2C" w:rsidRPr="0043650E" w:rsidRDefault="00374D2C" w:rsidP="00512092">
            <w:pPr>
              <w:pStyle w:val="TabletextLeft"/>
              <w:spacing w:before="0"/>
              <w:rPr>
                <w:rFonts w:asciiTheme="minorHAnsi" w:hAnsiTheme="minorHAnsi"/>
                <w:sz w:val="18"/>
                <w:szCs w:val="18"/>
              </w:rPr>
            </w:pPr>
            <w:r w:rsidRPr="0043650E">
              <w:rPr>
                <w:rFonts w:asciiTheme="minorHAnsi" w:hAnsiTheme="minorHAnsi"/>
                <w:sz w:val="18"/>
                <w:szCs w:val="18"/>
              </w:rPr>
              <w:t>Engineering</w:t>
            </w:r>
          </w:p>
        </w:tc>
        <w:tc>
          <w:tcPr>
            <w:tcW w:w="1247" w:type="dxa"/>
            <w:gridSpan w:val="2"/>
          </w:tcPr>
          <w:p w14:paraId="70601484" w14:textId="77777777" w:rsidR="00374D2C" w:rsidRPr="0095497E" w:rsidRDefault="00374D2C" w:rsidP="00512092">
            <w:pPr>
              <w:jc w:val="center"/>
              <w:rPr>
                <w:rFonts w:asciiTheme="minorHAnsi" w:hAnsiTheme="minorHAnsi"/>
                <w:color w:val="000000"/>
                <w:sz w:val="18"/>
                <w:szCs w:val="18"/>
              </w:rPr>
            </w:pPr>
            <w:r w:rsidRPr="007D780F">
              <w:rPr>
                <w:sz w:val="18"/>
                <w:szCs w:val="18"/>
              </w:rPr>
              <w:t>0.396***</w:t>
            </w:r>
          </w:p>
        </w:tc>
        <w:tc>
          <w:tcPr>
            <w:tcW w:w="1247" w:type="dxa"/>
            <w:gridSpan w:val="2"/>
          </w:tcPr>
          <w:p w14:paraId="30FFF17B" w14:textId="77777777" w:rsidR="00374D2C" w:rsidRPr="0095497E" w:rsidRDefault="00374D2C" w:rsidP="00512092">
            <w:pPr>
              <w:jc w:val="center"/>
              <w:rPr>
                <w:rFonts w:asciiTheme="minorHAnsi" w:hAnsiTheme="minorHAnsi"/>
                <w:color w:val="000000"/>
                <w:sz w:val="18"/>
                <w:szCs w:val="18"/>
              </w:rPr>
            </w:pPr>
          </w:p>
        </w:tc>
        <w:tc>
          <w:tcPr>
            <w:tcW w:w="1476" w:type="dxa"/>
            <w:gridSpan w:val="2"/>
          </w:tcPr>
          <w:p w14:paraId="65DFDA51" w14:textId="77777777" w:rsidR="00374D2C" w:rsidRPr="0095497E" w:rsidRDefault="00374D2C" w:rsidP="00512092">
            <w:pPr>
              <w:jc w:val="center"/>
              <w:rPr>
                <w:rFonts w:asciiTheme="minorHAnsi" w:hAnsiTheme="minorHAnsi"/>
                <w:color w:val="000000"/>
                <w:sz w:val="18"/>
                <w:szCs w:val="18"/>
              </w:rPr>
            </w:pPr>
            <w:r w:rsidRPr="007D780F">
              <w:rPr>
                <w:sz w:val="18"/>
                <w:szCs w:val="18"/>
              </w:rPr>
              <w:t>0.396***</w:t>
            </w:r>
          </w:p>
        </w:tc>
      </w:tr>
      <w:tr w:rsidR="00374D2C" w:rsidRPr="0043650E" w14:paraId="77F9CC37" w14:textId="77777777" w:rsidTr="00512092">
        <w:tc>
          <w:tcPr>
            <w:tcW w:w="3401" w:type="dxa"/>
          </w:tcPr>
          <w:p w14:paraId="11CB9A17" w14:textId="77777777" w:rsidR="00374D2C" w:rsidRPr="0043650E" w:rsidRDefault="00374D2C" w:rsidP="00512092">
            <w:pPr>
              <w:pStyle w:val="TabletextLeft"/>
              <w:spacing w:before="0"/>
              <w:rPr>
                <w:rFonts w:asciiTheme="minorHAnsi" w:hAnsiTheme="minorHAnsi"/>
                <w:sz w:val="18"/>
                <w:szCs w:val="18"/>
              </w:rPr>
            </w:pPr>
            <w:r w:rsidRPr="0043650E">
              <w:rPr>
                <w:rFonts w:asciiTheme="minorHAnsi" w:hAnsiTheme="minorHAnsi"/>
                <w:sz w:val="18"/>
                <w:szCs w:val="18"/>
              </w:rPr>
              <w:t>Architecture</w:t>
            </w:r>
          </w:p>
        </w:tc>
        <w:tc>
          <w:tcPr>
            <w:tcW w:w="1247" w:type="dxa"/>
            <w:gridSpan w:val="2"/>
          </w:tcPr>
          <w:p w14:paraId="4AE32432" w14:textId="77777777" w:rsidR="00374D2C" w:rsidRPr="0095497E" w:rsidRDefault="00374D2C" w:rsidP="00512092">
            <w:pPr>
              <w:jc w:val="center"/>
              <w:rPr>
                <w:rFonts w:asciiTheme="minorHAnsi" w:hAnsiTheme="minorHAnsi"/>
                <w:color w:val="000000"/>
                <w:sz w:val="18"/>
                <w:szCs w:val="18"/>
              </w:rPr>
            </w:pPr>
            <w:r w:rsidRPr="007D780F">
              <w:rPr>
                <w:sz w:val="18"/>
                <w:szCs w:val="18"/>
              </w:rPr>
              <w:t>0.249**</w:t>
            </w:r>
          </w:p>
        </w:tc>
        <w:tc>
          <w:tcPr>
            <w:tcW w:w="1247" w:type="dxa"/>
            <w:gridSpan w:val="2"/>
          </w:tcPr>
          <w:p w14:paraId="06F062B7" w14:textId="77777777" w:rsidR="00374D2C" w:rsidRPr="0095497E" w:rsidRDefault="00374D2C" w:rsidP="00512092">
            <w:pPr>
              <w:jc w:val="center"/>
              <w:rPr>
                <w:rFonts w:asciiTheme="minorHAnsi" w:hAnsiTheme="minorHAnsi"/>
                <w:color w:val="000000"/>
                <w:sz w:val="18"/>
                <w:szCs w:val="18"/>
              </w:rPr>
            </w:pPr>
          </w:p>
        </w:tc>
        <w:tc>
          <w:tcPr>
            <w:tcW w:w="1476" w:type="dxa"/>
            <w:gridSpan w:val="2"/>
          </w:tcPr>
          <w:p w14:paraId="4F07C412" w14:textId="77777777" w:rsidR="00374D2C" w:rsidRPr="0095497E" w:rsidRDefault="00374D2C" w:rsidP="00512092">
            <w:pPr>
              <w:jc w:val="center"/>
              <w:rPr>
                <w:rFonts w:asciiTheme="minorHAnsi" w:hAnsiTheme="minorHAnsi"/>
                <w:color w:val="000000"/>
                <w:sz w:val="18"/>
                <w:szCs w:val="18"/>
              </w:rPr>
            </w:pPr>
            <w:r w:rsidRPr="007D780F">
              <w:rPr>
                <w:sz w:val="18"/>
                <w:szCs w:val="18"/>
              </w:rPr>
              <w:t>0.248**</w:t>
            </w:r>
          </w:p>
        </w:tc>
      </w:tr>
      <w:tr w:rsidR="00374D2C" w:rsidRPr="0043650E" w14:paraId="6AE59618" w14:textId="77777777" w:rsidTr="00512092">
        <w:tc>
          <w:tcPr>
            <w:tcW w:w="3401" w:type="dxa"/>
          </w:tcPr>
          <w:p w14:paraId="451C467A" w14:textId="77777777" w:rsidR="00374D2C" w:rsidRPr="0043650E" w:rsidRDefault="00374D2C" w:rsidP="00512092">
            <w:pPr>
              <w:pStyle w:val="TabletextLeft"/>
              <w:spacing w:before="0"/>
              <w:rPr>
                <w:rFonts w:asciiTheme="minorHAnsi" w:hAnsiTheme="minorHAnsi"/>
                <w:sz w:val="18"/>
                <w:szCs w:val="18"/>
              </w:rPr>
            </w:pPr>
            <w:r w:rsidRPr="0043650E">
              <w:rPr>
                <w:rFonts w:asciiTheme="minorHAnsi" w:hAnsiTheme="minorHAnsi"/>
                <w:sz w:val="18"/>
                <w:szCs w:val="18"/>
              </w:rPr>
              <w:t>Environmental science</w:t>
            </w:r>
          </w:p>
        </w:tc>
        <w:tc>
          <w:tcPr>
            <w:tcW w:w="1247" w:type="dxa"/>
            <w:gridSpan w:val="2"/>
          </w:tcPr>
          <w:p w14:paraId="68C890C2" w14:textId="77777777" w:rsidR="00374D2C" w:rsidRPr="0095497E" w:rsidRDefault="00374D2C" w:rsidP="00512092">
            <w:pPr>
              <w:jc w:val="center"/>
              <w:rPr>
                <w:rFonts w:asciiTheme="minorHAnsi" w:hAnsiTheme="minorHAnsi"/>
                <w:color w:val="000000"/>
                <w:sz w:val="18"/>
                <w:szCs w:val="18"/>
              </w:rPr>
            </w:pPr>
            <w:r w:rsidRPr="007D780F">
              <w:rPr>
                <w:sz w:val="18"/>
                <w:szCs w:val="18"/>
              </w:rPr>
              <w:t>0.373***</w:t>
            </w:r>
          </w:p>
        </w:tc>
        <w:tc>
          <w:tcPr>
            <w:tcW w:w="1247" w:type="dxa"/>
            <w:gridSpan w:val="2"/>
          </w:tcPr>
          <w:p w14:paraId="71664587" w14:textId="77777777" w:rsidR="00374D2C" w:rsidRPr="0095497E" w:rsidRDefault="00374D2C" w:rsidP="00512092">
            <w:pPr>
              <w:jc w:val="center"/>
              <w:rPr>
                <w:rFonts w:asciiTheme="minorHAnsi" w:hAnsiTheme="minorHAnsi"/>
                <w:color w:val="000000"/>
                <w:sz w:val="18"/>
                <w:szCs w:val="18"/>
              </w:rPr>
            </w:pPr>
          </w:p>
        </w:tc>
        <w:tc>
          <w:tcPr>
            <w:tcW w:w="1476" w:type="dxa"/>
            <w:gridSpan w:val="2"/>
          </w:tcPr>
          <w:p w14:paraId="7B865130" w14:textId="77777777" w:rsidR="00374D2C" w:rsidRPr="0095497E" w:rsidRDefault="00374D2C" w:rsidP="00512092">
            <w:pPr>
              <w:jc w:val="center"/>
              <w:rPr>
                <w:rFonts w:asciiTheme="minorHAnsi" w:hAnsiTheme="minorHAnsi"/>
                <w:color w:val="000000"/>
                <w:sz w:val="18"/>
                <w:szCs w:val="18"/>
              </w:rPr>
            </w:pPr>
            <w:r w:rsidRPr="007D780F">
              <w:rPr>
                <w:sz w:val="18"/>
                <w:szCs w:val="18"/>
              </w:rPr>
              <w:t>0.373***</w:t>
            </w:r>
          </w:p>
        </w:tc>
      </w:tr>
      <w:tr w:rsidR="00374D2C" w:rsidRPr="0043650E" w14:paraId="384B9F12" w14:textId="77777777" w:rsidTr="00512092">
        <w:tc>
          <w:tcPr>
            <w:tcW w:w="3401" w:type="dxa"/>
          </w:tcPr>
          <w:p w14:paraId="04BC1A12" w14:textId="77777777" w:rsidR="00374D2C" w:rsidRPr="0043650E" w:rsidRDefault="00374D2C" w:rsidP="00512092">
            <w:pPr>
              <w:pStyle w:val="TabletextLeft"/>
              <w:spacing w:before="0"/>
              <w:rPr>
                <w:rFonts w:asciiTheme="minorHAnsi" w:hAnsiTheme="minorHAnsi"/>
                <w:sz w:val="18"/>
                <w:szCs w:val="18"/>
              </w:rPr>
            </w:pPr>
            <w:r w:rsidRPr="0043650E">
              <w:rPr>
                <w:rFonts w:asciiTheme="minorHAnsi" w:hAnsiTheme="minorHAnsi"/>
                <w:sz w:val="18"/>
                <w:szCs w:val="18"/>
              </w:rPr>
              <w:t>Agriculture and related studies</w:t>
            </w:r>
          </w:p>
        </w:tc>
        <w:tc>
          <w:tcPr>
            <w:tcW w:w="1247" w:type="dxa"/>
            <w:gridSpan w:val="2"/>
          </w:tcPr>
          <w:p w14:paraId="3F40E80D" w14:textId="77777777" w:rsidR="00374D2C" w:rsidRPr="0095497E" w:rsidRDefault="00374D2C" w:rsidP="00512092">
            <w:pPr>
              <w:jc w:val="center"/>
              <w:rPr>
                <w:rFonts w:asciiTheme="minorHAnsi" w:hAnsiTheme="minorHAnsi"/>
                <w:color w:val="000000"/>
                <w:sz w:val="18"/>
                <w:szCs w:val="18"/>
              </w:rPr>
            </w:pPr>
            <w:r w:rsidRPr="007D780F">
              <w:rPr>
                <w:sz w:val="18"/>
                <w:szCs w:val="18"/>
              </w:rPr>
              <w:t>0.678***</w:t>
            </w:r>
          </w:p>
        </w:tc>
        <w:tc>
          <w:tcPr>
            <w:tcW w:w="1247" w:type="dxa"/>
            <w:gridSpan w:val="2"/>
          </w:tcPr>
          <w:p w14:paraId="38130773" w14:textId="77777777" w:rsidR="00374D2C" w:rsidRPr="0095497E" w:rsidRDefault="00374D2C" w:rsidP="00512092">
            <w:pPr>
              <w:jc w:val="center"/>
              <w:rPr>
                <w:rFonts w:asciiTheme="minorHAnsi" w:hAnsiTheme="minorHAnsi"/>
                <w:color w:val="000000"/>
                <w:sz w:val="18"/>
                <w:szCs w:val="18"/>
              </w:rPr>
            </w:pPr>
          </w:p>
        </w:tc>
        <w:tc>
          <w:tcPr>
            <w:tcW w:w="1476" w:type="dxa"/>
            <w:gridSpan w:val="2"/>
          </w:tcPr>
          <w:p w14:paraId="4D11A09E" w14:textId="77777777" w:rsidR="00374D2C" w:rsidRPr="0095497E" w:rsidRDefault="00374D2C" w:rsidP="00512092">
            <w:pPr>
              <w:jc w:val="center"/>
              <w:rPr>
                <w:rFonts w:asciiTheme="minorHAnsi" w:hAnsiTheme="minorHAnsi"/>
                <w:color w:val="000000"/>
                <w:sz w:val="18"/>
                <w:szCs w:val="18"/>
              </w:rPr>
            </w:pPr>
            <w:r w:rsidRPr="007D780F">
              <w:rPr>
                <w:sz w:val="18"/>
                <w:szCs w:val="18"/>
              </w:rPr>
              <w:t>0.669***</w:t>
            </w:r>
          </w:p>
        </w:tc>
      </w:tr>
      <w:tr w:rsidR="00374D2C" w:rsidRPr="0043650E" w14:paraId="5F2217AC" w14:textId="77777777" w:rsidTr="00512092">
        <w:tc>
          <w:tcPr>
            <w:tcW w:w="3401" w:type="dxa"/>
          </w:tcPr>
          <w:p w14:paraId="48224EEE" w14:textId="77777777" w:rsidR="00374D2C" w:rsidRPr="0043650E" w:rsidRDefault="00374D2C" w:rsidP="00512092">
            <w:pPr>
              <w:pStyle w:val="TabletextLeft"/>
              <w:spacing w:before="0"/>
              <w:rPr>
                <w:rFonts w:asciiTheme="minorHAnsi" w:hAnsiTheme="minorHAnsi"/>
                <w:sz w:val="18"/>
                <w:szCs w:val="18"/>
              </w:rPr>
            </w:pPr>
            <w:r w:rsidRPr="0043650E">
              <w:rPr>
                <w:rFonts w:asciiTheme="minorHAnsi" w:hAnsiTheme="minorHAnsi"/>
                <w:sz w:val="18"/>
                <w:szCs w:val="18"/>
              </w:rPr>
              <w:t>Medical studies</w:t>
            </w:r>
          </w:p>
        </w:tc>
        <w:tc>
          <w:tcPr>
            <w:tcW w:w="1247" w:type="dxa"/>
            <w:gridSpan w:val="2"/>
          </w:tcPr>
          <w:p w14:paraId="673ACEAF" w14:textId="77777777" w:rsidR="00374D2C" w:rsidRPr="0095497E" w:rsidRDefault="00374D2C" w:rsidP="00512092">
            <w:pPr>
              <w:jc w:val="center"/>
              <w:rPr>
                <w:rFonts w:asciiTheme="minorHAnsi" w:hAnsiTheme="minorHAnsi"/>
                <w:color w:val="000000"/>
                <w:sz w:val="18"/>
                <w:szCs w:val="18"/>
              </w:rPr>
            </w:pPr>
            <w:r w:rsidRPr="007D780F">
              <w:rPr>
                <w:sz w:val="18"/>
                <w:szCs w:val="18"/>
              </w:rPr>
              <w:t>0.656***</w:t>
            </w:r>
          </w:p>
        </w:tc>
        <w:tc>
          <w:tcPr>
            <w:tcW w:w="1247" w:type="dxa"/>
            <w:gridSpan w:val="2"/>
          </w:tcPr>
          <w:p w14:paraId="561801B0" w14:textId="77777777" w:rsidR="00374D2C" w:rsidRPr="0095497E" w:rsidRDefault="00374D2C" w:rsidP="00512092">
            <w:pPr>
              <w:jc w:val="center"/>
              <w:rPr>
                <w:rFonts w:asciiTheme="minorHAnsi" w:hAnsiTheme="minorHAnsi"/>
                <w:color w:val="000000"/>
                <w:sz w:val="18"/>
                <w:szCs w:val="18"/>
              </w:rPr>
            </w:pPr>
          </w:p>
        </w:tc>
        <w:tc>
          <w:tcPr>
            <w:tcW w:w="1476" w:type="dxa"/>
            <w:gridSpan w:val="2"/>
          </w:tcPr>
          <w:p w14:paraId="7205AF46" w14:textId="77777777" w:rsidR="00374D2C" w:rsidRPr="0095497E" w:rsidRDefault="00374D2C" w:rsidP="00512092">
            <w:pPr>
              <w:jc w:val="center"/>
              <w:rPr>
                <w:rFonts w:asciiTheme="minorHAnsi" w:hAnsiTheme="minorHAnsi"/>
                <w:color w:val="000000"/>
                <w:sz w:val="18"/>
                <w:szCs w:val="18"/>
              </w:rPr>
            </w:pPr>
            <w:r w:rsidRPr="007D780F">
              <w:rPr>
                <w:sz w:val="18"/>
                <w:szCs w:val="18"/>
              </w:rPr>
              <w:t>0.659***</w:t>
            </w:r>
          </w:p>
        </w:tc>
      </w:tr>
      <w:tr w:rsidR="00374D2C" w:rsidRPr="0043650E" w14:paraId="0065BB8F" w14:textId="77777777" w:rsidTr="00512092">
        <w:tc>
          <w:tcPr>
            <w:tcW w:w="3401" w:type="dxa"/>
          </w:tcPr>
          <w:p w14:paraId="39F31C71" w14:textId="77777777" w:rsidR="00374D2C" w:rsidRPr="0043650E" w:rsidRDefault="00374D2C" w:rsidP="00512092">
            <w:pPr>
              <w:pStyle w:val="TabletextLeft"/>
              <w:spacing w:before="0"/>
              <w:rPr>
                <w:rFonts w:asciiTheme="minorHAnsi" w:hAnsiTheme="minorHAnsi"/>
                <w:sz w:val="18"/>
                <w:szCs w:val="18"/>
              </w:rPr>
            </w:pPr>
            <w:r w:rsidRPr="0043650E">
              <w:rPr>
                <w:rFonts w:asciiTheme="minorHAnsi" w:hAnsiTheme="minorHAnsi"/>
                <w:sz w:val="18"/>
                <w:szCs w:val="18"/>
              </w:rPr>
              <w:t>Dental studies</w:t>
            </w:r>
          </w:p>
        </w:tc>
        <w:tc>
          <w:tcPr>
            <w:tcW w:w="1247" w:type="dxa"/>
            <w:gridSpan w:val="2"/>
          </w:tcPr>
          <w:p w14:paraId="3E96F7AA" w14:textId="77777777" w:rsidR="00374D2C" w:rsidRPr="0095497E" w:rsidRDefault="00374D2C" w:rsidP="00512092">
            <w:pPr>
              <w:jc w:val="center"/>
              <w:rPr>
                <w:rFonts w:asciiTheme="minorHAnsi" w:hAnsiTheme="minorHAnsi"/>
                <w:color w:val="000000"/>
                <w:sz w:val="18"/>
                <w:szCs w:val="18"/>
              </w:rPr>
            </w:pPr>
            <w:r w:rsidRPr="007D780F">
              <w:rPr>
                <w:sz w:val="18"/>
                <w:szCs w:val="18"/>
              </w:rPr>
              <w:t>1.074***</w:t>
            </w:r>
          </w:p>
        </w:tc>
        <w:tc>
          <w:tcPr>
            <w:tcW w:w="1247" w:type="dxa"/>
            <w:gridSpan w:val="2"/>
          </w:tcPr>
          <w:p w14:paraId="40A7FBB7" w14:textId="77777777" w:rsidR="00374D2C" w:rsidRPr="0095497E" w:rsidRDefault="00374D2C" w:rsidP="00512092">
            <w:pPr>
              <w:jc w:val="center"/>
              <w:rPr>
                <w:rFonts w:asciiTheme="minorHAnsi" w:hAnsiTheme="minorHAnsi"/>
                <w:color w:val="000000"/>
                <w:sz w:val="18"/>
                <w:szCs w:val="18"/>
              </w:rPr>
            </w:pPr>
          </w:p>
        </w:tc>
        <w:tc>
          <w:tcPr>
            <w:tcW w:w="1476" w:type="dxa"/>
            <w:gridSpan w:val="2"/>
          </w:tcPr>
          <w:p w14:paraId="077075D9" w14:textId="77777777" w:rsidR="00374D2C" w:rsidRPr="0095497E" w:rsidRDefault="00374D2C" w:rsidP="00512092">
            <w:pPr>
              <w:jc w:val="center"/>
              <w:rPr>
                <w:rFonts w:asciiTheme="minorHAnsi" w:hAnsiTheme="minorHAnsi"/>
                <w:color w:val="000000"/>
                <w:sz w:val="18"/>
                <w:szCs w:val="18"/>
              </w:rPr>
            </w:pPr>
            <w:r w:rsidRPr="007D780F">
              <w:rPr>
                <w:sz w:val="18"/>
                <w:szCs w:val="18"/>
              </w:rPr>
              <w:t>1.083***</w:t>
            </w:r>
          </w:p>
        </w:tc>
      </w:tr>
      <w:tr w:rsidR="00374D2C" w:rsidRPr="0043650E" w14:paraId="23218916" w14:textId="77777777" w:rsidTr="00512092">
        <w:tc>
          <w:tcPr>
            <w:tcW w:w="3401" w:type="dxa"/>
          </w:tcPr>
          <w:p w14:paraId="59D9197D" w14:textId="77777777" w:rsidR="00374D2C" w:rsidRPr="0043650E" w:rsidRDefault="00374D2C" w:rsidP="00512092">
            <w:pPr>
              <w:pStyle w:val="TabletextLeft"/>
              <w:spacing w:before="0"/>
              <w:rPr>
                <w:rFonts w:asciiTheme="minorHAnsi" w:hAnsiTheme="minorHAnsi"/>
                <w:sz w:val="18"/>
                <w:szCs w:val="18"/>
              </w:rPr>
            </w:pPr>
            <w:r w:rsidRPr="0043650E">
              <w:rPr>
                <w:rFonts w:asciiTheme="minorHAnsi" w:hAnsiTheme="minorHAnsi"/>
                <w:sz w:val="18"/>
                <w:szCs w:val="18"/>
              </w:rPr>
              <w:t>Veterinary studies</w:t>
            </w:r>
          </w:p>
        </w:tc>
        <w:tc>
          <w:tcPr>
            <w:tcW w:w="1247" w:type="dxa"/>
            <w:gridSpan w:val="2"/>
          </w:tcPr>
          <w:p w14:paraId="78B3C79F" w14:textId="77777777" w:rsidR="00374D2C" w:rsidRPr="0095497E" w:rsidRDefault="00374D2C" w:rsidP="00512092">
            <w:pPr>
              <w:jc w:val="center"/>
              <w:rPr>
                <w:rFonts w:asciiTheme="minorHAnsi" w:hAnsiTheme="minorHAnsi"/>
                <w:color w:val="000000"/>
                <w:sz w:val="18"/>
                <w:szCs w:val="18"/>
              </w:rPr>
            </w:pPr>
            <w:r w:rsidRPr="007D780F">
              <w:rPr>
                <w:sz w:val="18"/>
                <w:szCs w:val="18"/>
              </w:rPr>
              <w:t>1.226***</w:t>
            </w:r>
          </w:p>
        </w:tc>
        <w:tc>
          <w:tcPr>
            <w:tcW w:w="1247" w:type="dxa"/>
            <w:gridSpan w:val="2"/>
          </w:tcPr>
          <w:p w14:paraId="23FE069D" w14:textId="77777777" w:rsidR="00374D2C" w:rsidRPr="0095497E" w:rsidRDefault="00374D2C" w:rsidP="00512092">
            <w:pPr>
              <w:jc w:val="center"/>
              <w:rPr>
                <w:rFonts w:asciiTheme="minorHAnsi" w:hAnsiTheme="minorHAnsi"/>
                <w:color w:val="000000"/>
                <w:sz w:val="18"/>
                <w:szCs w:val="18"/>
              </w:rPr>
            </w:pPr>
          </w:p>
        </w:tc>
        <w:tc>
          <w:tcPr>
            <w:tcW w:w="1476" w:type="dxa"/>
            <w:gridSpan w:val="2"/>
          </w:tcPr>
          <w:p w14:paraId="63508595" w14:textId="77777777" w:rsidR="00374D2C" w:rsidRPr="0095497E" w:rsidRDefault="00374D2C" w:rsidP="00512092">
            <w:pPr>
              <w:jc w:val="center"/>
              <w:rPr>
                <w:rFonts w:asciiTheme="minorHAnsi" w:hAnsiTheme="minorHAnsi"/>
                <w:color w:val="000000"/>
                <w:sz w:val="18"/>
                <w:szCs w:val="18"/>
              </w:rPr>
            </w:pPr>
            <w:r w:rsidRPr="007D780F">
              <w:rPr>
                <w:sz w:val="18"/>
                <w:szCs w:val="18"/>
              </w:rPr>
              <w:t>1.224***</w:t>
            </w:r>
          </w:p>
        </w:tc>
      </w:tr>
      <w:tr w:rsidR="00374D2C" w:rsidRPr="0043650E" w14:paraId="6F19E8F7" w14:textId="77777777" w:rsidTr="00512092">
        <w:tc>
          <w:tcPr>
            <w:tcW w:w="3401" w:type="dxa"/>
          </w:tcPr>
          <w:p w14:paraId="5894D04E" w14:textId="77777777" w:rsidR="00374D2C" w:rsidRPr="0043650E" w:rsidRDefault="00374D2C" w:rsidP="00512092">
            <w:pPr>
              <w:pStyle w:val="TabletextLeft"/>
              <w:spacing w:before="0"/>
              <w:rPr>
                <w:rFonts w:asciiTheme="minorHAnsi" w:hAnsiTheme="minorHAnsi"/>
                <w:sz w:val="18"/>
                <w:szCs w:val="18"/>
              </w:rPr>
            </w:pPr>
            <w:r w:rsidRPr="0043650E">
              <w:rPr>
                <w:rFonts w:asciiTheme="minorHAnsi" w:hAnsiTheme="minorHAnsi"/>
                <w:sz w:val="18"/>
                <w:szCs w:val="18"/>
              </w:rPr>
              <w:lastRenderedPageBreak/>
              <w:t>Other health</w:t>
            </w:r>
          </w:p>
        </w:tc>
        <w:tc>
          <w:tcPr>
            <w:tcW w:w="1247" w:type="dxa"/>
            <w:gridSpan w:val="2"/>
          </w:tcPr>
          <w:p w14:paraId="60082CD5" w14:textId="77777777" w:rsidR="00374D2C" w:rsidRPr="0095497E" w:rsidRDefault="00374D2C" w:rsidP="00512092">
            <w:pPr>
              <w:jc w:val="center"/>
              <w:rPr>
                <w:rFonts w:asciiTheme="minorHAnsi" w:hAnsiTheme="minorHAnsi"/>
                <w:color w:val="000000"/>
                <w:sz w:val="18"/>
                <w:szCs w:val="18"/>
              </w:rPr>
            </w:pPr>
            <w:r w:rsidRPr="007D780F">
              <w:rPr>
                <w:sz w:val="18"/>
                <w:szCs w:val="18"/>
              </w:rPr>
              <w:t>0.188*</w:t>
            </w:r>
          </w:p>
        </w:tc>
        <w:tc>
          <w:tcPr>
            <w:tcW w:w="1247" w:type="dxa"/>
            <w:gridSpan w:val="2"/>
          </w:tcPr>
          <w:p w14:paraId="34ACC1D2" w14:textId="77777777" w:rsidR="00374D2C" w:rsidRPr="0095497E" w:rsidRDefault="00374D2C" w:rsidP="00512092">
            <w:pPr>
              <w:jc w:val="center"/>
              <w:rPr>
                <w:rFonts w:asciiTheme="minorHAnsi" w:hAnsiTheme="minorHAnsi"/>
                <w:color w:val="000000"/>
                <w:sz w:val="18"/>
                <w:szCs w:val="18"/>
              </w:rPr>
            </w:pPr>
          </w:p>
        </w:tc>
        <w:tc>
          <w:tcPr>
            <w:tcW w:w="1476" w:type="dxa"/>
            <w:gridSpan w:val="2"/>
          </w:tcPr>
          <w:p w14:paraId="629451FB" w14:textId="77777777" w:rsidR="00374D2C" w:rsidRPr="0095497E" w:rsidRDefault="00374D2C" w:rsidP="00512092">
            <w:pPr>
              <w:jc w:val="center"/>
              <w:rPr>
                <w:rFonts w:asciiTheme="minorHAnsi" w:hAnsiTheme="minorHAnsi"/>
                <w:color w:val="000000"/>
                <w:sz w:val="18"/>
                <w:szCs w:val="18"/>
              </w:rPr>
            </w:pPr>
            <w:r w:rsidRPr="007D780F">
              <w:rPr>
                <w:sz w:val="18"/>
                <w:szCs w:val="18"/>
              </w:rPr>
              <w:t>0.188*</w:t>
            </w:r>
          </w:p>
        </w:tc>
      </w:tr>
      <w:tr w:rsidR="00374D2C" w:rsidRPr="0043650E" w14:paraId="6839B662" w14:textId="77777777" w:rsidTr="00512092">
        <w:tc>
          <w:tcPr>
            <w:tcW w:w="3401" w:type="dxa"/>
          </w:tcPr>
          <w:p w14:paraId="500B4351" w14:textId="77777777" w:rsidR="00374D2C" w:rsidRPr="0043650E" w:rsidRDefault="00374D2C" w:rsidP="00512092">
            <w:pPr>
              <w:pStyle w:val="TabletextLeft"/>
              <w:spacing w:before="0"/>
              <w:rPr>
                <w:rFonts w:asciiTheme="minorHAnsi" w:hAnsiTheme="minorHAnsi"/>
                <w:sz w:val="18"/>
                <w:szCs w:val="18"/>
              </w:rPr>
            </w:pPr>
            <w:r w:rsidRPr="0043650E">
              <w:rPr>
                <w:rFonts w:asciiTheme="minorHAnsi" w:hAnsiTheme="minorHAnsi"/>
                <w:sz w:val="18"/>
                <w:szCs w:val="18"/>
              </w:rPr>
              <w:t>Education</w:t>
            </w:r>
          </w:p>
        </w:tc>
        <w:tc>
          <w:tcPr>
            <w:tcW w:w="1247" w:type="dxa"/>
            <w:gridSpan w:val="2"/>
          </w:tcPr>
          <w:p w14:paraId="5B22505E" w14:textId="77777777" w:rsidR="00374D2C" w:rsidRPr="0095497E" w:rsidRDefault="00374D2C" w:rsidP="00512092">
            <w:pPr>
              <w:jc w:val="center"/>
              <w:rPr>
                <w:rFonts w:asciiTheme="minorHAnsi" w:hAnsiTheme="minorHAnsi"/>
                <w:color w:val="000000"/>
                <w:sz w:val="18"/>
                <w:szCs w:val="18"/>
              </w:rPr>
            </w:pPr>
            <w:r w:rsidRPr="007D780F">
              <w:rPr>
                <w:sz w:val="18"/>
                <w:szCs w:val="18"/>
              </w:rPr>
              <w:t>-0.0545</w:t>
            </w:r>
          </w:p>
        </w:tc>
        <w:tc>
          <w:tcPr>
            <w:tcW w:w="1247" w:type="dxa"/>
            <w:gridSpan w:val="2"/>
          </w:tcPr>
          <w:p w14:paraId="4E720D19" w14:textId="77777777" w:rsidR="00374D2C" w:rsidRPr="0095497E" w:rsidRDefault="00374D2C" w:rsidP="00512092">
            <w:pPr>
              <w:jc w:val="center"/>
              <w:rPr>
                <w:rFonts w:asciiTheme="minorHAnsi" w:hAnsiTheme="minorHAnsi"/>
                <w:color w:val="000000"/>
                <w:sz w:val="18"/>
                <w:szCs w:val="18"/>
              </w:rPr>
            </w:pPr>
          </w:p>
        </w:tc>
        <w:tc>
          <w:tcPr>
            <w:tcW w:w="1476" w:type="dxa"/>
            <w:gridSpan w:val="2"/>
          </w:tcPr>
          <w:p w14:paraId="086D67F4" w14:textId="77777777" w:rsidR="00374D2C" w:rsidRPr="0095497E" w:rsidRDefault="00374D2C" w:rsidP="00512092">
            <w:pPr>
              <w:jc w:val="center"/>
              <w:rPr>
                <w:rFonts w:asciiTheme="minorHAnsi" w:hAnsiTheme="minorHAnsi"/>
                <w:color w:val="000000"/>
                <w:sz w:val="18"/>
                <w:szCs w:val="18"/>
              </w:rPr>
            </w:pPr>
            <w:r w:rsidRPr="007D780F">
              <w:rPr>
                <w:sz w:val="18"/>
                <w:szCs w:val="18"/>
              </w:rPr>
              <w:t>-0.0567</w:t>
            </w:r>
          </w:p>
        </w:tc>
      </w:tr>
      <w:tr w:rsidR="00374D2C" w:rsidRPr="0043650E" w14:paraId="4A8075B4" w14:textId="77777777" w:rsidTr="00512092">
        <w:tc>
          <w:tcPr>
            <w:tcW w:w="3401" w:type="dxa"/>
          </w:tcPr>
          <w:p w14:paraId="0916B708" w14:textId="77777777" w:rsidR="00374D2C" w:rsidRPr="0043650E" w:rsidRDefault="00374D2C" w:rsidP="00512092">
            <w:pPr>
              <w:pStyle w:val="TabletextLeft"/>
              <w:spacing w:before="0"/>
              <w:rPr>
                <w:rFonts w:asciiTheme="minorHAnsi" w:hAnsiTheme="minorHAnsi"/>
                <w:sz w:val="18"/>
                <w:szCs w:val="18"/>
              </w:rPr>
            </w:pPr>
            <w:r w:rsidRPr="0043650E">
              <w:rPr>
                <w:rFonts w:asciiTheme="minorHAnsi" w:hAnsiTheme="minorHAnsi"/>
                <w:sz w:val="18"/>
                <w:szCs w:val="18"/>
              </w:rPr>
              <w:t>Management and Commerce</w:t>
            </w:r>
          </w:p>
        </w:tc>
        <w:tc>
          <w:tcPr>
            <w:tcW w:w="1247" w:type="dxa"/>
            <w:gridSpan w:val="2"/>
          </w:tcPr>
          <w:p w14:paraId="477850D3" w14:textId="77777777" w:rsidR="00374D2C" w:rsidRPr="0095497E" w:rsidRDefault="00374D2C" w:rsidP="00512092">
            <w:pPr>
              <w:jc w:val="center"/>
              <w:rPr>
                <w:rFonts w:asciiTheme="minorHAnsi" w:hAnsiTheme="minorHAnsi"/>
                <w:color w:val="000000"/>
                <w:sz w:val="18"/>
                <w:szCs w:val="18"/>
              </w:rPr>
            </w:pPr>
            <w:r w:rsidRPr="007D780F">
              <w:rPr>
                <w:sz w:val="18"/>
                <w:szCs w:val="18"/>
              </w:rPr>
              <w:t>-0.0559</w:t>
            </w:r>
          </w:p>
        </w:tc>
        <w:tc>
          <w:tcPr>
            <w:tcW w:w="1247" w:type="dxa"/>
            <w:gridSpan w:val="2"/>
          </w:tcPr>
          <w:p w14:paraId="6DC17ADA" w14:textId="77777777" w:rsidR="00374D2C" w:rsidRPr="0095497E" w:rsidRDefault="00374D2C" w:rsidP="00512092">
            <w:pPr>
              <w:jc w:val="center"/>
              <w:rPr>
                <w:rFonts w:asciiTheme="minorHAnsi" w:hAnsiTheme="minorHAnsi"/>
                <w:color w:val="000000"/>
                <w:sz w:val="18"/>
                <w:szCs w:val="18"/>
              </w:rPr>
            </w:pPr>
          </w:p>
        </w:tc>
        <w:tc>
          <w:tcPr>
            <w:tcW w:w="1476" w:type="dxa"/>
            <w:gridSpan w:val="2"/>
          </w:tcPr>
          <w:p w14:paraId="3292F2FC" w14:textId="77777777" w:rsidR="00374D2C" w:rsidRPr="0095497E" w:rsidRDefault="00374D2C" w:rsidP="00512092">
            <w:pPr>
              <w:jc w:val="center"/>
              <w:rPr>
                <w:rFonts w:asciiTheme="minorHAnsi" w:hAnsiTheme="minorHAnsi"/>
                <w:color w:val="000000"/>
                <w:sz w:val="18"/>
                <w:szCs w:val="18"/>
              </w:rPr>
            </w:pPr>
            <w:r w:rsidRPr="007D780F">
              <w:rPr>
                <w:sz w:val="18"/>
                <w:szCs w:val="18"/>
              </w:rPr>
              <w:t>-0.0559</w:t>
            </w:r>
          </w:p>
        </w:tc>
      </w:tr>
      <w:tr w:rsidR="00374D2C" w:rsidRPr="0043650E" w14:paraId="23CA5D34" w14:textId="77777777" w:rsidTr="00512092">
        <w:tc>
          <w:tcPr>
            <w:tcW w:w="3401" w:type="dxa"/>
          </w:tcPr>
          <w:p w14:paraId="3D305128" w14:textId="77777777" w:rsidR="00374D2C" w:rsidRPr="0043650E" w:rsidRDefault="00374D2C" w:rsidP="00512092">
            <w:pPr>
              <w:pStyle w:val="TabletextLeft"/>
              <w:spacing w:before="0"/>
              <w:rPr>
                <w:rFonts w:asciiTheme="minorHAnsi" w:hAnsiTheme="minorHAnsi"/>
                <w:sz w:val="18"/>
                <w:szCs w:val="18"/>
              </w:rPr>
            </w:pPr>
            <w:r w:rsidRPr="0043650E">
              <w:rPr>
                <w:rFonts w:asciiTheme="minorHAnsi" w:hAnsiTheme="minorHAnsi"/>
                <w:sz w:val="18"/>
                <w:szCs w:val="18"/>
              </w:rPr>
              <w:t>Languages</w:t>
            </w:r>
          </w:p>
        </w:tc>
        <w:tc>
          <w:tcPr>
            <w:tcW w:w="1247" w:type="dxa"/>
            <w:gridSpan w:val="2"/>
          </w:tcPr>
          <w:p w14:paraId="01A65269" w14:textId="77777777" w:rsidR="00374D2C" w:rsidRPr="0095497E" w:rsidRDefault="00374D2C" w:rsidP="00512092">
            <w:pPr>
              <w:jc w:val="center"/>
              <w:rPr>
                <w:rFonts w:asciiTheme="minorHAnsi" w:hAnsiTheme="minorHAnsi"/>
                <w:color w:val="000000"/>
                <w:sz w:val="18"/>
                <w:szCs w:val="18"/>
              </w:rPr>
            </w:pPr>
            <w:r w:rsidRPr="007D780F">
              <w:rPr>
                <w:sz w:val="18"/>
                <w:szCs w:val="18"/>
              </w:rPr>
              <w:t>0.289***</w:t>
            </w:r>
          </w:p>
        </w:tc>
        <w:tc>
          <w:tcPr>
            <w:tcW w:w="1247" w:type="dxa"/>
            <w:gridSpan w:val="2"/>
          </w:tcPr>
          <w:p w14:paraId="64B448AE" w14:textId="77777777" w:rsidR="00374D2C" w:rsidRPr="0095497E" w:rsidRDefault="00374D2C" w:rsidP="00512092">
            <w:pPr>
              <w:jc w:val="center"/>
              <w:rPr>
                <w:rFonts w:asciiTheme="minorHAnsi" w:hAnsiTheme="minorHAnsi"/>
                <w:color w:val="000000"/>
                <w:sz w:val="18"/>
                <w:szCs w:val="18"/>
              </w:rPr>
            </w:pPr>
          </w:p>
        </w:tc>
        <w:tc>
          <w:tcPr>
            <w:tcW w:w="1476" w:type="dxa"/>
            <w:gridSpan w:val="2"/>
          </w:tcPr>
          <w:p w14:paraId="73552070" w14:textId="77777777" w:rsidR="00374D2C" w:rsidRPr="0095497E" w:rsidRDefault="00374D2C" w:rsidP="00512092">
            <w:pPr>
              <w:jc w:val="center"/>
              <w:rPr>
                <w:rFonts w:asciiTheme="minorHAnsi" w:hAnsiTheme="minorHAnsi"/>
                <w:color w:val="000000"/>
                <w:sz w:val="18"/>
                <w:szCs w:val="18"/>
              </w:rPr>
            </w:pPr>
            <w:r w:rsidRPr="007D780F">
              <w:rPr>
                <w:sz w:val="18"/>
                <w:szCs w:val="18"/>
              </w:rPr>
              <w:t>0.289***</w:t>
            </w:r>
          </w:p>
        </w:tc>
      </w:tr>
      <w:tr w:rsidR="00374D2C" w:rsidRPr="0043650E" w14:paraId="3C0E920C" w14:textId="77777777" w:rsidTr="00512092">
        <w:tc>
          <w:tcPr>
            <w:tcW w:w="3401" w:type="dxa"/>
          </w:tcPr>
          <w:p w14:paraId="256658C0" w14:textId="77777777" w:rsidR="00374D2C" w:rsidRPr="0043650E" w:rsidRDefault="00374D2C" w:rsidP="00512092">
            <w:pPr>
              <w:pStyle w:val="TabletextLeft"/>
              <w:spacing w:before="0"/>
              <w:rPr>
                <w:rFonts w:asciiTheme="minorHAnsi" w:hAnsiTheme="minorHAnsi"/>
                <w:sz w:val="18"/>
                <w:szCs w:val="18"/>
              </w:rPr>
            </w:pPr>
            <w:r w:rsidRPr="0043650E">
              <w:rPr>
                <w:rFonts w:asciiTheme="minorHAnsi" w:hAnsiTheme="minorHAnsi"/>
                <w:sz w:val="18"/>
                <w:szCs w:val="18"/>
              </w:rPr>
              <w:t>Clinical psychology</w:t>
            </w:r>
          </w:p>
        </w:tc>
        <w:tc>
          <w:tcPr>
            <w:tcW w:w="1247" w:type="dxa"/>
            <w:gridSpan w:val="2"/>
          </w:tcPr>
          <w:p w14:paraId="626794D1" w14:textId="77777777" w:rsidR="00374D2C" w:rsidRPr="0095497E" w:rsidRDefault="00374D2C" w:rsidP="00512092">
            <w:pPr>
              <w:jc w:val="center"/>
              <w:rPr>
                <w:rFonts w:asciiTheme="minorHAnsi" w:hAnsiTheme="minorHAnsi"/>
                <w:color w:val="000000"/>
                <w:sz w:val="18"/>
                <w:szCs w:val="18"/>
              </w:rPr>
            </w:pPr>
            <w:r w:rsidRPr="007D780F">
              <w:rPr>
                <w:sz w:val="18"/>
                <w:szCs w:val="18"/>
              </w:rPr>
              <w:t>-0.0877</w:t>
            </w:r>
          </w:p>
        </w:tc>
        <w:tc>
          <w:tcPr>
            <w:tcW w:w="1247" w:type="dxa"/>
            <w:gridSpan w:val="2"/>
          </w:tcPr>
          <w:p w14:paraId="3AC4F250" w14:textId="77777777" w:rsidR="00374D2C" w:rsidRPr="0095497E" w:rsidRDefault="00374D2C" w:rsidP="00512092">
            <w:pPr>
              <w:jc w:val="center"/>
              <w:rPr>
                <w:rFonts w:asciiTheme="minorHAnsi" w:hAnsiTheme="minorHAnsi"/>
                <w:color w:val="000000"/>
                <w:sz w:val="18"/>
                <w:szCs w:val="18"/>
              </w:rPr>
            </w:pPr>
          </w:p>
        </w:tc>
        <w:tc>
          <w:tcPr>
            <w:tcW w:w="1476" w:type="dxa"/>
            <w:gridSpan w:val="2"/>
          </w:tcPr>
          <w:p w14:paraId="3090BF7B" w14:textId="77777777" w:rsidR="00374D2C" w:rsidRPr="0095497E" w:rsidRDefault="00374D2C" w:rsidP="00512092">
            <w:pPr>
              <w:jc w:val="center"/>
              <w:rPr>
                <w:rFonts w:asciiTheme="minorHAnsi" w:hAnsiTheme="minorHAnsi"/>
                <w:color w:val="000000"/>
                <w:sz w:val="18"/>
                <w:szCs w:val="18"/>
              </w:rPr>
            </w:pPr>
            <w:r w:rsidRPr="007D780F">
              <w:rPr>
                <w:sz w:val="18"/>
                <w:szCs w:val="18"/>
              </w:rPr>
              <w:t>-0.0899</w:t>
            </w:r>
          </w:p>
        </w:tc>
      </w:tr>
      <w:tr w:rsidR="00374D2C" w:rsidRPr="0043650E" w14:paraId="302A4BDF" w14:textId="77777777" w:rsidTr="00512092">
        <w:tc>
          <w:tcPr>
            <w:tcW w:w="3401" w:type="dxa"/>
          </w:tcPr>
          <w:p w14:paraId="1605B153" w14:textId="77777777" w:rsidR="00374D2C" w:rsidRPr="0043650E" w:rsidRDefault="00374D2C" w:rsidP="00512092">
            <w:pPr>
              <w:pStyle w:val="TabletextLeft"/>
              <w:spacing w:before="0"/>
              <w:rPr>
                <w:rFonts w:asciiTheme="minorHAnsi" w:hAnsiTheme="minorHAnsi"/>
                <w:sz w:val="18"/>
                <w:szCs w:val="18"/>
              </w:rPr>
            </w:pPr>
            <w:r w:rsidRPr="0043650E">
              <w:rPr>
                <w:rFonts w:asciiTheme="minorHAnsi" w:hAnsiTheme="minorHAnsi"/>
                <w:sz w:val="18"/>
                <w:szCs w:val="18"/>
              </w:rPr>
              <w:t>Other society and culture</w:t>
            </w:r>
          </w:p>
        </w:tc>
        <w:tc>
          <w:tcPr>
            <w:tcW w:w="1247" w:type="dxa"/>
            <w:gridSpan w:val="2"/>
          </w:tcPr>
          <w:p w14:paraId="73708442" w14:textId="77777777" w:rsidR="00374D2C" w:rsidRPr="0095497E" w:rsidRDefault="00374D2C" w:rsidP="00512092">
            <w:pPr>
              <w:jc w:val="center"/>
              <w:rPr>
                <w:rFonts w:asciiTheme="minorHAnsi" w:hAnsiTheme="minorHAnsi"/>
                <w:color w:val="000000"/>
                <w:sz w:val="18"/>
                <w:szCs w:val="18"/>
              </w:rPr>
            </w:pPr>
            <w:r w:rsidRPr="007D780F">
              <w:rPr>
                <w:sz w:val="18"/>
                <w:szCs w:val="18"/>
              </w:rPr>
              <w:t>-0.113</w:t>
            </w:r>
          </w:p>
        </w:tc>
        <w:tc>
          <w:tcPr>
            <w:tcW w:w="1247" w:type="dxa"/>
            <w:gridSpan w:val="2"/>
          </w:tcPr>
          <w:p w14:paraId="3E8EC047" w14:textId="77777777" w:rsidR="00374D2C" w:rsidRPr="0095497E" w:rsidRDefault="00374D2C" w:rsidP="00512092">
            <w:pPr>
              <w:jc w:val="center"/>
              <w:rPr>
                <w:rFonts w:asciiTheme="minorHAnsi" w:hAnsiTheme="minorHAnsi"/>
                <w:color w:val="000000"/>
                <w:sz w:val="18"/>
                <w:szCs w:val="18"/>
              </w:rPr>
            </w:pPr>
          </w:p>
        </w:tc>
        <w:tc>
          <w:tcPr>
            <w:tcW w:w="1476" w:type="dxa"/>
            <w:gridSpan w:val="2"/>
          </w:tcPr>
          <w:p w14:paraId="057337A4" w14:textId="77777777" w:rsidR="00374D2C" w:rsidRPr="0095497E" w:rsidRDefault="00374D2C" w:rsidP="00512092">
            <w:pPr>
              <w:jc w:val="center"/>
              <w:rPr>
                <w:rFonts w:asciiTheme="minorHAnsi" w:hAnsiTheme="minorHAnsi"/>
                <w:color w:val="000000"/>
                <w:sz w:val="18"/>
                <w:szCs w:val="18"/>
              </w:rPr>
            </w:pPr>
            <w:r w:rsidRPr="007D780F">
              <w:rPr>
                <w:sz w:val="18"/>
                <w:szCs w:val="18"/>
              </w:rPr>
              <w:t>-0.113</w:t>
            </w:r>
          </w:p>
        </w:tc>
      </w:tr>
      <w:tr w:rsidR="00374D2C" w:rsidRPr="0043650E" w14:paraId="7CD5A0B5" w14:textId="77777777" w:rsidTr="00512092">
        <w:tc>
          <w:tcPr>
            <w:tcW w:w="3401" w:type="dxa"/>
          </w:tcPr>
          <w:p w14:paraId="61AD73D0" w14:textId="77777777" w:rsidR="00374D2C" w:rsidRPr="0043650E" w:rsidRDefault="00374D2C" w:rsidP="00512092">
            <w:pPr>
              <w:pStyle w:val="TabletextLeft"/>
              <w:spacing w:before="0"/>
              <w:rPr>
                <w:rFonts w:asciiTheme="minorHAnsi" w:hAnsiTheme="minorHAnsi"/>
                <w:sz w:val="18"/>
                <w:szCs w:val="18"/>
              </w:rPr>
            </w:pPr>
            <w:r w:rsidRPr="0043650E">
              <w:rPr>
                <w:rFonts w:asciiTheme="minorHAnsi" w:hAnsiTheme="minorHAnsi"/>
                <w:sz w:val="18"/>
                <w:szCs w:val="18"/>
              </w:rPr>
              <w:t>Communication and media studies</w:t>
            </w:r>
          </w:p>
        </w:tc>
        <w:tc>
          <w:tcPr>
            <w:tcW w:w="1247" w:type="dxa"/>
            <w:gridSpan w:val="2"/>
          </w:tcPr>
          <w:p w14:paraId="5640EF8B" w14:textId="77777777" w:rsidR="00374D2C" w:rsidRPr="0095497E" w:rsidRDefault="00374D2C" w:rsidP="00512092">
            <w:pPr>
              <w:jc w:val="center"/>
              <w:rPr>
                <w:rFonts w:asciiTheme="minorHAnsi" w:hAnsiTheme="minorHAnsi"/>
                <w:color w:val="000000"/>
                <w:sz w:val="18"/>
                <w:szCs w:val="18"/>
              </w:rPr>
            </w:pPr>
            <w:r w:rsidRPr="007D780F">
              <w:rPr>
                <w:sz w:val="18"/>
                <w:szCs w:val="18"/>
              </w:rPr>
              <w:t>0.00647</w:t>
            </w:r>
          </w:p>
        </w:tc>
        <w:tc>
          <w:tcPr>
            <w:tcW w:w="1247" w:type="dxa"/>
            <w:gridSpan w:val="2"/>
          </w:tcPr>
          <w:p w14:paraId="14328070" w14:textId="77777777" w:rsidR="00374D2C" w:rsidRPr="0095497E" w:rsidRDefault="00374D2C" w:rsidP="00512092">
            <w:pPr>
              <w:jc w:val="center"/>
              <w:rPr>
                <w:rFonts w:asciiTheme="minorHAnsi" w:hAnsiTheme="minorHAnsi"/>
                <w:color w:val="000000"/>
                <w:sz w:val="18"/>
                <w:szCs w:val="18"/>
              </w:rPr>
            </w:pPr>
          </w:p>
        </w:tc>
        <w:tc>
          <w:tcPr>
            <w:tcW w:w="1476" w:type="dxa"/>
            <w:gridSpan w:val="2"/>
          </w:tcPr>
          <w:p w14:paraId="70761377" w14:textId="77777777" w:rsidR="00374D2C" w:rsidRPr="0095497E" w:rsidRDefault="00374D2C" w:rsidP="00512092">
            <w:pPr>
              <w:jc w:val="center"/>
              <w:rPr>
                <w:rFonts w:asciiTheme="minorHAnsi" w:hAnsiTheme="minorHAnsi"/>
                <w:color w:val="000000"/>
                <w:sz w:val="18"/>
                <w:szCs w:val="18"/>
              </w:rPr>
            </w:pPr>
            <w:r w:rsidRPr="007D780F">
              <w:rPr>
                <w:sz w:val="18"/>
                <w:szCs w:val="18"/>
              </w:rPr>
              <w:t>0.00647</w:t>
            </w:r>
          </w:p>
        </w:tc>
      </w:tr>
      <w:tr w:rsidR="00374D2C" w:rsidRPr="0043650E" w14:paraId="0E2F6009" w14:textId="77777777" w:rsidTr="00512092">
        <w:tc>
          <w:tcPr>
            <w:tcW w:w="3401" w:type="dxa"/>
          </w:tcPr>
          <w:p w14:paraId="2A832FEC" w14:textId="77777777" w:rsidR="00374D2C" w:rsidRPr="0043650E" w:rsidRDefault="00374D2C" w:rsidP="00512092">
            <w:pPr>
              <w:pStyle w:val="TabletextLeft"/>
              <w:spacing w:before="0"/>
              <w:rPr>
                <w:rFonts w:asciiTheme="minorHAnsi" w:hAnsiTheme="minorHAnsi"/>
                <w:sz w:val="18"/>
                <w:szCs w:val="18"/>
              </w:rPr>
            </w:pPr>
            <w:r w:rsidRPr="0043650E">
              <w:rPr>
                <w:rFonts w:asciiTheme="minorHAnsi" w:hAnsiTheme="minorHAnsi"/>
                <w:sz w:val="18"/>
                <w:szCs w:val="18"/>
              </w:rPr>
              <w:t>Other creative arts</w:t>
            </w:r>
          </w:p>
        </w:tc>
        <w:tc>
          <w:tcPr>
            <w:tcW w:w="1247" w:type="dxa"/>
            <w:gridSpan w:val="2"/>
          </w:tcPr>
          <w:p w14:paraId="05D2476E" w14:textId="77777777" w:rsidR="00374D2C" w:rsidRPr="0095497E" w:rsidRDefault="00374D2C" w:rsidP="00512092">
            <w:pPr>
              <w:jc w:val="center"/>
              <w:rPr>
                <w:rFonts w:asciiTheme="minorHAnsi" w:hAnsiTheme="minorHAnsi"/>
                <w:color w:val="000000"/>
                <w:sz w:val="18"/>
                <w:szCs w:val="18"/>
              </w:rPr>
            </w:pPr>
            <w:r w:rsidRPr="007D780F">
              <w:rPr>
                <w:sz w:val="18"/>
                <w:szCs w:val="18"/>
              </w:rPr>
              <w:t>0.309***</w:t>
            </w:r>
          </w:p>
        </w:tc>
        <w:tc>
          <w:tcPr>
            <w:tcW w:w="1247" w:type="dxa"/>
            <w:gridSpan w:val="2"/>
          </w:tcPr>
          <w:p w14:paraId="6F0B0081" w14:textId="77777777" w:rsidR="00374D2C" w:rsidRPr="0095497E" w:rsidRDefault="00374D2C" w:rsidP="00512092">
            <w:pPr>
              <w:jc w:val="center"/>
              <w:rPr>
                <w:rFonts w:asciiTheme="minorHAnsi" w:hAnsiTheme="minorHAnsi"/>
                <w:color w:val="000000"/>
                <w:sz w:val="18"/>
                <w:szCs w:val="18"/>
              </w:rPr>
            </w:pPr>
          </w:p>
        </w:tc>
        <w:tc>
          <w:tcPr>
            <w:tcW w:w="1476" w:type="dxa"/>
            <w:gridSpan w:val="2"/>
          </w:tcPr>
          <w:p w14:paraId="141F41E3" w14:textId="77777777" w:rsidR="00374D2C" w:rsidRPr="0095497E" w:rsidRDefault="00374D2C" w:rsidP="00512092">
            <w:pPr>
              <w:jc w:val="center"/>
              <w:rPr>
                <w:rFonts w:asciiTheme="minorHAnsi" w:hAnsiTheme="minorHAnsi"/>
                <w:color w:val="000000"/>
                <w:sz w:val="18"/>
                <w:szCs w:val="18"/>
              </w:rPr>
            </w:pPr>
            <w:r w:rsidRPr="007D780F">
              <w:rPr>
                <w:sz w:val="18"/>
                <w:szCs w:val="18"/>
              </w:rPr>
              <w:t>0.309***</w:t>
            </w:r>
          </w:p>
        </w:tc>
      </w:tr>
      <w:tr w:rsidR="00374D2C" w:rsidRPr="0043650E" w14:paraId="097B4246" w14:textId="77777777" w:rsidTr="00512092">
        <w:tc>
          <w:tcPr>
            <w:tcW w:w="3401" w:type="dxa"/>
          </w:tcPr>
          <w:p w14:paraId="4A83E015" w14:textId="77777777" w:rsidR="00374D2C" w:rsidRPr="0043650E" w:rsidRDefault="00374D2C" w:rsidP="00512092">
            <w:pPr>
              <w:pStyle w:val="TabletextLeft"/>
              <w:spacing w:before="0"/>
              <w:rPr>
                <w:rFonts w:asciiTheme="minorHAnsi" w:hAnsiTheme="minorHAnsi"/>
                <w:sz w:val="18"/>
                <w:szCs w:val="18"/>
              </w:rPr>
            </w:pPr>
          </w:p>
        </w:tc>
        <w:tc>
          <w:tcPr>
            <w:tcW w:w="1247" w:type="dxa"/>
            <w:gridSpan w:val="2"/>
          </w:tcPr>
          <w:p w14:paraId="403862EA" w14:textId="77777777" w:rsidR="00374D2C" w:rsidRPr="00155A50" w:rsidRDefault="00374D2C" w:rsidP="00512092">
            <w:pPr>
              <w:jc w:val="center"/>
              <w:rPr>
                <w:rFonts w:asciiTheme="minorHAnsi" w:hAnsiTheme="minorHAnsi"/>
                <w:color w:val="000000"/>
                <w:sz w:val="18"/>
                <w:szCs w:val="18"/>
              </w:rPr>
            </w:pPr>
          </w:p>
        </w:tc>
        <w:tc>
          <w:tcPr>
            <w:tcW w:w="1247" w:type="dxa"/>
            <w:gridSpan w:val="2"/>
          </w:tcPr>
          <w:p w14:paraId="4E378A51" w14:textId="77777777" w:rsidR="00374D2C" w:rsidRPr="00155A50" w:rsidRDefault="00374D2C" w:rsidP="00512092">
            <w:pPr>
              <w:jc w:val="center"/>
              <w:rPr>
                <w:rFonts w:asciiTheme="minorHAnsi" w:hAnsiTheme="minorHAnsi"/>
                <w:sz w:val="18"/>
                <w:szCs w:val="18"/>
              </w:rPr>
            </w:pPr>
          </w:p>
        </w:tc>
        <w:tc>
          <w:tcPr>
            <w:tcW w:w="1476" w:type="dxa"/>
            <w:gridSpan w:val="2"/>
          </w:tcPr>
          <w:p w14:paraId="43C22110" w14:textId="77777777" w:rsidR="00374D2C" w:rsidRPr="00155A50" w:rsidRDefault="00374D2C" w:rsidP="00512092">
            <w:pPr>
              <w:jc w:val="center"/>
              <w:rPr>
                <w:rFonts w:asciiTheme="minorHAnsi" w:hAnsiTheme="minorHAnsi"/>
                <w:sz w:val="18"/>
                <w:szCs w:val="18"/>
              </w:rPr>
            </w:pPr>
          </w:p>
        </w:tc>
      </w:tr>
      <w:tr w:rsidR="00374D2C" w:rsidRPr="0043650E" w14:paraId="74D71CB6" w14:textId="77777777" w:rsidTr="00512092">
        <w:trPr>
          <w:gridAfter w:val="2"/>
          <w:wAfter w:w="1476" w:type="dxa"/>
        </w:trPr>
        <w:tc>
          <w:tcPr>
            <w:tcW w:w="3969" w:type="dxa"/>
            <w:gridSpan w:val="2"/>
          </w:tcPr>
          <w:p w14:paraId="58AA3AA4" w14:textId="77777777" w:rsidR="00374D2C" w:rsidRPr="00155A50" w:rsidRDefault="00374D2C" w:rsidP="00512092">
            <w:pPr>
              <w:pStyle w:val="TabletextLeft"/>
              <w:spacing w:before="0"/>
              <w:rPr>
                <w:rFonts w:asciiTheme="minorHAnsi" w:hAnsiTheme="minorHAnsi"/>
                <w:sz w:val="18"/>
                <w:szCs w:val="18"/>
              </w:rPr>
            </w:pPr>
            <w:r w:rsidRPr="00155A50">
              <w:rPr>
                <w:rFonts w:asciiTheme="minorHAnsi" w:hAnsiTheme="minorHAnsi"/>
                <w:i/>
                <w:sz w:val="18"/>
                <w:szCs w:val="18"/>
              </w:rPr>
              <w:t>University fixed effects: omitted category Uni1</w:t>
            </w:r>
          </w:p>
        </w:tc>
        <w:tc>
          <w:tcPr>
            <w:tcW w:w="679" w:type="dxa"/>
          </w:tcPr>
          <w:p w14:paraId="15987CCC" w14:textId="77777777" w:rsidR="00374D2C" w:rsidRPr="00155A50" w:rsidRDefault="00374D2C" w:rsidP="00512092">
            <w:pPr>
              <w:jc w:val="center"/>
              <w:rPr>
                <w:rFonts w:asciiTheme="minorHAnsi" w:hAnsiTheme="minorHAnsi"/>
                <w:sz w:val="18"/>
                <w:szCs w:val="18"/>
              </w:rPr>
            </w:pPr>
          </w:p>
        </w:tc>
        <w:tc>
          <w:tcPr>
            <w:tcW w:w="1247" w:type="dxa"/>
            <w:gridSpan w:val="2"/>
          </w:tcPr>
          <w:p w14:paraId="15F86212" w14:textId="77777777" w:rsidR="00374D2C" w:rsidRPr="00155A50" w:rsidRDefault="00374D2C" w:rsidP="00512092">
            <w:pPr>
              <w:jc w:val="center"/>
              <w:rPr>
                <w:rFonts w:asciiTheme="minorHAnsi" w:hAnsiTheme="minorHAnsi"/>
                <w:sz w:val="18"/>
                <w:szCs w:val="18"/>
              </w:rPr>
            </w:pPr>
          </w:p>
        </w:tc>
      </w:tr>
      <w:tr w:rsidR="00374D2C" w:rsidRPr="0043650E" w14:paraId="35B2BBF8" w14:textId="77777777" w:rsidTr="00512092">
        <w:tc>
          <w:tcPr>
            <w:tcW w:w="3401" w:type="dxa"/>
          </w:tcPr>
          <w:p w14:paraId="7B755997" w14:textId="77777777" w:rsidR="00374D2C" w:rsidRPr="0043650E" w:rsidRDefault="00374D2C" w:rsidP="00512092">
            <w:pPr>
              <w:pStyle w:val="TabletextLeft"/>
              <w:spacing w:before="0"/>
              <w:rPr>
                <w:rFonts w:asciiTheme="minorHAnsi" w:hAnsiTheme="minorHAnsi"/>
                <w:sz w:val="18"/>
                <w:szCs w:val="18"/>
              </w:rPr>
            </w:pPr>
            <w:r w:rsidRPr="0043650E">
              <w:rPr>
                <w:rFonts w:asciiTheme="minorHAnsi" w:hAnsiTheme="minorHAnsi"/>
                <w:sz w:val="18"/>
                <w:szCs w:val="18"/>
              </w:rPr>
              <w:t>Uni2</w:t>
            </w:r>
          </w:p>
        </w:tc>
        <w:tc>
          <w:tcPr>
            <w:tcW w:w="1247" w:type="dxa"/>
            <w:gridSpan w:val="2"/>
          </w:tcPr>
          <w:p w14:paraId="5FFAF036" w14:textId="77777777" w:rsidR="00374D2C" w:rsidRPr="002E69F4" w:rsidRDefault="00374D2C" w:rsidP="00512092">
            <w:pPr>
              <w:jc w:val="center"/>
              <w:rPr>
                <w:rFonts w:asciiTheme="minorHAnsi" w:hAnsiTheme="minorHAnsi"/>
                <w:sz w:val="18"/>
                <w:szCs w:val="18"/>
              </w:rPr>
            </w:pPr>
          </w:p>
        </w:tc>
        <w:tc>
          <w:tcPr>
            <w:tcW w:w="1247" w:type="dxa"/>
            <w:gridSpan w:val="2"/>
            <w:vAlign w:val="bottom"/>
          </w:tcPr>
          <w:p w14:paraId="38DE3949" w14:textId="77777777" w:rsidR="00374D2C" w:rsidRPr="0095497E" w:rsidRDefault="00374D2C" w:rsidP="00512092">
            <w:pPr>
              <w:jc w:val="center"/>
              <w:rPr>
                <w:rFonts w:asciiTheme="minorHAnsi" w:hAnsiTheme="minorHAnsi"/>
                <w:color w:val="000000"/>
                <w:sz w:val="18"/>
                <w:szCs w:val="18"/>
              </w:rPr>
            </w:pPr>
            <w:r w:rsidRPr="007D780F">
              <w:rPr>
                <w:color w:val="000000"/>
                <w:sz w:val="18"/>
                <w:szCs w:val="22"/>
              </w:rPr>
              <w:t>0.221</w:t>
            </w:r>
          </w:p>
        </w:tc>
        <w:tc>
          <w:tcPr>
            <w:tcW w:w="1476" w:type="dxa"/>
            <w:gridSpan w:val="2"/>
            <w:vAlign w:val="bottom"/>
          </w:tcPr>
          <w:p w14:paraId="40486E0D" w14:textId="77777777" w:rsidR="00374D2C" w:rsidRPr="0095497E" w:rsidRDefault="00374D2C" w:rsidP="00512092">
            <w:pPr>
              <w:jc w:val="center"/>
              <w:rPr>
                <w:rFonts w:asciiTheme="minorHAnsi" w:hAnsiTheme="minorHAnsi"/>
                <w:color w:val="000000"/>
                <w:sz w:val="18"/>
                <w:szCs w:val="18"/>
              </w:rPr>
            </w:pPr>
            <w:r w:rsidRPr="007D780F">
              <w:rPr>
                <w:color w:val="000000"/>
                <w:sz w:val="18"/>
                <w:szCs w:val="22"/>
              </w:rPr>
              <w:t>0.0225</w:t>
            </w:r>
          </w:p>
        </w:tc>
      </w:tr>
      <w:tr w:rsidR="00374D2C" w:rsidRPr="0043650E" w14:paraId="4574D48D" w14:textId="77777777" w:rsidTr="00512092">
        <w:tc>
          <w:tcPr>
            <w:tcW w:w="3401" w:type="dxa"/>
          </w:tcPr>
          <w:p w14:paraId="24E1EB5E" w14:textId="77777777" w:rsidR="00374D2C" w:rsidRPr="0043650E" w:rsidRDefault="00374D2C" w:rsidP="00512092">
            <w:pPr>
              <w:pStyle w:val="TabletextLeft"/>
              <w:spacing w:before="0"/>
              <w:rPr>
                <w:rFonts w:asciiTheme="minorHAnsi" w:hAnsiTheme="minorHAnsi"/>
                <w:sz w:val="18"/>
                <w:szCs w:val="18"/>
              </w:rPr>
            </w:pPr>
            <w:r w:rsidRPr="0043650E">
              <w:rPr>
                <w:rFonts w:asciiTheme="minorHAnsi" w:hAnsiTheme="minorHAnsi"/>
                <w:sz w:val="18"/>
                <w:szCs w:val="18"/>
              </w:rPr>
              <w:t>Uni3</w:t>
            </w:r>
          </w:p>
        </w:tc>
        <w:tc>
          <w:tcPr>
            <w:tcW w:w="1247" w:type="dxa"/>
            <w:gridSpan w:val="2"/>
          </w:tcPr>
          <w:p w14:paraId="0A0F3990" w14:textId="77777777" w:rsidR="00374D2C" w:rsidRPr="002E69F4" w:rsidRDefault="00374D2C" w:rsidP="00512092">
            <w:pPr>
              <w:jc w:val="center"/>
              <w:rPr>
                <w:rFonts w:asciiTheme="minorHAnsi" w:hAnsiTheme="minorHAnsi"/>
                <w:color w:val="000000"/>
                <w:sz w:val="18"/>
                <w:szCs w:val="18"/>
              </w:rPr>
            </w:pPr>
          </w:p>
        </w:tc>
        <w:tc>
          <w:tcPr>
            <w:tcW w:w="1247" w:type="dxa"/>
            <w:gridSpan w:val="2"/>
            <w:vAlign w:val="bottom"/>
          </w:tcPr>
          <w:p w14:paraId="051FF693" w14:textId="77777777" w:rsidR="00374D2C" w:rsidRPr="0095497E" w:rsidRDefault="00374D2C" w:rsidP="00512092">
            <w:pPr>
              <w:jc w:val="center"/>
              <w:rPr>
                <w:rFonts w:asciiTheme="minorHAnsi" w:hAnsiTheme="minorHAnsi"/>
                <w:color w:val="000000"/>
                <w:sz w:val="18"/>
                <w:szCs w:val="18"/>
              </w:rPr>
            </w:pPr>
            <w:r w:rsidRPr="007D780F">
              <w:rPr>
                <w:color w:val="000000"/>
                <w:sz w:val="18"/>
                <w:szCs w:val="22"/>
              </w:rPr>
              <w:t>0.0859</w:t>
            </w:r>
          </w:p>
        </w:tc>
        <w:tc>
          <w:tcPr>
            <w:tcW w:w="1476" w:type="dxa"/>
            <w:gridSpan w:val="2"/>
            <w:vAlign w:val="bottom"/>
          </w:tcPr>
          <w:p w14:paraId="36430DCA" w14:textId="77777777" w:rsidR="00374D2C" w:rsidRPr="0095497E" w:rsidRDefault="00374D2C" w:rsidP="00512092">
            <w:pPr>
              <w:jc w:val="center"/>
              <w:rPr>
                <w:rFonts w:asciiTheme="minorHAnsi" w:hAnsiTheme="minorHAnsi"/>
                <w:color w:val="000000"/>
                <w:sz w:val="18"/>
                <w:szCs w:val="18"/>
              </w:rPr>
            </w:pPr>
            <w:r w:rsidRPr="007D780F">
              <w:rPr>
                <w:color w:val="000000"/>
                <w:sz w:val="18"/>
                <w:szCs w:val="22"/>
              </w:rPr>
              <w:t>-0.0215</w:t>
            </w:r>
          </w:p>
        </w:tc>
      </w:tr>
      <w:tr w:rsidR="00374D2C" w:rsidRPr="0043650E" w14:paraId="0D800F3C" w14:textId="77777777" w:rsidTr="00512092">
        <w:tc>
          <w:tcPr>
            <w:tcW w:w="3401" w:type="dxa"/>
          </w:tcPr>
          <w:p w14:paraId="2E0AFAB8" w14:textId="77777777" w:rsidR="00374D2C" w:rsidRPr="0043650E" w:rsidRDefault="00374D2C" w:rsidP="00512092">
            <w:pPr>
              <w:pStyle w:val="TabletextLeft"/>
              <w:spacing w:before="0"/>
              <w:rPr>
                <w:rFonts w:asciiTheme="minorHAnsi" w:hAnsiTheme="minorHAnsi"/>
                <w:sz w:val="18"/>
                <w:szCs w:val="18"/>
              </w:rPr>
            </w:pPr>
            <w:r w:rsidRPr="0043650E">
              <w:rPr>
                <w:rFonts w:asciiTheme="minorHAnsi" w:hAnsiTheme="minorHAnsi"/>
                <w:sz w:val="18"/>
                <w:szCs w:val="18"/>
              </w:rPr>
              <w:t>Uni4</w:t>
            </w:r>
          </w:p>
        </w:tc>
        <w:tc>
          <w:tcPr>
            <w:tcW w:w="1247" w:type="dxa"/>
            <w:gridSpan w:val="2"/>
          </w:tcPr>
          <w:p w14:paraId="764121FB" w14:textId="77777777" w:rsidR="00374D2C" w:rsidRPr="002E69F4" w:rsidRDefault="00374D2C" w:rsidP="00512092">
            <w:pPr>
              <w:jc w:val="center"/>
              <w:rPr>
                <w:rFonts w:asciiTheme="minorHAnsi" w:hAnsiTheme="minorHAnsi"/>
                <w:color w:val="000000"/>
                <w:sz w:val="18"/>
                <w:szCs w:val="18"/>
              </w:rPr>
            </w:pPr>
          </w:p>
        </w:tc>
        <w:tc>
          <w:tcPr>
            <w:tcW w:w="1247" w:type="dxa"/>
            <w:gridSpan w:val="2"/>
            <w:vAlign w:val="bottom"/>
          </w:tcPr>
          <w:p w14:paraId="3BC1A2C7" w14:textId="77777777" w:rsidR="00374D2C" w:rsidRPr="0095497E" w:rsidRDefault="00374D2C" w:rsidP="00512092">
            <w:pPr>
              <w:jc w:val="center"/>
              <w:rPr>
                <w:rFonts w:asciiTheme="minorHAnsi" w:hAnsiTheme="minorHAnsi"/>
                <w:color w:val="000000"/>
                <w:sz w:val="18"/>
                <w:szCs w:val="18"/>
              </w:rPr>
            </w:pPr>
            <w:r w:rsidRPr="007D780F">
              <w:rPr>
                <w:color w:val="000000"/>
                <w:sz w:val="18"/>
                <w:szCs w:val="22"/>
              </w:rPr>
              <w:t>-0.0241</w:t>
            </w:r>
          </w:p>
        </w:tc>
        <w:tc>
          <w:tcPr>
            <w:tcW w:w="1476" w:type="dxa"/>
            <w:gridSpan w:val="2"/>
            <w:vAlign w:val="bottom"/>
          </w:tcPr>
          <w:p w14:paraId="0E8E8B3B" w14:textId="77777777" w:rsidR="00374D2C" w:rsidRPr="0095497E" w:rsidRDefault="00374D2C" w:rsidP="00512092">
            <w:pPr>
              <w:jc w:val="center"/>
              <w:rPr>
                <w:rFonts w:asciiTheme="minorHAnsi" w:hAnsiTheme="minorHAnsi"/>
                <w:color w:val="000000"/>
                <w:sz w:val="18"/>
                <w:szCs w:val="18"/>
              </w:rPr>
            </w:pPr>
            <w:r w:rsidRPr="007D780F">
              <w:rPr>
                <w:color w:val="000000"/>
                <w:sz w:val="18"/>
                <w:szCs w:val="22"/>
              </w:rPr>
              <w:t>-0.147</w:t>
            </w:r>
          </w:p>
        </w:tc>
      </w:tr>
      <w:tr w:rsidR="00374D2C" w:rsidRPr="0043650E" w14:paraId="5DE9ABF0" w14:textId="77777777" w:rsidTr="00512092">
        <w:tc>
          <w:tcPr>
            <w:tcW w:w="3401" w:type="dxa"/>
          </w:tcPr>
          <w:p w14:paraId="04D51823" w14:textId="77777777" w:rsidR="00374D2C" w:rsidRPr="0043650E" w:rsidRDefault="00374D2C" w:rsidP="00512092">
            <w:pPr>
              <w:pStyle w:val="TabletextLeft"/>
              <w:spacing w:before="0"/>
              <w:rPr>
                <w:rFonts w:asciiTheme="minorHAnsi" w:hAnsiTheme="minorHAnsi"/>
                <w:sz w:val="18"/>
                <w:szCs w:val="18"/>
              </w:rPr>
            </w:pPr>
            <w:r w:rsidRPr="0043650E">
              <w:rPr>
                <w:rFonts w:asciiTheme="minorHAnsi" w:hAnsiTheme="minorHAnsi"/>
                <w:sz w:val="18"/>
                <w:szCs w:val="18"/>
              </w:rPr>
              <w:t>Uni5</w:t>
            </w:r>
          </w:p>
        </w:tc>
        <w:tc>
          <w:tcPr>
            <w:tcW w:w="1247" w:type="dxa"/>
            <w:gridSpan w:val="2"/>
          </w:tcPr>
          <w:p w14:paraId="7E0BB80D" w14:textId="77777777" w:rsidR="00374D2C" w:rsidRPr="002E69F4" w:rsidRDefault="00374D2C" w:rsidP="00512092">
            <w:pPr>
              <w:jc w:val="center"/>
              <w:rPr>
                <w:rFonts w:asciiTheme="minorHAnsi" w:hAnsiTheme="minorHAnsi"/>
                <w:color w:val="000000"/>
                <w:sz w:val="18"/>
                <w:szCs w:val="18"/>
              </w:rPr>
            </w:pPr>
          </w:p>
        </w:tc>
        <w:tc>
          <w:tcPr>
            <w:tcW w:w="1247" w:type="dxa"/>
            <w:gridSpan w:val="2"/>
            <w:vAlign w:val="bottom"/>
          </w:tcPr>
          <w:p w14:paraId="22A0B38D" w14:textId="77777777" w:rsidR="00374D2C" w:rsidRPr="0095497E" w:rsidRDefault="00374D2C" w:rsidP="00512092">
            <w:pPr>
              <w:jc w:val="center"/>
              <w:rPr>
                <w:rFonts w:asciiTheme="minorHAnsi" w:hAnsiTheme="minorHAnsi"/>
                <w:color w:val="000000"/>
                <w:sz w:val="18"/>
                <w:szCs w:val="18"/>
              </w:rPr>
            </w:pPr>
            <w:r w:rsidRPr="007D780F">
              <w:rPr>
                <w:color w:val="000000"/>
                <w:sz w:val="18"/>
                <w:szCs w:val="22"/>
              </w:rPr>
              <w:t>0.274*</w:t>
            </w:r>
          </w:p>
        </w:tc>
        <w:tc>
          <w:tcPr>
            <w:tcW w:w="1476" w:type="dxa"/>
            <w:gridSpan w:val="2"/>
            <w:vAlign w:val="bottom"/>
          </w:tcPr>
          <w:p w14:paraId="0A14E033" w14:textId="77777777" w:rsidR="00374D2C" w:rsidRPr="0095497E" w:rsidRDefault="00374D2C" w:rsidP="00512092">
            <w:pPr>
              <w:jc w:val="center"/>
              <w:rPr>
                <w:rFonts w:asciiTheme="minorHAnsi" w:hAnsiTheme="minorHAnsi"/>
                <w:color w:val="000000"/>
                <w:sz w:val="18"/>
                <w:szCs w:val="18"/>
              </w:rPr>
            </w:pPr>
            <w:r w:rsidRPr="007D780F">
              <w:rPr>
                <w:color w:val="000000"/>
                <w:sz w:val="18"/>
                <w:szCs w:val="22"/>
              </w:rPr>
              <w:t>0.0761</w:t>
            </w:r>
          </w:p>
        </w:tc>
      </w:tr>
      <w:tr w:rsidR="00374D2C" w:rsidRPr="0043650E" w14:paraId="3B39F5FE" w14:textId="77777777" w:rsidTr="00512092">
        <w:tc>
          <w:tcPr>
            <w:tcW w:w="3401" w:type="dxa"/>
          </w:tcPr>
          <w:p w14:paraId="687604DB" w14:textId="77777777" w:rsidR="00374D2C" w:rsidRPr="0043650E" w:rsidRDefault="00374D2C" w:rsidP="00512092">
            <w:pPr>
              <w:pStyle w:val="TabletextLeft"/>
              <w:spacing w:before="0"/>
              <w:rPr>
                <w:rFonts w:asciiTheme="minorHAnsi" w:hAnsiTheme="minorHAnsi"/>
                <w:sz w:val="18"/>
                <w:szCs w:val="18"/>
              </w:rPr>
            </w:pPr>
            <w:r w:rsidRPr="0043650E">
              <w:rPr>
                <w:rFonts w:asciiTheme="minorHAnsi" w:hAnsiTheme="minorHAnsi"/>
                <w:sz w:val="18"/>
                <w:szCs w:val="18"/>
              </w:rPr>
              <w:t>Uni6</w:t>
            </w:r>
          </w:p>
        </w:tc>
        <w:tc>
          <w:tcPr>
            <w:tcW w:w="1247" w:type="dxa"/>
            <w:gridSpan w:val="2"/>
          </w:tcPr>
          <w:p w14:paraId="12A52A44" w14:textId="77777777" w:rsidR="00374D2C" w:rsidRPr="002E69F4" w:rsidRDefault="00374D2C" w:rsidP="00512092">
            <w:pPr>
              <w:jc w:val="center"/>
              <w:rPr>
                <w:rFonts w:asciiTheme="minorHAnsi" w:hAnsiTheme="minorHAnsi"/>
                <w:color w:val="000000"/>
                <w:sz w:val="18"/>
                <w:szCs w:val="18"/>
              </w:rPr>
            </w:pPr>
          </w:p>
        </w:tc>
        <w:tc>
          <w:tcPr>
            <w:tcW w:w="1247" w:type="dxa"/>
            <w:gridSpan w:val="2"/>
            <w:vAlign w:val="bottom"/>
          </w:tcPr>
          <w:p w14:paraId="65532AF9" w14:textId="77777777" w:rsidR="00374D2C" w:rsidRPr="0095497E" w:rsidRDefault="00374D2C" w:rsidP="00512092">
            <w:pPr>
              <w:jc w:val="center"/>
              <w:rPr>
                <w:rFonts w:asciiTheme="minorHAnsi" w:hAnsiTheme="minorHAnsi"/>
                <w:color w:val="000000"/>
                <w:sz w:val="18"/>
                <w:szCs w:val="18"/>
              </w:rPr>
            </w:pPr>
            <w:r w:rsidRPr="007D780F">
              <w:rPr>
                <w:color w:val="000000"/>
                <w:sz w:val="18"/>
                <w:szCs w:val="22"/>
              </w:rPr>
              <w:t>0.208</w:t>
            </w:r>
          </w:p>
        </w:tc>
        <w:tc>
          <w:tcPr>
            <w:tcW w:w="1476" w:type="dxa"/>
            <w:gridSpan w:val="2"/>
            <w:vAlign w:val="bottom"/>
          </w:tcPr>
          <w:p w14:paraId="42A47C1B" w14:textId="77777777" w:rsidR="00374D2C" w:rsidRPr="0095497E" w:rsidRDefault="00374D2C" w:rsidP="00512092">
            <w:pPr>
              <w:jc w:val="center"/>
              <w:rPr>
                <w:rFonts w:asciiTheme="minorHAnsi" w:hAnsiTheme="minorHAnsi"/>
                <w:color w:val="000000"/>
                <w:sz w:val="18"/>
                <w:szCs w:val="18"/>
              </w:rPr>
            </w:pPr>
            <w:r w:rsidRPr="007D780F">
              <w:rPr>
                <w:color w:val="000000"/>
                <w:sz w:val="18"/>
                <w:szCs w:val="22"/>
              </w:rPr>
              <w:t>0.137</w:t>
            </w:r>
          </w:p>
        </w:tc>
      </w:tr>
      <w:tr w:rsidR="00374D2C" w:rsidRPr="0043650E" w14:paraId="0B75BC56" w14:textId="77777777" w:rsidTr="00512092">
        <w:tc>
          <w:tcPr>
            <w:tcW w:w="3401" w:type="dxa"/>
          </w:tcPr>
          <w:p w14:paraId="399EF77A" w14:textId="77777777" w:rsidR="00374D2C" w:rsidRPr="0043650E" w:rsidRDefault="00374D2C" w:rsidP="00512092">
            <w:pPr>
              <w:pStyle w:val="TabletextLeft"/>
              <w:spacing w:before="0"/>
              <w:rPr>
                <w:rFonts w:asciiTheme="minorHAnsi" w:hAnsiTheme="minorHAnsi"/>
                <w:sz w:val="18"/>
                <w:szCs w:val="18"/>
              </w:rPr>
            </w:pPr>
            <w:r w:rsidRPr="0043650E">
              <w:rPr>
                <w:rFonts w:asciiTheme="minorHAnsi" w:hAnsiTheme="minorHAnsi"/>
                <w:sz w:val="18"/>
                <w:szCs w:val="18"/>
              </w:rPr>
              <w:t>Uni7</w:t>
            </w:r>
          </w:p>
        </w:tc>
        <w:tc>
          <w:tcPr>
            <w:tcW w:w="1247" w:type="dxa"/>
            <w:gridSpan w:val="2"/>
          </w:tcPr>
          <w:p w14:paraId="2288D3DF" w14:textId="77777777" w:rsidR="00374D2C" w:rsidRPr="002E69F4" w:rsidRDefault="00374D2C" w:rsidP="00512092">
            <w:pPr>
              <w:jc w:val="center"/>
              <w:rPr>
                <w:rFonts w:asciiTheme="minorHAnsi" w:hAnsiTheme="minorHAnsi"/>
                <w:color w:val="000000"/>
                <w:sz w:val="18"/>
                <w:szCs w:val="18"/>
              </w:rPr>
            </w:pPr>
          </w:p>
        </w:tc>
        <w:tc>
          <w:tcPr>
            <w:tcW w:w="1247" w:type="dxa"/>
            <w:gridSpan w:val="2"/>
            <w:vAlign w:val="bottom"/>
          </w:tcPr>
          <w:p w14:paraId="7634CF9A" w14:textId="77777777" w:rsidR="00374D2C" w:rsidRPr="0095497E" w:rsidRDefault="00374D2C" w:rsidP="00512092">
            <w:pPr>
              <w:jc w:val="center"/>
              <w:rPr>
                <w:rFonts w:asciiTheme="minorHAnsi" w:hAnsiTheme="minorHAnsi"/>
                <w:color w:val="000000"/>
                <w:sz w:val="18"/>
                <w:szCs w:val="18"/>
              </w:rPr>
            </w:pPr>
            <w:r w:rsidRPr="007D780F">
              <w:rPr>
                <w:color w:val="000000"/>
                <w:sz w:val="18"/>
                <w:szCs w:val="22"/>
              </w:rPr>
              <w:t>0.159</w:t>
            </w:r>
          </w:p>
        </w:tc>
        <w:tc>
          <w:tcPr>
            <w:tcW w:w="1476" w:type="dxa"/>
            <w:gridSpan w:val="2"/>
            <w:vAlign w:val="bottom"/>
          </w:tcPr>
          <w:p w14:paraId="630D2C9F" w14:textId="77777777" w:rsidR="00374D2C" w:rsidRPr="0095497E" w:rsidRDefault="00374D2C" w:rsidP="00512092">
            <w:pPr>
              <w:jc w:val="center"/>
              <w:rPr>
                <w:rFonts w:asciiTheme="minorHAnsi" w:hAnsiTheme="minorHAnsi"/>
                <w:color w:val="000000"/>
                <w:sz w:val="18"/>
                <w:szCs w:val="18"/>
              </w:rPr>
            </w:pPr>
            <w:r w:rsidRPr="007D780F">
              <w:rPr>
                <w:color w:val="000000"/>
                <w:sz w:val="18"/>
                <w:szCs w:val="22"/>
              </w:rPr>
              <w:t>0.0607</w:t>
            </w:r>
          </w:p>
        </w:tc>
      </w:tr>
      <w:tr w:rsidR="00374D2C" w:rsidRPr="0043650E" w14:paraId="766626EC" w14:textId="77777777" w:rsidTr="00512092">
        <w:tc>
          <w:tcPr>
            <w:tcW w:w="3401" w:type="dxa"/>
          </w:tcPr>
          <w:p w14:paraId="3EC6EA49" w14:textId="77777777" w:rsidR="00374D2C" w:rsidRPr="0043650E" w:rsidRDefault="00374D2C" w:rsidP="00512092">
            <w:pPr>
              <w:pStyle w:val="TabletextLeft"/>
              <w:spacing w:before="0"/>
              <w:rPr>
                <w:rFonts w:asciiTheme="minorHAnsi" w:hAnsiTheme="minorHAnsi"/>
                <w:sz w:val="18"/>
                <w:szCs w:val="18"/>
              </w:rPr>
            </w:pPr>
            <w:r w:rsidRPr="0043650E">
              <w:rPr>
                <w:rFonts w:asciiTheme="minorHAnsi" w:hAnsiTheme="minorHAnsi"/>
                <w:sz w:val="18"/>
                <w:szCs w:val="18"/>
              </w:rPr>
              <w:t>Uni8</w:t>
            </w:r>
          </w:p>
        </w:tc>
        <w:tc>
          <w:tcPr>
            <w:tcW w:w="1247" w:type="dxa"/>
            <w:gridSpan w:val="2"/>
          </w:tcPr>
          <w:p w14:paraId="7016D173" w14:textId="77777777" w:rsidR="00374D2C" w:rsidRPr="002E69F4" w:rsidRDefault="00374D2C" w:rsidP="00512092">
            <w:pPr>
              <w:jc w:val="center"/>
              <w:rPr>
                <w:rFonts w:asciiTheme="minorHAnsi" w:hAnsiTheme="minorHAnsi"/>
                <w:color w:val="000000"/>
                <w:sz w:val="18"/>
                <w:szCs w:val="18"/>
              </w:rPr>
            </w:pPr>
          </w:p>
        </w:tc>
        <w:tc>
          <w:tcPr>
            <w:tcW w:w="1247" w:type="dxa"/>
            <w:gridSpan w:val="2"/>
            <w:vAlign w:val="bottom"/>
          </w:tcPr>
          <w:p w14:paraId="366E2E4D" w14:textId="77777777" w:rsidR="00374D2C" w:rsidRPr="0095497E" w:rsidRDefault="00374D2C" w:rsidP="00512092">
            <w:pPr>
              <w:jc w:val="center"/>
              <w:rPr>
                <w:rFonts w:asciiTheme="minorHAnsi" w:hAnsiTheme="minorHAnsi"/>
                <w:color w:val="000000"/>
                <w:sz w:val="18"/>
                <w:szCs w:val="18"/>
              </w:rPr>
            </w:pPr>
            <w:r w:rsidRPr="007D780F">
              <w:rPr>
                <w:color w:val="000000"/>
                <w:sz w:val="18"/>
                <w:szCs w:val="22"/>
              </w:rPr>
              <w:t>0.232</w:t>
            </w:r>
          </w:p>
        </w:tc>
        <w:tc>
          <w:tcPr>
            <w:tcW w:w="1476" w:type="dxa"/>
            <w:gridSpan w:val="2"/>
            <w:vAlign w:val="bottom"/>
          </w:tcPr>
          <w:p w14:paraId="3BF30DD3" w14:textId="77777777" w:rsidR="00374D2C" w:rsidRPr="0095497E" w:rsidRDefault="00374D2C" w:rsidP="00512092">
            <w:pPr>
              <w:jc w:val="center"/>
              <w:rPr>
                <w:rFonts w:asciiTheme="minorHAnsi" w:hAnsiTheme="minorHAnsi"/>
                <w:color w:val="000000"/>
                <w:sz w:val="18"/>
                <w:szCs w:val="18"/>
              </w:rPr>
            </w:pPr>
            <w:r w:rsidRPr="007D780F">
              <w:rPr>
                <w:color w:val="000000"/>
                <w:sz w:val="18"/>
                <w:szCs w:val="22"/>
              </w:rPr>
              <w:t>0.168</w:t>
            </w:r>
          </w:p>
        </w:tc>
      </w:tr>
      <w:tr w:rsidR="00374D2C" w:rsidRPr="0043650E" w14:paraId="4AEDC50C" w14:textId="77777777" w:rsidTr="00512092">
        <w:tc>
          <w:tcPr>
            <w:tcW w:w="3401" w:type="dxa"/>
          </w:tcPr>
          <w:p w14:paraId="47F032AE" w14:textId="77777777" w:rsidR="00374D2C" w:rsidRPr="0043650E" w:rsidRDefault="00374D2C" w:rsidP="00512092">
            <w:pPr>
              <w:pStyle w:val="TabletextLeft"/>
              <w:spacing w:before="0"/>
              <w:rPr>
                <w:rFonts w:asciiTheme="minorHAnsi" w:hAnsiTheme="minorHAnsi"/>
                <w:sz w:val="18"/>
                <w:szCs w:val="18"/>
              </w:rPr>
            </w:pPr>
            <w:r w:rsidRPr="0043650E">
              <w:rPr>
                <w:rFonts w:asciiTheme="minorHAnsi" w:hAnsiTheme="minorHAnsi"/>
                <w:sz w:val="18"/>
                <w:szCs w:val="18"/>
              </w:rPr>
              <w:t>Uni9</w:t>
            </w:r>
          </w:p>
        </w:tc>
        <w:tc>
          <w:tcPr>
            <w:tcW w:w="1247" w:type="dxa"/>
            <w:gridSpan w:val="2"/>
          </w:tcPr>
          <w:p w14:paraId="64D51C4B" w14:textId="77777777" w:rsidR="00374D2C" w:rsidRPr="002E69F4" w:rsidRDefault="00374D2C" w:rsidP="00512092">
            <w:pPr>
              <w:jc w:val="center"/>
              <w:rPr>
                <w:rFonts w:asciiTheme="minorHAnsi" w:hAnsiTheme="minorHAnsi"/>
                <w:color w:val="000000"/>
                <w:sz w:val="18"/>
                <w:szCs w:val="18"/>
              </w:rPr>
            </w:pPr>
          </w:p>
        </w:tc>
        <w:tc>
          <w:tcPr>
            <w:tcW w:w="1247" w:type="dxa"/>
            <w:gridSpan w:val="2"/>
            <w:vAlign w:val="bottom"/>
          </w:tcPr>
          <w:p w14:paraId="5EAB5657" w14:textId="77777777" w:rsidR="00374D2C" w:rsidRPr="0095497E" w:rsidRDefault="00374D2C" w:rsidP="00512092">
            <w:pPr>
              <w:jc w:val="center"/>
              <w:rPr>
                <w:rFonts w:asciiTheme="minorHAnsi" w:hAnsiTheme="minorHAnsi"/>
                <w:color w:val="000000"/>
                <w:sz w:val="18"/>
                <w:szCs w:val="18"/>
              </w:rPr>
            </w:pPr>
            <w:r w:rsidRPr="007D780F">
              <w:rPr>
                <w:color w:val="000000"/>
                <w:sz w:val="18"/>
                <w:szCs w:val="22"/>
              </w:rPr>
              <w:t>0.185</w:t>
            </w:r>
          </w:p>
        </w:tc>
        <w:tc>
          <w:tcPr>
            <w:tcW w:w="1476" w:type="dxa"/>
            <w:gridSpan w:val="2"/>
            <w:vAlign w:val="bottom"/>
          </w:tcPr>
          <w:p w14:paraId="6E1C336D" w14:textId="77777777" w:rsidR="00374D2C" w:rsidRPr="0095497E" w:rsidRDefault="00374D2C" w:rsidP="00512092">
            <w:pPr>
              <w:jc w:val="center"/>
              <w:rPr>
                <w:rFonts w:asciiTheme="minorHAnsi" w:hAnsiTheme="minorHAnsi"/>
                <w:color w:val="000000"/>
                <w:sz w:val="18"/>
                <w:szCs w:val="18"/>
              </w:rPr>
            </w:pPr>
            <w:r w:rsidRPr="007D780F">
              <w:rPr>
                <w:color w:val="000000"/>
                <w:sz w:val="18"/>
                <w:szCs w:val="22"/>
              </w:rPr>
              <w:t>0.0972</w:t>
            </w:r>
          </w:p>
        </w:tc>
      </w:tr>
      <w:tr w:rsidR="00374D2C" w:rsidRPr="0043650E" w14:paraId="70B1A00E" w14:textId="77777777" w:rsidTr="00512092">
        <w:tc>
          <w:tcPr>
            <w:tcW w:w="3401" w:type="dxa"/>
          </w:tcPr>
          <w:p w14:paraId="1EAD3F4B" w14:textId="77777777" w:rsidR="00374D2C" w:rsidRPr="0043650E" w:rsidRDefault="00374D2C" w:rsidP="00512092">
            <w:pPr>
              <w:pStyle w:val="TabletextLeft"/>
              <w:spacing w:before="0"/>
              <w:rPr>
                <w:rFonts w:asciiTheme="minorHAnsi" w:hAnsiTheme="minorHAnsi"/>
                <w:sz w:val="18"/>
                <w:szCs w:val="18"/>
              </w:rPr>
            </w:pPr>
            <w:r w:rsidRPr="0043650E">
              <w:rPr>
                <w:rFonts w:asciiTheme="minorHAnsi" w:hAnsiTheme="minorHAnsi"/>
                <w:sz w:val="18"/>
                <w:szCs w:val="18"/>
              </w:rPr>
              <w:t>Uni10</w:t>
            </w:r>
          </w:p>
        </w:tc>
        <w:tc>
          <w:tcPr>
            <w:tcW w:w="1247" w:type="dxa"/>
            <w:gridSpan w:val="2"/>
          </w:tcPr>
          <w:p w14:paraId="7761E33B" w14:textId="77777777" w:rsidR="00374D2C" w:rsidRPr="002E69F4" w:rsidRDefault="00374D2C" w:rsidP="00512092">
            <w:pPr>
              <w:jc w:val="center"/>
              <w:rPr>
                <w:rFonts w:asciiTheme="minorHAnsi" w:hAnsiTheme="minorHAnsi"/>
                <w:color w:val="000000"/>
                <w:sz w:val="18"/>
                <w:szCs w:val="18"/>
              </w:rPr>
            </w:pPr>
          </w:p>
        </w:tc>
        <w:tc>
          <w:tcPr>
            <w:tcW w:w="1247" w:type="dxa"/>
            <w:gridSpan w:val="2"/>
            <w:vAlign w:val="bottom"/>
          </w:tcPr>
          <w:p w14:paraId="0157371D" w14:textId="77777777" w:rsidR="00374D2C" w:rsidRPr="0095497E" w:rsidRDefault="00374D2C" w:rsidP="00512092">
            <w:pPr>
              <w:jc w:val="center"/>
              <w:rPr>
                <w:rFonts w:asciiTheme="minorHAnsi" w:hAnsiTheme="minorHAnsi"/>
                <w:color w:val="000000"/>
                <w:sz w:val="18"/>
                <w:szCs w:val="18"/>
              </w:rPr>
            </w:pPr>
            <w:r w:rsidRPr="007D780F">
              <w:rPr>
                <w:color w:val="000000"/>
                <w:sz w:val="18"/>
                <w:szCs w:val="22"/>
              </w:rPr>
              <w:t>0.523***</w:t>
            </w:r>
          </w:p>
        </w:tc>
        <w:tc>
          <w:tcPr>
            <w:tcW w:w="1476" w:type="dxa"/>
            <w:gridSpan w:val="2"/>
            <w:vAlign w:val="bottom"/>
          </w:tcPr>
          <w:p w14:paraId="09E9FD93" w14:textId="77777777" w:rsidR="00374D2C" w:rsidRPr="0095497E" w:rsidRDefault="00374D2C" w:rsidP="00512092">
            <w:pPr>
              <w:jc w:val="center"/>
              <w:rPr>
                <w:rFonts w:asciiTheme="minorHAnsi" w:hAnsiTheme="minorHAnsi"/>
                <w:color w:val="000000"/>
                <w:sz w:val="18"/>
                <w:szCs w:val="18"/>
              </w:rPr>
            </w:pPr>
            <w:r w:rsidRPr="007D780F">
              <w:rPr>
                <w:color w:val="000000"/>
                <w:sz w:val="18"/>
                <w:szCs w:val="22"/>
              </w:rPr>
              <w:t>0.326***</w:t>
            </w:r>
          </w:p>
        </w:tc>
      </w:tr>
      <w:tr w:rsidR="00374D2C" w:rsidRPr="0043650E" w14:paraId="7C1C2F85" w14:textId="77777777" w:rsidTr="00512092">
        <w:tc>
          <w:tcPr>
            <w:tcW w:w="3401" w:type="dxa"/>
          </w:tcPr>
          <w:p w14:paraId="69563281" w14:textId="77777777" w:rsidR="00374D2C" w:rsidRPr="0043650E" w:rsidRDefault="00374D2C" w:rsidP="00512092">
            <w:pPr>
              <w:pStyle w:val="TabletextLeft"/>
              <w:spacing w:before="0"/>
              <w:rPr>
                <w:rFonts w:asciiTheme="minorHAnsi" w:hAnsiTheme="minorHAnsi"/>
                <w:sz w:val="18"/>
                <w:szCs w:val="18"/>
              </w:rPr>
            </w:pPr>
            <w:r w:rsidRPr="0043650E">
              <w:rPr>
                <w:rFonts w:asciiTheme="minorHAnsi" w:hAnsiTheme="minorHAnsi"/>
                <w:sz w:val="18"/>
                <w:szCs w:val="18"/>
              </w:rPr>
              <w:t>Uni11</w:t>
            </w:r>
          </w:p>
        </w:tc>
        <w:tc>
          <w:tcPr>
            <w:tcW w:w="1247" w:type="dxa"/>
            <w:gridSpan w:val="2"/>
          </w:tcPr>
          <w:p w14:paraId="2ADC795F" w14:textId="77777777" w:rsidR="00374D2C" w:rsidRPr="002E69F4" w:rsidRDefault="00374D2C" w:rsidP="00512092">
            <w:pPr>
              <w:jc w:val="center"/>
              <w:rPr>
                <w:rFonts w:asciiTheme="minorHAnsi" w:hAnsiTheme="minorHAnsi"/>
                <w:color w:val="000000"/>
                <w:sz w:val="18"/>
                <w:szCs w:val="18"/>
              </w:rPr>
            </w:pPr>
          </w:p>
        </w:tc>
        <w:tc>
          <w:tcPr>
            <w:tcW w:w="1247" w:type="dxa"/>
            <w:gridSpan w:val="2"/>
            <w:vAlign w:val="bottom"/>
          </w:tcPr>
          <w:p w14:paraId="67290AAD" w14:textId="72B4ED5D" w:rsidR="00374D2C" w:rsidRPr="0095497E" w:rsidRDefault="00374D2C" w:rsidP="00512092">
            <w:pPr>
              <w:jc w:val="center"/>
              <w:rPr>
                <w:rFonts w:asciiTheme="minorHAnsi" w:hAnsiTheme="minorHAnsi"/>
                <w:color w:val="000000"/>
                <w:sz w:val="18"/>
                <w:szCs w:val="18"/>
              </w:rPr>
            </w:pPr>
            <w:r w:rsidRPr="007D780F">
              <w:rPr>
                <w:color w:val="000000"/>
                <w:sz w:val="18"/>
                <w:szCs w:val="22"/>
              </w:rPr>
              <w:t>0.22</w:t>
            </w:r>
            <w:r w:rsidR="00111A4E">
              <w:rPr>
                <w:color w:val="000000"/>
                <w:sz w:val="18"/>
                <w:szCs w:val="22"/>
              </w:rPr>
              <w:t>0</w:t>
            </w:r>
          </w:p>
        </w:tc>
        <w:tc>
          <w:tcPr>
            <w:tcW w:w="1476" w:type="dxa"/>
            <w:gridSpan w:val="2"/>
            <w:vAlign w:val="bottom"/>
          </w:tcPr>
          <w:p w14:paraId="2C8B6E88" w14:textId="77777777" w:rsidR="00374D2C" w:rsidRPr="0095497E" w:rsidRDefault="00374D2C" w:rsidP="00512092">
            <w:pPr>
              <w:jc w:val="center"/>
              <w:rPr>
                <w:rFonts w:asciiTheme="minorHAnsi" w:hAnsiTheme="minorHAnsi"/>
                <w:color w:val="000000"/>
                <w:sz w:val="18"/>
                <w:szCs w:val="18"/>
              </w:rPr>
            </w:pPr>
            <w:r w:rsidRPr="007D780F">
              <w:rPr>
                <w:color w:val="000000"/>
                <w:sz w:val="18"/>
                <w:szCs w:val="22"/>
              </w:rPr>
              <w:t>0.0731</w:t>
            </w:r>
          </w:p>
        </w:tc>
      </w:tr>
      <w:tr w:rsidR="00374D2C" w:rsidRPr="0043650E" w14:paraId="718E1DAE" w14:textId="77777777" w:rsidTr="00512092">
        <w:tc>
          <w:tcPr>
            <w:tcW w:w="3401" w:type="dxa"/>
          </w:tcPr>
          <w:p w14:paraId="6057F288" w14:textId="77777777" w:rsidR="00374D2C" w:rsidRPr="0043650E" w:rsidRDefault="00374D2C" w:rsidP="00512092">
            <w:pPr>
              <w:pStyle w:val="TabletextLeft"/>
              <w:spacing w:before="0"/>
              <w:rPr>
                <w:rFonts w:asciiTheme="minorHAnsi" w:hAnsiTheme="minorHAnsi"/>
                <w:sz w:val="18"/>
                <w:szCs w:val="18"/>
              </w:rPr>
            </w:pPr>
            <w:r w:rsidRPr="0043650E">
              <w:rPr>
                <w:rFonts w:asciiTheme="minorHAnsi" w:hAnsiTheme="minorHAnsi"/>
                <w:sz w:val="18"/>
                <w:szCs w:val="18"/>
              </w:rPr>
              <w:t>Uni12</w:t>
            </w:r>
          </w:p>
        </w:tc>
        <w:tc>
          <w:tcPr>
            <w:tcW w:w="1247" w:type="dxa"/>
            <w:gridSpan w:val="2"/>
          </w:tcPr>
          <w:p w14:paraId="290036EE" w14:textId="77777777" w:rsidR="00374D2C" w:rsidRPr="002E69F4" w:rsidRDefault="00374D2C" w:rsidP="00512092">
            <w:pPr>
              <w:jc w:val="center"/>
              <w:rPr>
                <w:rFonts w:asciiTheme="minorHAnsi" w:hAnsiTheme="minorHAnsi"/>
                <w:color w:val="000000"/>
                <w:sz w:val="18"/>
                <w:szCs w:val="18"/>
              </w:rPr>
            </w:pPr>
          </w:p>
        </w:tc>
        <w:tc>
          <w:tcPr>
            <w:tcW w:w="1247" w:type="dxa"/>
            <w:gridSpan w:val="2"/>
            <w:vAlign w:val="bottom"/>
          </w:tcPr>
          <w:p w14:paraId="0848150B" w14:textId="77777777" w:rsidR="00374D2C" w:rsidRPr="0095497E" w:rsidRDefault="00374D2C" w:rsidP="00512092">
            <w:pPr>
              <w:jc w:val="center"/>
              <w:rPr>
                <w:rFonts w:asciiTheme="minorHAnsi" w:hAnsiTheme="minorHAnsi"/>
                <w:color w:val="000000"/>
                <w:sz w:val="18"/>
                <w:szCs w:val="18"/>
              </w:rPr>
            </w:pPr>
            <w:r w:rsidRPr="007D780F">
              <w:rPr>
                <w:color w:val="000000"/>
                <w:sz w:val="18"/>
                <w:szCs w:val="22"/>
              </w:rPr>
              <w:t>-0.0278</w:t>
            </w:r>
          </w:p>
        </w:tc>
        <w:tc>
          <w:tcPr>
            <w:tcW w:w="1476" w:type="dxa"/>
            <w:gridSpan w:val="2"/>
            <w:vAlign w:val="bottom"/>
          </w:tcPr>
          <w:p w14:paraId="505BEC89" w14:textId="77777777" w:rsidR="00374D2C" w:rsidRPr="0095497E" w:rsidRDefault="00374D2C" w:rsidP="00512092">
            <w:pPr>
              <w:jc w:val="center"/>
              <w:rPr>
                <w:rFonts w:asciiTheme="minorHAnsi" w:hAnsiTheme="minorHAnsi"/>
                <w:color w:val="000000"/>
                <w:sz w:val="18"/>
                <w:szCs w:val="18"/>
              </w:rPr>
            </w:pPr>
            <w:r w:rsidRPr="007D780F">
              <w:rPr>
                <w:color w:val="000000"/>
                <w:sz w:val="18"/>
                <w:szCs w:val="22"/>
              </w:rPr>
              <w:t>-0.221*</w:t>
            </w:r>
          </w:p>
        </w:tc>
      </w:tr>
      <w:tr w:rsidR="00374D2C" w:rsidRPr="0043650E" w14:paraId="51AFCB4C" w14:textId="77777777" w:rsidTr="00512092">
        <w:tc>
          <w:tcPr>
            <w:tcW w:w="3401" w:type="dxa"/>
          </w:tcPr>
          <w:p w14:paraId="74159B36" w14:textId="77777777" w:rsidR="00374D2C" w:rsidRPr="0043650E" w:rsidRDefault="00374D2C" w:rsidP="00512092">
            <w:pPr>
              <w:pStyle w:val="TabletextLeft"/>
              <w:spacing w:before="0"/>
              <w:rPr>
                <w:rFonts w:asciiTheme="minorHAnsi" w:hAnsiTheme="minorHAnsi"/>
                <w:sz w:val="18"/>
                <w:szCs w:val="18"/>
              </w:rPr>
            </w:pPr>
            <w:r w:rsidRPr="0043650E">
              <w:rPr>
                <w:rFonts w:asciiTheme="minorHAnsi" w:hAnsiTheme="minorHAnsi"/>
                <w:sz w:val="18"/>
                <w:szCs w:val="18"/>
              </w:rPr>
              <w:t>Uni13</w:t>
            </w:r>
          </w:p>
        </w:tc>
        <w:tc>
          <w:tcPr>
            <w:tcW w:w="1247" w:type="dxa"/>
            <w:gridSpan w:val="2"/>
          </w:tcPr>
          <w:p w14:paraId="7BF06252" w14:textId="77777777" w:rsidR="00374D2C" w:rsidRPr="002E69F4" w:rsidRDefault="00374D2C" w:rsidP="00512092">
            <w:pPr>
              <w:jc w:val="center"/>
              <w:rPr>
                <w:rFonts w:asciiTheme="minorHAnsi" w:hAnsiTheme="minorHAnsi"/>
                <w:color w:val="000000"/>
                <w:sz w:val="18"/>
                <w:szCs w:val="18"/>
              </w:rPr>
            </w:pPr>
          </w:p>
        </w:tc>
        <w:tc>
          <w:tcPr>
            <w:tcW w:w="1247" w:type="dxa"/>
            <w:gridSpan w:val="2"/>
            <w:vAlign w:val="bottom"/>
          </w:tcPr>
          <w:p w14:paraId="4FF8DFCB" w14:textId="77777777" w:rsidR="00374D2C" w:rsidRPr="0095497E" w:rsidRDefault="00374D2C" w:rsidP="00512092">
            <w:pPr>
              <w:jc w:val="center"/>
              <w:rPr>
                <w:rFonts w:asciiTheme="minorHAnsi" w:hAnsiTheme="minorHAnsi"/>
                <w:color w:val="000000"/>
                <w:sz w:val="18"/>
                <w:szCs w:val="18"/>
              </w:rPr>
            </w:pPr>
            <w:r w:rsidRPr="007D780F">
              <w:rPr>
                <w:color w:val="000000"/>
                <w:sz w:val="18"/>
                <w:szCs w:val="22"/>
              </w:rPr>
              <w:t>0.361**</w:t>
            </w:r>
          </w:p>
        </w:tc>
        <w:tc>
          <w:tcPr>
            <w:tcW w:w="1476" w:type="dxa"/>
            <w:gridSpan w:val="2"/>
            <w:vAlign w:val="bottom"/>
          </w:tcPr>
          <w:p w14:paraId="19AE6044" w14:textId="77777777" w:rsidR="00374D2C" w:rsidRPr="0095497E" w:rsidRDefault="00374D2C" w:rsidP="00512092">
            <w:pPr>
              <w:jc w:val="center"/>
              <w:rPr>
                <w:rFonts w:asciiTheme="minorHAnsi" w:hAnsiTheme="minorHAnsi"/>
                <w:color w:val="000000"/>
                <w:sz w:val="18"/>
                <w:szCs w:val="18"/>
              </w:rPr>
            </w:pPr>
            <w:r w:rsidRPr="007D780F">
              <w:rPr>
                <w:color w:val="000000"/>
                <w:sz w:val="18"/>
                <w:szCs w:val="22"/>
              </w:rPr>
              <w:t>0.164</w:t>
            </w:r>
          </w:p>
        </w:tc>
      </w:tr>
      <w:tr w:rsidR="00374D2C" w:rsidRPr="0043650E" w14:paraId="74600F92" w14:textId="77777777" w:rsidTr="00512092">
        <w:tc>
          <w:tcPr>
            <w:tcW w:w="3401" w:type="dxa"/>
          </w:tcPr>
          <w:p w14:paraId="6016FE18" w14:textId="77777777" w:rsidR="00374D2C" w:rsidRPr="0043650E" w:rsidRDefault="00374D2C" w:rsidP="00512092">
            <w:pPr>
              <w:pStyle w:val="TabletextLeft"/>
              <w:spacing w:before="0"/>
              <w:rPr>
                <w:rFonts w:asciiTheme="minorHAnsi" w:hAnsiTheme="minorHAnsi"/>
                <w:sz w:val="18"/>
                <w:szCs w:val="18"/>
              </w:rPr>
            </w:pPr>
            <w:r w:rsidRPr="0043650E">
              <w:rPr>
                <w:rFonts w:asciiTheme="minorHAnsi" w:hAnsiTheme="minorHAnsi"/>
                <w:sz w:val="18"/>
                <w:szCs w:val="18"/>
              </w:rPr>
              <w:t>Uni14</w:t>
            </w:r>
          </w:p>
        </w:tc>
        <w:tc>
          <w:tcPr>
            <w:tcW w:w="1247" w:type="dxa"/>
            <w:gridSpan w:val="2"/>
          </w:tcPr>
          <w:p w14:paraId="6D1ED69A" w14:textId="77777777" w:rsidR="00374D2C" w:rsidRPr="002E69F4" w:rsidRDefault="00374D2C" w:rsidP="00512092">
            <w:pPr>
              <w:jc w:val="center"/>
              <w:rPr>
                <w:rFonts w:asciiTheme="minorHAnsi" w:hAnsiTheme="minorHAnsi"/>
                <w:color w:val="000000"/>
                <w:sz w:val="18"/>
                <w:szCs w:val="18"/>
              </w:rPr>
            </w:pPr>
          </w:p>
        </w:tc>
        <w:tc>
          <w:tcPr>
            <w:tcW w:w="1247" w:type="dxa"/>
            <w:gridSpan w:val="2"/>
            <w:vAlign w:val="bottom"/>
          </w:tcPr>
          <w:p w14:paraId="531BC3C3" w14:textId="77777777" w:rsidR="00374D2C" w:rsidRPr="0095497E" w:rsidRDefault="00374D2C" w:rsidP="00512092">
            <w:pPr>
              <w:jc w:val="center"/>
              <w:rPr>
                <w:rFonts w:asciiTheme="minorHAnsi" w:hAnsiTheme="minorHAnsi"/>
                <w:color w:val="000000"/>
                <w:sz w:val="18"/>
                <w:szCs w:val="18"/>
              </w:rPr>
            </w:pPr>
            <w:r w:rsidRPr="007D780F">
              <w:rPr>
                <w:color w:val="000000"/>
                <w:sz w:val="18"/>
                <w:szCs w:val="22"/>
              </w:rPr>
              <w:t>0.205</w:t>
            </w:r>
          </w:p>
        </w:tc>
        <w:tc>
          <w:tcPr>
            <w:tcW w:w="1476" w:type="dxa"/>
            <w:gridSpan w:val="2"/>
            <w:vAlign w:val="bottom"/>
          </w:tcPr>
          <w:p w14:paraId="6B31E661" w14:textId="220308B1" w:rsidR="00374D2C" w:rsidRPr="0095497E" w:rsidRDefault="00374D2C" w:rsidP="00512092">
            <w:pPr>
              <w:jc w:val="center"/>
              <w:rPr>
                <w:rFonts w:asciiTheme="minorHAnsi" w:hAnsiTheme="minorHAnsi"/>
                <w:color w:val="000000"/>
                <w:sz w:val="18"/>
                <w:szCs w:val="18"/>
              </w:rPr>
            </w:pPr>
            <w:r w:rsidRPr="007D780F">
              <w:rPr>
                <w:color w:val="000000"/>
                <w:sz w:val="18"/>
                <w:szCs w:val="22"/>
              </w:rPr>
              <w:t>0.12</w:t>
            </w:r>
            <w:r w:rsidR="00111A4E">
              <w:rPr>
                <w:color w:val="000000"/>
                <w:sz w:val="18"/>
                <w:szCs w:val="22"/>
              </w:rPr>
              <w:t>0</w:t>
            </w:r>
          </w:p>
        </w:tc>
      </w:tr>
      <w:tr w:rsidR="00374D2C" w:rsidRPr="0043650E" w14:paraId="29F33262" w14:textId="77777777" w:rsidTr="00512092">
        <w:tc>
          <w:tcPr>
            <w:tcW w:w="3401" w:type="dxa"/>
          </w:tcPr>
          <w:p w14:paraId="24424974" w14:textId="77777777" w:rsidR="00374D2C" w:rsidRPr="0043650E" w:rsidRDefault="00374D2C" w:rsidP="00512092">
            <w:pPr>
              <w:pStyle w:val="TabletextLeft"/>
              <w:spacing w:before="0"/>
              <w:rPr>
                <w:rFonts w:asciiTheme="minorHAnsi" w:hAnsiTheme="minorHAnsi"/>
                <w:sz w:val="18"/>
                <w:szCs w:val="18"/>
              </w:rPr>
            </w:pPr>
            <w:r w:rsidRPr="0043650E">
              <w:rPr>
                <w:rFonts w:asciiTheme="minorHAnsi" w:hAnsiTheme="minorHAnsi"/>
                <w:sz w:val="18"/>
                <w:szCs w:val="18"/>
              </w:rPr>
              <w:t>Uni15</w:t>
            </w:r>
          </w:p>
        </w:tc>
        <w:tc>
          <w:tcPr>
            <w:tcW w:w="1247" w:type="dxa"/>
            <w:gridSpan w:val="2"/>
          </w:tcPr>
          <w:p w14:paraId="1E08B2E5" w14:textId="77777777" w:rsidR="00374D2C" w:rsidRPr="002E69F4" w:rsidRDefault="00374D2C" w:rsidP="00512092">
            <w:pPr>
              <w:jc w:val="center"/>
              <w:rPr>
                <w:rFonts w:asciiTheme="minorHAnsi" w:hAnsiTheme="minorHAnsi"/>
                <w:color w:val="000000"/>
                <w:sz w:val="18"/>
                <w:szCs w:val="18"/>
              </w:rPr>
            </w:pPr>
          </w:p>
        </w:tc>
        <w:tc>
          <w:tcPr>
            <w:tcW w:w="1247" w:type="dxa"/>
            <w:gridSpan w:val="2"/>
            <w:vAlign w:val="bottom"/>
          </w:tcPr>
          <w:p w14:paraId="4EC3C72B" w14:textId="22ABB4E9" w:rsidR="00374D2C" w:rsidRPr="0095497E" w:rsidRDefault="00374D2C" w:rsidP="00512092">
            <w:pPr>
              <w:jc w:val="center"/>
              <w:rPr>
                <w:rFonts w:asciiTheme="minorHAnsi" w:hAnsiTheme="minorHAnsi"/>
                <w:color w:val="000000"/>
                <w:sz w:val="18"/>
                <w:szCs w:val="18"/>
              </w:rPr>
            </w:pPr>
            <w:r w:rsidRPr="007D780F">
              <w:rPr>
                <w:color w:val="000000"/>
                <w:sz w:val="18"/>
                <w:szCs w:val="22"/>
              </w:rPr>
              <w:t>0.22</w:t>
            </w:r>
            <w:r w:rsidR="0089263F">
              <w:rPr>
                <w:color w:val="000000"/>
                <w:sz w:val="18"/>
                <w:szCs w:val="22"/>
              </w:rPr>
              <w:t>0</w:t>
            </w:r>
          </w:p>
        </w:tc>
        <w:tc>
          <w:tcPr>
            <w:tcW w:w="1476" w:type="dxa"/>
            <w:gridSpan w:val="2"/>
            <w:vAlign w:val="bottom"/>
          </w:tcPr>
          <w:p w14:paraId="47BC9D81" w14:textId="77777777" w:rsidR="00374D2C" w:rsidRPr="0095497E" w:rsidRDefault="00374D2C" w:rsidP="00512092">
            <w:pPr>
              <w:jc w:val="center"/>
              <w:rPr>
                <w:rFonts w:asciiTheme="minorHAnsi" w:hAnsiTheme="minorHAnsi"/>
                <w:color w:val="000000"/>
                <w:sz w:val="18"/>
                <w:szCs w:val="18"/>
              </w:rPr>
            </w:pPr>
            <w:r w:rsidRPr="007D780F">
              <w:rPr>
                <w:color w:val="000000"/>
                <w:sz w:val="18"/>
                <w:szCs w:val="22"/>
              </w:rPr>
              <w:t>0.149</w:t>
            </w:r>
          </w:p>
        </w:tc>
      </w:tr>
      <w:tr w:rsidR="00374D2C" w:rsidRPr="0043650E" w14:paraId="28F6FC12" w14:textId="77777777" w:rsidTr="00512092">
        <w:tc>
          <w:tcPr>
            <w:tcW w:w="3401" w:type="dxa"/>
          </w:tcPr>
          <w:p w14:paraId="71E0AF3E" w14:textId="77777777" w:rsidR="00374D2C" w:rsidRPr="0043650E" w:rsidRDefault="00374D2C" w:rsidP="00512092">
            <w:pPr>
              <w:pStyle w:val="TabletextLeft"/>
              <w:spacing w:before="0"/>
              <w:rPr>
                <w:rFonts w:asciiTheme="minorHAnsi" w:hAnsiTheme="minorHAnsi"/>
                <w:sz w:val="18"/>
                <w:szCs w:val="18"/>
              </w:rPr>
            </w:pPr>
            <w:r w:rsidRPr="0043650E">
              <w:rPr>
                <w:rFonts w:asciiTheme="minorHAnsi" w:hAnsiTheme="minorHAnsi"/>
                <w:sz w:val="18"/>
                <w:szCs w:val="18"/>
              </w:rPr>
              <w:t>Uni16</w:t>
            </w:r>
          </w:p>
        </w:tc>
        <w:tc>
          <w:tcPr>
            <w:tcW w:w="1247" w:type="dxa"/>
            <w:gridSpan w:val="2"/>
          </w:tcPr>
          <w:p w14:paraId="53AFCEF7" w14:textId="77777777" w:rsidR="00374D2C" w:rsidRPr="002E69F4" w:rsidRDefault="00374D2C" w:rsidP="00512092">
            <w:pPr>
              <w:jc w:val="center"/>
              <w:rPr>
                <w:rFonts w:asciiTheme="minorHAnsi" w:hAnsiTheme="minorHAnsi"/>
                <w:color w:val="000000"/>
                <w:sz w:val="18"/>
                <w:szCs w:val="18"/>
              </w:rPr>
            </w:pPr>
          </w:p>
        </w:tc>
        <w:tc>
          <w:tcPr>
            <w:tcW w:w="1247" w:type="dxa"/>
            <w:gridSpan w:val="2"/>
            <w:vAlign w:val="bottom"/>
          </w:tcPr>
          <w:p w14:paraId="1AA3B3DF" w14:textId="77777777" w:rsidR="00374D2C" w:rsidRPr="0095497E" w:rsidRDefault="00374D2C" w:rsidP="00512092">
            <w:pPr>
              <w:jc w:val="center"/>
              <w:rPr>
                <w:rFonts w:asciiTheme="minorHAnsi" w:hAnsiTheme="minorHAnsi"/>
                <w:color w:val="000000"/>
                <w:sz w:val="18"/>
                <w:szCs w:val="18"/>
              </w:rPr>
            </w:pPr>
            <w:r w:rsidRPr="007D780F">
              <w:rPr>
                <w:color w:val="000000"/>
                <w:sz w:val="18"/>
                <w:szCs w:val="22"/>
              </w:rPr>
              <w:t>0.124</w:t>
            </w:r>
          </w:p>
        </w:tc>
        <w:tc>
          <w:tcPr>
            <w:tcW w:w="1476" w:type="dxa"/>
            <w:gridSpan w:val="2"/>
            <w:vAlign w:val="bottom"/>
          </w:tcPr>
          <w:p w14:paraId="15383932" w14:textId="77777777" w:rsidR="00374D2C" w:rsidRPr="0095497E" w:rsidRDefault="00374D2C" w:rsidP="00512092">
            <w:pPr>
              <w:jc w:val="center"/>
              <w:rPr>
                <w:rFonts w:asciiTheme="minorHAnsi" w:hAnsiTheme="minorHAnsi"/>
                <w:color w:val="000000"/>
                <w:sz w:val="18"/>
                <w:szCs w:val="18"/>
              </w:rPr>
            </w:pPr>
            <w:r w:rsidRPr="007D780F">
              <w:rPr>
                <w:color w:val="000000"/>
                <w:sz w:val="18"/>
                <w:szCs w:val="22"/>
              </w:rPr>
              <w:t>0.0365</w:t>
            </w:r>
          </w:p>
        </w:tc>
      </w:tr>
      <w:tr w:rsidR="00374D2C" w:rsidRPr="0043650E" w14:paraId="6506AA26" w14:textId="77777777" w:rsidTr="00512092">
        <w:tc>
          <w:tcPr>
            <w:tcW w:w="3401" w:type="dxa"/>
          </w:tcPr>
          <w:p w14:paraId="26310E44" w14:textId="77777777" w:rsidR="00374D2C" w:rsidRPr="0043650E" w:rsidRDefault="00374D2C" w:rsidP="00512092">
            <w:pPr>
              <w:pStyle w:val="TabletextLeft"/>
              <w:spacing w:before="0"/>
              <w:rPr>
                <w:rFonts w:asciiTheme="minorHAnsi" w:hAnsiTheme="minorHAnsi"/>
                <w:sz w:val="18"/>
                <w:szCs w:val="18"/>
              </w:rPr>
            </w:pPr>
            <w:r w:rsidRPr="0043650E">
              <w:rPr>
                <w:rFonts w:asciiTheme="minorHAnsi" w:hAnsiTheme="minorHAnsi"/>
                <w:sz w:val="18"/>
                <w:szCs w:val="18"/>
              </w:rPr>
              <w:t>Uni17</w:t>
            </w:r>
          </w:p>
        </w:tc>
        <w:tc>
          <w:tcPr>
            <w:tcW w:w="1247" w:type="dxa"/>
            <w:gridSpan w:val="2"/>
          </w:tcPr>
          <w:p w14:paraId="42FD045F" w14:textId="77777777" w:rsidR="00374D2C" w:rsidRPr="002E69F4" w:rsidRDefault="00374D2C" w:rsidP="00512092">
            <w:pPr>
              <w:jc w:val="center"/>
              <w:rPr>
                <w:rFonts w:asciiTheme="minorHAnsi" w:hAnsiTheme="minorHAnsi"/>
                <w:color w:val="000000"/>
                <w:sz w:val="18"/>
                <w:szCs w:val="18"/>
              </w:rPr>
            </w:pPr>
          </w:p>
        </w:tc>
        <w:tc>
          <w:tcPr>
            <w:tcW w:w="1247" w:type="dxa"/>
            <w:gridSpan w:val="2"/>
            <w:vAlign w:val="bottom"/>
          </w:tcPr>
          <w:p w14:paraId="7F9D76CA" w14:textId="5A8B0781" w:rsidR="00374D2C" w:rsidRPr="0095497E" w:rsidRDefault="00374D2C" w:rsidP="00512092">
            <w:pPr>
              <w:jc w:val="center"/>
              <w:rPr>
                <w:rFonts w:asciiTheme="minorHAnsi" w:hAnsiTheme="minorHAnsi"/>
                <w:color w:val="000000"/>
                <w:sz w:val="18"/>
                <w:szCs w:val="18"/>
              </w:rPr>
            </w:pPr>
            <w:r w:rsidRPr="007D780F">
              <w:rPr>
                <w:color w:val="000000"/>
                <w:sz w:val="18"/>
                <w:szCs w:val="22"/>
              </w:rPr>
              <w:t>0.15</w:t>
            </w:r>
            <w:r w:rsidR="0089263F">
              <w:rPr>
                <w:color w:val="000000"/>
                <w:sz w:val="18"/>
                <w:szCs w:val="22"/>
              </w:rPr>
              <w:t>0</w:t>
            </w:r>
          </w:p>
        </w:tc>
        <w:tc>
          <w:tcPr>
            <w:tcW w:w="1476" w:type="dxa"/>
            <w:gridSpan w:val="2"/>
            <w:vAlign w:val="bottom"/>
          </w:tcPr>
          <w:p w14:paraId="56E3321F" w14:textId="77777777" w:rsidR="00374D2C" w:rsidRPr="0095497E" w:rsidRDefault="00374D2C" w:rsidP="00512092">
            <w:pPr>
              <w:jc w:val="center"/>
              <w:rPr>
                <w:rFonts w:asciiTheme="minorHAnsi" w:hAnsiTheme="minorHAnsi"/>
                <w:color w:val="000000"/>
                <w:sz w:val="18"/>
                <w:szCs w:val="18"/>
              </w:rPr>
            </w:pPr>
            <w:r w:rsidRPr="007D780F">
              <w:rPr>
                <w:color w:val="000000"/>
                <w:sz w:val="18"/>
                <w:szCs w:val="22"/>
              </w:rPr>
              <w:t>0.0793</w:t>
            </w:r>
          </w:p>
        </w:tc>
      </w:tr>
      <w:tr w:rsidR="00374D2C" w:rsidRPr="0043650E" w14:paraId="47F942C4" w14:textId="77777777" w:rsidTr="00512092">
        <w:tc>
          <w:tcPr>
            <w:tcW w:w="3401" w:type="dxa"/>
          </w:tcPr>
          <w:p w14:paraId="4BBA5A4E" w14:textId="77777777" w:rsidR="00374D2C" w:rsidRPr="0043650E" w:rsidRDefault="00374D2C" w:rsidP="00512092">
            <w:pPr>
              <w:pStyle w:val="TabletextLeft"/>
              <w:spacing w:before="0"/>
              <w:rPr>
                <w:rFonts w:asciiTheme="minorHAnsi" w:hAnsiTheme="minorHAnsi"/>
                <w:sz w:val="18"/>
                <w:szCs w:val="18"/>
              </w:rPr>
            </w:pPr>
          </w:p>
        </w:tc>
        <w:tc>
          <w:tcPr>
            <w:tcW w:w="1247" w:type="dxa"/>
            <w:gridSpan w:val="2"/>
          </w:tcPr>
          <w:p w14:paraId="47274EC2" w14:textId="77777777" w:rsidR="00374D2C" w:rsidRPr="002E69F4" w:rsidRDefault="00374D2C" w:rsidP="00512092">
            <w:pPr>
              <w:jc w:val="center"/>
              <w:rPr>
                <w:rFonts w:asciiTheme="minorHAnsi" w:hAnsiTheme="minorHAnsi"/>
                <w:color w:val="000000"/>
                <w:sz w:val="18"/>
                <w:szCs w:val="18"/>
              </w:rPr>
            </w:pPr>
          </w:p>
        </w:tc>
        <w:tc>
          <w:tcPr>
            <w:tcW w:w="1247" w:type="dxa"/>
            <w:gridSpan w:val="2"/>
          </w:tcPr>
          <w:p w14:paraId="4A053BF2" w14:textId="77777777" w:rsidR="00374D2C" w:rsidRPr="002E69F4" w:rsidRDefault="00374D2C" w:rsidP="00512092">
            <w:pPr>
              <w:jc w:val="center"/>
              <w:rPr>
                <w:rFonts w:asciiTheme="minorHAnsi" w:hAnsiTheme="minorHAnsi"/>
                <w:sz w:val="18"/>
                <w:szCs w:val="18"/>
              </w:rPr>
            </w:pPr>
          </w:p>
        </w:tc>
        <w:tc>
          <w:tcPr>
            <w:tcW w:w="1476" w:type="dxa"/>
            <w:gridSpan w:val="2"/>
          </w:tcPr>
          <w:p w14:paraId="45D99A17" w14:textId="77777777" w:rsidR="00374D2C" w:rsidRPr="002E69F4" w:rsidRDefault="00374D2C" w:rsidP="00512092">
            <w:pPr>
              <w:jc w:val="center"/>
              <w:rPr>
                <w:rFonts w:asciiTheme="minorHAnsi" w:hAnsiTheme="minorHAnsi"/>
                <w:sz w:val="18"/>
                <w:szCs w:val="18"/>
              </w:rPr>
            </w:pPr>
          </w:p>
        </w:tc>
      </w:tr>
      <w:tr w:rsidR="00374D2C" w:rsidRPr="0043650E" w14:paraId="41213296" w14:textId="77777777" w:rsidTr="00512092">
        <w:tc>
          <w:tcPr>
            <w:tcW w:w="3401" w:type="dxa"/>
          </w:tcPr>
          <w:p w14:paraId="40832DF3" w14:textId="77777777" w:rsidR="00374D2C" w:rsidRPr="0043650E" w:rsidRDefault="00374D2C" w:rsidP="00512092">
            <w:pPr>
              <w:pStyle w:val="TabletextLeft"/>
              <w:spacing w:before="0"/>
              <w:rPr>
                <w:rFonts w:asciiTheme="minorHAnsi" w:hAnsiTheme="minorHAnsi"/>
                <w:sz w:val="18"/>
                <w:szCs w:val="18"/>
              </w:rPr>
            </w:pPr>
            <w:r>
              <w:rPr>
                <w:rFonts w:asciiTheme="minorHAnsi" w:hAnsiTheme="minorHAnsi"/>
                <w:sz w:val="18"/>
                <w:szCs w:val="18"/>
              </w:rPr>
              <w:t>Constant</w:t>
            </w:r>
          </w:p>
        </w:tc>
        <w:tc>
          <w:tcPr>
            <w:tcW w:w="1247" w:type="dxa"/>
            <w:gridSpan w:val="2"/>
          </w:tcPr>
          <w:p w14:paraId="03868777" w14:textId="77777777" w:rsidR="00374D2C" w:rsidRPr="002E69F4" w:rsidRDefault="00374D2C" w:rsidP="00512092">
            <w:pPr>
              <w:jc w:val="center"/>
              <w:rPr>
                <w:rFonts w:asciiTheme="minorHAnsi" w:hAnsiTheme="minorHAnsi"/>
                <w:color w:val="000000"/>
                <w:sz w:val="18"/>
                <w:szCs w:val="18"/>
              </w:rPr>
            </w:pPr>
            <w:r w:rsidRPr="00EF2309">
              <w:rPr>
                <w:rFonts w:asciiTheme="minorHAnsi" w:hAnsiTheme="minorHAnsi"/>
                <w:sz w:val="18"/>
                <w:szCs w:val="18"/>
              </w:rPr>
              <w:t>9.5</w:t>
            </w:r>
            <w:r>
              <w:rPr>
                <w:rFonts w:asciiTheme="minorHAnsi" w:hAnsiTheme="minorHAnsi"/>
                <w:sz w:val="18"/>
                <w:szCs w:val="18"/>
              </w:rPr>
              <w:t>56</w:t>
            </w:r>
            <w:r w:rsidRPr="00EF2309">
              <w:rPr>
                <w:rFonts w:asciiTheme="minorHAnsi" w:hAnsiTheme="minorHAnsi"/>
                <w:sz w:val="18"/>
                <w:szCs w:val="18"/>
              </w:rPr>
              <w:t>***</w:t>
            </w:r>
          </w:p>
        </w:tc>
        <w:tc>
          <w:tcPr>
            <w:tcW w:w="1247" w:type="dxa"/>
            <w:gridSpan w:val="2"/>
          </w:tcPr>
          <w:p w14:paraId="5B079EF2" w14:textId="77777777" w:rsidR="00374D2C" w:rsidRPr="002E69F4" w:rsidRDefault="00374D2C" w:rsidP="00512092">
            <w:pPr>
              <w:jc w:val="center"/>
              <w:rPr>
                <w:rFonts w:asciiTheme="minorHAnsi" w:hAnsiTheme="minorHAnsi"/>
                <w:sz w:val="18"/>
                <w:szCs w:val="18"/>
              </w:rPr>
            </w:pPr>
            <w:r w:rsidRPr="00EF2309">
              <w:rPr>
                <w:rFonts w:asciiTheme="minorHAnsi" w:hAnsiTheme="minorHAnsi"/>
                <w:sz w:val="18"/>
                <w:szCs w:val="18"/>
              </w:rPr>
              <w:t>9.605***</w:t>
            </w:r>
          </w:p>
        </w:tc>
        <w:tc>
          <w:tcPr>
            <w:tcW w:w="1476" w:type="dxa"/>
            <w:gridSpan w:val="2"/>
          </w:tcPr>
          <w:p w14:paraId="4E698507" w14:textId="77777777" w:rsidR="00374D2C" w:rsidRPr="002E69F4" w:rsidRDefault="00374D2C" w:rsidP="00512092">
            <w:pPr>
              <w:jc w:val="center"/>
              <w:rPr>
                <w:rFonts w:asciiTheme="minorHAnsi" w:hAnsiTheme="minorHAnsi"/>
                <w:sz w:val="18"/>
                <w:szCs w:val="18"/>
              </w:rPr>
            </w:pPr>
            <w:r w:rsidRPr="00EF2309">
              <w:rPr>
                <w:rFonts w:asciiTheme="minorHAnsi" w:hAnsiTheme="minorHAnsi"/>
                <w:sz w:val="18"/>
                <w:szCs w:val="18"/>
              </w:rPr>
              <w:t>9.4</w:t>
            </w:r>
            <w:r>
              <w:rPr>
                <w:rFonts w:asciiTheme="minorHAnsi" w:hAnsiTheme="minorHAnsi"/>
                <w:sz w:val="18"/>
                <w:szCs w:val="18"/>
              </w:rPr>
              <w:t>90</w:t>
            </w:r>
            <w:r w:rsidRPr="00EF2309">
              <w:rPr>
                <w:rFonts w:asciiTheme="minorHAnsi" w:hAnsiTheme="minorHAnsi"/>
                <w:sz w:val="18"/>
                <w:szCs w:val="18"/>
              </w:rPr>
              <w:t>***</w:t>
            </w:r>
          </w:p>
        </w:tc>
      </w:tr>
      <w:tr w:rsidR="00374D2C" w:rsidRPr="0043650E" w14:paraId="7AD378CA" w14:textId="77777777" w:rsidTr="00512092">
        <w:tc>
          <w:tcPr>
            <w:tcW w:w="3401" w:type="dxa"/>
          </w:tcPr>
          <w:p w14:paraId="319E848D" w14:textId="77777777" w:rsidR="00374D2C" w:rsidRPr="0043650E" w:rsidRDefault="00374D2C" w:rsidP="00512092">
            <w:pPr>
              <w:pStyle w:val="TabletextLeft"/>
              <w:spacing w:before="0"/>
              <w:rPr>
                <w:rFonts w:asciiTheme="minorHAnsi" w:hAnsiTheme="minorHAnsi"/>
                <w:sz w:val="18"/>
                <w:szCs w:val="18"/>
              </w:rPr>
            </w:pPr>
          </w:p>
        </w:tc>
        <w:tc>
          <w:tcPr>
            <w:tcW w:w="1247" w:type="dxa"/>
            <w:gridSpan w:val="2"/>
          </w:tcPr>
          <w:p w14:paraId="294FE9D2" w14:textId="77777777" w:rsidR="00374D2C" w:rsidRPr="002E69F4" w:rsidRDefault="00374D2C" w:rsidP="00512092">
            <w:pPr>
              <w:jc w:val="center"/>
              <w:rPr>
                <w:rFonts w:asciiTheme="minorHAnsi" w:hAnsiTheme="minorHAnsi"/>
                <w:color w:val="000000"/>
                <w:sz w:val="18"/>
                <w:szCs w:val="18"/>
              </w:rPr>
            </w:pPr>
          </w:p>
        </w:tc>
        <w:tc>
          <w:tcPr>
            <w:tcW w:w="1247" w:type="dxa"/>
            <w:gridSpan w:val="2"/>
          </w:tcPr>
          <w:p w14:paraId="79C9D389" w14:textId="77777777" w:rsidR="00374D2C" w:rsidRPr="002E69F4" w:rsidRDefault="00374D2C" w:rsidP="00512092">
            <w:pPr>
              <w:jc w:val="center"/>
              <w:rPr>
                <w:rFonts w:asciiTheme="minorHAnsi" w:hAnsiTheme="minorHAnsi"/>
                <w:sz w:val="18"/>
                <w:szCs w:val="18"/>
              </w:rPr>
            </w:pPr>
          </w:p>
        </w:tc>
        <w:tc>
          <w:tcPr>
            <w:tcW w:w="1476" w:type="dxa"/>
            <w:gridSpan w:val="2"/>
          </w:tcPr>
          <w:p w14:paraId="4EC51C17" w14:textId="77777777" w:rsidR="00374D2C" w:rsidRPr="002E69F4" w:rsidRDefault="00374D2C" w:rsidP="00512092">
            <w:pPr>
              <w:jc w:val="center"/>
              <w:rPr>
                <w:rFonts w:asciiTheme="minorHAnsi" w:hAnsiTheme="minorHAnsi"/>
                <w:sz w:val="18"/>
                <w:szCs w:val="18"/>
              </w:rPr>
            </w:pPr>
          </w:p>
        </w:tc>
      </w:tr>
      <w:tr w:rsidR="00374D2C" w:rsidRPr="0043650E" w14:paraId="0D336AC5" w14:textId="77777777" w:rsidTr="00512092">
        <w:tc>
          <w:tcPr>
            <w:tcW w:w="3401" w:type="dxa"/>
          </w:tcPr>
          <w:p w14:paraId="1DCDE6CE" w14:textId="77777777" w:rsidR="00374D2C" w:rsidRPr="0043650E" w:rsidRDefault="00374D2C" w:rsidP="00512092">
            <w:pPr>
              <w:pStyle w:val="TabletextLeft"/>
              <w:spacing w:before="0"/>
              <w:rPr>
                <w:rFonts w:asciiTheme="minorHAnsi" w:hAnsiTheme="minorHAnsi"/>
                <w:i/>
                <w:sz w:val="18"/>
                <w:szCs w:val="18"/>
              </w:rPr>
            </w:pPr>
            <w:r w:rsidRPr="0043650E">
              <w:rPr>
                <w:rFonts w:asciiTheme="minorHAnsi" w:hAnsiTheme="minorHAnsi"/>
                <w:i/>
                <w:sz w:val="18"/>
                <w:szCs w:val="18"/>
              </w:rPr>
              <w:t>Observations</w:t>
            </w:r>
          </w:p>
        </w:tc>
        <w:tc>
          <w:tcPr>
            <w:tcW w:w="1247" w:type="dxa"/>
            <w:gridSpan w:val="2"/>
          </w:tcPr>
          <w:p w14:paraId="7F1C2567" w14:textId="77777777" w:rsidR="00374D2C" w:rsidRPr="002E69F4" w:rsidRDefault="00374D2C" w:rsidP="00512092">
            <w:pPr>
              <w:jc w:val="center"/>
              <w:rPr>
                <w:rFonts w:asciiTheme="minorHAnsi" w:hAnsiTheme="minorHAnsi"/>
                <w:color w:val="000000"/>
                <w:sz w:val="18"/>
                <w:szCs w:val="18"/>
              </w:rPr>
            </w:pPr>
            <w:r w:rsidRPr="002E69F4">
              <w:rPr>
                <w:rFonts w:asciiTheme="minorHAnsi" w:hAnsiTheme="minorHAnsi"/>
                <w:color w:val="000000"/>
                <w:sz w:val="18"/>
                <w:szCs w:val="18"/>
              </w:rPr>
              <w:t>28</w:t>
            </w:r>
            <w:r>
              <w:rPr>
                <w:rFonts w:asciiTheme="minorHAnsi" w:hAnsiTheme="minorHAnsi"/>
                <w:color w:val="000000"/>
                <w:sz w:val="18"/>
                <w:szCs w:val="18"/>
              </w:rPr>
              <w:t>1</w:t>
            </w:r>
          </w:p>
        </w:tc>
        <w:tc>
          <w:tcPr>
            <w:tcW w:w="1247" w:type="dxa"/>
            <w:gridSpan w:val="2"/>
          </w:tcPr>
          <w:p w14:paraId="75D3E5F0" w14:textId="77777777" w:rsidR="00374D2C" w:rsidRPr="002E69F4" w:rsidRDefault="00374D2C" w:rsidP="00512092">
            <w:pPr>
              <w:jc w:val="center"/>
              <w:rPr>
                <w:rFonts w:asciiTheme="minorHAnsi" w:hAnsiTheme="minorHAnsi"/>
                <w:color w:val="000000"/>
                <w:sz w:val="18"/>
                <w:szCs w:val="18"/>
              </w:rPr>
            </w:pPr>
            <w:r w:rsidRPr="002E69F4">
              <w:rPr>
                <w:rFonts w:asciiTheme="minorHAnsi" w:hAnsiTheme="minorHAnsi"/>
                <w:color w:val="000000"/>
                <w:sz w:val="18"/>
                <w:szCs w:val="18"/>
              </w:rPr>
              <w:t>28</w:t>
            </w:r>
            <w:r>
              <w:rPr>
                <w:rFonts w:asciiTheme="minorHAnsi" w:hAnsiTheme="minorHAnsi"/>
                <w:color w:val="000000"/>
                <w:sz w:val="18"/>
                <w:szCs w:val="18"/>
              </w:rPr>
              <w:t>1</w:t>
            </w:r>
          </w:p>
        </w:tc>
        <w:tc>
          <w:tcPr>
            <w:tcW w:w="1476" w:type="dxa"/>
            <w:gridSpan w:val="2"/>
          </w:tcPr>
          <w:p w14:paraId="5D291C66" w14:textId="77777777" w:rsidR="00374D2C" w:rsidRPr="002E69F4" w:rsidRDefault="00374D2C" w:rsidP="00512092">
            <w:pPr>
              <w:jc w:val="center"/>
              <w:rPr>
                <w:rFonts w:asciiTheme="minorHAnsi" w:hAnsiTheme="minorHAnsi"/>
                <w:color w:val="000000"/>
                <w:sz w:val="18"/>
                <w:szCs w:val="18"/>
              </w:rPr>
            </w:pPr>
            <w:r w:rsidRPr="002E69F4">
              <w:rPr>
                <w:rFonts w:asciiTheme="minorHAnsi" w:hAnsiTheme="minorHAnsi"/>
                <w:color w:val="000000"/>
                <w:sz w:val="18"/>
                <w:szCs w:val="18"/>
              </w:rPr>
              <w:t>28</w:t>
            </w:r>
            <w:r>
              <w:rPr>
                <w:rFonts w:asciiTheme="minorHAnsi" w:hAnsiTheme="minorHAnsi"/>
                <w:color w:val="000000"/>
                <w:sz w:val="18"/>
                <w:szCs w:val="18"/>
              </w:rPr>
              <w:t>1</w:t>
            </w:r>
          </w:p>
        </w:tc>
      </w:tr>
      <w:tr w:rsidR="00374D2C" w:rsidRPr="0043650E" w14:paraId="3D0B6434" w14:textId="77777777" w:rsidTr="00512092">
        <w:tc>
          <w:tcPr>
            <w:tcW w:w="3401" w:type="dxa"/>
          </w:tcPr>
          <w:p w14:paraId="0893C8C2" w14:textId="77777777" w:rsidR="00374D2C" w:rsidRPr="0043650E" w:rsidRDefault="00374D2C" w:rsidP="00512092">
            <w:pPr>
              <w:pStyle w:val="TabletextLeft"/>
              <w:spacing w:before="0"/>
              <w:rPr>
                <w:rFonts w:asciiTheme="minorHAnsi" w:hAnsiTheme="minorHAnsi"/>
                <w:i/>
                <w:sz w:val="18"/>
                <w:szCs w:val="18"/>
              </w:rPr>
            </w:pPr>
            <w:r>
              <w:rPr>
                <w:rFonts w:asciiTheme="minorHAnsi" w:hAnsiTheme="minorHAnsi"/>
                <w:i/>
                <w:sz w:val="18"/>
                <w:szCs w:val="18"/>
              </w:rPr>
              <w:t>R</w:t>
            </w:r>
            <w:r>
              <w:rPr>
                <w:rFonts w:asciiTheme="minorHAnsi" w:hAnsiTheme="minorHAnsi"/>
                <w:i/>
                <w:sz w:val="18"/>
                <w:szCs w:val="18"/>
                <w:vertAlign w:val="superscript"/>
              </w:rPr>
              <w:t>2</w:t>
            </w:r>
          </w:p>
        </w:tc>
        <w:tc>
          <w:tcPr>
            <w:tcW w:w="1247" w:type="dxa"/>
            <w:gridSpan w:val="2"/>
          </w:tcPr>
          <w:p w14:paraId="28896F01" w14:textId="77777777" w:rsidR="00374D2C" w:rsidRPr="002E69F4" w:rsidRDefault="00374D2C" w:rsidP="00512092">
            <w:pPr>
              <w:jc w:val="center"/>
              <w:rPr>
                <w:rFonts w:asciiTheme="minorHAnsi" w:hAnsiTheme="minorHAnsi"/>
                <w:color w:val="000000"/>
                <w:sz w:val="18"/>
                <w:szCs w:val="18"/>
              </w:rPr>
            </w:pPr>
            <w:r w:rsidRPr="002E69F4">
              <w:rPr>
                <w:rFonts w:asciiTheme="minorHAnsi" w:hAnsiTheme="minorHAnsi"/>
                <w:color w:val="000000"/>
                <w:sz w:val="18"/>
                <w:szCs w:val="18"/>
              </w:rPr>
              <w:t>0.</w:t>
            </w:r>
            <w:r>
              <w:rPr>
                <w:rFonts w:asciiTheme="minorHAnsi" w:hAnsiTheme="minorHAnsi"/>
                <w:color w:val="000000"/>
                <w:sz w:val="18"/>
                <w:szCs w:val="18"/>
              </w:rPr>
              <w:t>48</w:t>
            </w:r>
          </w:p>
        </w:tc>
        <w:tc>
          <w:tcPr>
            <w:tcW w:w="1247" w:type="dxa"/>
            <w:gridSpan w:val="2"/>
          </w:tcPr>
          <w:p w14:paraId="3B743981" w14:textId="77777777" w:rsidR="00374D2C" w:rsidRPr="002E69F4" w:rsidRDefault="00374D2C" w:rsidP="00512092">
            <w:pPr>
              <w:jc w:val="center"/>
              <w:rPr>
                <w:rFonts w:asciiTheme="minorHAnsi" w:hAnsiTheme="minorHAnsi"/>
                <w:color w:val="000000"/>
                <w:sz w:val="18"/>
                <w:szCs w:val="18"/>
              </w:rPr>
            </w:pPr>
            <w:r>
              <w:rPr>
                <w:rFonts w:asciiTheme="minorHAnsi" w:hAnsiTheme="minorHAnsi"/>
                <w:color w:val="000000"/>
                <w:sz w:val="18"/>
                <w:szCs w:val="18"/>
              </w:rPr>
              <w:t>0.10</w:t>
            </w:r>
          </w:p>
        </w:tc>
        <w:tc>
          <w:tcPr>
            <w:tcW w:w="1476" w:type="dxa"/>
            <w:gridSpan w:val="2"/>
          </w:tcPr>
          <w:p w14:paraId="74CECFEB" w14:textId="77777777" w:rsidR="00374D2C" w:rsidRPr="002E69F4" w:rsidRDefault="00374D2C" w:rsidP="00512092">
            <w:pPr>
              <w:jc w:val="center"/>
              <w:rPr>
                <w:rFonts w:asciiTheme="minorHAnsi" w:hAnsiTheme="minorHAnsi"/>
                <w:color w:val="000000"/>
                <w:sz w:val="18"/>
                <w:szCs w:val="18"/>
              </w:rPr>
            </w:pPr>
            <w:r>
              <w:rPr>
                <w:rFonts w:asciiTheme="minorHAnsi" w:hAnsiTheme="minorHAnsi"/>
                <w:color w:val="000000"/>
                <w:sz w:val="18"/>
                <w:szCs w:val="18"/>
              </w:rPr>
              <w:t>0.56</w:t>
            </w:r>
          </w:p>
        </w:tc>
      </w:tr>
    </w:tbl>
    <w:p w14:paraId="79100637" w14:textId="77777777" w:rsidR="00374D2C" w:rsidRDefault="00374D2C" w:rsidP="00374D2C">
      <w:pPr>
        <w:pStyle w:val="Source"/>
      </w:pPr>
      <w:r>
        <w:t xml:space="preserve">Source: Deloitte Access Economics </w:t>
      </w:r>
      <w:r w:rsidR="000075ED">
        <w:t>analysis</w:t>
      </w:r>
      <w:r>
        <w:t xml:space="preserve">. </w:t>
      </w:r>
    </w:p>
    <w:p w14:paraId="76CB5853" w14:textId="77777777" w:rsidR="00374D2C" w:rsidRPr="00C729A5" w:rsidRDefault="00374D2C" w:rsidP="00374D2C">
      <w:pPr>
        <w:pStyle w:val="Source"/>
      </w:pPr>
      <w:r>
        <w:t>Note: Coefficient estimates can be approximately interpreted as percentage deviations from the omitted category, holding all else constant, on average – for example, medical science is approximately 4</w:t>
      </w:r>
      <w:r w:rsidR="003D4910">
        <w:t>0</w:t>
      </w:r>
      <w:r>
        <w:t xml:space="preserve">% higher cost than mathematical science, across universities on average. *,**,*** indicate statistical significance at the 10%, 5% and 1% level respectively. Unless otherwise specified, the unit of observation is by level, field and university. The dependent variable used was the log of total costs per EFTSL.   </w:t>
      </w:r>
    </w:p>
    <w:p w14:paraId="72085B2A" w14:textId="77777777" w:rsidR="00374D2C" w:rsidRDefault="00374D2C" w:rsidP="00374D2C">
      <w:pPr>
        <w:pStyle w:val="Heading3"/>
      </w:pPr>
      <w:r>
        <w:t>Analysis of cost drivers</w:t>
      </w:r>
    </w:p>
    <w:p w14:paraId="459E5391" w14:textId="77777777" w:rsidR="00374D2C" w:rsidRDefault="00374D2C" w:rsidP="00374D2C">
      <w:pPr>
        <w:pStyle w:val="BodyText"/>
      </w:pPr>
      <w:r>
        <w:t>The</w:t>
      </w:r>
      <w:r w:rsidR="00A82E87">
        <w:t xml:space="preserve"> following </w:t>
      </w:r>
      <w:r>
        <w:t>OLS regression</w:t>
      </w:r>
      <w:r w:rsidR="00A82E87">
        <w:t xml:space="preserve"> analysis extends the previous analysis by more explicitly examining the impact </w:t>
      </w:r>
      <w:r>
        <w:t>of different cost drivers on overall costs per EFTSL, independently of differences across field of education.</w:t>
      </w:r>
      <w:r w:rsidR="00A82E87">
        <w:t xml:space="preserve"> That is, this analysis examines variation in cost drivers both within and between fields.</w:t>
      </w:r>
      <w:r>
        <w:t xml:space="preserve"> The results from this analysis are shown in Table 5.3. </w:t>
      </w:r>
    </w:p>
    <w:p w14:paraId="65F8BE83" w14:textId="77777777" w:rsidR="007330CB" w:rsidRDefault="00374D2C" w:rsidP="00374D2C">
      <w:pPr>
        <w:pStyle w:val="BodyText"/>
      </w:pPr>
      <w:r>
        <w:t>The model in column</w:t>
      </w:r>
      <w:r w:rsidR="005B1F74">
        <w:t xml:space="preserve"> 1</w:t>
      </w:r>
      <w:r>
        <w:t xml:space="preserve"> includes the ratio of teaching staff to EFTSL (in log form), total EFTSL (as a measure of scale, in log form), an indicator for whether a university field has higher degree research EFTSL and the proportion of higher degree research EFTSL to total EFTSL.</w:t>
      </w:r>
      <w:r>
        <w:rPr>
          <w:rStyle w:val="FootnoteReference"/>
        </w:rPr>
        <w:footnoteReference w:id="23"/>
      </w:r>
      <w:r>
        <w:t xml:space="preserve"> </w:t>
      </w:r>
    </w:p>
    <w:p w14:paraId="12B18374" w14:textId="77777777" w:rsidR="00374D2C" w:rsidRDefault="005B1F74" w:rsidP="007330CB">
      <w:pPr>
        <w:pStyle w:val="BodyText"/>
      </w:pPr>
      <w:r>
        <w:lastRenderedPageBreak/>
        <w:t>Column 2</w:t>
      </w:r>
      <w:r w:rsidR="00374D2C">
        <w:t xml:space="preserve"> adds field of education indicator variables to this specification</w:t>
      </w:r>
      <w:r>
        <w:t>, whil</w:t>
      </w:r>
      <w:r w:rsidR="003450DB">
        <w:t>e</w:t>
      </w:r>
      <w:r>
        <w:t xml:space="preserve"> column</w:t>
      </w:r>
      <w:r w:rsidR="007330CB">
        <w:t xml:space="preserve"> 3 includes</w:t>
      </w:r>
      <w:r w:rsidR="00374D2C">
        <w:t xml:space="preserve"> variables reflecting the proportion of international and regional students respectively, the proportion of casual teaching staff and the proportion of students studying externally. </w:t>
      </w:r>
    </w:p>
    <w:p w14:paraId="3F0CC724" w14:textId="77777777" w:rsidR="00374D2C" w:rsidRDefault="007330CB" w:rsidP="00374D2C">
      <w:pPr>
        <w:pStyle w:val="BodyText"/>
      </w:pPr>
      <w:r>
        <w:t xml:space="preserve">Column 4 then extends the model to include variables that attempt </w:t>
      </w:r>
      <w:r w:rsidR="00374D2C">
        <w:t xml:space="preserve">to reflect teaching quality. These include the average of student satisfaction and experience survey scores, the proportion of graduates in full time employment and the median salary of graduates (in log form). </w:t>
      </w:r>
    </w:p>
    <w:p w14:paraId="68408D49" w14:textId="77777777" w:rsidR="00374D2C" w:rsidRDefault="00374D2C">
      <w:pPr>
        <w:pStyle w:val="BodyText"/>
      </w:pPr>
      <w:r>
        <w:t xml:space="preserve">This section looks at the implication of the coefficient estimates </w:t>
      </w:r>
      <w:r w:rsidR="007330CB">
        <w:t xml:space="preserve">across each of the four </w:t>
      </w:r>
      <w:r>
        <w:t>models.</w:t>
      </w:r>
      <w:r w:rsidR="007330CB">
        <w:t xml:space="preserve"> </w:t>
      </w:r>
      <w:r w:rsidR="006D0C13">
        <w:t xml:space="preserve">This is followed by a discussion of the relative size of the key cost drivers and a discussion of the results from other specifications. </w:t>
      </w:r>
      <w:r w:rsidR="007330CB">
        <w:t xml:space="preserve"> </w:t>
      </w:r>
    </w:p>
    <w:p w14:paraId="0F79283A" w14:textId="121C8A68" w:rsidR="00374D2C" w:rsidRPr="000A6898" w:rsidRDefault="00374D2C" w:rsidP="006D0C13">
      <w:pPr>
        <w:pStyle w:val="BodyText"/>
        <w:rPr>
          <w:rStyle w:val="Boldword"/>
          <w:b w:val="0"/>
          <w:color w:val="auto"/>
        </w:rPr>
      </w:pPr>
      <w:r w:rsidRPr="000A6898">
        <w:rPr>
          <w:rStyle w:val="Boldword"/>
          <w:b w:val="0"/>
          <w:color w:val="auto"/>
        </w:rPr>
        <w:t xml:space="preserve">The results suggest there are a number of important cost drivers of higher education </w:t>
      </w:r>
      <w:r w:rsidR="00995626">
        <w:rPr>
          <w:rStyle w:val="Boldword"/>
          <w:b w:val="0"/>
          <w:color w:val="auto"/>
        </w:rPr>
        <w:t>teaching and scholarship</w:t>
      </w:r>
      <w:r w:rsidRPr="000A6898">
        <w:rPr>
          <w:rStyle w:val="Boldword"/>
          <w:b w:val="0"/>
          <w:color w:val="auto"/>
        </w:rPr>
        <w:t xml:space="preserve"> costs. In particular, </w:t>
      </w:r>
      <w:r w:rsidRPr="006D0C13">
        <w:rPr>
          <w:rStyle w:val="Boldword"/>
        </w:rPr>
        <w:t>increases in teaching staff to student ratios significantly increase costs per EFTSL</w:t>
      </w:r>
      <w:r w:rsidRPr="000A6898">
        <w:rPr>
          <w:rStyle w:val="Boldword"/>
          <w:b w:val="0"/>
          <w:color w:val="auto"/>
        </w:rPr>
        <w:t xml:space="preserve">. Based on the coefficient estimate in column 3, a 1% increase in staff to student teaching ratios is associated with a 0.42% increase in costs per EFTSL. </w:t>
      </w:r>
    </w:p>
    <w:p w14:paraId="104A9E51" w14:textId="0E00676E" w:rsidR="00BE7801" w:rsidRDefault="00374D2C" w:rsidP="00374D2C">
      <w:pPr>
        <w:pStyle w:val="BodyText"/>
      </w:pPr>
      <w:r>
        <w:t xml:space="preserve">While total EFTSL has a statistically significant negative relationship with cost per EFTSL in column 1, this significance disappears once additional controls are included in the model, implying that economies of scale are relatively weak after controlling for other variables in the analysis. </w:t>
      </w:r>
      <w:r w:rsidR="006D0C13">
        <w:t>The relationship between scale and costs is discussed in further detail in the box below.</w:t>
      </w:r>
    </w:p>
    <w:p w14:paraId="408C8E99" w14:textId="77777777" w:rsidR="00C65E81" w:rsidRDefault="00C65E81" w:rsidP="00C65E81">
      <w:pPr>
        <w:pStyle w:val="BodyText"/>
        <w:spacing w:before="0"/>
      </w:pPr>
    </w:p>
    <w:tbl>
      <w:tblPr>
        <w:tblStyle w:val="TableGrid"/>
        <w:tblW w:w="0" w:type="auto"/>
        <w:tblBorders>
          <w:top w:val="single" w:sz="4" w:space="0" w:color="002776"/>
          <w:left w:val="single" w:sz="4" w:space="0" w:color="002776"/>
          <w:bottom w:val="single" w:sz="4" w:space="0" w:color="002776"/>
          <w:right w:val="single" w:sz="4" w:space="0" w:color="002776"/>
        </w:tblBorders>
        <w:shd w:val="clear" w:color="auto" w:fill="DCDCDC"/>
        <w:tblLook w:val="04A0" w:firstRow="1" w:lastRow="0" w:firstColumn="1" w:lastColumn="0" w:noHBand="0" w:noVBand="1"/>
      </w:tblPr>
      <w:tblGrid>
        <w:gridCol w:w="8210"/>
      </w:tblGrid>
      <w:tr w:rsidR="00BE7801" w14:paraId="658125D0" w14:textId="77777777" w:rsidTr="00BB61EB">
        <w:tc>
          <w:tcPr>
            <w:tcW w:w="8210" w:type="dxa"/>
            <w:shd w:val="clear" w:color="auto" w:fill="F2F2F2" w:themeFill="background1" w:themeFillShade="F2"/>
          </w:tcPr>
          <w:p w14:paraId="19A85029" w14:textId="77777777" w:rsidR="00BE7801" w:rsidRPr="00D55F3F" w:rsidRDefault="00FF589A" w:rsidP="007330CB">
            <w:pPr>
              <w:pStyle w:val="Bullet1"/>
              <w:numPr>
                <w:ilvl w:val="0"/>
                <w:numId w:val="0"/>
              </w:numPr>
              <w:ind w:left="360" w:hanging="360"/>
              <w:rPr>
                <w:b/>
                <w:color w:val="002776"/>
              </w:rPr>
            </w:pPr>
            <w:r>
              <w:rPr>
                <w:b/>
                <w:color w:val="002776"/>
              </w:rPr>
              <w:t xml:space="preserve">Box 5.1: </w:t>
            </w:r>
            <w:r w:rsidR="00BE7801">
              <w:rPr>
                <w:b/>
                <w:color w:val="002776"/>
              </w:rPr>
              <w:t xml:space="preserve">The relationship between scale and costs </w:t>
            </w:r>
          </w:p>
          <w:p w14:paraId="6917FA5A" w14:textId="6BF68328" w:rsidR="006F4316" w:rsidRPr="001578D1" w:rsidRDefault="006F4316" w:rsidP="00D55F3F">
            <w:pPr>
              <w:pStyle w:val="BodyText"/>
            </w:pPr>
            <w:r w:rsidRPr="00327AA3">
              <w:t xml:space="preserve">The presence of fixed costs in the university operating context </w:t>
            </w:r>
            <w:r w:rsidR="00FF589A" w:rsidRPr="00520AA3">
              <w:t xml:space="preserve">suggests that increasing scale leads to </w:t>
            </w:r>
            <w:r w:rsidR="00055D80" w:rsidRPr="004E7CC3">
              <w:t>efficiencies</w:t>
            </w:r>
            <w:r w:rsidR="00055D80" w:rsidRPr="008A079E">
              <w:t xml:space="preserve"> </w:t>
            </w:r>
            <w:r w:rsidR="00055D80">
              <w:t xml:space="preserve">in </w:t>
            </w:r>
            <w:r w:rsidR="00FF589A" w:rsidRPr="008A079E">
              <w:t xml:space="preserve">per </w:t>
            </w:r>
            <w:r w:rsidR="00FF589A" w:rsidRPr="004E7CC3">
              <w:t>EFTL teaching cost.</w:t>
            </w:r>
            <w:r w:rsidR="00FF589A" w:rsidRPr="001578D1">
              <w:t xml:space="preserve"> As scale increases, fixed costs are spread over a larger volume of student load.</w:t>
            </w:r>
          </w:p>
          <w:p w14:paraId="57EC3725" w14:textId="77777777" w:rsidR="003A7093" w:rsidRPr="005F2DE1" w:rsidRDefault="002A132D" w:rsidP="00D55F3F">
            <w:pPr>
              <w:pStyle w:val="BodyText"/>
            </w:pPr>
            <w:r w:rsidRPr="001578D1">
              <w:t>This analysis tests a number of different measures of scale, including total EFTSL</w:t>
            </w:r>
            <w:r w:rsidR="00FF589A">
              <w:t xml:space="preserve"> per university</w:t>
            </w:r>
            <w:r w:rsidRPr="005F2DE1">
              <w:t>, EFTSL per campus, EFTSL by level</w:t>
            </w:r>
            <w:r w:rsidR="00E1578F" w:rsidRPr="005F2DE1">
              <w:t xml:space="preserve">, and EFTSL by field, as well as quadratic terms. </w:t>
            </w:r>
            <w:r w:rsidR="00FF589A" w:rsidRPr="00327AA3">
              <w:t xml:space="preserve">In general, </w:t>
            </w:r>
            <w:r w:rsidR="00941D93">
              <w:t xml:space="preserve">it finds that </w:t>
            </w:r>
            <w:r w:rsidR="00FF589A" w:rsidRPr="00520AA3">
              <w:t>greater scale is associated with lower costs per EFTSL</w:t>
            </w:r>
            <w:r w:rsidR="003A7093" w:rsidRPr="008A079E">
              <w:t xml:space="preserve">, with no evidence of diminishing </w:t>
            </w:r>
            <w:r w:rsidR="00FF589A">
              <w:t xml:space="preserve">marginal </w:t>
            </w:r>
            <w:r w:rsidR="003A7093" w:rsidRPr="005F2DE1">
              <w:t xml:space="preserve">effects. </w:t>
            </w:r>
          </w:p>
          <w:p w14:paraId="1C0C683A" w14:textId="77777777" w:rsidR="002A132D" w:rsidRPr="005F2DE1" w:rsidRDefault="003A7093" w:rsidP="00D55F3F">
            <w:pPr>
              <w:pStyle w:val="BodyText"/>
            </w:pPr>
            <w:r w:rsidRPr="005F2DE1">
              <w:t xml:space="preserve">EFTSL by </w:t>
            </w:r>
            <w:r w:rsidR="00FF589A" w:rsidRPr="00697FB0">
              <w:t>university</w:t>
            </w:r>
            <w:r w:rsidR="00FF589A">
              <w:t xml:space="preserve"> level</w:t>
            </w:r>
            <w:r w:rsidR="00FF589A" w:rsidRPr="005F2DE1">
              <w:t>-</w:t>
            </w:r>
            <w:r w:rsidRPr="005F2DE1">
              <w:t xml:space="preserve">field </w:t>
            </w:r>
            <w:r w:rsidRPr="00697FB0">
              <w:t xml:space="preserve">is chosen </w:t>
            </w:r>
            <w:r w:rsidR="00FF589A" w:rsidRPr="00327AA3">
              <w:t xml:space="preserve">as the preferred </w:t>
            </w:r>
            <w:r w:rsidRPr="00520AA3">
              <w:t>specification as it</w:t>
            </w:r>
            <w:r w:rsidR="00FF589A" w:rsidRPr="008A079E">
              <w:t xml:space="preserve"> is the most consistent</w:t>
            </w:r>
            <w:r w:rsidR="00FF589A" w:rsidRPr="004E7CC3">
              <w:t>, significant</w:t>
            </w:r>
            <w:r w:rsidR="00FF589A" w:rsidRPr="001578D1">
              <w:t>, and intuitive form of the scale variable</w:t>
            </w:r>
            <w:r w:rsidRPr="001578D1">
              <w:t xml:space="preserve">. </w:t>
            </w:r>
            <w:r w:rsidR="00D2282C" w:rsidRPr="001578D1">
              <w:t xml:space="preserve"> </w:t>
            </w:r>
            <w:r w:rsidR="0049715A">
              <w:t>It is important to note that the relationships between costs and other measures of scale are statistically significant, and this may have consequences for funding design.</w:t>
            </w:r>
          </w:p>
          <w:p w14:paraId="23072E1F" w14:textId="77777777" w:rsidR="00BE7801" w:rsidRDefault="003A7093" w:rsidP="00D55F3F">
            <w:pPr>
              <w:pStyle w:val="BodyText"/>
            </w:pPr>
            <w:r w:rsidRPr="005F2DE1">
              <w:t>After controlling for additional variables</w:t>
            </w:r>
            <w:r w:rsidR="0049715A">
              <w:t>, such as research intensity</w:t>
            </w:r>
            <w:r w:rsidRPr="005F2DE1">
              <w:t xml:space="preserve">, the statistical significance of </w:t>
            </w:r>
            <w:r w:rsidR="0049715A">
              <w:t xml:space="preserve">scale is </w:t>
            </w:r>
            <w:r w:rsidRPr="005F2DE1">
              <w:t>diminishe</w:t>
            </w:r>
            <w:r w:rsidR="0049715A">
              <w:t>d.</w:t>
            </w:r>
            <w:r w:rsidRPr="005F2DE1">
              <w:t xml:space="preserve"> </w:t>
            </w:r>
            <w:r w:rsidR="0049715A">
              <w:t>H</w:t>
            </w:r>
            <w:r w:rsidRPr="005F2DE1">
              <w:t>owever</w:t>
            </w:r>
            <w:r w:rsidR="0049715A">
              <w:t>,</w:t>
            </w:r>
            <w:r w:rsidRPr="005F2DE1">
              <w:t xml:space="preserve"> this is consistent for all scale measures tested</w:t>
            </w:r>
            <w:r w:rsidRPr="00697FB0">
              <w:t>.</w:t>
            </w:r>
            <w:r w:rsidR="00BF2713" w:rsidRPr="00327AA3">
              <w:t xml:space="preserve"> </w:t>
            </w:r>
            <w:r w:rsidRPr="00327AA3">
              <w:t xml:space="preserve">As scale is known to be correlated with other cost drivers, it may be that </w:t>
            </w:r>
            <w:r w:rsidR="0049715A">
              <w:t xml:space="preserve">some of the </w:t>
            </w:r>
            <w:r w:rsidRPr="005F2DE1">
              <w:t>effects of scale are being identified by other cost driver</w:t>
            </w:r>
            <w:r w:rsidR="0049715A">
              <w:t xml:space="preserve"> variables</w:t>
            </w:r>
            <w:r w:rsidRPr="005F2DE1">
              <w:t>.</w:t>
            </w:r>
          </w:p>
        </w:tc>
      </w:tr>
    </w:tbl>
    <w:p w14:paraId="26949280" w14:textId="6B128B64" w:rsidR="006D0C13" w:rsidRDefault="00374D2C" w:rsidP="00374D2C">
      <w:pPr>
        <w:pStyle w:val="BodyText"/>
      </w:pPr>
      <w:r>
        <w:lastRenderedPageBreak/>
        <w:t xml:space="preserve">The presence of higher degree research students is associated with </w:t>
      </w:r>
      <w:r w:rsidR="006D0C13">
        <w:t xml:space="preserve">higher </w:t>
      </w:r>
      <w:r>
        <w:t>costs per EFTSL</w:t>
      </w:r>
      <w:r w:rsidR="006D0C13">
        <w:t xml:space="preserve"> in column 1</w:t>
      </w:r>
      <w:r>
        <w:t xml:space="preserve">, </w:t>
      </w:r>
      <w:r w:rsidR="006D0C13">
        <w:t>but this association was reversed and found to be no longer statistically significant after controlling field of education</w:t>
      </w:r>
      <w:r w:rsidR="00055D80">
        <w:t>.</w:t>
      </w:r>
      <w:r w:rsidR="006D0C13">
        <w:t xml:space="preserve"> </w:t>
      </w:r>
      <w:r w:rsidR="00055D80">
        <w:t xml:space="preserve">This </w:t>
      </w:r>
      <w:r w:rsidR="006D0C13">
        <w:t>impl</w:t>
      </w:r>
      <w:r w:rsidR="00055D80">
        <w:t>ies</w:t>
      </w:r>
      <w:r w:rsidR="006D0C13">
        <w:t xml:space="preserve"> that impact of higher degree research students partly reflected differences in costs across fields of education. </w:t>
      </w:r>
    </w:p>
    <w:p w14:paraId="2CC50E98" w14:textId="1149B485" w:rsidR="00374D2C" w:rsidRDefault="006D0C13" w:rsidP="00374D2C">
      <w:pPr>
        <w:pStyle w:val="BodyText"/>
      </w:pPr>
      <w:r>
        <w:t>H</w:t>
      </w:r>
      <w:r w:rsidR="00374D2C">
        <w:t xml:space="preserve">aving a higher proportion of </w:t>
      </w:r>
      <w:r w:rsidR="00374D2C" w:rsidRPr="002E2208">
        <w:t xml:space="preserve">casual teaching staff </w:t>
      </w:r>
      <w:r w:rsidR="00374D2C">
        <w:t xml:space="preserve">is found to be associated with lower </w:t>
      </w:r>
      <w:r w:rsidR="00374D2C" w:rsidRPr="002E2208">
        <w:t>costs per EFTSL, which is consistent with the expectation that casual teaching staff are likely to be a less expensive resource for universities</w:t>
      </w:r>
      <w:r w:rsidR="00374D2C">
        <w:t xml:space="preserve">. To provide an indication of the relative size of this effect, a shift from having no casual teaching staff to having </w:t>
      </w:r>
      <w:r w:rsidR="00055D80">
        <w:t xml:space="preserve">exclusively </w:t>
      </w:r>
      <w:r w:rsidR="00374D2C">
        <w:t>casual teaching staff</w:t>
      </w:r>
      <w:r w:rsidR="00374D2C" w:rsidRPr="0066226F">
        <w:t xml:space="preserve"> </w:t>
      </w:r>
      <w:r w:rsidR="00374D2C">
        <w:t xml:space="preserve">in a field of education, is associated with </w:t>
      </w:r>
      <w:r>
        <w:t xml:space="preserve">approximately </w:t>
      </w:r>
      <w:r w:rsidR="00374D2C">
        <w:t>a 19</w:t>
      </w:r>
      <w:r w:rsidR="00374D2C" w:rsidRPr="00EF2309">
        <w:t>%</w:t>
      </w:r>
      <w:r w:rsidR="00374D2C">
        <w:t xml:space="preserve"> fall in costs per EFTSL. </w:t>
      </w:r>
    </w:p>
    <w:p w14:paraId="1ECDABBF" w14:textId="77777777" w:rsidR="00374D2C" w:rsidRDefault="00374D2C" w:rsidP="00374D2C">
      <w:pPr>
        <w:pStyle w:val="BodyText"/>
      </w:pPr>
      <w:r w:rsidRPr="003D3C23">
        <w:t>H</w:t>
      </w:r>
      <w:r w:rsidRPr="008A5215">
        <w:t>aving a higher proportion of students who are taught externally</w:t>
      </w:r>
      <w:r w:rsidRPr="003D3C23">
        <w:t xml:space="preserve"> </w:t>
      </w:r>
      <w:r>
        <w:t>was</w:t>
      </w:r>
      <w:r w:rsidRPr="003D3C23">
        <w:t xml:space="preserve"> associated with lower levels of cost per EFTSL</w:t>
      </w:r>
      <w:r>
        <w:t>. By comparison, having a higher proportion of international students was associated with higher costs per EFTSL</w:t>
      </w:r>
      <w:r w:rsidR="00127C6F">
        <w:t xml:space="preserve">, although both these effects were not </w:t>
      </w:r>
      <w:r>
        <w:t>statistically significant.</w:t>
      </w:r>
      <w:r w:rsidRPr="003D3C23">
        <w:t xml:space="preserve"> </w:t>
      </w:r>
    </w:p>
    <w:p w14:paraId="53427FA6" w14:textId="191DD25B" w:rsidR="00374D2C" w:rsidRDefault="00374D2C" w:rsidP="00374D2C">
      <w:pPr>
        <w:pStyle w:val="BodyText"/>
      </w:pPr>
      <w:r>
        <w:t>A</w:t>
      </w:r>
      <w:r w:rsidRPr="008A5215">
        <w:t xml:space="preserve">n increase in the proportion of regional EFTSL </w:t>
      </w:r>
      <w:r>
        <w:t>is f</w:t>
      </w:r>
      <w:r w:rsidRPr="008A5215">
        <w:t>ound to incre</w:t>
      </w:r>
      <w:r>
        <w:t xml:space="preserve">ase costs per EFTSL. The variable is based on the home postcode of students and thus captures regional students at both regional and metropolitan universities. The results of column 3, indicate that </w:t>
      </w:r>
      <w:r w:rsidR="00995626">
        <w:t>teaching and scholarship</w:t>
      </w:r>
      <w:r>
        <w:t xml:space="preserve"> costs are 1</w:t>
      </w:r>
      <w:r w:rsidR="00055D80">
        <w:t>7</w:t>
      </w:r>
      <w:r>
        <w:t>% higher for regional students, holding all else constant.</w:t>
      </w:r>
      <w:r>
        <w:rPr>
          <w:rStyle w:val="FootnoteReference"/>
        </w:rPr>
        <w:footnoteReference w:id="24"/>
      </w:r>
      <w:r>
        <w:t xml:space="preserve">  </w:t>
      </w:r>
    </w:p>
    <w:p w14:paraId="3927E529" w14:textId="281BBA89" w:rsidR="00374D2C" w:rsidRDefault="00374D2C" w:rsidP="00374D2C">
      <w:pPr>
        <w:pStyle w:val="BodyText"/>
      </w:pPr>
      <w:r>
        <w:t xml:space="preserve">Since the proportion of regional students is higher on average for universities with campuses in regional areas (see Table 5.2 below), this finding suggests that </w:t>
      </w:r>
      <w:r w:rsidR="00995626">
        <w:t>teaching and scholarship</w:t>
      </w:r>
      <w:r>
        <w:t xml:space="preserve"> costs are likely to be higher at regional campuses. However, it is not possible to distinguish whether this effect is due to regional students being more expensive to teach wherever they choose to study or whether it is due to regional campuses having higher underlying costs independently of other cost drivers. </w:t>
      </w:r>
    </w:p>
    <w:p w14:paraId="4A8F3846" w14:textId="77777777" w:rsidR="00374D2C" w:rsidRDefault="00374D2C" w:rsidP="00374D2C">
      <w:pPr>
        <w:pStyle w:val="BodyText"/>
      </w:pPr>
      <w:r>
        <w:t>Table 5.2 shows how the value of some key cost drivers differ from universit</w:t>
      </w:r>
      <w:r w:rsidR="00F66955">
        <w:t>y fields</w:t>
      </w:r>
      <w:r>
        <w:t xml:space="preserve"> in the Regional Universities Network (RUN) relative to other universities. In addition to having a greater proportion of regional students, RUN universities have higher staff-student ratios and lower utilisation of casual staff, which are likely to driver higher costs. However, the impact of these cost drivers is moderated by RUN universities having a higher proportion of mixed and external enrolments. </w:t>
      </w:r>
    </w:p>
    <w:p w14:paraId="736EC239" w14:textId="4ACFEC91" w:rsidR="00374D2C" w:rsidRPr="006B25BE" w:rsidRDefault="00374D2C" w:rsidP="00374D2C">
      <w:pPr>
        <w:pStyle w:val="CaptionTable"/>
      </w:pPr>
      <w:bookmarkStart w:id="280" w:name="_Toc469927396"/>
      <w:r>
        <w:t>: Descriptive statistics: Cost drivers by RUN status (</w:t>
      </w:r>
      <w:r w:rsidR="009F6F84">
        <w:t>b</w:t>
      </w:r>
      <w:r>
        <w:t>achelor</w:t>
      </w:r>
      <w:r w:rsidR="009F6F84">
        <w:t xml:space="preserve"> level</w:t>
      </w:r>
      <w:r>
        <w:t>)</w:t>
      </w:r>
      <w:bookmarkEnd w:id="280"/>
    </w:p>
    <w:tbl>
      <w:tblPr>
        <w:tblStyle w:val="TableAE"/>
        <w:tblW w:w="7040" w:type="dxa"/>
        <w:tblLayout w:type="fixed"/>
        <w:tblLook w:val="04A0" w:firstRow="1" w:lastRow="0" w:firstColumn="1" w:lastColumn="0" w:noHBand="0" w:noVBand="1"/>
      </w:tblPr>
      <w:tblGrid>
        <w:gridCol w:w="4395"/>
        <w:gridCol w:w="1290"/>
        <w:gridCol w:w="1355"/>
      </w:tblGrid>
      <w:tr w:rsidR="00374D2C" w14:paraId="64944B25" w14:textId="77777777" w:rsidTr="00D55F3F">
        <w:trPr>
          <w:cnfStyle w:val="100000000000" w:firstRow="1" w:lastRow="0" w:firstColumn="0" w:lastColumn="0" w:oddVBand="0" w:evenVBand="0" w:oddHBand="0" w:evenHBand="0" w:firstRowFirstColumn="0" w:firstRowLastColumn="0" w:lastRowFirstColumn="0" w:lastRowLastColumn="0"/>
        </w:trPr>
        <w:tc>
          <w:tcPr>
            <w:tcW w:w="4395" w:type="dxa"/>
            <w:vAlign w:val="center"/>
          </w:tcPr>
          <w:p w14:paraId="7B1DFB04" w14:textId="77777777" w:rsidR="00374D2C" w:rsidRPr="00166DB3" w:rsidRDefault="00374D2C" w:rsidP="00512092">
            <w:pPr>
              <w:pStyle w:val="TableHeadingCentre"/>
              <w:jc w:val="left"/>
            </w:pPr>
            <w:r w:rsidRPr="00166DB3">
              <w:t>Cost Driver</w:t>
            </w:r>
            <w:r>
              <w:t xml:space="preserve"> (median</w:t>
            </w:r>
            <w:r w:rsidR="00F66955">
              <w:t xml:space="preserve"> field of education</w:t>
            </w:r>
            <w:r>
              <w:t>)</w:t>
            </w:r>
          </w:p>
        </w:tc>
        <w:tc>
          <w:tcPr>
            <w:tcW w:w="1290" w:type="dxa"/>
          </w:tcPr>
          <w:p w14:paraId="4833C176" w14:textId="77777777" w:rsidR="00374D2C" w:rsidRPr="00EF2309" w:rsidRDefault="00374D2C" w:rsidP="00512092">
            <w:pPr>
              <w:pStyle w:val="TableHeadingCentre"/>
              <w:tabs>
                <w:tab w:val="left" w:pos="240"/>
                <w:tab w:val="center" w:pos="611"/>
              </w:tabs>
            </w:pPr>
            <w:r w:rsidRPr="00EF2309">
              <w:t>RUN</w:t>
            </w:r>
          </w:p>
        </w:tc>
        <w:tc>
          <w:tcPr>
            <w:tcW w:w="1355" w:type="dxa"/>
          </w:tcPr>
          <w:p w14:paraId="0491B332" w14:textId="77777777" w:rsidR="00374D2C" w:rsidRPr="00EF2309" w:rsidRDefault="00374D2C" w:rsidP="00512092">
            <w:pPr>
              <w:pStyle w:val="TableHeadingCentre"/>
            </w:pPr>
            <w:r w:rsidRPr="00EF2309">
              <w:t>Other</w:t>
            </w:r>
          </w:p>
        </w:tc>
      </w:tr>
      <w:tr w:rsidR="00374D2C" w14:paraId="0BD054BC" w14:textId="77777777" w:rsidTr="00D55F3F">
        <w:tc>
          <w:tcPr>
            <w:tcW w:w="4395" w:type="dxa"/>
            <w:vAlign w:val="center"/>
          </w:tcPr>
          <w:p w14:paraId="2813BD4F" w14:textId="77777777" w:rsidR="00374D2C" w:rsidRPr="00C729A5" w:rsidRDefault="00374D2C" w:rsidP="00512092">
            <w:pPr>
              <w:pStyle w:val="TabletextLeft"/>
              <w:spacing w:before="0"/>
              <w:rPr>
                <w:rFonts w:asciiTheme="minorHAnsi" w:hAnsiTheme="minorHAnsi"/>
                <w:sz w:val="18"/>
                <w:szCs w:val="18"/>
              </w:rPr>
            </w:pPr>
            <w:r w:rsidRPr="00C729A5">
              <w:rPr>
                <w:rFonts w:asciiTheme="minorHAnsi" w:hAnsiTheme="minorHAnsi"/>
                <w:sz w:val="18"/>
                <w:szCs w:val="18"/>
              </w:rPr>
              <w:t>Log staff-student ratio (Teaching staff FTE / total EFTSL)</w:t>
            </w:r>
          </w:p>
        </w:tc>
        <w:tc>
          <w:tcPr>
            <w:tcW w:w="1290" w:type="dxa"/>
            <w:vAlign w:val="center"/>
          </w:tcPr>
          <w:p w14:paraId="185244A3" w14:textId="77777777" w:rsidR="00374D2C" w:rsidRPr="00841776" w:rsidRDefault="00374D2C" w:rsidP="00512092">
            <w:pPr>
              <w:widowControl w:val="0"/>
              <w:autoSpaceDE w:val="0"/>
              <w:autoSpaceDN w:val="0"/>
              <w:adjustRightInd w:val="0"/>
              <w:jc w:val="center"/>
              <w:rPr>
                <w:rFonts w:asciiTheme="minorHAnsi" w:hAnsiTheme="minorHAnsi"/>
                <w:sz w:val="18"/>
                <w:szCs w:val="18"/>
              </w:rPr>
            </w:pPr>
            <w:r w:rsidRPr="00EF2309">
              <w:rPr>
                <w:sz w:val="18"/>
                <w:szCs w:val="18"/>
              </w:rPr>
              <w:t>-3.220</w:t>
            </w:r>
          </w:p>
        </w:tc>
        <w:tc>
          <w:tcPr>
            <w:tcW w:w="1355" w:type="dxa"/>
            <w:vAlign w:val="center"/>
          </w:tcPr>
          <w:p w14:paraId="271FD8E3" w14:textId="77777777" w:rsidR="00374D2C" w:rsidRPr="00841776" w:rsidRDefault="00374D2C" w:rsidP="00512092">
            <w:pPr>
              <w:widowControl w:val="0"/>
              <w:autoSpaceDE w:val="0"/>
              <w:autoSpaceDN w:val="0"/>
              <w:adjustRightInd w:val="0"/>
              <w:jc w:val="center"/>
              <w:rPr>
                <w:rFonts w:asciiTheme="minorHAnsi" w:hAnsiTheme="minorHAnsi"/>
                <w:sz w:val="18"/>
                <w:szCs w:val="18"/>
              </w:rPr>
            </w:pPr>
            <w:r w:rsidRPr="00EF2309">
              <w:rPr>
                <w:sz w:val="18"/>
                <w:szCs w:val="18"/>
              </w:rPr>
              <w:t>-3.411</w:t>
            </w:r>
          </w:p>
        </w:tc>
      </w:tr>
      <w:tr w:rsidR="00374D2C" w14:paraId="4DB27BA1" w14:textId="77777777" w:rsidTr="00D55F3F">
        <w:tc>
          <w:tcPr>
            <w:tcW w:w="4395" w:type="dxa"/>
            <w:vAlign w:val="center"/>
          </w:tcPr>
          <w:p w14:paraId="524F62B9" w14:textId="59571C2E" w:rsidR="00374D2C" w:rsidRPr="00C729A5" w:rsidRDefault="00D72156" w:rsidP="00D72156">
            <w:pPr>
              <w:pStyle w:val="TabletextLeft"/>
              <w:spacing w:before="0"/>
              <w:rPr>
                <w:rFonts w:asciiTheme="minorHAnsi" w:hAnsiTheme="minorHAnsi"/>
                <w:sz w:val="18"/>
                <w:szCs w:val="18"/>
              </w:rPr>
            </w:pPr>
            <w:r>
              <w:rPr>
                <w:rFonts w:asciiTheme="minorHAnsi" w:hAnsiTheme="minorHAnsi"/>
                <w:sz w:val="18"/>
                <w:szCs w:val="18"/>
              </w:rPr>
              <w:t>Student-s</w:t>
            </w:r>
            <w:r w:rsidR="00374D2C">
              <w:rPr>
                <w:rFonts w:asciiTheme="minorHAnsi" w:hAnsiTheme="minorHAnsi"/>
                <w:sz w:val="18"/>
                <w:szCs w:val="18"/>
              </w:rPr>
              <w:t xml:space="preserve">taff ratio </w:t>
            </w:r>
            <w:r>
              <w:rPr>
                <w:rFonts w:asciiTheme="minorHAnsi" w:hAnsiTheme="minorHAnsi"/>
                <w:sz w:val="18"/>
                <w:szCs w:val="18"/>
              </w:rPr>
              <w:t>(inv. of staff-student ratio)</w:t>
            </w:r>
          </w:p>
        </w:tc>
        <w:tc>
          <w:tcPr>
            <w:tcW w:w="1290" w:type="dxa"/>
            <w:vAlign w:val="center"/>
          </w:tcPr>
          <w:p w14:paraId="4A8B3669" w14:textId="7DE100CD" w:rsidR="00374D2C" w:rsidRPr="00841776" w:rsidRDefault="00D72156" w:rsidP="00512092">
            <w:pPr>
              <w:widowControl w:val="0"/>
              <w:autoSpaceDE w:val="0"/>
              <w:autoSpaceDN w:val="0"/>
              <w:adjustRightInd w:val="0"/>
              <w:jc w:val="center"/>
              <w:rPr>
                <w:rFonts w:asciiTheme="minorHAnsi" w:hAnsiTheme="minorHAnsi"/>
                <w:sz w:val="18"/>
                <w:szCs w:val="18"/>
              </w:rPr>
            </w:pPr>
            <w:r>
              <w:rPr>
                <w:sz w:val="18"/>
                <w:szCs w:val="18"/>
              </w:rPr>
              <w:t>25.0</w:t>
            </w:r>
          </w:p>
        </w:tc>
        <w:tc>
          <w:tcPr>
            <w:tcW w:w="1355" w:type="dxa"/>
            <w:vAlign w:val="center"/>
          </w:tcPr>
          <w:p w14:paraId="59B346DD" w14:textId="3BE8BCDF" w:rsidR="00374D2C" w:rsidRPr="00841776" w:rsidRDefault="00D72156" w:rsidP="00512092">
            <w:pPr>
              <w:widowControl w:val="0"/>
              <w:autoSpaceDE w:val="0"/>
              <w:autoSpaceDN w:val="0"/>
              <w:adjustRightInd w:val="0"/>
              <w:jc w:val="center"/>
              <w:rPr>
                <w:rFonts w:asciiTheme="minorHAnsi" w:hAnsiTheme="minorHAnsi"/>
                <w:sz w:val="18"/>
                <w:szCs w:val="18"/>
              </w:rPr>
            </w:pPr>
            <w:r>
              <w:rPr>
                <w:sz w:val="18"/>
                <w:szCs w:val="18"/>
              </w:rPr>
              <w:t>30.3</w:t>
            </w:r>
          </w:p>
        </w:tc>
      </w:tr>
      <w:tr w:rsidR="00374D2C" w14:paraId="186201CD" w14:textId="77777777" w:rsidTr="00D55F3F">
        <w:tc>
          <w:tcPr>
            <w:tcW w:w="4395" w:type="dxa"/>
            <w:vAlign w:val="center"/>
          </w:tcPr>
          <w:p w14:paraId="533DA62E" w14:textId="77777777" w:rsidR="00374D2C" w:rsidRPr="00C729A5" w:rsidRDefault="00374D2C" w:rsidP="00512092">
            <w:pPr>
              <w:pStyle w:val="TabletextLeft"/>
              <w:spacing w:before="0"/>
              <w:rPr>
                <w:rFonts w:asciiTheme="minorHAnsi" w:hAnsiTheme="minorHAnsi"/>
                <w:sz w:val="18"/>
                <w:szCs w:val="18"/>
              </w:rPr>
            </w:pPr>
            <w:r w:rsidRPr="00C729A5">
              <w:rPr>
                <w:rFonts w:asciiTheme="minorHAnsi" w:hAnsiTheme="minorHAnsi"/>
                <w:sz w:val="18"/>
                <w:szCs w:val="18"/>
              </w:rPr>
              <w:t>Proportion of regional EFTSL</w:t>
            </w:r>
          </w:p>
        </w:tc>
        <w:tc>
          <w:tcPr>
            <w:tcW w:w="1290" w:type="dxa"/>
            <w:vAlign w:val="center"/>
          </w:tcPr>
          <w:p w14:paraId="7F1D129E" w14:textId="77777777" w:rsidR="00374D2C" w:rsidRPr="00841776" w:rsidRDefault="00374D2C" w:rsidP="00512092">
            <w:pPr>
              <w:widowControl w:val="0"/>
              <w:autoSpaceDE w:val="0"/>
              <w:autoSpaceDN w:val="0"/>
              <w:adjustRightInd w:val="0"/>
              <w:jc w:val="center"/>
              <w:rPr>
                <w:rFonts w:asciiTheme="minorHAnsi" w:hAnsiTheme="minorHAnsi"/>
                <w:sz w:val="18"/>
                <w:szCs w:val="18"/>
              </w:rPr>
            </w:pPr>
            <w:r>
              <w:rPr>
                <w:rFonts w:asciiTheme="minorHAnsi" w:hAnsiTheme="minorHAnsi"/>
                <w:sz w:val="18"/>
                <w:szCs w:val="18"/>
              </w:rPr>
              <w:t>50%</w:t>
            </w:r>
          </w:p>
        </w:tc>
        <w:tc>
          <w:tcPr>
            <w:tcW w:w="1355" w:type="dxa"/>
            <w:vAlign w:val="center"/>
          </w:tcPr>
          <w:p w14:paraId="1960246C" w14:textId="77777777" w:rsidR="00374D2C" w:rsidRPr="00841776" w:rsidRDefault="00374D2C" w:rsidP="00512092">
            <w:pPr>
              <w:widowControl w:val="0"/>
              <w:autoSpaceDE w:val="0"/>
              <w:autoSpaceDN w:val="0"/>
              <w:adjustRightInd w:val="0"/>
              <w:jc w:val="center"/>
              <w:rPr>
                <w:rFonts w:asciiTheme="minorHAnsi" w:hAnsiTheme="minorHAnsi"/>
                <w:sz w:val="18"/>
                <w:szCs w:val="18"/>
              </w:rPr>
            </w:pPr>
            <w:r>
              <w:rPr>
                <w:rFonts w:asciiTheme="minorHAnsi" w:hAnsiTheme="minorHAnsi"/>
                <w:sz w:val="18"/>
                <w:szCs w:val="18"/>
              </w:rPr>
              <w:t>12%</w:t>
            </w:r>
          </w:p>
        </w:tc>
      </w:tr>
      <w:tr w:rsidR="00374D2C" w14:paraId="094E8CE7" w14:textId="77777777" w:rsidTr="00D55F3F">
        <w:tc>
          <w:tcPr>
            <w:tcW w:w="4395" w:type="dxa"/>
            <w:vAlign w:val="center"/>
          </w:tcPr>
          <w:p w14:paraId="02EBE2A7" w14:textId="77777777" w:rsidR="00374D2C" w:rsidRPr="00C729A5" w:rsidRDefault="00374D2C" w:rsidP="00512092">
            <w:pPr>
              <w:pStyle w:val="TabletextLeft"/>
              <w:spacing w:before="0"/>
              <w:rPr>
                <w:rFonts w:asciiTheme="minorHAnsi" w:hAnsiTheme="minorHAnsi"/>
                <w:sz w:val="18"/>
                <w:szCs w:val="18"/>
              </w:rPr>
            </w:pPr>
            <w:r w:rsidRPr="00C729A5">
              <w:rPr>
                <w:rFonts w:asciiTheme="minorHAnsi" w:hAnsiTheme="minorHAnsi"/>
                <w:sz w:val="18"/>
                <w:szCs w:val="18"/>
              </w:rPr>
              <w:t xml:space="preserve">Proportion of casual teaching staff </w:t>
            </w:r>
          </w:p>
        </w:tc>
        <w:tc>
          <w:tcPr>
            <w:tcW w:w="1290" w:type="dxa"/>
            <w:vAlign w:val="center"/>
          </w:tcPr>
          <w:p w14:paraId="2E62D798" w14:textId="77777777" w:rsidR="00374D2C" w:rsidRPr="00841776" w:rsidRDefault="00374D2C" w:rsidP="00512092">
            <w:pPr>
              <w:widowControl w:val="0"/>
              <w:autoSpaceDE w:val="0"/>
              <w:autoSpaceDN w:val="0"/>
              <w:adjustRightInd w:val="0"/>
              <w:jc w:val="center"/>
              <w:rPr>
                <w:rFonts w:asciiTheme="minorHAnsi" w:hAnsiTheme="minorHAnsi"/>
                <w:sz w:val="18"/>
                <w:szCs w:val="18"/>
              </w:rPr>
            </w:pPr>
            <w:r>
              <w:rPr>
                <w:rFonts w:asciiTheme="minorHAnsi" w:hAnsiTheme="minorHAnsi"/>
                <w:sz w:val="18"/>
                <w:szCs w:val="18"/>
              </w:rPr>
              <w:t>26%</w:t>
            </w:r>
          </w:p>
        </w:tc>
        <w:tc>
          <w:tcPr>
            <w:tcW w:w="1355" w:type="dxa"/>
            <w:vAlign w:val="center"/>
          </w:tcPr>
          <w:p w14:paraId="20F59B2B" w14:textId="77777777" w:rsidR="00374D2C" w:rsidRPr="00841776" w:rsidRDefault="00374D2C" w:rsidP="00512092">
            <w:pPr>
              <w:widowControl w:val="0"/>
              <w:autoSpaceDE w:val="0"/>
              <w:autoSpaceDN w:val="0"/>
              <w:adjustRightInd w:val="0"/>
              <w:jc w:val="center"/>
              <w:rPr>
                <w:rFonts w:asciiTheme="minorHAnsi" w:hAnsiTheme="minorHAnsi"/>
                <w:sz w:val="18"/>
                <w:szCs w:val="18"/>
              </w:rPr>
            </w:pPr>
            <w:r>
              <w:rPr>
                <w:rFonts w:asciiTheme="minorHAnsi" w:hAnsiTheme="minorHAnsi"/>
                <w:sz w:val="18"/>
                <w:szCs w:val="18"/>
              </w:rPr>
              <w:t>37%</w:t>
            </w:r>
          </w:p>
        </w:tc>
      </w:tr>
      <w:tr w:rsidR="00374D2C" w14:paraId="43AD9D3F" w14:textId="77777777" w:rsidTr="00D55F3F">
        <w:tc>
          <w:tcPr>
            <w:tcW w:w="4395" w:type="dxa"/>
            <w:vAlign w:val="center"/>
          </w:tcPr>
          <w:p w14:paraId="258029F3" w14:textId="77777777" w:rsidR="00374D2C" w:rsidRPr="00C729A5" w:rsidRDefault="00374D2C" w:rsidP="00512092">
            <w:pPr>
              <w:pStyle w:val="TabletextLeft"/>
              <w:spacing w:before="0"/>
              <w:rPr>
                <w:rFonts w:asciiTheme="minorHAnsi" w:hAnsiTheme="minorHAnsi"/>
                <w:sz w:val="18"/>
                <w:szCs w:val="18"/>
              </w:rPr>
            </w:pPr>
            <w:r w:rsidRPr="00C729A5">
              <w:rPr>
                <w:rFonts w:asciiTheme="minorHAnsi" w:hAnsiTheme="minorHAnsi"/>
                <w:sz w:val="18"/>
                <w:szCs w:val="18"/>
              </w:rPr>
              <w:t>Proportion of external (including multimodal) EFTSL</w:t>
            </w:r>
          </w:p>
        </w:tc>
        <w:tc>
          <w:tcPr>
            <w:tcW w:w="1290" w:type="dxa"/>
            <w:vAlign w:val="center"/>
          </w:tcPr>
          <w:p w14:paraId="40D61350" w14:textId="77777777" w:rsidR="00374D2C" w:rsidRPr="00841776" w:rsidRDefault="00374D2C" w:rsidP="00512092">
            <w:pPr>
              <w:widowControl w:val="0"/>
              <w:autoSpaceDE w:val="0"/>
              <w:autoSpaceDN w:val="0"/>
              <w:adjustRightInd w:val="0"/>
              <w:jc w:val="center"/>
              <w:rPr>
                <w:rFonts w:asciiTheme="minorHAnsi" w:hAnsiTheme="minorHAnsi"/>
                <w:sz w:val="18"/>
                <w:szCs w:val="18"/>
              </w:rPr>
            </w:pPr>
            <w:r w:rsidRPr="00F12D59">
              <w:rPr>
                <w:sz w:val="18"/>
                <w:szCs w:val="18"/>
              </w:rPr>
              <w:t>54%</w:t>
            </w:r>
          </w:p>
        </w:tc>
        <w:tc>
          <w:tcPr>
            <w:tcW w:w="1355" w:type="dxa"/>
            <w:vAlign w:val="center"/>
          </w:tcPr>
          <w:p w14:paraId="6FAFBB34" w14:textId="77777777" w:rsidR="00374D2C" w:rsidRPr="00841776" w:rsidRDefault="00374D2C" w:rsidP="00512092">
            <w:pPr>
              <w:widowControl w:val="0"/>
              <w:autoSpaceDE w:val="0"/>
              <w:autoSpaceDN w:val="0"/>
              <w:adjustRightInd w:val="0"/>
              <w:jc w:val="center"/>
              <w:rPr>
                <w:rFonts w:asciiTheme="minorHAnsi" w:hAnsiTheme="minorHAnsi"/>
                <w:sz w:val="18"/>
                <w:szCs w:val="18"/>
              </w:rPr>
            </w:pPr>
            <w:r w:rsidRPr="00F12D59">
              <w:rPr>
                <w:sz w:val="18"/>
                <w:szCs w:val="18"/>
              </w:rPr>
              <w:t>1%</w:t>
            </w:r>
          </w:p>
        </w:tc>
      </w:tr>
    </w:tbl>
    <w:p w14:paraId="76764E54" w14:textId="77777777" w:rsidR="00374D2C" w:rsidRDefault="00374D2C" w:rsidP="00D55F3F">
      <w:pPr>
        <w:pStyle w:val="Source"/>
        <w:ind w:left="567"/>
      </w:pPr>
      <w:r>
        <w:t>Source: Deloitte Access Economics</w:t>
      </w:r>
      <w:r w:rsidR="000075ED">
        <w:t xml:space="preserve"> analysis</w:t>
      </w:r>
      <w:r>
        <w:t>.</w:t>
      </w:r>
      <w:r w:rsidR="00F66955">
        <w:t xml:space="preserve"> Note </w:t>
      </w:r>
      <w:r w:rsidR="00B23D97">
        <w:t>the values are university-field of education median</w:t>
      </w:r>
      <w:r w:rsidR="000075ED">
        <w:t xml:space="preserve"> observations</w:t>
      </w:r>
      <w:r w:rsidR="00B23D97">
        <w:t>.</w:t>
      </w:r>
    </w:p>
    <w:p w14:paraId="33A7E18E" w14:textId="6AA28F5A" w:rsidR="00374D2C" w:rsidRDefault="00374D2C" w:rsidP="00374D2C">
      <w:pPr>
        <w:pStyle w:val="BodyText"/>
      </w:pPr>
      <w:r>
        <w:lastRenderedPageBreak/>
        <w:t xml:space="preserve">The </w:t>
      </w:r>
      <w:r w:rsidR="00127C6F">
        <w:t xml:space="preserve">fourth </w:t>
      </w:r>
      <w:r>
        <w:t xml:space="preserve">column </w:t>
      </w:r>
      <w:r w:rsidR="00127C6F">
        <w:t xml:space="preserve">in Table 5.3 </w:t>
      </w:r>
      <w:r>
        <w:t xml:space="preserve">includes some measures of </w:t>
      </w:r>
      <w:r w:rsidR="00995626">
        <w:t>teaching and scholarship</w:t>
      </w:r>
      <w:r>
        <w:t xml:space="preserve"> quality from the Student Expenditure Survey. These variables are not found to be statistically significant, a finding which is consistent with the known limitations of these particular measures. These variables were also not available for all universities, reducing the sample by almost a quarter. For this reason column 3 is the preferred specification for providing indications of reasonable costs in this study. </w:t>
      </w:r>
    </w:p>
    <w:p w14:paraId="4A84D3EF" w14:textId="79624F73" w:rsidR="00374D2C" w:rsidRDefault="00374D2C" w:rsidP="00374D2C">
      <w:pPr>
        <w:pStyle w:val="CaptionTable"/>
        <w:ind w:left="142"/>
      </w:pPr>
      <w:bookmarkStart w:id="281" w:name="_Toc469927397"/>
      <w:r>
        <w:t>: OLS results: Total cost per EFTSL (</w:t>
      </w:r>
      <w:r w:rsidR="009F6F84">
        <w:t>b</w:t>
      </w:r>
      <w:r>
        <w:t>achelor level)</w:t>
      </w:r>
      <w:bookmarkEnd w:id="281"/>
      <w:r>
        <w:t xml:space="preserve"> </w:t>
      </w:r>
    </w:p>
    <w:tbl>
      <w:tblPr>
        <w:tblStyle w:val="TableAE"/>
        <w:tblW w:w="8505" w:type="dxa"/>
        <w:tblLayout w:type="fixed"/>
        <w:tblLook w:val="04A0" w:firstRow="1" w:lastRow="0" w:firstColumn="1" w:lastColumn="0" w:noHBand="0" w:noVBand="1"/>
      </w:tblPr>
      <w:tblGrid>
        <w:gridCol w:w="3401"/>
        <w:gridCol w:w="1247"/>
        <w:gridCol w:w="1247"/>
        <w:gridCol w:w="1247"/>
        <w:gridCol w:w="1363"/>
      </w:tblGrid>
      <w:tr w:rsidR="00374D2C" w14:paraId="34C5AE3B" w14:textId="77777777" w:rsidTr="00512092">
        <w:trPr>
          <w:cnfStyle w:val="100000000000" w:firstRow="1" w:lastRow="0" w:firstColumn="0" w:lastColumn="0" w:oddVBand="0" w:evenVBand="0" w:oddHBand="0" w:evenHBand="0" w:firstRowFirstColumn="0" w:firstRowLastColumn="0" w:lastRowFirstColumn="0" w:lastRowLastColumn="0"/>
          <w:tblHeader/>
        </w:trPr>
        <w:tc>
          <w:tcPr>
            <w:tcW w:w="3401" w:type="dxa"/>
            <w:vAlign w:val="center"/>
          </w:tcPr>
          <w:p w14:paraId="64C35F60" w14:textId="77777777" w:rsidR="00374D2C" w:rsidRDefault="00374D2C" w:rsidP="00512092">
            <w:pPr>
              <w:pStyle w:val="TableHeadingCentre"/>
              <w:jc w:val="left"/>
            </w:pPr>
          </w:p>
        </w:tc>
        <w:tc>
          <w:tcPr>
            <w:tcW w:w="1247" w:type="dxa"/>
          </w:tcPr>
          <w:p w14:paraId="362EC0C4" w14:textId="77777777" w:rsidR="00374D2C" w:rsidRDefault="00374D2C" w:rsidP="00512092">
            <w:pPr>
              <w:pStyle w:val="TableHeadingCentre"/>
              <w:tabs>
                <w:tab w:val="left" w:pos="240"/>
                <w:tab w:val="center" w:pos="611"/>
              </w:tabs>
              <w:rPr>
                <w:sz w:val="20"/>
              </w:rPr>
            </w:pPr>
            <w:r>
              <w:rPr>
                <w:sz w:val="20"/>
              </w:rPr>
              <w:t>Base</w:t>
            </w:r>
          </w:p>
          <w:p w14:paraId="3AA5DF58" w14:textId="77777777" w:rsidR="00374D2C" w:rsidRDefault="00374D2C" w:rsidP="00512092">
            <w:pPr>
              <w:pStyle w:val="TableHeadingCentre"/>
              <w:tabs>
                <w:tab w:val="left" w:pos="240"/>
                <w:tab w:val="center" w:pos="611"/>
              </w:tabs>
              <w:rPr>
                <w:sz w:val="20"/>
              </w:rPr>
            </w:pPr>
          </w:p>
          <w:p w14:paraId="0875F908" w14:textId="77777777" w:rsidR="00374D2C" w:rsidRPr="00C729A5" w:rsidRDefault="00374D2C" w:rsidP="00512092">
            <w:pPr>
              <w:pStyle w:val="TableHeadingCentre"/>
              <w:tabs>
                <w:tab w:val="left" w:pos="240"/>
                <w:tab w:val="center" w:pos="611"/>
              </w:tabs>
              <w:rPr>
                <w:sz w:val="20"/>
              </w:rPr>
            </w:pPr>
            <w:r w:rsidRPr="00C729A5">
              <w:rPr>
                <w:sz w:val="20"/>
              </w:rPr>
              <w:t>(1)</w:t>
            </w:r>
          </w:p>
        </w:tc>
        <w:tc>
          <w:tcPr>
            <w:tcW w:w="1247" w:type="dxa"/>
          </w:tcPr>
          <w:p w14:paraId="30DF5504" w14:textId="77777777" w:rsidR="00374D2C" w:rsidRDefault="00374D2C" w:rsidP="00512092">
            <w:pPr>
              <w:pStyle w:val="TableHeadingCentre"/>
              <w:rPr>
                <w:sz w:val="20"/>
              </w:rPr>
            </w:pPr>
            <w:r>
              <w:rPr>
                <w:sz w:val="20"/>
              </w:rPr>
              <w:t>Add fields</w:t>
            </w:r>
          </w:p>
          <w:p w14:paraId="02CD3B45" w14:textId="77777777" w:rsidR="00374D2C" w:rsidRDefault="00374D2C" w:rsidP="00512092">
            <w:pPr>
              <w:pStyle w:val="TableHeadingCentre"/>
              <w:rPr>
                <w:sz w:val="20"/>
              </w:rPr>
            </w:pPr>
          </w:p>
          <w:p w14:paraId="16677E1E" w14:textId="77777777" w:rsidR="00374D2C" w:rsidRPr="00C729A5" w:rsidRDefault="00374D2C" w:rsidP="00512092">
            <w:pPr>
              <w:pStyle w:val="TableHeadingCentre"/>
              <w:rPr>
                <w:sz w:val="20"/>
              </w:rPr>
            </w:pPr>
            <w:r w:rsidRPr="00C729A5">
              <w:rPr>
                <w:sz w:val="20"/>
              </w:rPr>
              <w:t>(2)</w:t>
            </w:r>
          </w:p>
        </w:tc>
        <w:tc>
          <w:tcPr>
            <w:tcW w:w="1247" w:type="dxa"/>
          </w:tcPr>
          <w:p w14:paraId="1B5DF349" w14:textId="77777777" w:rsidR="00374D2C" w:rsidRDefault="00374D2C" w:rsidP="00512092">
            <w:pPr>
              <w:pStyle w:val="TableHeadingCentre"/>
              <w:rPr>
                <w:sz w:val="20"/>
              </w:rPr>
            </w:pPr>
            <w:r>
              <w:rPr>
                <w:sz w:val="20"/>
              </w:rPr>
              <w:t>Add further controls</w:t>
            </w:r>
          </w:p>
          <w:p w14:paraId="7E4AEC57" w14:textId="77777777" w:rsidR="00374D2C" w:rsidRPr="00C729A5" w:rsidRDefault="00374D2C" w:rsidP="00512092">
            <w:pPr>
              <w:pStyle w:val="TableHeadingCentre"/>
              <w:rPr>
                <w:sz w:val="20"/>
              </w:rPr>
            </w:pPr>
            <w:r w:rsidRPr="00C729A5">
              <w:rPr>
                <w:sz w:val="20"/>
              </w:rPr>
              <w:t>(3)</w:t>
            </w:r>
          </w:p>
        </w:tc>
        <w:tc>
          <w:tcPr>
            <w:tcW w:w="1363" w:type="dxa"/>
          </w:tcPr>
          <w:p w14:paraId="1B59C7FC" w14:textId="77777777" w:rsidR="00374D2C" w:rsidRDefault="00374D2C" w:rsidP="00512092">
            <w:pPr>
              <w:pStyle w:val="TableHeadingCentre"/>
              <w:rPr>
                <w:sz w:val="20"/>
              </w:rPr>
            </w:pPr>
            <w:r>
              <w:rPr>
                <w:sz w:val="20"/>
              </w:rPr>
              <w:t>Add teaching quality</w:t>
            </w:r>
          </w:p>
          <w:p w14:paraId="5E59C41E" w14:textId="77777777" w:rsidR="00374D2C" w:rsidRPr="00C729A5" w:rsidRDefault="00374D2C" w:rsidP="00512092">
            <w:pPr>
              <w:pStyle w:val="TableHeadingCentre"/>
              <w:rPr>
                <w:sz w:val="20"/>
              </w:rPr>
            </w:pPr>
            <w:r w:rsidRPr="00C729A5">
              <w:rPr>
                <w:sz w:val="20"/>
              </w:rPr>
              <w:t>(4)</w:t>
            </w:r>
          </w:p>
        </w:tc>
      </w:tr>
      <w:tr w:rsidR="00374D2C" w14:paraId="78E3DBD1" w14:textId="77777777" w:rsidTr="00512092">
        <w:tc>
          <w:tcPr>
            <w:tcW w:w="3401" w:type="dxa"/>
            <w:vAlign w:val="center"/>
          </w:tcPr>
          <w:p w14:paraId="1EB9E687" w14:textId="77777777" w:rsidR="00374D2C" w:rsidRPr="00C729A5" w:rsidRDefault="00374D2C" w:rsidP="00512092">
            <w:pPr>
              <w:pStyle w:val="TabletextLeft"/>
              <w:spacing w:before="0"/>
              <w:rPr>
                <w:rFonts w:asciiTheme="minorHAnsi" w:hAnsiTheme="minorHAnsi"/>
                <w:sz w:val="18"/>
                <w:szCs w:val="18"/>
              </w:rPr>
            </w:pPr>
            <w:r w:rsidRPr="00C729A5">
              <w:rPr>
                <w:rFonts w:asciiTheme="minorHAnsi" w:hAnsiTheme="minorHAnsi"/>
                <w:sz w:val="18"/>
                <w:szCs w:val="18"/>
              </w:rPr>
              <w:t>Log staff-student ratio (Teaching staff FTE / total EFTSL)</w:t>
            </w:r>
          </w:p>
        </w:tc>
        <w:tc>
          <w:tcPr>
            <w:tcW w:w="1247" w:type="dxa"/>
            <w:vAlign w:val="center"/>
          </w:tcPr>
          <w:p w14:paraId="5CCD7B65" w14:textId="77777777" w:rsidR="00374D2C" w:rsidRPr="008172C7" w:rsidRDefault="00374D2C" w:rsidP="00512092">
            <w:pPr>
              <w:jc w:val="center"/>
              <w:rPr>
                <w:rFonts w:asciiTheme="minorHAnsi" w:hAnsiTheme="minorHAnsi"/>
                <w:color w:val="000000"/>
                <w:sz w:val="18"/>
                <w:szCs w:val="18"/>
                <w:lang w:eastAsia="en-AU"/>
              </w:rPr>
            </w:pPr>
            <w:r>
              <w:rPr>
                <w:color w:val="000000"/>
                <w:sz w:val="18"/>
                <w:szCs w:val="18"/>
              </w:rPr>
              <w:t>0.589***</w:t>
            </w:r>
          </w:p>
        </w:tc>
        <w:tc>
          <w:tcPr>
            <w:tcW w:w="1247" w:type="dxa"/>
            <w:vAlign w:val="center"/>
          </w:tcPr>
          <w:p w14:paraId="5203ADED" w14:textId="77777777" w:rsidR="00374D2C" w:rsidRPr="008172C7" w:rsidRDefault="00374D2C" w:rsidP="00512092">
            <w:pPr>
              <w:jc w:val="center"/>
              <w:rPr>
                <w:rFonts w:asciiTheme="minorHAnsi" w:hAnsiTheme="minorHAnsi"/>
                <w:color w:val="000000"/>
                <w:sz w:val="18"/>
                <w:szCs w:val="18"/>
              </w:rPr>
            </w:pPr>
            <w:r>
              <w:rPr>
                <w:color w:val="000000"/>
                <w:sz w:val="18"/>
                <w:szCs w:val="18"/>
              </w:rPr>
              <w:t>0.474***</w:t>
            </w:r>
          </w:p>
        </w:tc>
        <w:tc>
          <w:tcPr>
            <w:tcW w:w="1247" w:type="dxa"/>
            <w:vAlign w:val="center"/>
          </w:tcPr>
          <w:p w14:paraId="72344DF0" w14:textId="77777777" w:rsidR="00374D2C" w:rsidRPr="008172C7" w:rsidRDefault="00374D2C" w:rsidP="00512092">
            <w:pPr>
              <w:jc w:val="center"/>
              <w:rPr>
                <w:rFonts w:asciiTheme="minorHAnsi" w:hAnsiTheme="minorHAnsi"/>
                <w:color w:val="000000"/>
                <w:sz w:val="18"/>
                <w:szCs w:val="18"/>
              </w:rPr>
            </w:pPr>
            <w:r>
              <w:rPr>
                <w:color w:val="000000"/>
                <w:sz w:val="18"/>
                <w:szCs w:val="18"/>
              </w:rPr>
              <w:t>0.416***</w:t>
            </w:r>
          </w:p>
        </w:tc>
        <w:tc>
          <w:tcPr>
            <w:tcW w:w="1363" w:type="dxa"/>
            <w:vAlign w:val="center"/>
          </w:tcPr>
          <w:p w14:paraId="5B9EDF28" w14:textId="77777777" w:rsidR="00374D2C" w:rsidRPr="008172C7" w:rsidRDefault="00374D2C" w:rsidP="00512092">
            <w:pPr>
              <w:jc w:val="center"/>
              <w:rPr>
                <w:rFonts w:asciiTheme="minorHAnsi" w:hAnsiTheme="minorHAnsi"/>
                <w:color w:val="000000"/>
                <w:sz w:val="18"/>
                <w:szCs w:val="18"/>
              </w:rPr>
            </w:pPr>
            <w:r>
              <w:rPr>
                <w:color w:val="000000"/>
                <w:sz w:val="18"/>
                <w:szCs w:val="18"/>
              </w:rPr>
              <w:t>0.335***</w:t>
            </w:r>
          </w:p>
        </w:tc>
      </w:tr>
      <w:tr w:rsidR="00374D2C" w14:paraId="2B282574" w14:textId="77777777" w:rsidTr="00512092">
        <w:tc>
          <w:tcPr>
            <w:tcW w:w="3401" w:type="dxa"/>
            <w:vAlign w:val="center"/>
          </w:tcPr>
          <w:p w14:paraId="5874DC68" w14:textId="77777777" w:rsidR="00374D2C" w:rsidRPr="00C729A5" w:rsidRDefault="00374D2C" w:rsidP="00512092">
            <w:pPr>
              <w:pStyle w:val="TabletextLeft"/>
              <w:spacing w:before="0"/>
              <w:rPr>
                <w:rFonts w:asciiTheme="minorHAnsi" w:hAnsiTheme="minorHAnsi"/>
                <w:sz w:val="18"/>
                <w:szCs w:val="18"/>
              </w:rPr>
            </w:pPr>
            <w:r w:rsidRPr="00C729A5">
              <w:rPr>
                <w:rFonts w:asciiTheme="minorHAnsi" w:hAnsiTheme="minorHAnsi"/>
                <w:sz w:val="18"/>
                <w:szCs w:val="18"/>
              </w:rPr>
              <w:t>Log Total EFTSL</w:t>
            </w:r>
            <w:r>
              <w:rPr>
                <w:rFonts w:asciiTheme="minorHAnsi" w:hAnsiTheme="minorHAnsi"/>
                <w:sz w:val="18"/>
                <w:szCs w:val="18"/>
              </w:rPr>
              <w:t xml:space="preserve"> (by field)</w:t>
            </w:r>
          </w:p>
        </w:tc>
        <w:tc>
          <w:tcPr>
            <w:tcW w:w="1247" w:type="dxa"/>
            <w:vAlign w:val="center"/>
          </w:tcPr>
          <w:p w14:paraId="163868CF" w14:textId="77777777" w:rsidR="00374D2C" w:rsidRPr="008172C7" w:rsidRDefault="00374D2C" w:rsidP="00512092">
            <w:pPr>
              <w:jc w:val="center"/>
              <w:rPr>
                <w:rFonts w:asciiTheme="minorHAnsi" w:hAnsiTheme="minorHAnsi"/>
                <w:color w:val="000000"/>
                <w:sz w:val="18"/>
                <w:szCs w:val="18"/>
              </w:rPr>
            </w:pPr>
            <w:r>
              <w:rPr>
                <w:color w:val="000000"/>
                <w:sz w:val="18"/>
                <w:szCs w:val="18"/>
              </w:rPr>
              <w:t>-0.0239**</w:t>
            </w:r>
          </w:p>
        </w:tc>
        <w:tc>
          <w:tcPr>
            <w:tcW w:w="1247" w:type="dxa"/>
            <w:vAlign w:val="center"/>
          </w:tcPr>
          <w:p w14:paraId="0D199DAD" w14:textId="77777777" w:rsidR="00374D2C" w:rsidRPr="008172C7" w:rsidRDefault="00374D2C" w:rsidP="00512092">
            <w:pPr>
              <w:jc w:val="center"/>
              <w:rPr>
                <w:rFonts w:asciiTheme="minorHAnsi" w:hAnsiTheme="minorHAnsi"/>
                <w:color w:val="000000"/>
                <w:sz w:val="18"/>
                <w:szCs w:val="18"/>
              </w:rPr>
            </w:pPr>
            <w:r>
              <w:rPr>
                <w:color w:val="000000"/>
                <w:sz w:val="18"/>
                <w:szCs w:val="18"/>
              </w:rPr>
              <w:t>0.00155</w:t>
            </w:r>
          </w:p>
        </w:tc>
        <w:tc>
          <w:tcPr>
            <w:tcW w:w="1247" w:type="dxa"/>
            <w:vAlign w:val="center"/>
          </w:tcPr>
          <w:p w14:paraId="2AC2AC79" w14:textId="77777777" w:rsidR="00374D2C" w:rsidRPr="008172C7" w:rsidRDefault="00374D2C" w:rsidP="00512092">
            <w:pPr>
              <w:jc w:val="center"/>
              <w:rPr>
                <w:rFonts w:asciiTheme="minorHAnsi" w:hAnsiTheme="minorHAnsi"/>
                <w:color w:val="000000"/>
                <w:sz w:val="18"/>
                <w:szCs w:val="18"/>
              </w:rPr>
            </w:pPr>
            <w:r>
              <w:rPr>
                <w:color w:val="000000"/>
                <w:sz w:val="18"/>
                <w:szCs w:val="18"/>
              </w:rPr>
              <w:t>0.0223</w:t>
            </w:r>
          </w:p>
        </w:tc>
        <w:tc>
          <w:tcPr>
            <w:tcW w:w="1363" w:type="dxa"/>
            <w:vAlign w:val="center"/>
          </w:tcPr>
          <w:p w14:paraId="095F6165" w14:textId="77777777" w:rsidR="00374D2C" w:rsidRPr="008172C7" w:rsidRDefault="00374D2C" w:rsidP="00512092">
            <w:pPr>
              <w:jc w:val="center"/>
              <w:rPr>
                <w:rFonts w:asciiTheme="minorHAnsi" w:hAnsiTheme="minorHAnsi"/>
                <w:color w:val="000000"/>
                <w:sz w:val="18"/>
                <w:szCs w:val="18"/>
              </w:rPr>
            </w:pPr>
            <w:r>
              <w:rPr>
                <w:color w:val="000000"/>
                <w:sz w:val="18"/>
                <w:szCs w:val="18"/>
              </w:rPr>
              <w:t>-0.0239</w:t>
            </w:r>
          </w:p>
        </w:tc>
      </w:tr>
      <w:tr w:rsidR="00374D2C" w14:paraId="7B70DD00" w14:textId="77777777" w:rsidTr="00512092">
        <w:tc>
          <w:tcPr>
            <w:tcW w:w="3401" w:type="dxa"/>
            <w:vAlign w:val="center"/>
          </w:tcPr>
          <w:p w14:paraId="3E318ABD" w14:textId="77777777" w:rsidR="00374D2C" w:rsidRPr="00C729A5" w:rsidRDefault="00374D2C" w:rsidP="00512092">
            <w:pPr>
              <w:pStyle w:val="TabletextLeft"/>
              <w:spacing w:before="0"/>
              <w:rPr>
                <w:rFonts w:asciiTheme="minorHAnsi" w:hAnsiTheme="minorHAnsi"/>
                <w:sz w:val="18"/>
                <w:szCs w:val="18"/>
              </w:rPr>
            </w:pPr>
            <w:r w:rsidRPr="00C729A5">
              <w:rPr>
                <w:rFonts w:asciiTheme="minorHAnsi" w:hAnsiTheme="minorHAnsi"/>
                <w:sz w:val="18"/>
                <w:szCs w:val="18"/>
              </w:rPr>
              <w:t>Indicator for</w:t>
            </w:r>
            <w:r>
              <w:rPr>
                <w:rFonts w:asciiTheme="minorHAnsi" w:hAnsiTheme="minorHAnsi"/>
                <w:sz w:val="18"/>
                <w:szCs w:val="18"/>
              </w:rPr>
              <w:t xml:space="preserve"> HDR EFTSL</w:t>
            </w:r>
          </w:p>
        </w:tc>
        <w:tc>
          <w:tcPr>
            <w:tcW w:w="1247" w:type="dxa"/>
            <w:vAlign w:val="center"/>
          </w:tcPr>
          <w:p w14:paraId="0DA445F6" w14:textId="77777777" w:rsidR="00374D2C" w:rsidRPr="008172C7" w:rsidRDefault="00374D2C" w:rsidP="00512092">
            <w:pPr>
              <w:jc w:val="center"/>
              <w:rPr>
                <w:rFonts w:asciiTheme="minorHAnsi" w:hAnsiTheme="minorHAnsi"/>
                <w:color w:val="000000"/>
                <w:sz w:val="18"/>
                <w:szCs w:val="18"/>
              </w:rPr>
            </w:pPr>
            <w:r>
              <w:rPr>
                <w:color w:val="000000"/>
                <w:sz w:val="18"/>
                <w:szCs w:val="18"/>
              </w:rPr>
              <w:t>-0.0426</w:t>
            </w:r>
          </w:p>
        </w:tc>
        <w:tc>
          <w:tcPr>
            <w:tcW w:w="1247" w:type="dxa"/>
            <w:vAlign w:val="center"/>
          </w:tcPr>
          <w:p w14:paraId="721CA4EA" w14:textId="77777777" w:rsidR="00374D2C" w:rsidRPr="008172C7" w:rsidRDefault="00374D2C" w:rsidP="00512092">
            <w:pPr>
              <w:jc w:val="center"/>
              <w:rPr>
                <w:rFonts w:asciiTheme="minorHAnsi" w:hAnsiTheme="minorHAnsi"/>
                <w:color w:val="000000"/>
                <w:sz w:val="18"/>
                <w:szCs w:val="18"/>
              </w:rPr>
            </w:pPr>
            <w:r>
              <w:rPr>
                <w:color w:val="000000"/>
                <w:sz w:val="18"/>
                <w:szCs w:val="18"/>
              </w:rPr>
              <w:t>-0.0399</w:t>
            </w:r>
          </w:p>
        </w:tc>
        <w:tc>
          <w:tcPr>
            <w:tcW w:w="1247" w:type="dxa"/>
            <w:vAlign w:val="center"/>
          </w:tcPr>
          <w:p w14:paraId="4FEF87D6" w14:textId="77777777" w:rsidR="00374D2C" w:rsidRPr="008172C7" w:rsidRDefault="00374D2C" w:rsidP="00512092">
            <w:pPr>
              <w:jc w:val="center"/>
              <w:rPr>
                <w:rFonts w:asciiTheme="minorHAnsi" w:hAnsiTheme="minorHAnsi"/>
                <w:color w:val="000000"/>
                <w:sz w:val="18"/>
                <w:szCs w:val="18"/>
              </w:rPr>
            </w:pPr>
            <w:r>
              <w:rPr>
                <w:color w:val="000000"/>
                <w:sz w:val="18"/>
                <w:szCs w:val="18"/>
              </w:rPr>
              <w:t>-0.0613</w:t>
            </w:r>
          </w:p>
        </w:tc>
        <w:tc>
          <w:tcPr>
            <w:tcW w:w="1363" w:type="dxa"/>
            <w:vAlign w:val="center"/>
          </w:tcPr>
          <w:p w14:paraId="333B0D10" w14:textId="77777777" w:rsidR="00374D2C" w:rsidRPr="008172C7" w:rsidRDefault="00374D2C" w:rsidP="00512092">
            <w:pPr>
              <w:jc w:val="center"/>
              <w:rPr>
                <w:rFonts w:asciiTheme="minorHAnsi" w:hAnsiTheme="minorHAnsi"/>
                <w:color w:val="000000"/>
                <w:sz w:val="18"/>
                <w:szCs w:val="18"/>
              </w:rPr>
            </w:pPr>
            <w:r>
              <w:rPr>
                <w:color w:val="000000"/>
                <w:sz w:val="18"/>
                <w:szCs w:val="18"/>
              </w:rPr>
              <w:t>-0.202*</w:t>
            </w:r>
          </w:p>
        </w:tc>
      </w:tr>
      <w:tr w:rsidR="00374D2C" w14:paraId="645DDEED" w14:textId="77777777" w:rsidTr="00512092">
        <w:tc>
          <w:tcPr>
            <w:tcW w:w="3401" w:type="dxa"/>
            <w:vAlign w:val="center"/>
          </w:tcPr>
          <w:p w14:paraId="33DB4010" w14:textId="77777777" w:rsidR="00374D2C" w:rsidRPr="00C729A5" w:rsidRDefault="00374D2C" w:rsidP="00512092">
            <w:pPr>
              <w:pStyle w:val="TabletextLeft"/>
              <w:spacing w:before="0"/>
              <w:rPr>
                <w:rFonts w:asciiTheme="minorHAnsi" w:hAnsiTheme="minorHAnsi"/>
                <w:sz w:val="18"/>
                <w:szCs w:val="18"/>
              </w:rPr>
            </w:pPr>
            <w:r>
              <w:rPr>
                <w:rFonts w:asciiTheme="minorHAnsi" w:hAnsiTheme="minorHAnsi"/>
                <w:sz w:val="18"/>
                <w:szCs w:val="18"/>
              </w:rPr>
              <w:t xml:space="preserve">Proportion of HDR EFTSL to total field EFTSL </w:t>
            </w:r>
            <w:r w:rsidRPr="00C729A5">
              <w:rPr>
                <w:rFonts w:asciiTheme="minorHAnsi" w:hAnsiTheme="minorHAnsi"/>
                <w:sz w:val="18"/>
                <w:szCs w:val="18"/>
              </w:rPr>
              <w:t>(</w:t>
            </w:r>
            <w:r>
              <w:rPr>
                <w:rFonts w:asciiTheme="minorHAnsi" w:hAnsiTheme="minorHAnsi"/>
                <w:sz w:val="18"/>
                <w:szCs w:val="18"/>
              </w:rPr>
              <w:t>university level</w:t>
            </w:r>
            <w:r w:rsidRPr="00C729A5">
              <w:rPr>
                <w:rFonts w:asciiTheme="minorHAnsi" w:hAnsiTheme="minorHAnsi"/>
                <w:sz w:val="18"/>
                <w:szCs w:val="18"/>
              </w:rPr>
              <w:t>)</w:t>
            </w:r>
          </w:p>
        </w:tc>
        <w:tc>
          <w:tcPr>
            <w:tcW w:w="1247" w:type="dxa"/>
            <w:vAlign w:val="center"/>
          </w:tcPr>
          <w:p w14:paraId="7D357169" w14:textId="77777777" w:rsidR="00374D2C" w:rsidRPr="008172C7" w:rsidRDefault="00374D2C" w:rsidP="00512092">
            <w:pPr>
              <w:jc w:val="center"/>
              <w:rPr>
                <w:rFonts w:asciiTheme="minorHAnsi" w:hAnsiTheme="minorHAnsi"/>
                <w:color w:val="000000"/>
                <w:sz w:val="18"/>
                <w:szCs w:val="18"/>
              </w:rPr>
            </w:pPr>
            <w:r>
              <w:rPr>
                <w:color w:val="000000"/>
                <w:sz w:val="18"/>
                <w:szCs w:val="18"/>
              </w:rPr>
              <w:t>0.721**</w:t>
            </w:r>
          </w:p>
        </w:tc>
        <w:tc>
          <w:tcPr>
            <w:tcW w:w="1247" w:type="dxa"/>
            <w:vAlign w:val="center"/>
          </w:tcPr>
          <w:p w14:paraId="064CD3EA" w14:textId="77777777" w:rsidR="00374D2C" w:rsidRPr="008172C7" w:rsidRDefault="00374D2C" w:rsidP="00512092">
            <w:pPr>
              <w:jc w:val="center"/>
              <w:rPr>
                <w:rFonts w:asciiTheme="minorHAnsi" w:hAnsiTheme="minorHAnsi"/>
                <w:color w:val="000000"/>
                <w:sz w:val="18"/>
                <w:szCs w:val="18"/>
              </w:rPr>
            </w:pPr>
            <w:r>
              <w:rPr>
                <w:color w:val="000000"/>
                <w:sz w:val="18"/>
                <w:szCs w:val="18"/>
              </w:rPr>
              <w:t>-0.0609</w:t>
            </w:r>
          </w:p>
        </w:tc>
        <w:tc>
          <w:tcPr>
            <w:tcW w:w="1247" w:type="dxa"/>
            <w:vAlign w:val="center"/>
          </w:tcPr>
          <w:p w14:paraId="4C6A7AC5" w14:textId="77777777" w:rsidR="00374D2C" w:rsidRPr="008172C7" w:rsidRDefault="00374D2C" w:rsidP="00512092">
            <w:pPr>
              <w:jc w:val="center"/>
              <w:rPr>
                <w:rFonts w:asciiTheme="minorHAnsi" w:hAnsiTheme="minorHAnsi"/>
                <w:color w:val="000000"/>
                <w:sz w:val="18"/>
                <w:szCs w:val="18"/>
              </w:rPr>
            </w:pPr>
            <w:r>
              <w:rPr>
                <w:color w:val="000000"/>
                <w:sz w:val="18"/>
                <w:szCs w:val="18"/>
              </w:rPr>
              <w:t>-0.152</w:t>
            </w:r>
          </w:p>
        </w:tc>
        <w:tc>
          <w:tcPr>
            <w:tcW w:w="1363" w:type="dxa"/>
            <w:vAlign w:val="center"/>
          </w:tcPr>
          <w:p w14:paraId="2BF4AB56" w14:textId="77777777" w:rsidR="00374D2C" w:rsidRPr="008172C7" w:rsidRDefault="00374D2C" w:rsidP="00512092">
            <w:pPr>
              <w:jc w:val="center"/>
              <w:rPr>
                <w:rFonts w:asciiTheme="minorHAnsi" w:hAnsiTheme="minorHAnsi"/>
                <w:color w:val="000000"/>
                <w:sz w:val="18"/>
                <w:szCs w:val="18"/>
              </w:rPr>
            </w:pPr>
            <w:r>
              <w:rPr>
                <w:color w:val="000000"/>
                <w:sz w:val="18"/>
                <w:szCs w:val="18"/>
              </w:rPr>
              <w:t>-0.478</w:t>
            </w:r>
          </w:p>
        </w:tc>
      </w:tr>
      <w:tr w:rsidR="00374D2C" w14:paraId="489E670B" w14:textId="77777777" w:rsidTr="00512092">
        <w:tc>
          <w:tcPr>
            <w:tcW w:w="3401" w:type="dxa"/>
            <w:vAlign w:val="center"/>
          </w:tcPr>
          <w:p w14:paraId="003E1E64" w14:textId="77777777" w:rsidR="00374D2C" w:rsidRPr="00C729A5" w:rsidRDefault="00374D2C" w:rsidP="00512092">
            <w:pPr>
              <w:pStyle w:val="TabletextLeft"/>
              <w:spacing w:before="0"/>
              <w:rPr>
                <w:rFonts w:asciiTheme="minorHAnsi" w:hAnsiTheme="minorHAnsi"/>
                <w:sz w:val="18"/>
                <w:szCs w:val="18"/>
              </w:rPr>
            </w:pPr>
            <w:r w:rsidRPr="00C729A5">
              <w:rPr>
                <w:rFonts w:asciiTheme="minorHAnsi" w:hAnsiTheme="minorHAnsi"/>
                <w:sz w:val="18"/>
                <w:szCs w:val="18"/>
              </w:rPr>
              <w:t>Proportion of international EFTSL</w:t>
            </w:r>
          </w:p>
        </w:tc>
        <w:tc>
          <w:tcPr>
            <w:tcW w:w="1247" w:type="dxa"/>
            <w:vAlign w:val="center"/>
          </w:tcPr>
          <w:p w14:paraId="6A209234" w14:textId="77777777" w:rsidR="00374D2C" w:rsidRPr="008172C7" w:rsidRDefault="00374D2C" w:rsidP="00512092">
            <w:pPr>
              <w:jc w:val="center"/>
              <w:rPr>
                <w:rFonts w:asciiTheme="minorHAnsi" w:hAnsiTheme="minorHAnsi"/>
                <w:color w:val="000000"/>
                <w:sz w:val="18"/>
                <w:szCs w:val="18"/>
              </w:rPr>
            </w:pPr>
          </w:p>
        </w:tc>
        <w:tc>
          <w:tcPr>
            <w:tcW w:w="1247" w:type="dxa"/>
            <w:vAlign w:val="center"/>
          </w:tcPr>
          <w:p w14:paraId="7E95D7B7" w14:textId="77777777" w:rsidR="00374D2C" w:rsidRPr="008172C7" w:rsidRDefault="00374D2C" w:rsidP="00512092">
            <w:pPr>
              <w:jc w:val="center"/>
              <w:rPr>
                <w:rFonts w:asciiTheme="minorHAnsi" w:hAnsiTheme="minorHAnsi"/>
                <w:sz w:val="18"/>
                <w:szCs w:val="18"/>
              </w:rPr>
            </w:pPr>
          </w:p>
        </w:tc>
        <w:tc>
          <w:tcPr>
            <w:tcW w:w="1247" w:type="dxa"/>
            <w:vAlign w:val="center"/>
          </w:tcPr>
          <w:p w14:paraId="55817540" w14:textId="77777777" w:rsidR="00374D2C" w:rsidRPr="008172C7" w:rsidRDefault="00374D2C" w:rsidP="00512092">
            <w:pPr>
              <w:jc w:val="center"/>
              <w:rPr>
                <w:rFonts w:asciiTheme="minorHAnsi" w:hAnsiTheme="minorHAnsi"/>
                <w:color w:val="000000"/>
                <w:sz w:val="18"/>
                <w:szCs w:val="18"/>
              </w:rPr>
            </w:pPr>
            <w:r>
              <w:rPr>
                <w:color w:val="000000"/>
                <w:sz w:val="18"/>
                <w:szCs w:val="18"/>
              </w:rPr>
              <w:t>0.284</w:t>
            </w:r>
          </w:p>
        </w:tc>
        <w:tc>
          <w:tcPr>
            <w:tcW w:w="1363" w:type="dxa"/>
            <w:vAlign w:val="center"/>
          </w:tcPr>
          <w:p w14:paraId="627BF622" w14:textId="77777777" w:rsidR="00374D2C" w:rsidRPr="008172C7" w:rsidRDefault="00374D2C" w:rsidP="00512092">
            <w:pPr>
              <w:jc w:val="center"/>
              <w:rPr>
                <w:rFonts w:asciiTheme="minorHAnsi" w:hAnsiTheme="minorHAnsi"/>
                <w:color w:val="000000"/>
                <w:sz w:val="18"/>
                <w:szCs w:val="18"/>
              </w:rPr>
            </w:pPr>
            <w:r>
              <w:rPr>
                <w:color w:val="000000"/>
                <w:sz w:val="18"/>
                <w:szCs w:val="18"/>
              </w:rPr>
              <w:t>0.255</w:t>
            </w:r>
          </w:p>
        </w:tc>
      </w:tr>
      <w:tr w:rsidR="00374D2C" w14:paraId="44373C8C" w14:textId="77777777" w:rsidTr="00512092">
        <w:tc>
          <w:tcPr>
            <w:tcW w:w="3401" w:type="dxa"/>
            <w:vAlign w:val="center"/>
          </w:tcPr>
          <w:p w14:paraId="7FE3F206" w14:textId="77777777" w:rsidR="00374D2C" w:rsidRPr="00C729A5" w:rsidRDefault="00374D2C" w:rsidP="00512092">
            <w:pPr>
              <w:pStyle w:val="TabletextLeft"/>
              <w:spacing w:before="0"/>
              <w:rPr>
                <w:rFonts w:asciiTheme="minorHAnsi" w:hAnsiTheme="minorHAnsi"/>
                <w:sz w:val="18"/>
                <w:szCs w:val="18"/>
              </w:rPr>
            </w:pPr>
            <w:r w:rsidRPr="00C729A5">
              <w:rPr>
                <w:rFonts w:asciiTheme="minorHAnsi" w:hAnsiTheme="minorHAnsi"/>
                <w:sz w:val="18"/>
                <w:szCs w:val="18"/>
              </w:rPr>
              <w:t>Proportion of regional EFTSL</w:t>
            </w:r>
          </w:p>
        </w:tc>
        <w:tc>
          <w:tcPr>
            <w:tcW w:w="1247" w:type="dxa"/>
            <w:vAlign w:val="center"/>
          </w:tcPr>
          <w:p w14:paraId="66C8D8FF" w14:textId="77777777" w:rsidR="00374D2C" w:rsidRPr="008172C7" w:rsidRDefault="00374D2C" w:rsidP="00512092">
            <w:pPr>
              <w:jc w:val="center"/>
              <w:rPr>
                <w:rFonts w:asciiTheme="minorHAnsi" w:hAnsiTheme="minorHAnsi"/>
                <w:color w:val="000000"/>
                <w:sz w:val="18"/>
                <w:szCs w:val="18"/>
              </w:rPr>
            </w:pPr>
          </w:p>
        </w:tc>
        <w:tc>
          <w:tcPr>
            <w:tcW w:w="1247" w:type="dxa"/>
            <w:vAlign w:val="center"/>
          </w:tcPr>
          <w:p w14:paraId="4239A28D" w14:textId="77777777" w:rsidR="00374D2C" w:rsidRPr="008172C7" w:rsidRDefault="00374D2C" w:rsidP="00512092">
            <w:pPr>
              <w:jc w:val="center"/>
              <w:rPr>
                <w:rFonts w:asciiTheme="minorHAnsi" w:hAnsiTheme="minorHAnsi"/>
                <w:sz w:val="18"/>
                <w:szCs w:val="18"/>
              </w:rPr>
            </w:pPr>
          </w:p>
        </w:tc>
        <w:tc>
          <w:tcPr>
            <w:tcW w:w="1247" w:type="dxa"/>
            <w:vAlign w:val="center"/>
          </w:tcPr>
          <w:p w14:paraId="381DD4FD" w14:textId="77777777" w:rsidR="00374D2C" w:rsidRPr="008172C7" w:rsidRDefault="00374D2C" w:rsidP="00512092">
            <w:pPr>
              <w:jc w:val="center"/>
              <w:rPr>
                <w:rFonts w:asciiTheme="minorHAnsi" w:hAnsiTheme="minorHAnsi"/>
                <w:color w:val="000000"/>
                <w:sz w:val="18"/>
                <w:szCs w:val="18"/>
              </w:rPr>
            </w:pPr>
            <w:r>
              <w:rPr>
                <w:color w:val="000000"/>
                <w:sz w:val="18"/>
                <w:szCs w:val="18"/>
              </w:rPr>
              <w:t>0.165**</w:t>
            </w:r>
          </w:p>
        </w:tc>
        <w:tc>
          <w:tcPr>
            <w:tcW w:w="1363" w:type="dxa"/>
            <w:vAlign w:val="center"/>
          </w:tcPr>
          <w:p w14:paraId="6B80B89D" w14:textId="77777777" w:rsidR="00374D2C" w:rsidRPr="008172C7" w:rsidRDefault="00374D2C" w:rsidP="00512092">
            <w:pPr>
              <w:jc w:val="center"/>
              <w:rPr>
                <w:rFonts w:asciiTheme="minorHAnsi" w:hAnsiTheme="minorHAnsi"/>
                <w:color w:val="000000"/>
                <w:sz w:val="18"/>
                <w:szCs w:val="18"/>
              </w:rPr>
            </w:pPr>
            <w:r>
              <w:rPr>
                <w:color w:val="000000"/>
                <w:sz w:val="18"/>
                <w:szCs w:val="18"/>
              </w:rPr>
              <w:t>0.114</w:t>
            </w:r>
          </w:p>
        </w:tc>
      </w:tr>
      <w:tr w:rsidR="00374D2C" w14:paraId="4EC65DB0" w14:textId="77777777" w:rsidTr="00512092">
        <w:tc>
          <w:tcPr>
            <w:tcW w:w="3401" w:type="dxa"/>
            <w:vAlign w:val="center"/>
          </w:tcPr>
          <w:p w14:paraId="161A94B6" w14:textId="77777777" w:rsidR="00374D2C" w:rsidRPr="00C729A5" w:rsidRDefault="00374D2C" w:rsidP="00512092">
            <w:pPr>
              <w:pStyle w:val="TabletextLeft"/>
              <w:spacing w:before="0"/>
              <w:rPr>
                <w:rFonts w:asciiTheme="minorHAnsi" w:hAnsiTheme="minorHAnsi"/>
                <w:sz w:val="18"/>
                <w:szCs w:val="18"/>
              </w:rPr>
            </w:pPr>
            <w:r w:rsidRPr="00C729A5">
              <w:rPr>
                <w:rFonts w:asciiTheme="minorHAnsi" w:hAnsiTheme="minorHAnsi"/>
                <w:sz w:val="18"/>
                <w:szCs w:val="18"/>
              </w:rPr>
              <w:t xml:space="preserve">Proportion of casual teaching staff </w:t>
            </w:r>
          </w:p>
        </w:tc>
        <w:tc>
          <w:tcPr>
            <w:tcW w:w="1247" w:type="dxa"/>
            <w:vAlign w:val="center"/>
          </w:tcPr>
          <w:p w14:paraId="14C7D965" w14:textId="77777777" w:rsidR="00374D2C" w:rsidRPr="008172C7" w:rsidRDefault="00374D2C" w:rsidP="00512092">
            <w:pPr>
              <w:jc w:val="center"/>
              <w:rPr>
                <w:rFonts w:asciiTheme="minorHAnsi" w:hAnsiTheme="minorHAnsi"/>
                <w:color w:val="000000"/>
                <w:sz w:val="18"/>
                <w:szCs w:val="18"/>
              </w:rPr>
            </w:pPr>
          </w:p>
        </w:tc>
        <w:tc>
          <w:tcPr>
            <w:tcW w:w="1247" w:type="dxa"/>
            <w:vAlign w:val="center"/>
          </w:tcPr>
          <w:p w14:paraId="51EBB1E9" w14:textId="77777777" w:rsidR="00374D2C" w:rsidRPr="008172C7" w:rsidRDefault="00374D2C" w:rsidP="00512092">
            <w:pPr>
              <w:jc w:val="center"/>
              <w:rPr>
                <w:rFonts w:asciiTheme="minorHAnsi" w:hAnsiTheme="minorHAnsi"/>
                <w:sz w:val="18"/>
                <w:szCs w:val="18"/>
              </w:rPr>
            </w:pPr>
          </w:p>
        </w:tc>
        <w:tc>
          <w:tcPr>
            <w:tcW w:w="1247" w:type="dxa"/>
            <w:vAlign w:val="center"/>
          </w:tcPr>
          <w:p w14:paraId="5A1516A7" w14:textId="77777777" w:rsidR="00374D2C" w:rsidRPr="008172C7" w:rsidRDefault="00374D2C" w:rsidP="00512092">
            <w:pPr>
              <w:jc w:val="center"/>
              <w:rPr>
                <w:rFonts w:asciiTheme="minorHAnsi" w:hAnsiTheme="minorHAnsi"/>
                <w:color w:val="000000"/>
                <w:sz w:val="18"/>
                <w:szCs w:val="18"/>
              </w:rPr>
            </w:pPr>
            <w:r>
              <w:rPr>
                <w:color w:val="000000"/>
                <w:sz w:val="18"/>
                <w:szCs w:val="18"/>
              </w:rPr>
              <w:t>-0.191**</w:t>
            </w:r>
          </w:p>
        </w:tc>
        <w:tc>
          <w:tcPr>
            <w:tcW w:w="1363" w:type="dxa"/>
            <w:vAlign w:val="center"/>
          </w:tcPr>
          <w:p w14:paraId="7612EACB" w14:textId="77777777" w:rsidR="00374D2C" w:rsidRPr="008172C7" w:rsidRDefault="00374D2C" w:rsidP="00512092">
            <w:pPr>
              <w:jc w:val="center"/>
              <w:rPr>
                <w:rFonts w:asciiTheme="minorHAnsi" w:hAnsiTheme="minorHAnsi"/>
                <w:color w:val="000000"/>
                <w:sz w:val="18"/>
                <w:szCs w:val="18"/>
              </w:rPr>
            </w:pPr>
            <w:r>
              <w:rPr>
                <w:color w:val="000000"/>
                <w:sz w:val="18"/>
                <w:szCs w:val="18"/>
              </w:rPr>
              <w:t>-0.202*</w:t>
            </w:r>
          </w:p>
        </w:tc>
      </w:tr>
      <w:tr w:rsidR="00374D2C" w14:paraId="04472309" w14:textId="77777777" w:rsidTr="00512092">
        <w:tc>
          <w:tcPr>
            <w:tcW w:w="3401" w:type="dxa"/>
            <w:vAlign w:val="center"/>
          </w:tcPr>
          <w:p w14:paraId="2B05112A" w14:textId="77777777" w:rsidR="00374D2C" w:rsidRPr="00C729A5" w:rsidRDefault="00374D2C" w:rsidP="00512092">
            <w:pPr>
              <w:pStyle w:val="TabletextLeft"/>
              <w:spacing w:before="0"/>
              <w:rPr>
                <w:rFonts w:asciiTheme="minorHAnsi" w:hAnsiTheme="minorHAnsi"/>
                <w:sz w:val="18"/>
                <w:szCs w:val="18"/>
              </w:rPr>
            </w:pPr>
            <w:r w:rsidRPr="00C729A5">
              <w:rPr>
                <w:rFonts w:asciiTheme="minorHAnsi" w:hAnsiTheme="minorHAnsi"/>
                <w:sz w:val="18"/>
                <w:szCs w:val="18"/>
              </w:rPr>
              <w:t>Proportion of external (including multimodal) EFTSL</w:t>
            </w:r>
          </w:p>
        </w:tc>
        <w:tc>
          <w:tcPr>
            <w:tcW w:w="1247" w:type="dxa"/>
            <w:vAlign w:val="center"/>
          </w:tcPr>
          <w:p w14:paraId="7C704522" w14:textId="77777777" w:rsidR="00374D2C" w:rsidRPr="008172C7" w:rsidRDefault="00374D2C" w:rsidP="00512092">
            <w:pPr>
              <w:jc w:val="center"/>
              <w:rPr>
                <w:rFonts w:asciiTheme="minorHAnsi" w:hAnsiTheme="minorHAnsi"/>
                <w:color w:val="000000"/>
                <w:sz w:val="18"/>
                <w:szCs w:val="18"/>
              </w:rPr>
            </w:pPr>
          </w:p>
        </w:tc>
        <w:tc>
          <w:tcPr>
            <w:tcW w:w="1247" w:type="dxa"/>
            <w:vAlign w:val="center"/>
          </w:tcPr>
          <w:p w14:paraId="7A191120" w14:textId="77777777" w:rsidR="00374D2C" w:rsidRPr="008172C7" w:rsidRDefault="00374D2C" w:rsidP="00512092">
            <w:pPr>
              <w:jc w:val="center"/>
              <w:rPr>
                <w:rFonts w:asciiTheme="minorHAnsi" w:hAnsiTheme="minorHAnsi"/>
                <w:sz w:val="18"/>
                <w:szCs w:val="18"/>
              </w:rPr>
            </w:pPr>
          </w:p>
        </w:tc>
        <w:tc>
          <w:tcPr>
            <w:tcW w:w="1247" w:type="dxa"/>
            <w:vAlign w:val="center"/>
          </w:tcPr>
          <w:p w14:paraId="2EB2E87F" w14:textId="77777777" w:rsidR="00374D2C" w:rsidRPr="008172C7" w:rsidRDefault="00374D2C" w:rsidP="00512092">
            <w:pPr>
              <w:jc w:val="center"/>
              <w:rPr>
                <w:rFonts w:asciiTheme="minorHAnsi" w:hAnsiTheme="minorHAnsi"/>
                <w:color w:val="000000"/>
                <w:sz w:val="18"/>
                <w:szCs w:val="18"/>
              </w:rPr>
            </w:pPr>
            <w:r>
              <w:rPr>
                <w:color w:val="000000"/>
                <w:sz w:val="18"/>
                <w:szCs w:val="18"/>
              </w:rPr>
              <w:t>-0.149</w:t>
            </w:r>
          </w:p>
        </w:tc>
        <w:tc>
          <w:tcPr>
            <w:tcW w:w="1363" w:type="dxa"/>
            <w:vAlign w:val="center"/>
          </w:tcPr>
          <w:p w14:paraId="208E0AF5" w14:textId="77777777" w:rsidR="00374D2C" w:rsidRPr="008172C7" w:rsidRDefault="00374D2C" w:rsidP="00512092">
            <w:pPr>
              <w:jc w:val="center"/>
              <w:rPr>
                <w:rFonts w:asciiTheme="minorHAnsi" w:hAnsiTheme="minorHAnsi"/>
                <w:color w:val="000000"/>
                <w:sz w:val="18"/>
                <w:szCs w:val="18"/>
              </w:rPr>
            </w:pPr>
            <w:r>
              <w:rPr>
                <w:color w:val="000000"/>
                <w:sz w:val="18"/>
                <w:szCs w:val="18"/>
              </w:rPr>
              <w:t>-0.0768</w:t>
            </w:r>
          </w:p>
        </w:tc>
      </w:tr>
      <w:tr w:rsidR="00374D2C" w14:paraId="08341EC1" w14:textId="77777777" w:rsidTr="00512092">
        <w:tc>
          <w:tcPr>
            <w:tcW w:w="3401" w:type="dxa"/>
            <w:vAlign w:val="center"/>
          </w:tcPr>
          <w:p w14:paraId="3817D56E" w14:textId="77777777" w:rsidR="00374D2C" w:rsidRPr="00C729A5" w:rsidRDefault="00374D2C" w:rsidP="00512092">
            <w:pPr>
              <w:pStyle w:val="TabletextLeft"/>
              <w:spacing w:before="0"/>
              <w:rPr>
                <w:rFonts w:asciiTheme="minorHAnsi" w:hAnsiTheme="minorHAnsi"/>
                <w:sz w:val="18"/>
                <w:szCs w:val="18"/>
              </w:rPr>
            </w:pPr>
            <w:r w:rsidRPr="00C729A5">
              <w:rPr>
                <w:rFonts w:asciiTheme="minorHAnsi" w:hAnsiTheme="minorHAnsi"/>
                <w:sz w:val="18"/>
                <w:szCs w:val="18"/>
              </w:rPr>
              <w:t>Average student experience survey score (SES, CEQ)</w:t>
            </w:r>
          </w:p>
        </w:tc>
        <w:tc>
          <w:tcPr>
            <w:tcW w:w="1247" w:type="dxa"/>
            <w:vAlign w:val="center"/>
          </w:tcPr>
          <w:p w14:paraId="0563A98B" w14:textId="77777777" w:rsidR="00374D2C" w:rsidRPr="008172C7" w:rsidRDefault="00374D2C" w:rsidP="00512092">
            <w:pPr>
              <w:jc w:val="center"/>
              <w:rPr>
                <w:rFonts w:asciiTheme="minorHAnsi" w:hAnsiTheme="minorHAnsi"/>
                <w:color w:val="000000"/>
                <w:sz w:val="18"/>
                <w:szCs w:val="18"/>
              </w:rPr>
            </w:pPr>
          </w:p>
        </w:tc>
        <w:tc>
          <w:tcPr>
            <w:tcW w:w="1247" w:type="dxa"/>
            <w:vAlign w:val="center"/>
          </w:tcPr>
          <w:p w14:paraId="5B6BDF09" w14:textId="77777777" w:rsidR="00374D2C" w:rsidRPr="008172C7" w:rsidRDefault="00374D2C" w:rsidP="00512092">
            <w:pPr>
              <w:jc w:val="center"/>
              <w:rPr>
                <w:rFonts w:asciiTheme="minorHAnsi" w:hAnsiTheme="minorHAnsi"/>
                <w:sz w:val="18"/>
                <w:szCs w:val="18"/>
              </w:rPr>
            </w:pPr>
          </w:p>
        </w:tc>
        <w:tc>
          <w:tcPr>
            <w:tcW w:w="1247" w:type="dxa"/>
            <w:vAlign w:val="center"/>
          </w:tcPr>
          <w:p w14:paraId="5458362F" w14:textId="77777777" w:rsidR="00374D2C" w:rsidRPr="008172C7" w:rsidRDefault="00374D2C" w:rsidP="00512092">
            <w:pPr>
              <w:jc w:val="center"/>
              <w:rPr>
                <w:rFonts w:asciiTheme="minorHAnsi" w:hAnsiTheme="minorHAnsi"/>
                <w:sz w:val="18"/>
                <w:szCs w:val="18"/>
              </w:rPr>
            </w:pPr>
          </w:p>
        </w:tc>
        <w:tc>
          <w:tcPr>
            <w:tcW w:w="1363" w:type="dxa"/>
            <w:vAlign w:val="center"/>
          </w:tcPr>
          <w:p w14:paraId="572381B7" w14:textId="77777777" w:rsidR="00374D2C" w:rsidRPr="008172C7" w:rsidRDefault="00374D2C" w:rsidP="00512092">
            <w:pPr>
              <w:jc w:val="center"/>
              <w:rPr>
                <w:rFonts w:asciiTheme="minorHAnsi" w:hAnsiTheme="minorHAnsi"/>
                <w:color w:val="000000"/>
                <w:sz w:val="18"/>
                <w:szCs w:val="18"/>
              </w:rPr>
            </w:pPr>
            <w:r>
              <w:rPr>
                <w:color w:val="000000"/>
                <w:sz w:val="18"/>
                <w:szCs w:val="18"/>
              </w:rPr>
              <w:t>-0.000899</w:t>
            </w:r>
          </w:p>
        </w:tc>
      </w:tr>
      <w:tr w:rsidR="00374D2C" w14:paraId="218BBBE0" w14:textId="77777777" w:rsidTr="00512092">
        <w:tc>
          <w:tcPr>
            <w:tcW w:w="3401" w:type="dxa"/>
            <w:vAlign w:val="center"/>
          </w:tcPr>
          <w:p w14:paraId="528C7A59" w14:textId="77777777" w:rsidR="00374D2C" w:rsidRPr="00C729A5" w:rsidRDefault="00374D2C" w:rsidP="00512092">
            <w:pPr>
              <w:pStyle w:val="TabletextLeft"/>
              <w:spacing w:before="0"/>
              <w:rPr>
                <w:rFonts w:asciiTheme="minorHAnsi" w:hAnsiTheme="minorHAnsi"/>
                <w:sz w:val="18"/>
                <w:szCs w:val="18"/>
              </w:rPr>
            </w:pPr>
            <w:r w:rsidRPr="00C729A5">
              <w:rPr>
                <w:rFonts w:asciiTheme="minorHAnsi" w:hAnsiTheme="minorHAnsi"/>
                <w:sz w:val="18"/>
                <w:szCs w:val="18"/>
              </w:rPr>
              <w:t>Proportion of graduates in fulltime employment</w:t>
            </w:r>
          </w:p>
        </w:tc>
        <w:tc>
          <w:tcPr>
            <w:tcW w:w="1247" w:type="dxa"/>
            <w:vAlign w:val="center"/>
          </w:tcPr>
          <w:p w14:paraId="723E96EC" w14:textId="77777777" w:rsidR="00374D2C" w:rsidRPr="008172C7" w:rsidRDefault="00374D2C" w:rsidP="00512092">
            <w:pPr>
              <w:jc w:val="center"/>
              <w:rPr>
                <w:rFonts w:asciiTheme="minorHAnsi" w:hAnsiTheme="minorHAnsi"/>
                <w:color w:val="000000"/>
                <w:sz w:val="18"/>
                <w:szCs w:val="18"/>
              </w:rPr>
            </w:pPr>
          </w:p>
        </w:tc>
        <w:tc>
          <w:tcPr>
            <w:tcW w:w="1247" w:type="dxa"/>
            <w:vAlign w:val="center"/>
          </w:tcPr>
          <w:p w14:paraId="6630DFD5" w14:textId="77777777" w:rsidR="00374D2C" w:rsidRPr="008172C7" w:rsidRDefault="00374D2C" w:rsidP="00512092">
            <w:pPr>
              <w:jc w:val="center"/>
              <w:rPr>
                <w:rFonts w:asciiTheme="minorHAnsi" w:hAnsiTheme="minorHAnsi"/>
                <w:sz w:val="18"/>
                <w:szCs w:val="18"/>
              </w:rPr>
            </w:pPr>
          </w:p>
        </w:tc>
        <w:tc>
          <w:tcPr>
            <w:tcW w:w="1247" w:type="dxa"/>
            <w:vAlign w:val="center"/>
          </w:tcPr>
          <w:p w14:paraId="7C07D135" w14:textId="77777777" w:rsidR="00374D2C" w:rsidRPr="008172C7" w:rsidRDefault="00374D2C" w:rsidP="00512092">
            <w:pPr>
              <w:jc w:val="center"/>
              <w:rPr>
                <w:rFonts w:asciiTheme="minorHAnsi" w:hAnsiTheme="minorHAnsi"/>
                <w:sz w:val="18"/>
                <w:szCs w:val="18"/>
              </w:rPr>
            </w:pPr>
          </w:p>
        </w:tc>
        <w:tc>
          <w:tcPr>
            <w:tcW w:w="1363" w:type="dxa"/>
            <w:vAlign w:val="center"/>
          </w:tcPr>
          <w:p w14:paraId="52F1CE7F" w14:textId="77777777" w:rsidR="00374D2C" w:rsidRPr="008172C7" w:rsidRDefault="00374D2C" w:rsidP="00512092">
            <w:pPr>
              <w:jc w:val="center"/>
              <w:rPr>
                <w:rFonts w:asciiTheme="minorHAnsi" w:hAnsiTheme="minorHAnsi"/>
                <w:color w:val="000000"/>
                <w:sz w:val="18"/>
                <w:szCs w:val="18"/>
              </w:rPr>
            </w:pPr>
            <w:r>
              <w:rPr>
                <w:color w:val="000000"/>
                <w:sz w:val="18"/>
                <w:szCs w:val="18"/>
              </w:rPr>
              <w:t>0.00101</w:t>
            </w:r>
          </w:p>
        </w:tc>
      </w:tr>
      <w:tr w:rsidR="00374D2C" w14:paraId="450C27D7" w14:textId="77777777" w:rsidTr="00512092">
        <w:tc>
          <w:tcPr>
            <w:tcW w:w="3401" w:type="dxa"/>
            <w:vAlign w:val="center"/>
          </w:tcPr>
          <w:p w14:paraId="08B33CC5" w14:textId="77777777" w:rsidR="00374D2C" w:rsidRPr="00C729A5" w:rsidRDefault="00374D2C" w:rsidP="00512092">
            <w:pPr>
              <w:pStyle w:val="TabletextLeft"/>
              <w:spacing w:before="0"/>
              <w:rPr>
                <w:rFonts w:asciiTheme="minorHAnsi" w:hAnsiTheme="minorHAnsi"/>
                <w:sz w:val="18"/>
                <w:szCs w:val="18"/>
              </w:rPr>
            </w:pPr>
            <w:r w:rsidRPr="00C729A5">
              <w:rPr>
                <w:rFonts w:asciiTheme="minorHAnsi" w:hAnsiTheme="minorHAnsi"/>
                <w:sz w:val="18"/>
                <w:szCs w:val="18"/>
              </w:rPr>
              <w:t>Log Median salary of graduates</w:t>
            </w:r>
          </w:p>
        </w:tc>
        <w:tc>
          <w:tcPr>
            <w:tcW w:w="1247" w:type="dxa"/>
            <w:vAlign w:val="center"/>
          </w:tcPr>
          <w:p w14:paraId="5F2F147A" w14:textId="77777777" w:rsidR="00374D2C" w:rsidRPr="008172C7" w:rsidRDefault="00374D2C" w:rsidP="00512092">
            <w:pPr>
              <w:jc w:val="center"/>
              <w:rPr>
                <w:rFonts w:asciiTheme="minorHAnsi" w:hAnsiTheme="minorHAnsi"/>
                <w:color w:val="000000"/>
                <w:sz w:val="18"/>
                <w:szCs w:val="18"/>
              </w:rPr>
            </w:pPr>
          </w:p>
        </w:tc>
        <w:tc>
          <w:tcPr>
            <w:tcW w:w="1247" w:type="dxa"/>
            <w:vAlign w:val="center"/>
          </w:tcPr>
          <w:p w14:paraId="2C316E07" w14:textId="77777777" w:rsidR="00374D2C" w:rsidRPr="008172C7" w:rsidRDefault="00374D2C" w:rsidP="00512092">
            <w:pPr>
              <w:jc w:val="center"/>
              <w:rPr>
                <w:rFonts w:asciiTheme="minorHAnsi" w:hAnsiTheme="minorHAnsi"/>
                <w:sz w:val="18"/>
                <w:szCs w:val="18"/>
              </w:rPr>
            </w:pPr>
          </w:p>
        </w:tc>
        <w:tc>
          <w:tcPr>
            <w:tcW w:w="1247" w:type="dxa"/>
            <w:vAlign w:val="center"/>
          </w:tcPr>
          <w:p w14:paraId="7F56D6FC" w14:textId="77777777" w:rsidR="00374D2C" w:rsidRPr="008172C7" w:rsidRDefault="00374D2C" w:rsidP="00512092">
            <w:pPr>
              <w:jc w:val="center"/>
              <w:rPr>
                <w:rFonts w:asciiTheme="minorHAnsi" w:hAnsiTheme="minorHAnsi"/>
                <w:sz w:val="18"/>
                <w:szCs w:val="18"/>
              </w:rPr>
            </w:pPr>
          </w:p>
        </w:tc>
        <w:tc>
          <w:tcPr>
            <w:tcW w:w="1363" w:type="dxa"/>
            <w:vAlign w:val="center"/>
          </w:tcPr>
          <w:p w14:paraId="41827696" w14:textId="77777777" w:rsidR="00374D2C" w:rsidRPr="008172C7" w:rsidRDefault="00374D2C" w:rsidP="00512092">
            <w:pPr>
              <w:jc w:val="center"/>
              <w:rPr>
                <w:rFonts w:asciiTheme="minorHAnsi" w:hAnsiTheme="minorHAnsi"/>
                <w:color w:val="000000"/>
                <w:sz w:val="18"/>
                <w:szCs w:val="18"/>
              </w:rPr>
            </w:pPr>
            <w:r>
              <w:rPr>
                <w:color w:val="000000"/>
                <w:sz w:val="18"/>
                <w:szCs w:val="18"/>
              </w:rPr>
              <w:t>0.0643</w:t>
            </w:r>
          </w:p>
        </w:tc>
      </w:tr>
      <w:tr w:rsidR="00374D2C" w14:paraId="574BA704" w14:textId="77777777" w:rsidTr="00512092">
        <w:tc>
          <w:tcPr>
            <w:tcW w:w="3401" w:type="dxa"/>
            <w:vAlign w:val="center"/>
          </w:tcPr>
          <w:p w14:paraId="7E614AA7" w14:textId="77777777" w:rsidR="00374D2C" w:rsidRPr="00C729A5" w:rsidRDefault="00374D2C" w:rsidP="00512092">
            <w:pPr>
              <w:pStyle w:val="TabletextLeft"/>
              <w:rPr>
                <w:rFonts w:asciiTheme="minorHAnsi" w:hAnsiTheme="minorHAnsi"/>
                <w:sz w:val="18"/>
                <w:szCs w:val="18"/>
              </w:rPr>
            </w:pPr>
          </w:p>
        </w:tc>
        <w:tc>
          <w:tcPr>
            <w:tcW w:w="1247" w:type="dxa"/>
            <w:vAlign w:val="bottom"/>
          </w:tcPr>
          <w:p w14:paraId="7579E9EB" w14:textId="77777777" w:rsidR="00374D2C" w:rsidRPr="00155A50" w:rsidRDefault="00374D2C" w:rsidP="00512092">
            <w:pPr>
              <w:jc w:val="center"/>
              <w:rPr>
                <w:rFonts w:asciiTheme="minorHAnsi" w:hAnsiTheme="minorHAnsi"/>
                <w:color w:val="000000"/>
                <w:sz w:val="18"/>
                <w:szCs w:val="18"/>
              </w:rPr>
            </w:pPr>
          </w:p>
        </w:tc>
        <w:tc>
          <w:tcPr>
            <w:tcW w:w="1247" w:type="dxa"/>
            <w:vAlign w:val="bottom"/>
          </w:tcPr>
          <w:p w14:paraId="610FC2F2" w14:textId="77777777" w:rsidR="00374D2C" w:rsidRPr="00155A50" w:rsidRDefault="00374D2C" w:rsidP="00512092">
            <w:pPr>
              <w:jc w:val="center"/>
              <w:rPr>
                <w:rFonts w:asciiTheme="minorHAnsi" w:hAnsiTheme="minorHAnsi"/>
                <w:sz w:val="18"/>
                <w:szCs w:val="18"/>
              </w:rPr>
            </w:pPr>
          </w:p>
        </w:tc>
        <w:tc>
          <w:tcPr>
            <w:tcW w:w="1247" w:type="dxa"/>
            <w:vAlign w:val="bottom"/>
          </w:tcPr>
          <w:p w14:paraId="34B6B161" w14:textId="77777777" w:rsidR="00374D2C" w:rsidRPr="00155A50" w:rsidRDefault="00374D2C" w:rsidP="00512092">
            <w:pPr>
              <w:jc w:val="center"/>
              <w:rPr>
                <w:rFonts w:asciiTheme="minorHAnsi" w:hAnsiTheme="minorHAnsi"/>
                <w:sz w:val="18"/>
                <w:szCs w:val="18"/>
              </w:rPr>
            </w:pPr>
          </w:p>
        </w:tc>
        <w:tc>
          <w:tcPr>
            <w:tcW w:w="1363" w:type="dxa"/>
            <w:vAlign w:val="bottom"/>
          </w:tcPr>
          <w:p w14:paraId="5FBFAC8E" w14:textId="77777777" w:rsidR="00374D2C" w:rsidRPr="00155A50" w:rsidRDefault="00374D2C" w:rsidP="00512092">
            <w:pPr>
              <w:jc w:val="center"/>
              <w:rPr>
                <w:rFonts w:asciiTheme="minorHAnsi" w:hAnsiTheme="minorHAnsi"/>
                <w:sz w:val="18"/>
                <w:szCs w:val="18"/>
              </w:rPr>
            </w:pPr>
          </w:p>
        </w:tc>
      </w:tr>
      <w:tr w:rsidR="00374D2C" w14:paraId="163032F1" w14:textId="77777777" w:rsidTr="00512092">
        <w:tc>
          <w:tcPr>
            <w:tcW w:w="4648" w:type="dxa"/>
            <w:gridSpan w:val="2"/>
            <w:vAlign w:val="center"/>
          </w:tcPr>
          <w:p w14:paraId="0C531FB8" w14:textId="77777777" w:rsidR="00374D2C" w:rsidRPr="00155A50" w:rsidRDefault="00374D2C" w:rsidP="00512092">
            <w:pPr>
              <w:pStyle w:val="TabletextLeft"/>
              <w:spacing w:before="0"/>
              <w:rPr>
                <w:rFonts w:asciiTheme="minorHAnsi" w:hAnsiTheme="minorHAnsi"/>
                <w:sz w:val="18"/>
                <w:szCs w:val="18"/>
              </w:rPr>
            </w:pPr>
            <w:r w:rsidRPr="00155A50">
              <w:rPr>
                <w:rFonts w:asciiTheme="minorHAnsi" w:hAnsiTheme="minorHAnsi"/>
                <w:i/>
                <w:sz w:val="18"/>
                <w:szCs w:val="18"/>
              </w:rPr>
              <w:t>Field fixed effects: omitted category Mathematical science</w:t>
            </w:r>
          </w:p>
        </w:tc>
        <w:tc>
          <w:tcPr>
            <w:tcW w:w="1247" w:type="dxa"/>
            <w:vAlign w:val="bottom"/>
          </w:tcPr>
          <w:p w14:paraId="6BF49275" w14:textId="77777777" w:rsidR="00374D2C" w:rsidRPr="00155A50" w:rsidRDefault="00374D2C" w:rsidP="00512092">
            <w:pPr>
              <w:jc w:val="center"/>
              <w:rPr>
                <w:rFonts w:asciiTheme="minorHAnsi" w:hAnsiTheme="minorHAnsi"/>
                <w:sz w:val="18"/>
                <w:szCs w:val="18"/>
              </w:rPr>
            </w:pPr>
          </w:p>
        </w:tc>
        <w:tc>
          <w:tcPr>
            <w:tcW w:w="1247" w:type="dxa"/>
            <w:vAlign w:val="bottom"/>
          </w:tcPr>
          <w:p w14:paraId="20A390AF" w14:textId="77777777" w:rsidR="00374D2C" w:rsidRPr="00155A50" w:rsidRDefault="00374D2C" w:rsidP="00512092">
            <w:pPr>
              <w:jc w:val="center"/>
              <w:rPr>
                <w:rFonts w:asciiTheme="minorHAnsi" w:hAnsiTheme="minorHAnsi"/>
                <w:sz w:val="18"/>
                <w:szCs w:val="18"/>
              </w:rPr>
            </w:pPr>
          </w:p>
        </w:tc>
        <w:tc>
          <w:tcPr>
            <w:tcW w:w="1363" w:type="dxa"/>
            <w:vAlign w:val="bottom"/>
          </w:tcPr>
          <w:p w14:paraId="3DF25EEB" w14:textId="77777777" w:rsidR="00374D2C" w:rsidRPr="00155A50" w:rsidRDefault="00374D2C" w:rsidP="00512092">
            <w:pPr>
              <w:jc w:val="center"/>
              <w:rPr>
                <w:rFonts w:asciiTheme="minorHAnsi" w:hAnsiTheme="minorHAnsi"/>
                <w:sz w:val="18"/>
                <w:szCs w:val="18"/>
              </w:rPr>
            </w:pPr>
          </w:p>
        </w:tc>
      </w:tr>
      <w:tr w:rsidR="00374D2C" w14:paraId="52D383B7" w14:textId="77777777" w:rsidTr="00512092">
        <w:tc>
          <w:tcPr>
            <w:tcW w:w="3401" w:type="dxa"/>
            <w:vAlign w:val="center"/>
          </w:tcPr>
          <w:p w14:paraId="521F0BA9" w14:textId="77777777" w:rsidR="00374D2C" w:rsidRPr="00C729A5" w:rsidRDefault="00374D2C" w:rsidP="00512092">
            <w:pPr>
              <w:pStyle w:val="TabletextLeft"/>
              <w:spacing w:before="0"/>
              <w:rPr>
                <w:rFonts w:asciiTheme="minorHAnsi" w:hAnsiTheme="minorHAnsi"/>
                <w:sz w:val="18"/>
                <w:szCs w:val="18"/>
              </w:rPr>
            </w:pPr>
            <w:r w:rsidRPr="00C729A5">
              <w:rPr>
                <w:rFonts w:asciiTheme="minorHAnsi" w:hAnsiTheme="minorHAnsi"/>
                <w:sz w:val="18"/>
                <w:szCs w:val="18"/>
              </w:rPr>
              <w:t>Medical science</w:t>
            </w:r>
          </w:p>
        </w:tc>
        <w:tc>
          <w:tcPr>
            <w:tcW w:w="1247" w:type="dxa"/>
          </w:tcPr>
          <w:p w14:paraId="0C0F3082" w14:textId="77777777" w:rsidR="00374D2C" w:rsidRPr="008172C7" w:rsidRDefault="00374D2C" w:rsidP="00512092">
            <w:pPr>
              <w:jc w:val="center"/>
              <w:rPr>
                <w:rFonts w:asciiTheme="minorHAnsi" w:hAnsiTheme="minorHAnsi"/>
                <w:sz w:val="18"/>
                <w:szCs w:val="18"/>
              </w:rPr>
            </w:pPr>
          </w:p>
        </w:tc>
        <w:tc>
          <w:tcPr>
            <w:tcW w:w="1247" w:type="dxa"/>
            <w:vAlign w:val="bottom"/>
          </w:tcPr>
          <w:p w14:paraId="3DC4A419" w14:textId="77777777" w:rsidR="00374D2C" w:rsidRPr="008172C7" w:rsidRDefault="00374D2C" w:rsidP="00512092">
            <w:pPr>
              <w:jc w:val="center"/>
              <w:rPr>
                <w:rFonts w:asciiTheme="minorHAnsi" w:hAnsiTheme="minorHAnsi"/>
                <w:color w:val="000000"/>
                <w:sz w:val="18"/>
                <w:szCs w:val="18"/>
              </w:rPr>
            </w:pPr>
            <w:r>
              <w:rPr>
                <w:color w:val="000000"/>
                <w:sz w:val="18"/>
                <w:szCs w:val="18"/>
              </w:rPr>
              <w:t>0.189</w:t>
            </w:r>
          </w:p>
        </w:tc>
        <w:tc>
          <w:tcPr>
            <w:tcW w:w="1247" w:type="dxa"/>
            <w:vAlign w:val="bottom"/>
          </w:tcPr>
          <w:p w14:paraId="3BD827C0" w14:textId="77777777" w:rsidR="00374D2C" w:rsidRPr="008172C7" w:rsidRDefault="00374D2C" w:rsidP="00512092">
            <w:pPr>
              <w:jc w:val="center"/>
              <w:rPr>
                <w:rFonts w:asciiTheme="minorHAnsi" w:hAnsiTheme="minorHAnsi"/>
                <w:color w:val="000000"/>
                <w:sz w:val="18"/>
                <w:szCs w:val="18"/>
              </w:rPr>
            </w:pPr>
            <w:r>
              <w:rPr>
                <w:color w:val="000000"/>
                <w:sz w:val="18"/>
                <w:szCs w:val="18"/>
              </w:rPr>
              <w:t>0.268***</w:t>
            </w:r>
          </w:p>
        </w:tc>
        <w:tc>
          <w:tcPr>
            <w:tcW w:w="1363" w:type="dxa"/>
            <w:vAlign w:val="bottom"/>
          </w:tcPr>
          <w:p w14:paraId="6E79D454" w14:textId="77777777" w:rsidR="00374D2C" w:rsidRPr="008172C7" w:rsidRDefault="00374D2C" w:rsidP="00512092">
            <w:pPr>
              <w:jc w:val="center"/>
              <w:rPr>
                <w:rFonts w:asciiTheme="minorHAnsi" w:hAnsiTheme="minorHAnsi"/>
                <w:color w:val="000000"/>
                <w:sz w:val="18"/>
                <w:szCs w:val="18"/>
              </w:rPr>
            </w:pPr>
            <w:r>
              <w:rPr>
                <w:color w:val="000000"/>
                <w:sz w:val="18"/>
                <w:szCs w:val="18"/>
              </w:rPr>
              <w:t>0.235***</w:t>
            </w:r>
          </w:p>
        </w:tc>
      </w:tr>
      <w:tr w:rsidR="00374D2C" w14:paraId="17E834CC" w14:textId="77777777" w:rsidTr="00512092">
        <w:tc>
          <w:tcPr>
            <w:tcW w:w="3401" w:type="dxa"/>
            <w:vAlign w:val="center"/>
          </w:tcPr>
          <w:p w14:paraId="1770DE39" w14:textId="77777777" w:rsidR="00374D2C" w:rsidRPr="00C729A5" w:rsidRDefault="00374D2C" w:rsidP="00512092">
            <w:pPr>
              <w:pStyle w:val="TabletextLeft"/>
              <w:spacing w:before="0"/>
              <w:rPr>
                <w:rFonts w:asciiTheme="minorHAnsi" w:hAnsiTheme="minorHAnsi"/>
                <w:sz w:val="18"/>
                <w:szCs w:val="18"/>
              </w:rPr>
            </w:pPr>
            <w:r w:rsidRPr="00C729A5">
              <w:rPr>
                <w:rFonts w:asciiTheme="minorHAnsi" w:hAnsiTheme="minorHAnsi"/>
                <w:sz w:val="18"/>
                <w:szCs w:val="18"/>
              </w:rPr>
              <w:t>Other sciences</w:t>
            </w:r>
          </w:p>
        </w:tc>
        <w:tc>
          <w:tcPr>
            <w:tcW w:w="1247" w:type="dxa"/>
          </w:tcPr>
          <w:p w14:paraId="6009E2E8" w14:textId="77777777" w:rsidR="00374D2C" w:rsidRPr="008172C7" w:rsidRDefault="00374D2C" w:rsidP="00512092">
            <w:pPr>
              <w:jc w:val="center"/>
              <w:rPr>
                <w:rFonts w:asciiTheme="minorHAnsi" w:hAnsiTheme="minorHAnsi"/>
                <w:color w:val="000000"/>
                <w:sz w:val="18"/>
                <w:szCs w:val="18"/>
              </w:rPr>
            </w:pPr>
          </w:p>
        </w:tc>
        <w:tc>
          <w:tcPr>
            <w:tcW w:w="1247" w:type="dxa"/>
            <w:vAlign w:val="bottom"/>
          </w:tcPr>
          <w:p w14:paraId="7652D2F1" w14:textId="77777777" w:rsidR="00374D2C" w:rsidRPr="008172C7" w:rsidRDefault="00374D2C" w:rsidP="00512092">
            <w:pPr>
              <w:jc w:val="center"/>
              <w:rPr>
                <w:rFonts w:asciiTheme="minorHAnsi" w:hAnsiTheme="minorHAnsi"/>
                <w:color w:val="000000"/>
                <w:sz w:val="18"/>
                <w:szCs w:val="18"/>
              </w:rPr>
            </w:pPr>
            <w:r>
              <w:rPr>
                <w:color w:val="000000"/>
                <w:sz w:val="18"/>
                <w:szCs w:val="18"/>
              </w:rPr>
              <w:t>0.145***</w:t>
            </w:r>
          </w:p>
        </w:tc>
        <w:tc>
          <w:tcPr>
            <w:tcW w:w="1247" w:type="dxa"/>
            <w:vAlign w:val="bottom"/>
          </w:tcPr>
          <w:p w14:paraId="627360A2" w14:textId="77777777" w:rsidR="00374D2C" w:rsidRPr="008172C7" w:rsidRDefault="00374D2C" w:rsidP="00512092">
            <w:pPr>
              <w:jc w:val="center"/>
              <w:rPr>
                <w:rFonts w:asciiTheme="minorHAnsi" w:hAnsiTheme="minorHAnsi"/>
                <w:color w:val="000000"/>
                <w:sz w:val="18"/>
                <w:szCs w:val="18"/>
              </w:rPr>
            </w:pPr>
            <w:r>
              <w:rPr>
                <w:color w:val="000000"/>
                <w:sz w:val="18"/>
                <w:szCs w:val="18"/>
              </w:rPr>
              <w:t>0.135**</w:t>
            </w:r>
          </w:p>
        </w:tc>
        <w:tc>
          <w:tcPr>
            <w:tcW w:w="1363" w:type="dxa"/>
            <w:vAlign w:val="bottom"/>
          </w:tcPr>
          <w:p w14:paraId="7F4F1511" w14:textId="77777777" w:rsidR="00374D2C" w:rsidRPr="008172C7" w:rsidRDefault="00374D2C" w:rsidP="00512092">
            <w:pPr>
              <w:jc w:val="center"/>
              <w:rPr>
                <w:rFonts w:asciiTheme="minorHAnsi" w:hAnsiTheme="minorHAnsi"/>
                <w:color w:val="000000"/>
                <w:sz w:val="18"/>
                <w:szCs w:val="18"/>
              </w:rPr>
            </w:pPr>
            <w:r>
              <w:rPr>
                <w:color w:val="000000"/>
                <w:sz w:val="18"/>
                <w:szCs w:val="18"/>
              </w:rPr>
              <w:t>0.264***</w:t>
            </w:r>
          </w:p>
        </w:tc>
      </w:tr>
      <w:tr w:rsidR="00374D2C" w14:paraId="2F961BD3" w14:textId="77777777" w:rsidTr="00512092">
        <w:tc>
          <w:tcPr>
            <w:tcW w:w="3401" w:type="dxa"/>
            <w:vAlign w:val="center"/>
          </w:tcPr>
          <w:p w14:paraId="423E4742" w14:textId="77777777" w:rsidR="00374D2C" w:rsidRPr="00C729A5" w:rsidRDefault="00374D2C" w:rsidP="00512092">
            <w:pPr>
              <w:pStyle w:val="TabletextLeft"/>
              <w:spacing w:before="0"/>
              <w:rPr>
                <w:rFonts w:asciiTheme="minorHAnsi" w:hAnsiTheme="minorHAnsi"/>
                <w:sz w:val="18"/>
                <w:szCs w:val="18"/>
              </w:rPr>
            </w:pPr>
            <w:r w:rsidRPr="00C729A5">
              <w:rPr>
                <w:rFonts w:asciiTheme="minorHAnsi" w:hAnsiTheme="minorHAnsi"/>
                <w:sz w:val="18"/>
                <w:szCs w:val="18"/>
              </w:rPr>
              <w:t>Information technology</w:t>
            </w:r>
          </w:p>
        </w:tc>
        <w:tc>
          <w:tcPr>
            <w:tcW w:w="1247" w:type="dxa"/>
          </w:tcPr>
          <w:p w14:paraId="6A407DF3" w14:textId="77777777" w:rsidR="00374D2C" w:rsidRPr="008172C7" w:rsidRDefault="00374D2C" w:rsidP="00512092">
            <w:pPr>
              <w:jc w:val="center"/>
              <w:rPr>
                <w:rFonts w:asciiTheme="minorHAnsi" w:hAnsiTheme="minorHAnsi"/>
                <w:color w:val="000000"/>
                <w:sz w:val="18"/>
                <w:szCs w:val="18"/>
              </w:rPr>
            </w:pPr>
          </w:p>
        </w:tc>
        <w:tc>
          <w:tcPr>
            <w:tcW w:w="1247" w:type="dxa"/>
            <w:vAlign w:val="bottom"/>
          </w:tcPr>
          <w:p w14:paraId="472CBE5A" w14:textId="77777777" w:rsidR="00374D2C" w:rsidRPr="008172C7" w:rsidRDefault="00374D2C" w:rsidP="00512092">
            <w:pPr>
              <w:jc w:val="center"/>
              <w:rPr>
                <w:rFonts w:asciiTheme="minorHAnsi" w:hAnsiTheme="minorHAnsi"/>
                <w:color w:val="000000"/>
                <w:sz w:val="18"/>
                <w:szCs w:val="18"/>
              </w:rPr>
            </w:pPr>
            <w:r>
              <w:rPr>
                <w:color w:val="000000"/>
                <w:sz w:val="18"/>
                <w:szCs w:val="18"/>
              </w:rPr>
              <w:t>0.137**</w:t>
            </w:r>
          </w:p>
        </w:tc>
        <w:tc>
          <w:tcPr>
            <w:tcW w:w="1247" w:type="dxa"/>
            <w:vAlign w:val="bottom"/>
          </w:tcPr>
          <w:p w14:paraId="1A8F4BD4" w14:textId="77777777" w:rsidR="00374D2C" w:rsidRPr="008172C7" w:rsidRDefault="00374D2C" w:rsidP="00512092">
            <w:pPr>
              <w:jc w:val="center"/>
              <w:rPr>
                <w:rFonts w:asciiTheme="minorHAnsi" w:hAnsiTheme="minorHAnsi"/>
                <w:color w:val="000000"/>
                <w:sz w:val="18"/>
                <w:szCs w:val="18"/>
              </w:rPr>
            </w:pPr>
            <w:r>
              <w:rPr>
                <w:color w:val="000000"/>
                <w:sz w:val="18"/>
                <w:szCs w:val="18"/>
              </w:rPr>
              <w:t>0.126**</w:t>
            </w:r>
          </w:p>
        </w:tc>
        <w:tc>
          <w:tcPr>
            <w:tcW w:w="1363" w:type="dxa"/>
            <w:vAlign w:val="bottom"/>
          </w:tcPr>
          <w:p w14:paraId="065CC249" w14:textId="77777777" w:rsidR="00374D2C" w:rsidRPr="008172C7" w:rsidRDefault="00374D2C" w:rsidP="00512092">
            <w:pPr>
              <w:jc w:val="center"/>
              <w:rPr>
                <w:rFonts w:asciiTheme="minorHAnsi" w:hAnsiTheme="minorHAnsi"/>
                <w:color w:val="000000"/>
                <w:sz w:val="18"/>
                <w:szCs w:val="18"/>
              </w:rPr>
            </w:pPr>
            <w:r>
              <w:rPr>
                <w:color w:val="000000"/>
                <w:sz w:val="18"/>
                <w:szCs w:val="18"/>
              </w:rPr>
              <w:t>0.165*</w:t>
            </w:r>
          </w:p>
        </w:tc>
      </w:tr>
      <w:tr w:rsidR="00374D2C" w14:paraId="21FC61AC" w14:textId="77777777" w:rsidTr="00512092">
        <w:tc>
          <w:tcPr>
            <w:tcW w:w="3401" w:type="dxa"/>
            <w:vAlign w:val="center"/>
          </w:tcPr>
          <w:p w14:paraId="2CB6350F" w14:textId="77777777" w:rsidR="00374D2C" w:rsidRPr="00C729A5" w:rsidRDefault="00374D2C" w:rsidP="00512092">
            <w:pPr>
              <w:pStyle w:val="TabletextLeft"/>
              <w:spacing w:before="0"/>
              <w:rPr>
                <w:rFonts w:asciiTheme="minorHAnsi" w:hAnsiTheme="minorHAnsi"/>
                <w:sz w:val="18"/>
                <w:szCs w:val="18"/>
              </w:rPr>
            </w:pPr>
            <w:r w:rsidRPr="00C729A5">
              <w:rPr>
                <w:rFonts w:asciiTheme="minorHAnsi" w:hAnsiTheme="minorHAnsi"/>
                <w:sz w:val="18"/>
                <w:szCs w:val="18"/>
              </w:rPr>
              <w:t>Engineering</w:t>
            </w:r>
          </w:p>
        </w:tc>
        <w:tc>
          <w:tcPr>
            <w:tcW w:w="1247" w:type="dxa"/>
          </w:tcPr>
          <w:p w14:paraId="651E5E42" w14:textId="77777777" w:rsidR="00374D2C" w:rsidRPr="008172C7" w:rsidRDefault="00374D2C" w:rsidP="00512092">
            <w:pPr>
              <w:jc w:val="center"/>
              <w:rPr>
                <w:rFonts w:asciiTheme="minorHAnsi" w:hAnsiTheme="minorHAnsi"/>
                <w:color w:val="000000"/>
                <w:sz w:val="18"/>
                <w:szCs w:val="18"/>
              </w:rPr>
            </w:pPr>
          </w:p>
        </w:tc>
        <w:tc>
          <w:tcPr>
            <w:tcW w:w="1247" w:type="dxa"/>
            <w:vAlign w:val="bottom"/>
          </w:tcPr>
          <w:p w14:paraId="5912F3B3" w14:textId="77777777" w:rsidR="00374D2C" w:rsidRPr="008172C7" w:rsidRDefault="00374D2C" w:rsidP="00512092">
            <w:pPr>
              <w:jc w:val="center"/>
              <w:rPr>
                <w:rFonts w:asciiTheme="minorHAnsi" w:hAnsiTheme="minorHAnsi"/>
                <w:color w:val="000000"/>
                <w:sz w:val="18"/>
                <w:szCs w:val="18"/>
              </w:rPr>
            </w:pPr>
            <w:r>
              <w:rPr>
                <w:color w:val="000000"/>
                <w:sz w:val="18"/>
                <w:szCs w:val="18"/>
              </w:rPr>
              <w:t>0.260***</w:t>
            </w:r>
          </w:p>
        </w:tc>
        <w:tc>
          <w:tcPr>
            <w:tcW w:w="1247" w:type="dxa"/>
            <w:vAlign w:val="bottom"/>
          </w:tcPr>
          <w:p w14:paraId="471BFF2E" w14:textId="77777777" w:rsidR="00374D2C" w:rsidRPr="008172C7" w:rsidRDefault="00374D2C" w:rsidP="00512092">
            <w:pPr>
              <w:jc w:val="center"/>
              <w:rPr>
                <w:rFonts w:asciiTheme="minorHAnsi" w:hAnsiTheme="minorHAnsi"/>
                <w:color w:val="000000"/>
                <w:sz w:val="18"/>
                <w:szCs w:val="18"/>
              </w:rPr>
            </w:pPr>
            <w:r>
              <w:rPr>
                <w:color w:val="000000"/>
                <w:sz w:val="18"/>
                <w:szCs w:val="18"/>
              </w:rPr>
              <w:t>0.266***</w:t>
            </w:r>
          </w:p>
        </w:tc>
        <w:tc>
          <w:tcPr>
            <w:tcW w:w="1363" w:type="dxa"/>
            <w:vAlign w:val="bottom"/>
          </w:tcPr>
          <w:p w14:paraId="181969CB" w14:textId="77777777" w:rsidR="00374D2C" w:rsidRPr="008172C7" w:rsidRDefault="00374D2C" w:rsidP="00512092">
            <w:pPr>
              <w:jc w:val="center"/>
              <w:rPr>
                <w:rFonts w:asciiTheme="minorHAnsi" w:hAnsiTheme="minorHAnsi"/>
                <w:color w:val="000000"/>
                <w:sz w:val="18"/>
                <w:szCs w:val="18"/>
              </w:rPr>
            </w:pPr>
            <w:r>
              <w:rPr>
                <w:color w:val="000000"/>
                <w:sz w:val="18"/>
                <w:szCs w:val="18"/>
              </w:rPr>
              <w:t>0.227**</w:t>
            </w:r>
          </w:p>
        </w:tc>
      </w:tr>
      <w:tr w:rsidR="00374D2C" w14:paraId="455BFE83" w14:textId="77777777" w:rsidTr="00512092">
        <w:tc>
          <w:tcPr>
            <w:tcW w:w="3401" w:type="dxa"/>
            <w:vAlign w:val="center"/>
          </w:tcPr>
          <w:p w14:paraId="6A3BBD8D" w14:textId="77777777" w:rsidR="00374D2C" w:rsidRPr="00C729A5" w:rsidRDefault="00374D2C" w:rsidP="00512092">
            <w:pPr>
              <w:pStyle w:val="TabletextLeft"/>
              <w:spacing w:before="0"/>
              <w:rPr>
                <w:rFonts w:asciiTheme="minorHAnsi" w:hAnsiTheme="minorHAnsi"/>
                <w:sz w:val="18"/>
                <w:szCs w:val="18"/>
              </w:rPr>
            </w:pPr>
            <w:r w:rsidRPr="00C729A5">
              <w:rPr>
                <w:rFonts w:asciiTheme="minorHAnsi" w:hAnsiTheme="minorHAnsi"/>
                <w:sz w:val="18"/>
                <w:szCs w:val="18"/>
              </w:rPr>
              <w:t>Architecture</w:t>
            </w:r>
          </w:p>
        </w:tc>
        <w:tc>
          <w:tcPr>
            <w:tcW w:w="1247" w:type="dxa"/>
          </w:tcPr>
          <w:p w14:paraId="10E3C1A9" w14:textId="77777777" w:rsidR="00374D2C" w:rsidRPr="008172C7" w:rsidRDefault="00374D2C" w:rsidP="00512092">
            <w:pPr>
              <w:jc w:val="center"/>
              <w:rPr>
                <w:rFonts w:asciiTheme="minorHAnsi" w:hAnsiTheme="minorHAnsi"/>
                <w:color w:val="000000"/>
                <w:sz w:val="18"/>
                <w:szCs w:val="18"/>
              </w:rPr>
            </w:pPr>
          </w:p>
        </w:tc>
        <w:tc>
          <w:tcPr>
            <w:tcW w:w="1247" w:type="dxa"/>
            <w:vAlign w:val="bottom"/>
          </w:tcPr>
          <w:p w14:paraId="0C893867" w14:textId="30480857" w:rsidR="00374D2C" w:rsidRPr="008172C7" w:rsidRDefault="00374D2C" w:rsidP="00512092">
            <w:pPr>
              <w:jc w:val="center"/>
              <w:rPr>
                <w:rFonts w:asciiTheme="minorHAnsi" w:hAnsiTheme="minorHAnsi"/>
                <w:color w:val="000000"/>
                <w:sz w:val="18"/>
                <w:szCs w:val="18"/>
              </w:rPr>
            </w:pPr>
            <w:r>
              <w:rPr>
                <w:color w:val="000000"/>
                <w:sz w:val="18"/>
                <w:szCs w:val="18"/>
              </w:rPr>
              <w:t>0.15</w:t>
            </w:r>
            <w:r w:rsidR="0089263F">
              <w:rPr>
                <w:color w:val="000000"/>
                <w:sz w:val="18"/>
                <w:szCs w:val="18"/>
              </w:rPr>
              <w:t>0</w:t>
            </w:r>
          </w:p>
        </w:tc>
        <w:tc>
          <w:tcPr>
            <w:tcW w:w="1247" w:type="dxa"/>
            <w:vAlign w:val="bottom"/>
          </w:tcPr>
          <w:p w14:paraId="07459041" w14:textId="77777777" w:rsidR="00374D2C" w:rsidRPr="008172C7" w:rsidRDefault="00374D2C" w:rsidP="00512092">
            <w:pPr>
              <w:jc w:val="center"/>
              <w:rPr>
                <w:rFonts w:asciiTheme="minorHAnsi" w:hAnsiTheme="minorHAnsi"/>
                <w:color w:val="000000"/>
                <w:sz w:val="18"/>
                <w:szCs w:val="18"/>
              </w:rPr>
            </w:pPr>
            <w:r>
              <w:rPr>
                <w:color w:val="000000"/>
                <w:sz w:val="18"/>
                <w:szCs w:val="18"/>
              </w:rPr>
              <w:t>0.114**</w:t>
            </w:r>
          </w:p>
        </w:tc>
        <w:tc>
          <w:tcPr>
            <w:tcW w:w="1363" w:type="dxa"/>
            <w:vAlign w:val="bottom"/>
          </w:tcPr>
          <w:p w14:paraId="12BBB002" w14:textId="77777777" w:rsidR="00374D2C" w:rsidRPr="008172C7" w:rsidRDefault="00374D2C" w:rsidP="00512092">
            <w:pPr>
              <w:jc w:val="center"/>
              <w:rPr>
                <w:rFonts w:asciiTheme="minorHAnsi" w:hAnsiTheme="minorHAnsi"/>
                <w:color w:val="000000"/>
                <w:sz w:val="18"/>
                <w:szCs w:val="18"/>
              </w:rPr>
            </w:pPr>
            <w:r>
              <w:rPr>
                <w:color w:val="000000"/>
                <w:sz w:val="18"/>
                <w:szCs w:val="18"/>
              </w:rPr>
              <w:t>0.119</w:t>
            </w:r>
          </w:p>
        </w:tc>
      </w:tr>
      <w:tr w:rsidR="00374D2C" w14:paraId="34771AD3" w14:textId="77777777" w:rsidTr="00512092">
        <w:tc>
          <w:tcPr>
            <w:tcW w:w="3401" w:type="dxa"/>
            <w:vAlign w:val="center"/>
          </w:tcPr>
          <w:p w14:paraId="753FD3DC" w14:textId="77777777" w:rsidR="00374D2C" w:rsidRPr="00C729A5" w:rsidRDefault="00374D2C" w:rsidP="00512092">
            <w:pPr>
              <w:pStyle w:val="TabletextLeft"/>
              <w:spacing w:before="0"/>
              <w:rPr>
                <w:rFonts w:asciiTheme="minorHAnsi" w:hAnsiTheme="minorHAnsi"/>
                <w:sz w:val="18"/>
                <w:szCs w:val="18"/>
              </w:rPr>
            </w:pPr>
            <w:r w:rsidRPr="00C729A5">
              <w:rPr>
                <w:rFonts w:asciiTheme="minorHAnsi" w:hAnsiTheme="minorHAnsi"/>
                <w:sz w:val="18"/>
                <w:szCs w:val="18"/>
              </w:rPr>
              <w:t>Environmental science</w:t>
            </w:r>
          </w:p>
        </w:tc>
        <w:tc>
          <w:tcPr>
            <w:tcW w:w="1247" w:type="dxa"/>
          </w:tcPr>
          <w:p w14:paraId="2CAF8AD2" w14:textId="77777777" w:rsidR="00374D2C" w:rsidRPr="008172C7" w:rsidRDefault="00374D2C" w:rsidP="00512092">
            <w:pPr>
              <w:jc w:val="center"/>
              <w:rPr>
                <w:rFonts w:asciiTheme="minorHAnsi" w:hAnsiTheme="minorHAnsi"/>
                <w:color w:val="000000"/>
                <w:sz w:val="18"/>
                <w:szCs w:val="18"/>
              </w:rPr>
            </w:pPr>
          </w:p>
        </w:tc>
        <w:tc>
          <w:tcPr>
            <w:tcW w:w="1247" w:type="dxa"/>
            <w:vAlign w:val="bottom"/>
          </w:tcPr>
          <w:p w14:paraId="656D6358" w14:textId="77777777" w:rsidR="00374D2C" w:rsidRPr="008172C7" w:rsidRDefault="00374D2C" w:rsidP="00512092">
            <w:pPr>
              <w:jc w:val="center"/>
              <w:rPr>
                <w:rFonts w:asciiTheme="minorHAnsi" w:hAnsiTheme="minorHAnsi"/>
                <w:color w:val="000000"/>
                <w:sz w:val="18"/>
                <w:szCs w:val="18"/>
              </w:rPr>
            </w:pPr>
            <w:r>
              <w:rPr>
                <w:color w:val="000000"/>
                <w:sz w:val="18"/>
                <w:szCs w:val="18"/>
              </w:rPr>
              <w:t>0.182**</w:t>
            </w:r>
          </w:p>
        </w:tc>
        <w:tc>
          <w:tcPr>
            <w:tcW w:w="1247" w:type="dxa"/>
            <w:vAlign w:val="bottom"/>
          </w:tcPr>
          <w:p w14:paraId="308904A1" w14:textId="77777777" w:rsidR="00374D2C" w:rsidRPr="008172C7" w:rsidRDefault="00374D2C" w:rsidP="00512092">
            <w:pPr>
              <w:jc w:val="center"/>
              <w:rPr>
                <w:rFonts w:asciiTheme="minorHAnsi" w:hAnsiTheme="minorHAnsi"/>
                <w:color w:val="000000"/>
                <w:sz w:val="18"/>
                <w:szCs w:val="18"/>
              </w:rPr>
            </w:pPr>
            <w:r>
              <w:rPr>
                <w:color w:val="000000"/>
                <w:sz w:val="18"/>
                <w:szCs w:val="18"/>
              </w:rPr>
              <w:t>0.237***</w:t>
            </w:r>
          </w:p>
        </w:tc>
        <w:tc>
          <w:tcPr>
            <w:tcW w:w="1363" w:type="dxa"/>
            <w:vAlign w:val="bottom"/>
          </w:tcPr>
          <w:p w14:paraId="13837047" w14:textId="77777777" w:rsidR="00374D2C" w:rsidRPr="008172C7" w:rsidRDefault="00374D2C" w:rsidP="00512092">
            <w:pPr>
              <w:jc w:val="center"/>
              <w:rPr>
                <w:rFonts w:asciiTheme="minorHAnsi" w:hAnsiTheme="minorHAnsi"/>
                <w:color w:val="000000"/>
                <w:sz w:val="18"/>
                <w:szCs w:val="18"/>
              </w:rPr>
            </w:pPr>
            <w:r>
              <w:rPr>
                <w:color w:val="000000"/>
                <w:sz w:val="18"/>
                <w:szCs w:val="18"/>
              </w:rPr>
              <w:t>0.281***</w:t>
            </w:r>
          </w:p>
        </w:tc>
      </w:tr>
      <w:tr w:rsidR="00374D2C" w14:paraId="405BB64C" w14:textId="77777777" w:rsidTr="00512092">
        <w:tc>
          <w:tcPr>
            <w:tcW w:w="3401" w:type="dxa"/>
            <w:vAlign w:val="center"/>
          </w:tcPr>
          <w:p w14:paraId="584CF1FC" w14:textId="77777777" w:rsidR="00374D2C" w:rsidRPr="00C729A5" w:rsidRDefault="00374D2C" w:rsidP="00512092">
            <w:pPr>
              <w:pStyle w:val="TabletextLeft"/>
              <w:spacing w:before="0"/>
              <w:rPr>
                <w:rFonts w:asciiTheme="minorHAnsi" w:hAnsiTheme="minorHAnsi"/>
                <w:sz w:val="18"/>
                <w:szCs w:val="18"/>
              </w:rPr>
            </w:pPr>
            <w:r w:rsidRPr="00C729A5">
              <w:rPr>
                <w:rFonts w:asciiTheme="minorHAnsi" w:hAnsiTheme="minorHAnsi"/>
                <w:sz w:val="18"/>
                <w:szCs w:val="18"/>
              </w:rPr>
              <w:t>Agriculture and related studies</w:t>
            </w:r>
          </w:p>
        </w:tc>
        <w:tc>
          <w:tcPr>
            <w:tcW w:w="1247" w:type="dxa"/>
          </w:tcPr>
          <w:p w14:paraId="1AEC2884" w14:textId="77777777" w:rsidR="00374D2C" w:rsidRPr="008172C7" w:rsidRDefault="00374D2C" w:rsidP="00512092">
            <w:pPr>
              <w:jc w:val="center"/>
              <w:rPr>
                <w:rFonts w:asciiTheme="minorHAnsi" w:hAnsiTheme="minorHAnsi"/>
                <w:color w:val="000000"/>
                <w:sz w:val="18"/>
                <w:szCs w:val="18"/>
              </w:rPr>
            </w:pPr>
          </w:p>
        </w:tc>
        <w:tc>
          <w:tcPr>
            <w:tcW w:w="1247" w:type="dxa"/>
            <w:vAlign w:val="bottom"/>
          </w:tcPr>
          <w:p w14:paraId="70DB0CDE" w14:textId="77777777" w:rsidR="00374D2C" w:rsidRPr="008172C7" w:rsidRDefault="00374D2C" w:rsidP="00512092">
            <w:pPr>
              <w:jc w:val="center"/>
              <w:rPr>
                <w:rFonts w:asciiTheme="minorHAnsi" w:hAnsiTheme="minorHAnsi"/>
                <w:color w:val="000000"/>
                <w:sz w:val="18"/>
                <w:szCs w:val="18"/>
              </w:rPr>
            </w:pPr>
            <w:r>
              <w:rPr>
                <w:color w:val="000000"/>
                <w:sz w:val="18"/>
                <w:szCs w:val="18"/>
              </w:rPr>
              <w:t>0.341***</w:t>
            </w:r>
          </w:p>
        </w:tc>
        <w:tc>
          <w:tcPr>
            <w:tcW w:w="1247" w:type="dxa"/>
            <w:vAlign w:val="bottom"/>
          </w:tcPr>
          <w:p w14:paraId="1E899457" w14:textId="77777777" w:rsidR="00374D2C" w:rsidRPr="008172C7" w:rsidRDefault="00374D2C" w:rsidP="00512092">
            <w:pPr>
              <w:jc w:val="center"/>
              <w:rPr>
                <w:rFonts w:asciiTheme="minorHAnsi" w:hAnsiTheme="minorHAnsi"/>
                <w:color w:val="000000"/>
                <w:sz w:val="18"/>
                <w:szCs w:val="18"/>
              </w:rPr>
            </w:pPr>
            <w:r>
              <w:rPr>
                <w:color w:val="000000"/>
                <w:sz w:val="18"/>
                <w:szCs w:val="18"/>
              </w:rPr>
              <w:t>0.433***</w:t>
            </w:r>
          </w:p>
        </w:tc>
        <w:tc>
          <w:tcPr>
            <w:tcW w:w="1363" w:type="dxa"/>
            <w:vAlign w:val="bottom"/>
          </w:tcPr>
          <w:p w14:paraId="1F0C9278" w14:textId="77777777" w:rsidR="00374D2C" w:rsidRPr="008172C7" w:rsidRDefault="00374D2C" w:rsidP="00512092">
            <w:pPr>
              <w:jc w:val="center"/>
              <w:rPr>
                <w:rFonts w:asciiTheme="minorHAnsi" w:hAnsiTheme="minorHAnsi"/>
                <w:color w:val="000000"/>
                <w:sz w:val="18"/>
                <w:szCs w:val="18"/>
              </w:rPr>
            </w:pPr>
            <w:r>
              <w:rPr>
                <w:color w:val="000000"/>
                <w:sz w:val="18"/>
                <w:szCs w:val="18"/>
              </w:rPr>
              <w:t>0.426***</w:t>
            </w:r>
          </w:p>
        </w:tc>
      </w:tr>
      <w:tr w:rsidR="00374D2C" w14:paraId="2F80F55D" w14:textId="77777777" w:rsidTr="00512092">
        <w:tc>
          <w:tcPr>
            <w:tcW w:w="3401" w:type="dxa"/>
            <w:vAlign w:val="center"/>
          </w:tcPr>
          <w:p w14:paraId="196D5E00" w14:textId="77777777" w:rsidR="00374D2C" w:rsidRPr="00C729A5" w:rsidRDefault="00374D2C" w:rsidP="00512092">
            <w:pPr>
              <w:pStyle w:val="TabletextLeft"/>
              <w:spacing w:before="0"/>
              <w:rPr>
                <w:rFonts w:asciiTheme="minorHAnsi" w:hAnsiTheme="minorHAnsi"/>
                <w:sz w:val="18"/>
                <w:szCs w:val="18"/>
              </w:rPr>
            </w:pPr>
            <w:r w:rsidRPr="00C729A5">
              <w:rPr>
                <w:rFonts w:asciiTheme="minorHAnsi" w:hAnsiTheme="minorHAnsi"/>
                <w:sz w:val="18"/>
                <w:szCs w:val="18"/>
              </w:rPr>
              <w:t>Medical studies</w:t>
            </w:r>
          </w:p>
        </w:tc>
        <w:tc>
          <w:tcPr>
            <w:tcW w:w="1247" w:type="dxa"/>
          </w:tcPr>
          <w:p w14:paraId="13BBD80E" w14:textId="77777777" w:rsidR="00374D2C" w:rsidRPr="008172C7" w:rsidRDefault="00374D2C" w:rsidP="00512092">
            <w:pPr>
              <w:jc w:val="center"/>
              <w:rPr>
                <w:rFonts w:asciiTheme="minorHAnsi" w:hAnsiTheme="minorHAnsi"/>
                <w:color w:val="000000"/>
                <w:sz w:val="18"/>
                <w:szCs w:val="18"/>
              </w:rPr>
            </w:pPr>
          </w:p>
        </w:tc>
        <w:tc>
          <w:tcPr>
            <w:tcW w:w="1247" w:type="dxa"/>
            <w:vAlign w:val="bottom"/>
          </w:tcPr>
          <w:p w14:paraId="285C5173" w14:textId="77777777" w:rsidR="00374D2C" w:rsidRPr="008172C7" w:rsidRDefault="00374D2C" w:rsidP="00512092">
            <w:pPr>
              <w:jc w:val="center"/>
              <w:rPr>
                <w:rFonts w:asciiTheme="minorHAnsi" w:hAnsiTheme="minorHAnsi"/>
                <w:color w:val="000000"/>
                <w:sz w:val="18"/>
                <w:szCs w:val="18"/>
              </w:rPr>
            </w:pPr>
            <w:r>
              <w:rPr>
                <w:color w:val="000000"/>
                <w:sz w:val="18"/>
                <w:szCs w:val="18"/>
              </w:rPr>
              <w:t>0.364***</w:t>
            </w:r>
          </w:p>
        </w:tc>
        <w:tc>
          <w:tcPr>
            <w:tcW w:w="1247" w:type="dxa"/>
            <w:vAlign w:val="bottom"/>
          </w:tcPr>
          <w:p w14:paraId="78AD83BD" w14:textId="77777777" w:rsidR="00374D2C" w:rsidRPr="008172C7" w:rsidRDefault="00374D2C" w:rsidP="00512092">
            <w:pPr>
              <w:jc w:val="center"/>
              <w:rPr>
                <w:rFonts w:asciiTheme="minorHAnsi" w:hAnsiTheme="minorHAnsi"/>
                <w:color w:val="000000"/>
                <w:sz w:val="18"/>
                <w:szCs w:val="18"/>
              </w:rPr>
            </w:pPr>
            <w:r>
              <w:rPr>
                <w:color w:val="000000"/>
                <w:sz w:val="18"/>
                <w:szCs w:val="18"/>
              </w:rPr>
              <w:t>0.387***</w:t>
            </w:r>
          </w:p>
        </w:tc>
        <w:tc>
          <w:tcPr>
            <w:tcW w:w="1363" w:type="dxa"/>
            <w:vAlign w:val="bottom"/>
          </w:tcPr>
          <w:p w14:paraId="33A3D722" w14:textId="77777777" w:rsidR="00374D2C" w:rsidRPr="008172C7" w:rsidRDefault="00374D2C" w:rsidP="00512092">
            <w:pPr>
              <w:jc w:val="center"/>
              <w:rPr>
                <w:rFonts w:asciiTheme="minorHAnsi" w:hAnsiTheme="minorHAnsi"/>
                <w:color w:val="000000"/>
                <w:sz w:val="18"/>
                <w:szCs w:val="18"/>
              </w:rPr>
            </w:pPr>
            <w:r>
              <w:rPr>
                <w:color w:val="000000"/>
                <w:sz w:val="18"/>
                <w:szCs w:val="18"/>
              </w:rPr>
              <w:t>0.534***</w:t>
            </w:r>
          </w:p>
        </w:tc>
      </w:tr>
      <w:tr w:rsidR="00374D2C" w14:paraId="14E8BA43" w14:textId="77777777" w:rsidTr="00512092">
        <w:tc>
          <w:tcPr>
            <w:tcW w:w="3401" w:type="dxa"/>
            <w:vAlign w:val="center"/>
          </w:tcPr>
          <w:p w14:paraId="0151CB9A" w14:textId="77777777" w:rsidR="00374D2C" w:rsidRPr="00C729A5" w:rsidRDefault="00374D2C" w:rsidP="00512092">
            <w:pPr>
              <w:pStyle w:val="TabletextLeft"/>
              <w:spacing w:before="0"/>
              <w:rPr>
                <w:rFonts w:asciiTheme="minorHAnsi" w:hAnsiTheme="minorHAnsi"/>
                <w:sz w:val="18"/>
                <w:szCs w:val="18"/>
              </w:rPr>
            </w:pPr>
            <w:r w:rsidRPr="00C729A5">
              <w:rPr>
                <w:rFonts w:asciiTheme="minorHAnsi" w:hAnsiTheme="minorHAnsi"/>
                <w:sz w:val="18"/>
                <w:szCs w:val="18"/>
              </w:rPr>
              <w:t>Dental studies</w:t>
            </w:r>
          </w:p>
        </w:tc>
        <w:tc>
          <w:tcPr>
            <w:tcW w:w="1247" w:type="dxa"/>
          </w:tcPr>
          <w:p w14:paraId="39FC8C1E" w14:textId="77777777" w:rsidR="00374D2C" w:rsidRPr="008172C7" w:rsidRDefault="00374D2C" w:rsidP="00512092">
            <w:pPr>
              <w:jc w:val="center"/>
              <w:rPr>
                <w:rFonts w:asciiTheme="minorHAnsi" w:hAnsiTheme="minorHAnsi"/>
                <w:color w:val="000000"/>
                <w:sz w:val="18"/>
                <w:szCs w:val="18"/>
              </w:rPr>
            </w:pPr>
          </w:p>
        </w:tc>
        <w:tc>
          <w:tcPr>
            <w:tcW w:w="1247" w:type="dxa"/>
            <w:vAlign w:val="bottom"/>
          </w:tcPr>
          <w:p w14:paraId="28982515" w14:textId="77777777" w:rsidR="00374D2C" w:rsidRPr="008172C7" w:rsidRDefault="00374D2C" w:rsidP="00512092">
            <w:pPr>
              <w:jc w:val="center"/>
              <w:rPr>
                <w:rFonts w:asciiTheme="minorHAnsi" w:hAnsiTheme="minorHAnsi"/>
                <w:color w:val="000000"/>
                <w:sz w:val="18"/>
                <w:szCs w:val="18"/>
              </w:rPr>
            </w:pPr>
            <w:r>
              <w:rPr>
                <w:color w:val="000000"/>
                <w:sz w:val="18"/>
                <w:szCs w:val="18"/>
              </w:rPr>
              <w:t>0.543***</w:t>
            </w:r>
          </w:p>
        </w:tc>
        <w:tc>
          <w:tcPr>
            <w:tcW w:w="1247" w:type="dxa"/>
            <w:vAlign w:val="bottom"/>
          </w:tcPr>
          <w:p w14:paraId="6FD34ED3" w14:textId="77777777" w:rsidR="00374D2C" w:rsidRPr="008172C7" w:rsidRDefault="00374D2C" w:rsidP="00512092">
            <w:pPr>
              <w:jc w:val="center"/>
              <w:rPr>
                <w:rFonts w:asciiTheme="minorHAnsi" w:hAnsiTheme="minorHAnsi"/>
                <w:color w:val="000000"/>
                <w:sz w:val="18"/>
                <w:szCs w:val="18"/>
              </w:rPr>
            </w:pPr>
            <w:r>
              <w:rPr>
                <w:color w:val="000000"/>
                <w:sz w:val="18"/>
                <w:szCs w:val="18"/>
              </w:rPr>
              <w:t>0.686***</w:t>
            </w:r>
          </w:p>
        </w:tc>
        <w:tc>
          <w:tcPr>
            <w:tcW w:w="1363" w:type="dxa"/>
            <w:vAlign w:val="bottom"/>
          </w:tcPr>
          <w:p w14:paraId="1883D756" w14:textId="77777777" w:rsidR="00374D2C" w:rsidRPr="008172C7" w:rsidRDefault="00374D2C" w:rsidP="00512092">
            <w:pPr>
              <w:jc w:val="center"/>
              <w:rPr>
                <w:rFonts w:asciiTheme="minorHAnsi" w:hAnsiTheme="minorHAnsi"/>
                <w:color w:val="000000"/>
                <w:sz w:val="18"/>
                <w:szCs w:val="18"/>
              </w:rPr>
            </w:pPr>
            <w:r>
              <w:rPr>
                <w:color w:val="000000"/>
                <w:sz w:val="18"/>
                <w:szCs w:val="18"/>
              </w:rPr>
              <w:t>0.728***</w:t>
            </w:r>
          </w:p>
        </w:tc>
      </w:tr>
      <w:tr w:rsidR="00374D2C" w14:paraId="0AC774D3" w14:textId="77777777" w:rsidTr="00512092">
        <w:tc>
          <w:tcPr>
            <w:tcW w:w="3401" w:type="dxa"/>
            <w:vAlign w:val="center"/>
          </w:tcPr>
          <w:p w14:paraId="3F3E62C6" w14:textId="77777777" w:rsidR="00374D2C" w:rsidRPr="00C729A5" w:rsidRDefault="00374D2C" w:rsidP="00512092">
            <w:pPr>
              <w:pStyle w:val="TabletextLeft"/>
              <w:spacing w:before="0"/>
              <w:rPr>
                <w:rFonts w:asciiTheme="minorHAnsi" w:hAnsiTheme="minorHAnsi"/>
                <w:sz w:val="18"/>
                <w:szCs w:val="18"/>
              </w:rPr>
            </w:pPr>
            <w:r w:rsidRPr="00C729A5">
              <w:rPr>
                <w:rFonts w:asciiTheme="minorHAnsi" w:hAnsiTheme="minorHAnsi"/>
                <w:sz w:val="18"/>
                <w:szCs w:val="18"/>
              </w:rPr>
              <w:t>Veterinary studies</w:t>
            </w:r>
          </w:p>
        </w:tc>
        <w:tc>
          <w:tcPr>
            <w:tcW w:w="1247" w:type="dxa"/>
          </w:tcPr>
          <w:p w14:paraId="576015E1" w14:textId="77777777" w:rsidR="00374D2C" w:rsidRPr="008172C7" w:rsidRDefault="00374D2C" w:rsidP="00512092">
            <w:pPr>
              <w:jc w:val="center"/>
              <w:rPr>
                <w:rFonts w:asciiTheme="minorHAnsi" w:hAnsiTheme="minorHAnsi"/>
                <w:color w:val="000000"/>
                <w:sz w:val="18"/>
                <w:szCs w:val="18"/>
              </w:rPr>
            </w:pPr>
          </w:p>
        </w:tc>
        <w:tc>
          <w:tcPr>
            <w:tcW w:w="1247" w:type="dxa"/>
            <w:vAlign w:val="bottom"/>
          </w:tcPr>
          <w:p w14:paraId="1C342B50" w14:textId="77777777" w:rsidR="00374D2C" w:rsidRPr="008172C7" w:rsidRDefault="00374D2C" w:rsidP="00512092">
            <w:pPr>
              <w:jc w:val="center"/>
              <w:rPr>
                <w:rFonts w:asciiTheme="minorHAnsi" w:hAnsiTheme="minorHAnsi"/>
                <w:color w:val="000000"/>
                <w:sz w:val="18"/>
                <w:szCs w:val="18"/>
              </w:rPr>
            </w:pPr>
            <w:r>
              <w:rPr>
                <w:color w:val="000000"/>
                <w:sz w:val="18"/>
                <w:szCs w:val="18"/>
              </w:rPr>
              <w:t>0.687***</w:t>
            </w:r>
          </w:p>
        </w:tc>
        <w:tc>
          <w:tcPr>
            <w:tcW w:w="1247" w:type="dxa"/>
            <w:vAlign w:val="bottom"/>
          </w:tcPr>
          <w:p w14:paraId="186E55FC" w14:textId="77777777" w:rsidR="00374D2C" w:rsidRPr="008172C7" w:rsidRDefault="00374D2C" w:rsidP="00512092">
            <w:pPr>
              <w:jc w:val="center"/>
              <w:rPr>
                <w:rFonts w:asciiTheme="minorHAnsi" w:hAnsiTheme="minorHAnsi"/>
                <w:color w:val="000000"/>
                <w:sz w:val="18"/>
                <w:szCs w:val="18"/>
              </w:rPr>
            </w:pPr>
            <w:r>
              <w:rPr>
                <w:color w:val="000000"/>
                <w:sz w:val="18"/>
                <w:szCs w:val="18"/>
              </w:rPr>
              <w:t>0.679***</w:t>
            </w:r>
          </w:p>
        </w:tc>
        <w:tc>
          <w:tcPr>
            <w:tcW w:w="1363" w:type="dxa"/>
            <w:vAlign w:val="bottom"/>
          </w:tcPr>
          <w:p w14:paraId="5BE567AE" w14:textId="77777777" w:rsidR="00374D2C" w:rsidRPr="008172C7" w:rsidRDefault="00374D2C" w:rsidP="00512092">
            <w:pPr>
              <w:jc w:val="center"/>
              <w:rPr>
                <w:rFonts w:asciiTheme="minorHAnsi" w:hAnsiTheme="minorHAnsi"/>
                <w:color w:val="000000"/>
                <w:sz w:val="18"/>
                <w:szCs w:val="18"/>
              </w:rPr>
            </w:pPr>
            <w:r>
              <w:rPr>
                <w:color w:val="000000"/>
                <w:sz w:val="18"/>
                <w:szCs w:val="18"/>
              </w:rPr>
              <w:t>0.751***</w:t>
            </w:r>
          </w:p>
        </w:tc>
      </w:tr>
      <w:tr w:rsidR="00374D2C" w14:paraId="6AB66CD3" w14:textId="77777777" w:rsidTr="00512092">
        <w:tc>
          <w:tcPr>
            <w:tcW w:w="3401" w:type="dxa"/>
            <w:vAlign w:val="center"/>
          </w:tcPr>
          <w:p w14:paraId="20D98ABC" w14:textId="77777777" w:rsidR="00374D2C" w:rsidRPr="00C729A5" w:rsidRDefault="00374D2C" w:rsidP="00512092">
            <w:pPr>
              <w:pStyle w:val="TabletextLeft"/>
              <w:spacing w:before="0"/>
              <w:rPr>
                <w:rFonts w:asciiTheme="minorHAnsi" w:hAnsiTheme="minorHAnsi"/>
                <w:sz w:val="18"/>
                <w:szCs w:val="18"/>
              </w:rPr>
            </w:pPr>
            <w:r w:rsidRPr="00C729A5">
              <w:rPr>
                <w:rFonts w:asciiTheme="minorHAnsi" w:hAnsiTheme="minorHAnsi"/>
                <w:sz w:val="18"/>
                <w:szCs w:val="18"/>
              </w:rPr>
              <w:t>Other health</w:t>
            </w:r>
          </w:p>
        </w:tc>
        <w:tc>
          <w:tcPr>
            <w:tcW w:w="1247" w:type="dxa"/>
          </w:tcPr>
          <w:p w14:paraId="54AC1E18" w14:textId="77777777" w:rsidR="00374D2C" w:rsidRPr="008172C7" w:rsidRDefault="00374D2C" w:rsidP="00512092">
            <w:pPr>
              <w:jc w:val="center"/>
              <w:rPr>
                <w:rFonts w:asciiTheme="minorHAnsi" w:hAnsiTheme="minorHAnsi"/>
                <w:color w:val="000000"/>
                <w:sz w:val="18"/>
                <w:szCs w:val="18"/>
              </w:rPr>
            </w:pPr>
          </w:p>
        </w:tc>
        <w:tc>
          <w:tcPr>
            <w:tcW w:w="1247" w:type="dxa"/>
            <w:vAlign w:val="bottom"/>
          </w:tcPr>
          <w:p w14:paraId="6A0B69B7" w14:textId="77777777" w:rsidR="00374D2C" w:rsidRPr="008172C7" w:rsidRDefault="00374D2C" w:rsidP="00512092">
            <w:pPr>
              <w:jc w:val="center"/>
              <w:rPr>
                <w:rFonts w:asciiTheme="minorHAnsi" w:hAnsiTheme="minorHAnsi"/>
                <w:color w:val="000000"/>
                <w:sz w:val="18"/>
                <w:szCs w:val="18"/>
              </w:rPr>
            </w:pPr>
            <w:r>
              <w:rPr>
                <w:color w:val="000000"/>
                <w:sz w:val="18"/>
                <w:szCs w:val="18"/>
              </w:rPr>
              <w:t>0.0586</w:t>
            </w:r>
          </w:p>
        </w:tc>
        <w:tc>
          <w:tcPr>
            <w:tcW w:w="1247" w:type="dxa"/>
            <w:vAlign w:val="bottom"/>
          </w:tcPr>
          <w:p w14:paraId="52E37A01" w14:textId="77777777" w:rsidR="00374D2C" w:rsidRPr="008172C7" w:rsidRDefault="00374D2C" w:rsidP="00512092">
            <w:pPr>
              <w:jc w:val="center"/>
              <w:rPr>
                <w:rFonts w:asciiTheme="minorHAnsi" w:hAnsiTheme="minorHAnsi"/>
                <w:color w:val="000000"/>
                <w:sz w:val="18"/>
                <w:szCs w:val="18"/>
              </w:rPr>
            </w:pPr>
            <w:r>
              <w:rPr>
                <w:color w:val="000000"/>
                <w:sz w:val="18"/>
                <w:szCs w:val="18"/>
              </w:rPr>
              <w:t>0.0712</w:t>
            </w:r>
          </w:p>
        </w:tc>
        <w:tc>
          <w:tcPr>
            <w:tcW w:w="1363" w:type="dxa"/>
            <w:vAlign w:val="bottom"/>
          </w:tcPr>
          <w:p w14:paraId="7BCC611C" w14:textId="77777777" w:rsidR="00374D2C" w:rsidRPr="008172C7" w:rsidRDefault="00374D2C" w:rsidP="00512092">
            <w:pPr>
              <w:jc w:val="center"/>
              <w:rPr>
                <w:rFonts w:asciiTheme="minorHAnsi" w:hAnsiTheme="minorHAnsi"/>
                <w:color w:val="000000"/>
                <w:sz w:val="18"/>
                <w:szCs w:val="18"/>
              </w:rPr>
            </w:pPr>
            <w:r>
              <w:rPr>
                <w:color w:val="000000"/>
                <w:sz w:val="18"/>
                <w:szCs w:val="18"/>
              </w:rPr>
              <w:t>0.149*</w:t>
            </w:r>
          </w:p>
        </w:tc>
      </w:tr>
      <w:tr w:rsidR="00374D2C" w14:paraId="1EA6A647" w14:textId="77777777" w:rsidTr="00512092">
        <w:tc>
          <w:tcPr>
            <w:tcW w:w="3401" w:type="dxa"/>
            <w:vAlign w:val="center"/>
          </w:tcPr>
          <w:p w14:paraId="7379CC04" w14:textId="77777777" w:rsidR="00374D2C" w:rsidRPr="00C729A5" w:rsidRDefault="00374D2C" w:rsidP="00512092">
            <w:pPr>
              <w:pStyle w:val="TabletextLeft"/>
              <w:spacing w:before="0"/>
              <w:rPr>
                <w:rFonts w:asciiTheme="minorHAnsi" w:hAnsiTheme="minorHAnsi"/>
                <w:sz w:val="18"/>
                <w:szCs w:val="18"/>
              </w:rPr>
            </w:pPr>
            <w:r w:rsidRPr="00C729A5">
              <w:rPr>
                <w:rFonts w:asciiTheme="minorHAnsi" w:hAnsiTheme="minorHAnsi"/>
                <w:sz w:val="18"/>
                <w:szCs w:val="18"/>
              </w:rPr>
              <w:t>Education</w:t>
            </w:r>
          </w:p>
        </w:tc>
        <w:tc>
          <w:tcPr>
            <w:tcW w:w="1247" w:type="dxa"/>
          </w:tcPr>
          <w:p w14:paraId="2294AED7" w14:textId="77777777" w:rsidR="00374D2C" w:rsidRPr="008172C7" w:rsidRDefault="00374D2C" w:rsidP="00512092">
            <w:pPr>
              <w:jc w:val="center"/>
              <w:rPr>
                <w:rFonts w:asciiTheme="minorHAnsi" w:hAnsiTheme="minorHAnsi"/>
                <w:color w:val="000000"/>
                <w:sz w:val="18"/>
                <w:szCs w:val="18"/>
              </w:rPr>
            </w:pPr>
          </w:p>
        </w:tc>
        <w:tc>
          <w:tcPr>
            <w:tcW w:w="1247" w:type="dxa"/>
            <w:vAlign w:val="bottom"/>
          </w:tcPr>
          <w:p w14:paraId="3D042B79" w14:textId="77777777" w:rsidR="00374D2C" w:rsidRPr="008172C7" w:rsidRDefault="00374D2C" w:rsidP="00512092">
            <w:pPr>
              <w:jc w:val="center"/>
              <w:rPr>
                <w:rFonts w:asciiTheme="minorHAnsi" w:hAnsiTheme="minorHAnsi"/>
                <w:color w:val="000000"/>
                <w:sz w:val="18"/>
                <w:szCs w:val="18"/>
              </w:rPr>
            </w:pPr>
            <w:r>
              <w:rPr>
                <w:color w:val="000000"/>
                <w:sz w:val="18"/>
                <w:szCs w:val="18"/>
              </w:rPr>
              <w:t>-0.0722</w:t>
            </w:r>
          </w:p>
        </w:tc>
        <w:tc>
          <w:tcPr>
            <w:tcW w:w="1247" w:type="dxa"/>
            <w:vAlign w:val="bottom"/>
          </w:tcPr>
          <w:p w14:paraId="640491BA" w14:textId="77777777" w:rsidR="00374D2C" w:rsidRPr="008172C7" w:rsidRDefault="00374D2C" w:rsidP="00512092">
            <w:pPr>
              <w:jc w:val="center"/>
              <w:rPr>
                <w:rFonts w:asciiTheme="minorHAnsi" w:hAnsiTheme="minorHAnsi"/>
                <w:color w:val="000000"/>
                <w:sz w:val="18"/>
                <w:szCs w:val="18"/>
              </w:rPr>
            </w:pPr>
            <w:r>
              <w:rPr>
                <w:color w:val="000000"/>
                <w:sz w:val="18"/>
                <w:szCs w:val="18"/>
              </w:rPr>
              <w:t>-0.0147</w:t>
            </w:r>
          </w:p>
        </w:tc>
        <w:tc>
          <w:tcPr>
            <w:tcW w:w="1363" w:type="dxa"/>
            <w:vAlign w:val="bottom"/>
          </w:tcPr>
          <w:p w14:paraId="1E57856F" w14:textId="77777777" w:rsidR="00374D2C" w:rsidRPr="008172C7" w:rsidRDefault="00374D2C" w:rsidP="00512092">
            <w:pPr>
              <w:jc w:val="center"/>
              <w:rPr>
                <w:rFonts w:asciiTheme="minorHAnsi" w:hAnsiTheme="minorHAnsi"/>
                <w:color w:val="000000"/>
                <w:sz w:val="18"/>
                <w:szCs w:val="18"/>
              </w:rPr>
            </w:pPr>
            <w:r>
              <w:rPr>
                <w:color w:val="000000"/>
                <w:sz w:val="18"/>
                <w:szCs w:val="18"/>
              </w:rPr>
              <w:t>-0.0214</w:t>
            </w:r>
          </w:p>
        </w:tc>
      </w:tr>
      <w:tr w:rsidR="00374D2C" w14:paraId="3F2841AA" w14:textId="77777777" w:rsidTr="00512092">
        <w:tc>
          <w:tcPr>
            <w:tcW w:w="3401" w:type="dxa"/>
            <w:vAlign w:val="center"/>
          </w:tcPr>
          <w:p w14:paraId="7A45B90C" w14:textId="77777777" w:rsidR="00374D2C" w:rsidRPr="00C729A5" w:rsidRDefault="00374D2C" w:rsidP="00512092">
            <w:pPr>
              <w:pStyle w:val="TabletextLeft"/>
              <w:spacing w:before="0"/>
              <w:rPr>
                <w:rFonts w:asciiTheme="minorHAnsi" w:hAnsiTheme="minorHAnsi"/>
                <w:sz w:val="18"/>
                <w:szCs w:val="18"/>
              </w:rPr>
            </w:pPr>
            <w:r w:rsidRPr="00C729A5">
              <w:rPr>
                <w:rFonts w:asciiTheme="minorHAnsi" w:hAnsiTheme="minorHAnsi"/>
                <w:sz w:val="18"/>
                <w:szCs w:val="18"/>
              </w:rPr>
              <w:t>Management and Commerce</w:t>
            </w:r>
          </w:p>
        </w:tc>
        <w:tc>
          <w:tcPr>
            <w:tcW w:w="1247" w:type="dxa"/>
          </w:tcPr>
          <w:p w14:paraId="5FD8F798" w14:textId="77777777" w:rsidR="00374D2C" w:rsidRPr="008172C7" w:rsidRDefault="00374D2C" w:rsidP="00512092">
            <w:pPr>
              <w:jc w:val="center"/>
              <w:rPr>
                <w:rFonts w:asciiTheme="minorHAnsi" w:hAnsiTheme="minorHAnsi"/>
                <w:color w:val="000000"/>
                <w:sz w:val="18"/>
                <w:szCs w:val="18"/>
              </w:rPr>
            </w:pPr>
          </w:p>
        </w:tc>
        <w:tc>
          <w:tcPr>
            <w:tcW w:w="1247" w:type="dxa"/>
            <w:vAlign w:val="bottom"/>
          </w:tcPr>
          <w:p w14:paraId="219F7456" w14:textId="77777777" w:rsidR="00374D2C" w:rsidRPr="008172C7" w:rsidRDefault="00374D2C" w:rsidP="00512092">
            <w:pPr>
              <w:jc w:val="center"/>
              <w:rPr>
                <w:rFonts w:asciiTheme="minorHAnsi" w:hAnsiTheme="minorHAnsi"/>
                <w:color w:val="000000"/>
                <w:sz w:val="18"/>
                <w:szCs w:val="18"/>
              </w:rPr>
            </w:pPr>
            <w:r>
              <w:rPr>
                <w:color w:val="000000"/>
                <w:sz w:val="18"/>
                <w:szCs w:val="18"/>
              </w:rPr>
              <w:t>0.00525</w:t>
            </w:r>
          </w:p>
        </w:tc>
        <w:tc>
          <w:tcPr>
            <w:tcW w:w="1247" w:type="dxa"/>
            <w:vAlign w:val="bottom"/>
          </w:tcPr>
          <w:p w14:paraId="7D3ED337" w14:textId="77777777" w:rsidR="00374D2C" w:rsidRPr="008172C7" w:rsidRDefault="00374D2C" w:rsidP="00512092">
            <w:pPr>
              <w:jc w:val="center"/>
              <w:rPr>
                <w:rFonts w:asciiTheme="minorHAnsi" w:hAnsiTheme="minorHAnsi"/>
                <w:color w:val="000000"/>
                <w:sz w:val="18"/>
                <w:szCs w:val="18"/>
              </w:rPr>
            </w:pPr>
            <w:r>
              <w:rPr>
                <w:color w:val="000000"/>
                <w:sz w:val="18"/>
                <w:szCs w:val="18"/>
              </w:rPr>
              <w:t>-0.0147</w:t>
            </w:r>
          </w:p>
        </w:tc>
        <w:tc>
          <w:tcPr>
            <w:tcW w:w="1363" w:type="dxa"/>
            <w:vAlign w:val="bottom"/>
          </w:tcPr>
          <w:p w14:paraId="6E39EC39" w14:textId="77777777" w:rsidR="00374D2C" w:rsidRPr="008172C7" w:rsidRDefault="00374D2C" w:rsidP="00512092">
            <w:pPr>
              <w:jc w:val="center"/>
              <w:rPr>
                <w:rFonts w:asciiTheme="minorHAnsi" w:hAnsiTheme="minorHAnsi"/>
                <w:color w:val="000000"/>
                <w:sz w:val="18"/>
                <w:szCs w:val="18"/>
              </w:rPr>
            </w:pPr>
            <w:r>
              <w:rPr>
                <w:color w:val="000000"/>
                <w:sz w:val="18"/>
                <w:szCs w:val="18"/>
              </w:rPr>
              <w:t>0.0126</w:t>
            </w:r>
          </w:p>
        </w:tc>
      </w:tr>
      <w:tr w:rsidR="00374D2C" w14:paraId="226F46DB" w14:textId="77777777" w:rsidTr="00512092">
        <w:tc>
          <w:tcPr>
            <w:tcW w:w="3401" w:type="dxa"/>
            <w:vAlign w:val="center"/>
          </w:tcPr>
          <w:p w14:paraId="066BF373" w14:textId="77777777" w:rsidR="00374D2C" w:rsidRPr="00C729A5" w:rsidRDefault="00374D2C" w:rsidP="00512092">
            <w:pPr>
              <w:pStyle w:val="TabletextLeft"/>
              <w:spacing w:before="0"/>
              <w:rPr>
                <w:rFonts w:asciiTheme="minorHAnsi" w:hAnsiTheme="minorHAnsi"/>
                <w:sz w:val="18"/>
                <w:szCs w:val="18"/>
              </w:rPr>
            </w:pPr>
            <w:r w:rsidRPr="00C729A5">
              <w:rPr>
                <w:rFonts w:asciiTheme="minorHAnsi" w:hAnsiTheme="minorHAnsi"/>
                <w:sz w:val="18"/>
                <w:szCs w:val="18"/>
              </w:rPr>
              <w:t>Languages</w:t>
            </w:r>
          </w:p>
        </w:tc>
        <w:tc>
          <w:tcPr>
            <w:tcW w:w="1247" w:type="dxa"/>
          </w:tcPr>
          <w:p w14:paraId="76672A56" w14:textId="77777777" w:rsidR="00374D2C" w:rsidRPr="008172C7" w:rsidRDefault="00374D2C" w:rsidP="00512092">
            <w:pPr>
              <w:jc w:val="center"/>
              <w:rPr>
                <w:rFonts w:asciiTheme="minorHAnsi" w:hAnsiTheme="minorHAnsi"/>
                <w:color w:val="000000"/>
                <w:sz w:val="18"/>
                <w:szCs w:val="18"/>
              </w:rPr>
            </w:pPr>
          </w:p>
        </w:tc>
        <w:tc>
          <w:tcPr>
            <w:tcW w:w="1247" w:type="dxa"/>
            <w:vAlign w:val="bottom"/>
          </w:tcPr>
          <w:p w14:paraId="6ED021D8" w14:textId="77777777" w:rsidR="00374D2C" w:rsidRPr="008172C7" w:rsidRDefault="00374D2C" w:rsidP="00512092">
            <w:pPr>
              <w:jc w:val="center"/>
              <w:rPr>
                <w:rFonts w:asciiTheme="minorHAnsi" w:hAnsiTheme="minorHAnsi"/>
                <w:color w:val="000000"/>
                <w:sz w:val="18"/>
                <w:szCs w:val="18"/>
              </w:rPr>
            </w:pPr>
            <w:r>
              <w:rPr>
                <w:color w:val="000000"/>
                <w:sz w:val="18"/>
                <w:szCs w:val="18"/>
              </w:rPr>
              <w:t>0.00363</w:t>
            </w:r>
          </w:p>
        </w:tc>
        <w:tc>
          <w:tcPr>
            <w:tcW w:w="1247" w:type="dxa"/>
            <w:vAlign w:val="bottom"/>
          </w:tcPr>
          <w:p w14:paraId="41AF5E5E" w14:textId="77777777" w:rsidR="00374D2C" w:rsidRPr="008172C7" w:rsidRDefault="00374D2C" w:rsidP="00512092">
            <w:pPr>
              <w:jc w:val="center"/>
              <w:rPr>
                <w:rFonts w:asciiTheme="minorHAnsi" w:hAnsiTheme="minorHAnsi"/>
                <w:color w:val="000000"/>
                <w:sz w:val="18"/>
                <w:szCs w:val="18"/>
              </w:rPr>
            </w:pPr>
            <w:r>
              <w:rPr>
                <w:color w:val="000000"/>
                <w:sz w:val="18"/>
                <w:szCs w:val="18"/>
              </w:rPr>
              <w:t>0.0473</w:t>
            </w:r>
          </w:p>
        </w:tc>
        <w:tc>
          <w:tcPr>
            <w:tcW w:w="1363" w:type="dxa"/>
            <w:vAlign w:val="bottom"/>
          </w:tcPr>
          <w:p w14:paraId="7FC42292" w14:textId="77777777" w:rsidR="00374D2C" w:rsidRPr="008172C7" w:rsidRDefault="00374D2C" w:rsidP="00512092">
            <w:pPr>
              <w:jc w:val="center"/>
              <w:rPr>
                <w:rFonts w:asciiTheme="minorHAnsi" w:hAnsiTheme="minorHAnsi"/>
                <w:color w:val="000000"/>
                <w:sz w:val="18"/>
                <w:szCs w:val="18"/>
              </w:rPr>
            </w:pPr>
            <w:r>
              <w:rPr>
                <w:color w:val="000000"/>
                <w:sz w:val="18"/>
                <w:szCs w:val="18"/>
              </w:rPr>
              <w:t>-0.0737</w:t>
            </w:r>
          </w:p>
        </w:tc>
      </w:tr>
      <w:tr w:rsidR="00374D2C" w14:paraId="2E651A85" w14:textId="77777777" w:rsidTr="00512092">
        <w:tc>
          <w:tcPr>
            <w:tcW w:w="3401" w:type="dxa"/>
            <w:vAlign w:val="center"/>
          </w:tcPr>
          <w:p w14:paraId="21FE174D" w14:textId="77777777" w:rsidR="00374D2C" w:rsidRPr="00C729A5" w:rsidRDefault="00374D2C" w:rsidP="00512092">
            <w:pPr>
              <w:pStyle w:val="TabletextLeft"/>
              <w:spacing w:before="0"/>
              <w:rPr>
                <w:rFonts w:asciiTheme="minorHAnsi" w:hAnsiTheme="minorHAnsi"/>
                <w:sz w:val="18"/>
                <w:szCs w:val="18"/>
              </w:rPr>
            </w:pPr>
            <w:r w:rsidRPr="00C729A5">
              <w:rPr>
                <w:rFonts w:asciiTheme="minorHAnsi" w:hAnsiTheme="minorHAnsi"/>
                <w:sz w:val="18"/>
                <w:szCs w:val="18"/>
              </w:rPr>
              <w:t>Clinical psychology</w:t>
            </w:r>
          </w:p>
        </w:tc>
        <w:tc>
          <w:tcPr>
            <w:tcW w:w="1247" w:type="dxa"/>
          </w:tcPr>
          <w:p w14:paraId="2BD0B359" w14:textId="77777777" w:rsidR="00374D2C" w:rsidRPr="008172C7" w:rsidRDefault="00374D2C" w:rsidP="00512092">
            <w:pPr>
              <w:jc w:val="center"/>
              <w:rPr>
                <w:rFonts w:asciiTheme="minorHAnsi" w:hAnsiTheme="minorHAnsi"/>
                <w:color w:val="000000"/>
                <w:sz w:val="18"/>
                <w:szCs w:val="18"/>
              </w:rPr>
            </w:pPr>
          </w:p>
        </w:tc>
        <w:tc>
          <w:tcPr>
            <w:tcW w:w="1247" w:type="dxa"/>
            <w:vAlign w:val="bottom"/>
          </w:tcPr>
          <w:p w14:paraId="007D3707" w14:textId="77777777" w:rsidR="00374D2C" w:rsidRPr="008172C7" w:rsidRDefault="00374D2C" w:rsidP="00512092">
            <w:pPr>
              <w:jc w:val="center"/>
              <w:rPr>
                <w:rFonts w:asciiTheme="minorHAnsi" w:hAnsiTheme="minorHAnsi"/>
                <w:color w:val="000000"/>
                <w:sz w:val="18"/>
                <w:szCs w:val="18"/>
              </w:rPr>
            </w:pPr>
            <w:r>
              <w:rPr>
                <w:color w:val="000000"/>
                <w:sz w:val="18"/>
                <w:szCs w:val="18"/>
              </w:rPr>
              <w:t>-0.0953**</w:t>
            </w:r>
          </w:p>
        </w:tc>
        <w:tc>
          <w:tcPr>
            <w:tcW w:w="1247" w:type="dxa"/>
            <w:vAlign w:val="bottom"/>
          </w:tcPr>
          <w:p w14:paraId="5EB4A4EA" w14:textId="77777777" w:rsidR="00374D2C" w:rsidRPr="008172C7" w:rsidRDefault="00374D2C" w:rsidP="00512092">
            <w:pPr>
              <w:jc w:val="center"/>
              <w:rPr>
                <w:rFonts w:asciiTheme="minorHAnsi" w:hAnsiTheme="minorHAnsi"/>
                <w:color w:val="000000"/>
                <w:sz w:val="18"/>
                <w:szCs w:val="18"/>
              </w:rPr>
            </w:pPr>
            <w:r>
              <w:rPr>
                <w:color w:val="000000"/>
                <w:sz w:val="18"/>
                <w:szCs w:val="18"/>
              </w:rPr>
              <w:t>-0.0488</w:t>
            </w:r>
          </w:p>
        </w:tc>
        <w:tc>
          <w:tcPr>
            <w:tcW w:w="1363" w:type="dxa"/>
            <w:vAlign w:val="bottom"/>
          </w:tcPr>
          <w:p w14:paraId="532786A4" w14:textId="77777777" w:rsidR="00374D2C" w:rsidRPr="008172C7" w:rsidRDefault="00374D2C" w:rsidP="00512092">
            <w:pPr>
              <w:jc w:val="center"/>
              <w:rPr>
                <w:rFonts w:asciiTheme="minorHAnsi" w:hAnsiTheme="minorHAnsi"/>
                <w:color w:val="000000"/>
                <w:sz w:val="18"/>
                <w:szCs w:val="18"/>
              </w:rPr>
            </w:pPr>
            <w:r>
              <w:rPr>
                <w:color w:val="000000"/>
                <w:sz w:val="18"/>
                <w:szCs w:val="18"/>
              </w:rPr>
              <w:t>-0.0284</w:t>
            </w:r>
          </w:p>
        </w:tc>
      </w:tr>
      <w:tr w:rsidR="00374D2C" w14:paraId="1AE3F40C" w14:textId="77777777" w:rsidTr="00512092">
        <w:tc>
          <w:tcPr>
            <w:tcW w:w="3401" w:type="dxa"/>
            <w:vAlign w:val="center"/>
          </w:tcPr>
          <w:p w14:paraId="77B72B17" w14:textId="77777777" w:rsidR="00374D2C" w:rsidRPr="00C729A5" w:rsidRDefault="00374D2C" w:rsidP="00512092">
            <w:pPr>
              <w:pStyle w:val="TabletextLeft"/>
              <w:spacing w:before="0"/>
              <w:rPr>
                <w:rFonts w:asciiTheme="minorHAnsi" w:hAnsiTheme="minorHAnsi"/>
                <w:sz w:val="18"/>
                <w:szCs w:val="18"/>
              </w:rPr>
            </w:pPr>
            <w:r w:rsidRPr="00C729A5">
              <w:rPr>
                <w:rFonts w:asciiTheme="minorHAnsi" w:hAnsiTheme="minorHAnsi"/>
                <w:sz w:val="18"/>
                <w:szCs w:val="18"/>
              </w:rPr>
              <w:t>Other society and culture</w:t>
            </w:r>
          </w:p>
        </w:tc>
        <w:tc>
          <w:tcPr>
            <w:tcW w:w="1247" w:type="dxa"/>
          </w:tcPr>
          <w:p w14:paraId="48FD1C33" w14:textId="77777777" w:rsidR="00374D2C" w:rsidRPr="008172C7" w:rsidRDefault="00374D2C" w:rsidP="00512092">
            <w:pPr>
              <w:jc w:val="center"/>
              <w:rPr>
                <w:rFonts w:asciiTheme="minorHAnsi" w:hAnsiTheme="minorHAnsi"/>
                <w:color w:val="000000"/>
                <w:sz w:val="18"/>
                <w:szCs w:val="18"/>
              </w:rPr>
            </w:pPr>
          </w:p>
        </w:tc>
        <w:tc>
          <w:tcPr>
            <w:tcW w:w="1247" w:type="dxa"/>
            <w:vAlign w:val="bottom"/>
          </w:tcPr>
          <w:p w14:paraId="312F9A55" w14:textId="77777777" w:rsidR="00374D2C" w:rsidRPr="008172C7" w:rsidRDefault="00374D2C" w:rsidP="00512092">
            <w:pPr>
              <w:jc w:val="center"/>
              <w:rPr>
                <w:rFonts w:asciiTheme="minorHAnsi" w:hAnsiTheme="minorHAnsi"/>
                <w:color w:val="000000"/>
                <w:sz w:val="18"/>
                <w:szCs w:val="18"/>
              </w:rPr>
            </w:pPr>
            <w:r>
              <w:rPr>
                <w:color w:val="000000"/>
                <w:sz w:val="18"/>
                <w:szCs w:val="18"/>
              </w:rPr>
              <w:t>-0.0812</w:t>
            </w:r>
          </w:p>
        </w:tc>
        <w:tc>
          <w:tcPr>
            <w:tcW w:w="1247" w:type="dxa"/>
            <w:vAlign w:val="bottom"/>
          </w:tcPr>
          <w:p w14:paraId="0A408580" w14:textId="77777777" w:rsidR="00374D2C" w:rsidRPr="008172C7" w:rsidRDefault="00374D2C" w:rsidP="00512092">
            <w:pPr>
              <w:jc w:val="center"/>
              <w:rPr>
                <w:rFonts w:asciiTheme="minorHAnsi" w:hAnsiTheme="minorHAnsi"/>
                <w:color w:val="000000"/>
                <w:sz w:val="18"/>
                <w:szCs w:val="18"/>
              </w:rPr>
            </w:pPr>
            <w:r>
              <w:rPr>
                <w:color w:val="000000"/>
                <w:sz w:val="18"/>
                <w:szCs w:val="18"/>
              </w:rPr>
              <w:t>-0.0955</w:t>
            </w:r>
          </w:p>
        </w:tc>
        <w:tc>
          <w:tcPr>
            <w:tcW w:w="1363" w:type="dxa"/>
            <w:vAlign w:val="bottom"/>
          </w:tcPr>
          <w:p w14:paraId="684E3213" w14:textId="77777777" w:rsidR="00374D2C" w:rsidRPr="008172C7" w:rsidRDefault="00374D2C" w:rsidP="00512092">
            <w:pPr>
              <w:jc w:val="center"/>
              <w:rPr>
                <w:rFonts w:asciiTheme="minorHAnsi" w:hAnsiTheme="minorHAnsi"/>
                <w:color w:val="000000"/>
                <w:sz w:val="18"/>
                <w:szCs w:val="18"/>
              </w:rPr>
            </w:pPr>
            <w:r>
              <w:rPr>
                <w:color w:val="000000"/>
                <w:sz w:val="18"/>
                <w:szCs w:val="18"/>
              </w:rPr>
              <w:t>-0.0504</w:t>
            </w:r>
          </w:p>
        </w:tc>
      </w:tr>
      <w:tr w:rsidR="00374D2C" w14:paraId="0C5966D7" w14:textId="77777777" w:rsidTr="00512092">
        <w:tc>
          <w:tcPr>
            <w:tcW w:w="3401" w:type="dxa"/>
            <w:vAlign w:val="center"/>
          </w:tcPr>
          <w:p w14:paraId="36162E7A" w14:textId="77777777" w:rsidR="00374D2C" w:rsidRPr="00C729A5" w:rsidRDefault="00374D2C" w:rsidP="00512092">
            <w:pPr>
              <w:pStyle w:val="TabletextLeft"/>
              <w:spacing w:before="0"/>
              <w:rPr>
                <w:rFonts w:asciiTheme="minorHAnsi" w:hAnsiTheme="minorHAnsi"/>
                <w:sz w:val="18"/>
                <w:szCs w:val="18"/>
              </w:rPr>
            </w:pPr>
            <w:r w:rsidRPr="00C729A5">
              <w:rPr>
                <w:rFonts w:asciiTheme="minorHAnsi" w:hAnsiTheme="minorHAnsi"/>
                <w:sz w:val="18"/>
                <w:szCs w:val="18"/>
              </w:rPr>
              <w:t>Communication and media studies</w:t>
            </w:r>
          </w:p>
        </w:tc>
        <w:tc>
          <w:tcPr>
            <w:tcW w:w="1247" w:type="dxa"/>
          </w:tcPr>
          <w:p w14:paraId="0C01C80E" w14:textId="77777777" w:rsidR="00374D2C" w:rsidRPr="008172C7" w:rsidRDefault="00374D2C" w:rsidP="00512092">
            <w:pPr>
              <w:jc w:val="center"/>
              <w:rPr>
                <w:rFonts w:asciiTheme="minorHAnsi" w:hAnsiTheme="minorHAnsi"/>
                <w:color w:val="000000"/>
                <w:sz w:val="18"/>
                <w:szCs w:val="18"/>
              </w:rPr>
            </w:pPr>
          </w:p>
        </w:tc>
        <w:tc>
          <w:tcPr>
            <w:tcW w:w="1247" w:type="dxa"/>
            <w:vAlign w:val="bottom"/>
          </w:tcPr>
          <w:p w14:paraId="3B646A5F" w14:textId="77777777" w:rsidR="00374D2C" w:rsidRPr="008172C7" w:rsidRDefault="00374D2C" w:rsidP="00512092">
            <w:pPr>
              <w:jc w:val="center"/>
              <w:rPr>
                <w:rFonts w:asciiTheme="minorHAnsi" w:hAnsiTheme="minorHAnsi"/>
                <w:color w:val="000000"/>
                <w:sz w:val="18"/>
                <w:szCs w:val="18"/>
              </w:rPr>
            </w:pPr>
            <w:r>
              <w:rPr>
                <w:color w:val="000000"/>
                <w:sz w:val="18"/>
                <w:szCs w:val="18"/>
              </w:rPr>
              <w:t>-0.0531**</w:t>
            </w:r>
          </w:p>
        </w:tc>
        <w:tc>
          <w:tcPr>
            <w:tcW w:w="1247" w:type="dxa"/>
            <w:vAlign w:val="bottom"/>
          </w:tcPr>
          <w:p w14:paraId="16519B93" w14:textId="77777777" w:rsidR="00374D2C" w:rsidRPr="008172C7" w:rsidRDefault="00374D2C" w:rsidP="00512092">
            <w:pPr>
              <w:jc w:val="center"/>
              <w:rPr>
                <w:rFonts w:asciiTheme="minorHAnsi" w:hAnsiTheme="minorHAnsi"/>
                <w:color w:val="000000"/>
                <w:sz w:val="18"/>
                <w:szCs w:val="18"/>
              </w:rPr>
            </w:pPr>
            <w:r>
              <w:rPr>
                <w:color w:val="000000"/>
                <w:sz w:val="18"/>
                <w:szCs w:val="18"/>
              </w:rPr>
              <w:t>-0.0147</w:t>
            </w:r>
          </w:p>
        </w:tc>
        <w:tc>
          <w:tcPr>
            <w:tcW w:w="1363" w:type="dxa"/>
            <w:vAlign w:val="bottom"/>
          </w:tcPr>
          <w:p w14:paraId="53CA20CE" w14:textId="77777777" w:rsidR="00374D2C" w:rsidRPr="008172C7" w:rsidRDefault="00374D2C" w:rsidP="00512092">
            <w:pPr>
              <w:jc w:val="center"/>
              <w:rPr>
                <w:rFonts w:asciiTheme="minorHAnsi" w:hAnsiTheme="minorHAnsi"/>
                <w:color w:val="000000"/>
                <w:sz w:val="18"/>
                <w:szCs w:val="18"/>
              </w:rPr>
            </w:pPr>
            <w:r>
              <w:rPr>
                <w:color w:val="000000"/>
                <w:sz w:val="18"/>
                <w:szCs w:val="18"/>
              </w:rPr>
              <w:t>0.021</w:t>
            </w:r>
          </w:p>
        </w:tc>
      </w:tr>
      <w:tr w:rsidR="00374D2C" w14:paraId="33129F3A" w14:textId="77777777" w:rsidTr="00512092">
        <w:tc>
          <w:tcPr>
            <w:tcW w:w="3401" w:type="dxa"/>
            <w:vAlign w:val="center"/>
          </w:tcPr>
          <w:p w14:paraId="5CCAFE13" w14:textId="77777777" w:rsidR="00374D2C" w:rsidRPr="00C729A5" w:rsidRDefault="00374D2C" w:rsidP="00512092">
            <w:pPr>
              <w:pStyle w:val="TabletextLeft"/>
              <w:spacing w:before="0"/>
              <w:rPr>
                <w:rFonts w:asciiTheme="minorHAnsi" w:hAnsiTheme="minorHAnsi"/>
                <w:sz w:val="18"/>
                <w:szCs w:val="18"/>
              </w:rPr>
            </w:pPr>
            <w:r w:rsidRPr="00C729A5">
              <w:rPr>
                <w:rFonts w:asciiTheme="minorHAnsi" w:hAnsiTheme="minorHAnsi"/>
                <w:sz w:val="18"/>
                <w:szCs w:val="18"/>
              </w:rPr>
              <w:t>Other creative arts</w:t>
            </w:r>
          </w:p>
        </w:tc>
        <w:tc>
          <w:tcPr>
            <w:tcW w:w="1247" w:type="dxa"/>
          </w:tcPr>
          <w:p w14:paraId="7282130A" w14:textId="77777777" w:rsidR="00374D2C" w:rsidRPr="008172C7" w:rsidRDefault="00374D2C" w:rsidP="00512092">
            <w:pPr>
              <w:jc w:val="center"/>
              <w:rPr>
                <w:rFonts w:asciiTheme="minorHAnsi" w:hAnsiTheme="minorHAnsi"/>
                <w:color w:val="000000"/>
                <w:sz w:val="18"/>
                <w:szCs w:val="18"/>
              </w:rPr>
            </w:pPr>
          </w:p>
        </w:tc>
        <w:tc>
          <w:tcPr>
            <w:tcW w:w="1247" w:type="dxa"/>
            <w:vAlign w:val="bottom"/>
          </w:tcPr>
          <w:p w14:paraId="0321554E" w14:textId="77777777" w:rsidR="00374D2C" w:rsidRPr="008172C7" w:rsidRDefault="00374D2C" w:rsidP="00512092">
            <w:pPr>
              <w:jc w:val="center"/>
              <w:rPr>
                <w:rFonts w:asciiTheme="minorHAnsi" w:hAnsiTheme="minorHAnsi"/>
                <w:color w:val="000000"/>
                <w:sz w:val="18"/>
                <w:szCs w:val="18"/>
              </w:rPr>
            </w:pPr>
            <w:r>
              <w:rPr>
                <w:color w:val="000000"/>
                <w:sz w:val="18"/>
                <w:szCs w:val="18"/>
              </w:rPr>
              <w:t>0.0746*</w:t>
            </w:r>
          </w:p>
        </w:tc>
        <w:tc>
          <w:tcPr>
            <w:tcW w:w="1247" w:type="dxa"/>
            <w:vAlign w:val="bottom"/>
          </w:tcPr>
          <w:p w14:paraId="30D24FC1" w14:textId="77777777" w:rsidR="00374D2C" w:rsidRPr="008172C7" w:rsidRDefault="00374D2C" w:rsidP="00512092">
            <w:pPr>
              <w:jc w:val="center"/>
              <w:rPr>
                <w:rFonts w:asciiTheme="minorHAnsi" w:hAnsiTheme="minorHAnsi"/>
                <w:color w:val="000000"/>
                <w:sz w:val="18"/>
                <w:szCs w:val="18"/>
              </w:rPr>
            </w:pPr>
            <w:r>
              <w:rPr>
                <w:color w:val="000000"/>
                <w:sz w:val="18"/>
                <w:szCs w:val="18"/>
              </w:rPr>
              <w:t>0.152***</w:t>
            </w:r>
          </w:p>
        </w:tc>
        <w:tc>
          <w:tcPr>
            <w:tcW w:w="1363" w:type="dxa"/>
            <w:vAlign w:val="bottom"/>
          </w:tcPr>
          <w:p w14:paraId="0F4A5E5C" w14:textId="77777777" w:rsidR="00374D2C" w:rsidRPr="008172C7" w:rsidRDefault="00374D2C" w:rsidP="00512092">
            <w:pPr>
              <w:jc w:val="center"/>
              <w:rPr>
                <w:rFonts w:asciiTheme="minorHAnsi" w:hAnsiTheme="minorHAnsi"/>
                <w:color w:val="000000"/>
                <w:sz w:val="18"/>
                <w:szCs w:val="18"/>
              </w:rPr>
            </w:pPr>
            <w:r>
              <w:rPr>
                <w:color w:val="000000"/>
                <w:sz w:val="18"/>
                <w:szCs w:val="18"/>
              </w:rPr>
              <w:t>0.269**</w:t>
            </w:r>
          </w:p>
        </w:tc>
      </w:tr>
      <w:tr w:rsidR="00374D2C" w14:paraId="27850937" w14:textId="77777777" w:rsidTr="00512092">
        <w:tc>
          <w:tcPr>
            <w:tcW w:w="3401" w:type="dxa"/>
            <w:vAlign w:val="center"/>
          </w:tcPr>
          <w:p w14:paraId="6C734990" w14:textId="77777777" w:rsidR="00374D2C" w:rsidRPr="00C729A5" w:rsidRDefault="00374D2C" w:rsidP="00512092">
            <w:pPr>
              <w:pStyle w:val="TabletextLeft"/>
              <w:spacing w:before="0"/>
              <w:rPr>
                <w:rFonts w:asciiTheme="minorHAnsi" w:hAnsiTheme="minorHAnsi"/>
                <w:sz w:val="18"/>
                <w:szCs w:val="18"/>
              </w:rPr>
            </w:pPr>
          </w:p>
        </w:tc>
        <w:tc>
          <w:tcPr>
            <w:tcW w:w="1247" w:type="dxa"/>
            <w:vAlign w:val="bottom"/>
          </w:tcPr>
          <w:p w14:paraId="1DD9FCD2" w14:textId="77777777" w:rsidR="00374D2C" w:rsidRPr="008172C7" w:rsidRDefault="00374D2C" w:rsidP="00512092">
            <w:pPr>
              <w:jc w:val="center"/>
              <w:rPr>
                <w:rFonts w:asciiTheme="minorHAnsi" w:hAnsiTheme="minorHAnsi"/>
                <w:color w:val="000000"/>
                <w:sz w:val="18"/>
                <w:szCs w:val="18"/>
              </w:rPr>
            </w:pPr>
          </w:p>
        </w:tc>
        <w:tc>
          <w:tcPr>
            <w:tcW w:w="1247" w:type="dxa"/>
            <w:vAlign w:val="bottom"/>
          </w:tcPr>
          <w:p w14:paraId="4EC4C028" w14:textId="77777777" w:rsidR="00374D2C" w:rsidRPr="008172C7" w:rsidRDefault="00374D2C" w:rsidP="00512092">
            <w:pPr>
              <w:jc w:val="center"/>
              <w:rPr>
                <w:rFonts w:asciiTheme="minorHAnsi" w:hAnsiTheme="minorHAnsi"/>
                <w:color w:val="000000"/>
                <w:sz w:val="18"/>
                <w:szCs w:val="18"/>
              </w:rPr>
            </w:pPr>
          </w:p>
        </w:tc>
        <w:tc>
          <w:tcPr>
            <w:tcW w:w="1247" w:type="dxa"/>
            <w:vAlign w:val="bottom"/>
          </w:tcPr>
          <w:p w14:paraId="6D0C9D63" w14:textId="77777777" w:rsidR="00374D2C" w:rsidRPr="008172C7" w:rsidRDefault="00374D2C" w:rsidP="00512092">
            <w:pPr>
              <w:jc w:val="center"/>
              <w:rPr>
                <w:rFonts w:asciiTheme="minorHAnsi" w:hAnsiTheme="minorHAnsi"/>
                <w:color w:val="000000"/>
                <w:sz w:val="18"/>
                <w:szCs w:val="18"/>
              </w:rPr>
            </w:pPr>
          </w:p>
        </w:tc>
        <w:tc>
          <w:tcPr>
            <w:tcW w:w="1363" w:type="dxa"/>
            <w:vAlign w:val="bottom"/>
          </w:tcPr>
          <w:p w14:paraId="17FEDD86" w14:textId="77777777" w:rsidR="00374D2C" w:rsidRPr="008172C7" w:rsidRDefault="00374D2C" w:rsidP="00512092">
            <w:pPr>
              <w:jc w:val="center"/>
              <w:rPr>
                <w:rFonts w:asciiTheme="minorHAnsi" w:hAnsiTheme="minorHAnsi"/>
                <w:color w:val="000000"/>
                <w:sz w:val="18"/>
                <w:szCs w:val="18"/>
              </w:rPr>
            </w:pPr>
          </w:p>
        </w:tc>
      </w:tr>
      <w:tr w:rsidR="00374D2C" w14:paraId="78F2A4C7" w14:textId="77777777" w:rsidTr="00512092">
        <w:tc>
          <w:tcPr>
            <w:tcW w:w="3401" w:type="dxa"/>
            <w:vAlign w:val="center"/>
          </w:tcPr>
          <w:p w14:paraId="35BF4AEA" w14:textId="77777777" w:rsidR="00374D2C" w:rsidRPr="00C729A5" w:rsidRDefault="00374D2C" w:rsidP="00512092">
            <w:pPr>
              <w:pStyle w:val="TabletextLeft"/>
              <w:spacing w:before="0"/>
              <w:rPr>
                <w:rFonts w:asciiTheme="minorHAnsi" w:hAnsiTheme="minorHAnsi"/>
                <w:sz w:val="18"/>
                <w:szCs w:val="18"/>
              </w:rPr>
            </w:pPr>
            <w:r w:rsidRPr="00552614">
              <w:rPr>
                <w:rFonts w:asciiTheme="minorHAnsi" w:hAnsiTheme="minorHAnsi"/>
                <w:sz w:val="18"/>
                <w:szCs w:val="18"/>
              </w:rPr>
              <w:t>Constant</w:t>
            </w:r>
          </w:p>
        </w:tc>
        <w:tc>
          <w:tcPr>
            <w:tcW w:w="1247" w:type="dxa"/>
            <w:vAlign w:val="bottom"/>
          </w:tcPr>
          <w:p w14:paraId="06A9B4E0" w14:textId="77777777" w:rsidR="00374D2C" w:rsidRPr="008172C7" w:rsidRDefault="00374D2C" w:rsidP="00512092">
            <w:pPr>
              <w:jc w:val="center"/>
              <w:rPr>
                <w:rFonts w:asciiTheme="minorHAnsi" w:hAnsiTheme="minorHAnsi"/>
                <w:color w:val="000000"/>
                <w:sz w:val="18"/>
                <w:szCs w:val="18"/>
              </w:rPr>
            </w:pPr>
            <w:r>
              <w:rPr>
                <w:color w:val="000000"/>
                <w:sz w:val="18"/>
                <w:szCs w:val="18"/>
              </w:rPr>
              <w:t>11.92***</w:t>
            </w:r>
          </w:p>
        </w:tc>
        <w:tc>
          <w:tcPr>
            <w:tcW w:w="1247" w:type="dxa"/>
            <w:vAlign w:val="bottom"/>
          </w:tcPr>
          <w:p w14:paraId="378C9BE4" w14:textId="77777777" w:rsidR="00374D2C" w:rsidRPr="008172C7" w:rsidRDefault="00374D2C" w:rsidP="00512092">
            <w:pPr>
              <w:jc w:val="center"/>
              <w:rPr>
                <w:rFonts w:asciiTheme="minorHAnsi" w:hAnsiTheme="minorHAnsi"/>
                <w:color w:val="000000"/>
                <w:sz w:val="18"/>
                <w:szCs w:val="18"/>
              </w:rPr>
            </w:pPr>
            <w:r>
              <w:rPr>
                <w:color w:val="000000"/>
                <w:sz w:val="18"/>
                <w:szCs w:val="18"/>
              </w:rPr>
              <w:t>11.28***</w:t>
            </w:r>
          </w:p>
        </w:tc>
        <w:tc>
          <w:tcPr>
            <w:tcW w:w="1247" w:type="dxa"/>
            <w:vAlign w:val="bottom"/>
          </w:tcPr>
          <w:p w14:paraId="28453B3E" w14:textId="77777777" w:rsidR="00374D2C" w:rsidRPr="008172C7" w:rsidRDefault="00374D2C" w:rsidP="00512092">
            <w:pPr>
              <w:jc w:val="center"/>
              <w:rPr>
                <w:rFonts w:asciiTheme="minorHAnsi" w:hAnsiTheme="minorHAnsi"/>
                <w:color w:val="000000"/>
                <w:sz w:val="18"/>
                <w:szCs w:val="18"/>
              </w:rPr>
            </w:pPr>
            <w:r>
              <w:rPr>
                <w:color w:val="000000"/>
                <w:sz w:val="18"/>
                <w:szCs w:val="18"/>
              </w:rPr>
              <w:t>10.95***</w:t>
            </w:r>
          </w:p>
        </w:tc>
        <w:tc>
          <w:tcPr>
            <w:tcW w:w="1363" w:type="dxa"/>
            <w:vAlign w:val="bottom"/>
          </w:tcPr>
          <w:p w14:paraId="02FE82F5" w14:textId="77777777" w:rsidR="00374D2C" w:rsidRPr="008172C7" w:rsidRDefault="00374D2C" w:rsidP="00512092">
            <w:pPr>
              <w:jc w:val="center"/>
              <w:rPr>
                <w:rFonts w:asciiTheme="minorHAnsi" w:hAnsiTheme="minorHAnsi"/>
                <w:color w:val="000000"/>
                <w:sz w:val="18"/>
                <w:szCs w:val="18"/>
              </w:rPr>
            </w:pPr>
            <w:r>
              <w:rPr>
                <w:color w:val="000000"/>
                <w:sz w:val="18"/>
                <w:szCs w:val="18"/>
              </w:rPr>
              <w:t>10.48***</w:t>
            </w:r>
          </w:p>
        </w:tc>
      </w:tr>
      <w:tr w:rsidR="00374D2C" w14:paraId="7EE62686" w14:textId="77777777" w:rsidTr="00512092">
        <w:tc>
          <w:tcPr>
            <w:tcW w:w="3401" w:type="dxa"/>
            <w:vAlign w:val="center"/>
          </w:tcPr>
          <w:p w14:paraId="0FA853D8" w14:textId="77777777" w:rsidR="00374D2C" w:rsidRPr="00C729A5" w:rsidRDefault="00374D2C" w:rsidP="00512092">
            <w:pPr>
              <w:pStyle w:val="TabletextLeft"/>
              <w:rPr>
                <w:rFonts w:asciiTheme="minorHAnsi" w:hAnsiTheme="minorHAnsi"/>
                <w:sz w:val="18"/>
                <w:szCs w:val="18"/>
              </w:rPr>
            </w:pPr>
          </w:p>
        </w:tc>
        <w:tc>
          <w:tcPr>
            <w:tcW w:w="1247" w:type="dxa"/>
            <w:vAlign w:val="bottom"/>
          </w:tcPr>
          <w:p w14:paraId="47A53F17" w14:textId="77777777" w:rsidR="00374D2C" w:rsidRPr="008172C7" w:rsidRDefault="00374D2C" w:rsidP="00512092">
            <w:pPr>
              <w:jc w:val="center"/>
              <w:rPr>
                <w:rFonts w:asciiTheme="minorHAnsi" w:hAnsiTheme="minorHAnsi"/>
                <w:color w:val="000000"/>
                <w:sz w:val="18"/>
                <w:szCs w:val="18"/>
              </w:rPr>
            </w:pPr>
          </w:p>
        </w:tc>
        <w:tc>
          <w:tcPr>
            <w:tcW w:w="1247" w:type="dxa"/>
            <w:vAlign w:val="bottom"/>
          </w:tcPr>
          <w:p w14:paraId="297222FC" w14:textId="77777777" w:rsidR="00374D2C" w:rsidRPr="008172C7" w:rsidRDefault="00374D2C" w:rsidP="00512092">
            <w:pPr>
              <w:jc w:val="center"/>
              <w:rPr>
                <w:rFonts w:asciiTheme="minorHAnsi" w:hAnsiTheme="minorHAnsi"/>
                <w:sz w:val="18"/>
                <w:szCs w:val="18"/>
              </w:rPr>
            </w:pPr>
          </w:p>
        </w:tc>
        <w:tc>
          <w:tcPr>
            <w:tcW w:w="1247" w:type="dxa"/>
            <w:vAlign w:val="bottom"/>
          </w:tcPr>
          <w:p w14:paraId="1AB4D7EB" w14:textId="77777777" w:rsidR="00374D2C" w:rsidRPr="008172C7" w:rsidRDefault="00374D2C" w:rsidP="00512092">
            <w:pPr>
              <w:jc w:val="center"/>
              <w:rPr>
                <w:rFonts w:asciiTheme="minorHAnsi" w:hAnsiTheme="minorHAnsi"/>
                <w:sz w:val="18"/>
                <w:szCs w:val="18"/>
              </w:rPr>
            </w:pPr>
          </w:p>
        </w:tc>
        <w:tc>
          <w:tcPr>
            <w:tcW w:w="1363" w:type="dxa"/>
            <w:vAlign w:val="bottom"/>
          </w:tcPr>
          <w:p w14:paraId="26CC18F5" w14:textId="77777777" w:rsidR="00374D2C" w:rsidRPr="008172C7" w:rsidRDefault="00374D2C" w:rsidP="00512092">
            <w:pPr>
              <w:jc w:val="center"/>
              <w:rPr>
                <w:rFonts w:asciiTheme="minorHAnsi" w:hAnsiTheme="minorHAnsi"/>
                <w:sz w:val="18"/>
                <w:szCs w:val="18"/>
              </w:rPr>
            </w:pPr>
          </w:p>
        </w:tc>
      </w:tr>
      <w:tr w:rsidR="00374D2C" w14:paraId="709ABE77" w14:textId="77777777" w:rsidTr="00512092">
        <w:tc>
          <w:tcPr>
            <w:tcW w:w="3401" w:type="dxa"/>
            <w:vAlign w:val="center"/>
          </w:tcPr>
          <w:p w14:paraId="5E60D35F" w14:textId="77777777" w:rsidR="00374D2C" w:rsidRPr="00C729A5" w:rsidRDefault="00374D2C" w:rsidP="00512092">
            <w:pPr>
              <w:pStyle w:val="TabletextLeft"/>
              <w:rPr>
                <w:rFonts w:asciiTheme="minorHAnsi" w:hAnsiTheme="minorHAnsi"/>
                <w:i/>
                <w:sz w:val="18"/>
                <w:szCs w:val="18"/>
              </w:rPr>
            </w:pPr>
            <w:r w:rsidRPr="00C729A5">
              <w:rPr>
                <w:rFonts w:asciiTheme="minorHAnsi" w:hAnsiTheme="minorHAnsi"/>
                <w:i/>
                <w:sz w:val="18"/>
                <w:szCs w:val="18"/>
              </w:rPr>
              <w:t>Observations</w:t>
            </w:r>
          </w:p>
        </w:tc>
        <w:tc>
          <w:tcPr>
            <w:tcW w:w="1247" w:type="dxa"/>
            <w:vAlign w:val="bottom"/>
          </w:tcPr>
          <w:p w14:paraId="4399C48B" w14:textId="77777777" w:rsidR="00374D2C" w:rsidRPr="008172C7" w:rsidRDefault="00374D2C" w:rsidP="00512092">
            <w:pPr>
              <w:jc w:val="center"/>
              <w:rPr>
                <w:rFonts w:asciiTheme="minorHAnsi" w:hAnsiTheme="minorHAnsi"/>
                <w:color w:val="000000"/>
                <w:sz w:val="18"/>
                <w:szCs w:val="18"/>
              </w:rPr>
            </w:pPr>
            <w:r>
              <w:rPr>
                <w:color w:val="000000"/>
                <w:sz w:val="18"/>
                <w:szCs w:val="18"/>
              </w:rPr>
              <w:t>281</w:t>
            </w:r>
          </w:p>
        </w:tc>
        <w:tc>
          <w:tcPr>
            <w:tcW w:w="1247" w:type="dxa"/>
            <w:vAlign w:val="bottom"/>
          </w:tcPr>
          <w:p w14:paraId="7D15EAF3" w14:textId="77777777" w:rsidR="00374D2C" w:rsidRPr="008172C7" w:rsidRDefault="00374D2C" w:rsidP="00512092">
            <w:pPr>
              <w:jc w:val="center"/>
              <w:rPr>
                <w:rFonts w:asciiTheme="minorHAnsi" w:hAnsiTheme="minorHAnsi"/>
                <w:color w:val="000000"/>
                <w:sz w:val="18"/>
                <w:szCs w:val="18"/>
              </w:rPr>
            </w:pPr>
            <w:r>
              <w:rPr>
                <w:color w:val="000000"/>
                <w:sz w:val="18"/>
                <w:szCs w:val="18"/>
              </w:rPr>
              <w:t>281</w:t>
            </w:r>
          </w:p>
        </w:tc>
        <w:tc>
          <w:tcPr>
            <w:tcW w:w="1247" w:type="dxa"/>
            <w:vAlign w:val="bottom"/>
          </w:tcPr>
          <w:p w14:paraId="4CE3600B" w14:textId="77777777" w:rsidR="00374D2C" w:rsidRPr="008172C7" w:rsidRDefault="00374D2C" w:rsidP="00512092">
            <w:pPr>
              <w:jc w:val="center"/>
              <w:rPr>
                <w:rFonts w:asciiTheme="minorHAnsi" w:hAnsiTheme="minorHAnsi"/>
                <w:color w:val="000000"/>
                <w:sz w:val="18"/>
                <w:szCs w:val="18"/>
              </w:rPr>
            </w:pPr>
            <w:r>
              <w:rPr>
                <w:color w:val="000000"/>
                <w:sz w:val="18"/>
                <w:szCs w:val="18"/>
              </w:rPr>
              <w:t>280</w:t>
            </w:r>
          </w:p>
        </w:tc>
        <w:tc>
          <w:tcPr>
            <w:tcW w:w="1363" w:type="dxa"/>
            <w:vAlign w:val="bottom"/>
          </w:tcPr>
          <w:p w14:paraId="49E851E6" w14:textId="77777777" w:rsidR="00374D2C" w:rsidRPr="008172C7" w:rsidRDefault="00374D2C" w:rsidP="00512092">
            <w:pPr>
              <w:jc w:val="center"/>
              <w:rPr>
                <w:rFonts w:asciiTheme="minorHAnsi" w:hAnsiTheme="minorHAnsi"/>
                <w:color w:val="000000"/>
                <w:sz w:val="18"/>
                <w:szCs w:val="18"/>
              </w:rPr>
            </w:pPr>
            <w:r>
              <w:rPr>
                <w:color w:val="000000"/>
                <w:sz w:val="18"/>
                <w:szCs w:val="18"/>
              </w:rPr>
              <w:t>201</w:t>
            </w:r>
          </w:p>
        </w:tc>
      </w:tr>
      <w:tr w:rsidR="00374D2C" w14:paraId="3F6301BA" w14:textId="77777777" w:rsidTr="00512092">
        <w:tc>
          <w:tcPr>
            <w:tcW w:w="3401" w:type="dxa"/>
            <w:vAlign w:val="center"/>
          </w:tcPr>
          <w:p w14:paraId="7B89DA3B" w14:textId="77777777" w:rsidR="00374D2C" w:rsidRPr="00C729A5" w:rsidRDefault="00374D2C" w:rsidP="00512092">
            <w:pPr>
              <w:pStyle w:val="TabletextLeft"/>
              <w:rPr>
                <w:rFonts w:asciiTheme="minorHAnsi" w:hAnsiTheme="minorHAnsi"/>
                <w:i/>
                <w:sz w:val="18"/>
                <w:szCs w:val="18"/>
              </w:rPr>
            </w:pPr>
            <w:r w:rsidRPr="00C729A5">
              <w:rPr>
                <w:rFonts w:asciiTheme="minorHAnsi" w:hAnsiTheme="minorHAnsi"/>
                <w:i/>
                <w:sz w:val="18"/>
                <w:szCs w:val="18"/>
              </w:rPr>
              <w:t>R</w:t>
            </w:r>
            <w:r w:rsidRPr="00C729A5">
              <w:rPr>
                <w:rFonts w:asciiTheme="minorHAnsi" w:hAnsiTheme="minorHAnsi"/>
                <w:i/>
                <w:sz w:val="18"/>
                <w:szCs w:val="18"/>
                <w:vertAlign w:val="superscript"/>
              </w:rPr>
              <w:t>2</w:t>
            </w:r>
            <w:r w:rsidRPr="00C729A5">
              <w:rPr>
                <w:rFonts w:asciiTheme="minorHAnsi" w:hAnsiTheme="minorHAnsi"/>
                <w:i/>
                <w:sz w:val="18"/>
                <w:szCs w:val="18"/>
              </w:rPr>
              <w:t xml:space="preserve"> </w:t>
            </w:r>
          </w:p>
        </w:tc>
        <w:tc>
          <w:tcPr>
            <w:tcW w:w="1247" w:type="dxa"/>
            <w:vAlign w:val="bottom"/>
          </w:tcPr>
          <w:p w14:paraId="72860523" w14:textId="77777777" w:rsidR="00374D2C" w:rsidRPr="008172C7" w:rsidRDefault="00374D2C" w:rsidP="00512092">
            <w:pPr>
              <w:jc w:val="center"/>
              <w:rPr>
                <w:rFonts w:asciiTheme="minorHAnsi" w:hAnsiTheme="minorHAnsi"/>
                <w:color w:val="000000"/>
                <w:sz w:val="18"/>
                <w:szCs w:val="18"/>
              </w:rPr>
            </w:pPr>
            <w:r>
              <w:rPr>
                <w:color w:val="000000"/>
                <w:sz w:val="18"/>
                <w:szCs w:val="18"/>
              </w:rPr>
              <w:t>0.53</w:t>
            </w:r>
          </w:p>
        </w:tc>
        <w:tc>
          <w:tcPr>
            <w:tcW w:w="1247" w:type="dxa"/>
            <w:vAlign w:val="bottom"/>
          </w:tcPr>
          <w:p w14:paraId="1A800BB9" w14:textId="77777777" w:rsidR="00374D2C" w:rsidRPr="008172C7" w:rsidRDefault="00374D2C" w:rsidP="00512092">
            <w:pPr>
              <w:jc w:val="center"/>
              <w:rPr>
                <w:rFonts w:asciiTheme="minorHAnsi" w:hAnsiTheme="minorHAnsi"/>
                <w:color w:val="000000"/>
                <w:sz w:val="18"/>
                <w:szCs w:val="18"/>
              </w:rPr>
            </w:pPr>
            <w:r>
              <w:rPr>
                <w:color w:val="000000"/>
                <w:sz w:val="18"/>
                <w:szCs w:val="18"/>
              </w:rPr>
              <w:t>0.66</w:t>
            </w:r>
          </w:p>
        </w:tc>
        <w:tc>
          <w:tcPr>
            <w:tcW w:w="1247" w:type="dxa"/>
            <w:vAlign w:val="bottom"/>
          </w:tcPr>
          <w:p w14:paraId="3D4E835C" w14:textId="77777777" w:rsidR="00374D2C" w:rsidRPr="008172C7" w:rsidRDefault="00374D2C" w:rsidP="00512092">
            <w:pPr>
              <w:jc w:val="center"/>
              <w:rPr>
                <w:rFonts w:asciiTheme="minorHAnsi" w:hAnsiTheme="minorHAnsi"/>
                <w:color w:val="000000"/>
                <w:sz w:val="18"/>
                <w:szCs w:val="18"/>
              </w:rPr>
            </w:pPr>
            <w:r>
              <w:rPr>
                <w:color w:val="000000"/>
                <w:sz w:val="18"/>
                <w:szCs w:val="18"/>
              </w:rPr>
              <w:t>0.72</w:t>
            </w:r>
          </w:p>
        </w:tc>
        <w:tc>
          <w:tcPr>
            <w:tcW w:w="1363" w:type="dxa"/>
            <w:vAlign w:val="bottom"/>
          </w:tcPr>
          <w:p w14:paraId="08124162" w14:textId="77777777" w:rsidR="00374D2C" w:rsidRPr="008172C7" w:rsidRDefault="00374D2C" w:rsidP="00512092">
            <w:pPr>
              <w:jc w:val="center"/>
              <w:rPr>
                <w:rFonts w:asciiTheme="minorHAnsi" w:hAnsiTheme="minorHAnsi"/>
                <w:color w:val="000000"/>
                <w:sz w:val="18"/>
                <w:szCs w:val="18"/>
              </w:rPr>
            </w:pPr>
            <w:r>
              <w:rPr>
                <w:color w:val="000000"/>
                <w:sz w:val="18"/>
                <w:szCs w:val="18"/>
              </w:rPr>
              <w:t>0.78</w:t>
            </w:r>
          </w:p>
        </w:tc>
      </w:tr>
    </w:tbl>
    <w:p w14:paraId="54460E17" w14:textId="77777777" w:rsidR="00374D2C" w:rsidRDefault="00374D2C" w:rsidP="00374D2C">
      <w:pPr>
        <w:pStyle w:val="Source"/>
      </w:pPr>
      <w:r>
        <w:t>Source: Deloitte Access Economics</w:t>
      </w:r>
      <w:r w:rsidR="000075ED">
        <w:t xml:space="preserve"> analysis</w:t>
      </w:r>
      <w:r>
        <w:t xml:space="preserve">. </w:t>
      </w:r>
    </w:p>
    <w:p w14:paraId="1E977A2D" w14:textId="77777777" w:rsidR="00374D2C" w:rsidRPr="00C729A5" w:rsidRDefault="00374D2C" w:rsidP="00374D2C">
      <w:pPr>
        <w:pStyle w:val="Source"/>
      </w:pPr>
      <w:r>
        <w:lastRenderedPageBreak/>
        <w:t xml:space="preserve"> Note: *,**,*** indicate statistical significance at the 10%, 5% and 1% level respectively. Unless otherwise specified, the unit of observation is by level, field and university. The dependent variable used was the log of total costs per EFTSL.   Standard errors are clustered at the university institution level. Unless otherwise specified, the unit of observation is by level, field and university.   </w:t>
      </w:r>
    </w:p>
    <w:p w14:paraId="3436C074" w14:textId="77777777" w:rsidR="00374D2C" w:rsidRPr="00835D11" w:rsidRDefault="00374D2C" w:rsidP="00374D2C">
      <w:pPr>
        <w:pStyle w:val="HeadingC"/>
      </w:pPr>
      <w:r w:rsidRPr="00835D11">
        <w:t>The relative size of cost drivers</w:t>
      </w:r>
    </w:p>
    <w:p w14:paraId="3381ED25" w14:textId="77777777" w:rsidR="00825BB4" w:rsidRDefault="00374D2C" w:rsidP="00374D2C">
      <w:pPr>
        <w:pStyle w:val="BodyText"/>
      </w:pPr>
      <w:r>
        <w:t xml:space="preserve">The </w:t>
      </w:r>
      <w:r w:rsidR="007330CB">
        <w:t xml:space="preserve">below </w:t>
      </w:r>
      <w:r>
        <w:t xml:space="preserve">charts </w:t>
      </w:r>
      <w:r w:rsidR="007330CB">
        <w:t>examine</w:t>
      </w:r>
      <w:r>
        <w:t xml:space="preserve"> the relative importance of cost drivers by showing the impact on cost per EFTSL </w:t>
      </w:r>
      <w:r w:rsidR="007330CB">
        <w:t>after</w:t>
      </w:r>
      <w:r>
        <w:t xml:space="preserve"> varying the values of </w:t>
      </w:r>
      <w:r w:rsidR="007330CB">
        <w:t xml:space="preserve">each </w:t>
      </w:r>
      <w:r>
        <w:t xml:space="preserve">cost driver. Chart 5.1 shows the </w:t>
      </w:r>
      <w:r w:rsidR="00825BB4">
        <w:t>change in estimated cost associated with an increase from the first to third quartile of a given cost driver (holding all else constant)</w:t>
      </w:r>
      <w:r>
        <w:t>.</w:t>
      </w:r>
      <w:r>
        <w:rPr>
          <w:rStyle w:val="FootnoteReference"/>
        </w:rPr>
        <w:footnoteReference w:id="25"/>
      </w:r>
      <w:r>
        <w:t xml:space="preserve"> </w:t>
      </w:r>
      <w:r w:rsidR="00E04E91">
        <w:t>Confidence bands are also included (represented by the green lines) to provide an indication of the precision of each estimate.</w:t>
      </w:r>
    </w:p>
    <w:p w14:paraId="1A737777" w14:textId="28BCED32" w:rsidR="00BE7801" w:rsidRDefault="00E04E91" w:rsidP="00374D2C">
      <w:pPr>
        <w:pStyle w:val="BodyText"/>
      </w:pPr>
      <w:r>
        <w:t xml:space="preserve">The chart effectively incorporates both the estimated effect and observed variation of a given cost driver to provide a measure of ‘how material’ each input is to the cost model. </w:t>
      </w:r>
      <w:r w:rsidR="00374D2C">
        <w:t>Chart 5.1 demonstrates that an increase in the staff to student ratio from the first to third quartile is associated with an average increase in costs per EFTSL of nearly $4,000. Similarly, a</w:t>
      </w:r>
      <w:r w:rsidR="00967757">
        <w:t xml:space="preserve"> likewise</w:t>
      </w:r>
      <w:r w:rsidR="00AB0A7A">
        <w:t xml:space="preserve"> first to third quartile</w:t>
      </w:r>
      <w:r w:rsidR="00374D2C">
        <w:t xml:space="preserve"> increase in the proportion of casual staff is associated with a reduction in average costs of </w:t>
      </w:r>
      <w:r w:rsidR="00825BB4">
        <w:t>approximately</w:t>
      </w:r>
      <w:r w:rsidR="00374D2C">
        <w:t xml:space="preserve"> $</w:t>
      </w:r>
      <w:r w:rsidR="00825BB4">
        <w:t>7</w:t>
      </w:r>
      <w:r w:rsidR="00374D2C">
        <w:t>00.</w:t>
      </w:r>
      <w:r w:rsidR="00BE7801">
        <w:t xml:space="preserve"> </w:t>
      </w:r>
    </w:p>
    <w:p w14:paraId="5ABACD98" w14:textId="77777777" w:rsidR="00374D2C" w:rsidRDefault="00BE7801" w:rsidP="00374D2C">
      <w:pPr>
        <w:pStyle w:val="BodyText"/>
      </w:pPr>
      <w:r>
        <w:t xml:space="preserve">This analysis shows clearly that staff to student ratios are the largest contributors to </w:t>
      </w:r>
      <w:r w:rsidR="005F2DE1">
        <w:t xml:space="preserve">variation in </w:t>
      </w:r>
      <w:r>
        <w:t xml:space="preserve">cost, which is consistent with expectations, given the importance of labour costs to teaching. </w:t>
      </w:r>
    </w:p>
    <w:p w14:paraId="4B6E375B" w14:textId="72E469A8" w:rsidR="00374D2C" w:rsidRDefault="00374D2C" w:rsidP="00374D2C">
      <w:pPr>
        <w:pStyle w:val="CaptionChart"/>
      </w:pPr>
      <w:bookmarkStart w:id="282" w:name="_Toc468732735"/>
      <w:bookmarkStart w:id="283" w:name="_Toc468732803"/>
      <w:bookmarkStart w:id="284" w:name="_Ref468190278"/>
      <w:bookmarkStart w:id="285" w:name="_Toc469927381"/>
      <w:bookmarkEnd w:id="282"/>
      <w:bookmarkEnd w:id="283"/>
      <w:r>
        <w:t>: The relative effect of cost drivers by variation from the 25</w:t>
      </w:r>
      <w:r w:rsidRPr="00EF2309">
        <w:rPr>
          <w:vertAlign w:val="superscript"/>
        </w:rPr>
        <w:t>th</w:t>
      </w:r>
      <w:r>
        <w:t xml:space="preserve"> to 75</w:t>
      </w:r>
      <w:r w:rsidRPr="00EF2309">
        <w:rPr>
          <w:vertAlign w:val="superscript"/>
        </w:rPr>
        <w:t>th</w:t>
      </w:r>
      <w:r>
        <w:t xml:space="preserve"> percentile (averaged across all fields of education, OLS model, </w:t>
      </w:r>
      <w:r w:rsidR="009F6F84">
        <w:t>b</w:t>
      </w:r>
      <w:r>
        <w:t>achelor</w:t>
      </w:r>
      <w:r w:rsidR="009F6F84">
        <w:t xml:space="preserve"> level</w:t>
      </w:r>
      <w:r>
        <w:t>)</w:t>
      </w:r>
      <w:bookmarkEnd w:id="284"/>
      <w:bookmarkEnd w:id="285"/>
    </w:p>
    <w:p w14:paraId="5E4E708E" w14:textId="77777777" w:rsidR="00374D2C" w:rsidRDefault="00825BB4" w:rsidP="00374D2C">
      <w:pPr>
        <w:pStyle w:val="BodyText"/>
        <w:jc w:val="center"/>
      </w:pPr>
      <w:r>
        <w:rPr>
          <w:noProof/>
          <w:lang w:eastAsia="en-AU"/>
        </w:rPr>
        <w:drawing>
          <wp:inline distT="0" distB="0" distL="0" distR="0" wp14:anchorId="5E3C62E8" wp14:editId="29A5D635">
            <wp:extent cx="5029835" cy="2091055"/>
            <wp:effectExtent l="0" t="0" r="0" b="4445"/>
            <wp:docPr id="5" name="Picture 5" descr="Comparison of the relative effect of cost drivers by variation from the 25th to 75th percentile, averaged across all fields of education, OLS model and bachelor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029835" cy="2091055"/>
                    </a:xfrm>
                    <a:prstGeom prst="rect">
                      <a:avLst/>
                    </a:prstGeom>
                    <a:noFill/>
                  </pic:spPr>
                </pic:pic>
              </a:graphicData>
            </a:graphic>
          </wp:inline>
        </w:drawing>
      </w:r>
    </w:p>
    <w:p w14:paraId="0240D0E8" w14:textId="77777777" w:rsidR="00374D2C" w:rsidRDefault="00374D2C" w:rsidP="00374D2C">
      <w:pPr>
        <w:pStyle w:val="Source"/>
      </w:pPr>
      <w:r w:rsidRPr="00F70A07">
        <w:t>Source: Deloitte Access Economics</w:t>
      </w:r>
      <w:r w:rsidR="000075ED">
        <w:t xml:space="preserve"> analysis.</w:t>
      </w:r>
    </w:p>
    <w:p w14:paraId="0B9AF52E" w14:textId="77777777" w:rsidR="00825BB4" w:rsidRDefault="00825BB4" w:rsidP="00374D2C">
      <w:pPr>
        <w:pStyle w:val="Source"/>
      </w:pPr>
      <w:r>
        <w:t xml:space="preserve">Note: Confidence bands at the 90% level. ‘EFTSL’ and ‘Proportion of external EFTSL’ are not statistically significant from zero, and are indicatively included. </w:t>
      </w:r>
    </w:p>
    <w:p w14:paraId="52BC8F39" w14:textId="4FF7EFAB" w:rsidR="00374D2C" w:rsidRPr="00D55F3F" w:rsidRDefault="00374D2C" w:rsidP="00374D2C">
      <w:pPr>
        <w:pStyle w:val="HeadingC"/>
        <w:jc w:val="both"/>
        <w:rPr>
          <w:rStyle w:val="Boldword"/>
          <w:color w:val="auto"/>
        </w:rPr>
      </w:pPr>
      <w:r w:rsidRPr="00D55F3F">
        <w:rPr>
          <w:rStyle w:val="Boldword"/>
          <w:color w:val="auto"/>
        </w:rPr>
        <w:lastRenderedPageBreak/>
        <w:t xml:space="preserve">In summary, it is clear that some cost drivers, such as staff to student ratios </w:t>
      </w:r>
      <w:r w:rsidR="000A6898" w:rsidRPr="00D55F3F">
        <w:rPr>
          <w:rStyle w:val="Boldword"/>
          <w:color w:val="auto"/>
        </w:rPr>
        <w:t>(</w:t>
      </w:r>
      <w:r w:rsidRPr="00D55F3F">
        <w:rPr>
          <w:rStyle w:val="Boldword"/>
          <w:color w:val="auto"/>
        </w:rPr>
        <w:t>and</w:t>
      </w:r>
      <w:r w:rsidR="000A6898" w:rsidRPr="00D55F3F">
        <w:rPr>
          <w:rStyle w:val="Boldword"/>
          <w:color w:val="auto"/>
        </w:rPr>
        <w:t xml:space="preserve"> to a lesser extent</w:t>
      </w:r>
      <w:r w:rsidRPr="00D55F3F">
        <w:rPr>
          <w:rStyle w:val="Boldword"/>
          <w:color w:val="auto"/>
        </w:rPr>
        <w:t xml:space="preserve"> the proportion of casual teaching staff</w:t>
      </w:r>
      <w:r w:rsidR="000A6898" w:rsidRPr="00D55F3F">
        <w:rPr>
          <w:rStyle w:val="Boldword"/>
          <w:color w:val="auto"/>
        </w:rPr>
        <w:t xml:space="preserve"> and student demographics)</w:t>
      </w:r>
      <w:r w:rsidRPr="00D55F3F">
        <w:rPr>
          <w:rStyle w:val="Boldword"/>
          <w:color w:val="auto"/>
        </w:rPr>
        <w:t xml:space="preserve"> have a </w:t>
      </w:r>
      <w:r w:rsidR="000A6898" w:rsidRPr="00D55F3F">
        <w:rPr>
          <w:rStyle w:val="Boldword"/>
          <w:color w:val="auto"/>
        </w:rPr>
        <w:t xml:space="preserve">material </w:t>
      </w:r>
      <w:r w:rsidRPr="00D55F3F">
        <w:rPr>
          <w:rStyle w:val="Boldword"/>
          <w:color w:val="auto"/>
        </w:rPr>
        <w:t xml:space="preserve">impact on </w:t>
      </w:r>
      <w:r w:rsidR="00995626">
        <w:rPr>
          <w:rStyle w:val="Boldword"/>
          <w:color w:val="auto"/>
        </w:rPr>
        <w:t>teaching and scholarship</w:t>
      </w:r>
      <w:r w:rsidRPr="00D55F3F">
        <w:rPr>
          <w:rStyle w:val="Boldword"/>
          <w:color w:val="auto"/>
        </w:rPr>
        <w:t xml:space="preserve"> costs, while the impact of other cost drivers is relatively small. </w:t>
      </w:r>
    </w:p>
    <w:p w14:paraId="26CF604E" w14:textId="77777777" w:rsidR="00374D2C" w:rsidRPr="004E467C" w:rsidRDefault="00374D2C" w:rsidP="00374D2C">
      <w:pPr>
        <w:pStyle w:val="BodyText"/>
      </w:pPr>
      <w:r w:rsidRPr="005F2DE1">
        <w:rPr>
          <w:lang w:eastAsia="en-AU"/>
        </w:rPr>
        <w:t xml:space="preserve">To provide further details on the </w:t>
      </w:r>
      <w:r>
        <w:rPr>
          <w:lang w:eastAsia="en-AU"/>
        </w:rPr>
        <w:t>relative spread and mean and median values of each of the cost drivers, Table 5.3 shows the mean and median of each cost driver, its minimum and maximum value and the size of the interquartile range</w:t>
      </w:r>
      <w:r w:rsidR="000A6898">
        <w:rPr>
          <w:lang w:eastAsia="en-AU"/>
        </w:rPr>
        <w:t xml:space="preserve"> (</w:t>
      </w:r>
      <w:r>
        <w:rPr>
          <w:lang w:eastAsia="en-AU"/>
        </w:rPr>
        <w:t>which is used as the basis for Chart 5.1</w:t>
      </w:r>
      <w:r w:rsidR="000A6898">
        <w:rPr>
          <w:lang w:eastAsia="en-AU"/>
        </w:rPr>
        <w:t>)</w:t>
      </w:r>
      <w:r>
        <w:rPr>
          <w:lang w:eastAsia="en-AU"/>
        </w:rPr>
        <w:t>.</w:t>
      </w:r>
    </w:p>
    <w:p w14:paraId="7CAE5C63" w14:textId="75B24637" w:rsidR="00374D2C" w:rsidRDefault="00374D2C" w:rsidP="00FC3C09">
      <w:pPr>
        <w:pStyle w:val="CaptionTable"/>
      </w:pPr>
      <w:bookmarkStart w:id="286" w:name="_Toc469927398"/>
      <w:r>
        <w:t>: Descriptive statistics</w:t>
      </w:r>
      <w:r w:rsidR="002D54FD">
        <w:t xml:space="preserve"> - </w:t>
      </w:r>
      <w:r>
        <w:t>Cost drivers (</w:t>
      </w:r>
      <w:r w:rsidR="009F6F84">
        <w:t>b</w:t>
      </w:r>
      <w:r>
        <w:t>achelor</w:t>
      </w:r>
      <w:r w:rsidR="009F6F84">
        <w:t xml:space="preserve"> level</w:t>
      </w:r>
      <w:r>
        <w:t>)</w:t>
      </w:r>
      <w:bookmarkEnd w:id="286"/>
    </w:p>
    <w:tbl>
      <w:tblPr>
        <w:tblStyle w:val="TableAE"/>
        <w:tblW w:w="8220" w:type="dxa"/>
        <w:tblLayout w:type="fixed"/>
        <w:tblLook w:val="04A0" w:firstRow="1" w:lastRow="0" w:firstColumn="1" w:lastColumn="0" w:noHBand="0" w:noVBand="1"/>
      </w:tblPr>
      <w:tblGrid>
        <w:gridCol w:w="2552"/>
        <w:gridCol w:w="992"/>
        <w:gridCol w:w="1276"/>
        <w:gridCol w:w="1134"/>
        <w:gridCol w:w="1134"/>
        <w:gridCol w:w="1132"/>
      </w:tblGrid>
      <w:tr w:rsidR="00374D2C" w14:paraId="500B0222" w14:textId="77777777" w:rsidTr="00512092">
        <w:trPr>
          <w:cnfStyle w:val="100000000000" w:firstRow="1" w:lastRow="0" w:firstColumn="0" w:lastColumn="0" w:oddVBand="0" w:evenVBand="0" w:oddHBand="0" w:evenHBand="0" w:firstRowFirstColumn="0" w:firstRowLastColumn="0" w:lastRowFirstColumn="0" w:lastRowLastColumn="0"/>
        </w:trPr>
        <w:tc>
          <w:tcPr>
            <w:tcW w:w="2552" w:type="dxa"/>
            <w:vAlign w:val="center"/>
          </w:tcPr>
          <w:p w14:paraId="481B29D1" w14:textId="77777777" w:rsidR="00374D2C" w:rsidRDefault="00374D2C" w:rsidP="00512092">
            <w:pPr>
              <w:pStyle w:val="TableHeadingCentre"/>
              <w:jc w:val="left"/>
            </w:pPr>
            <w:r>
              <w:t>Cost Driver</w:t>
            </w:r>
          </w:p>
        </w:tc>
        <w:tc>
          <w:tcPr>
            <w:tcW w:w="992" w:type="dxa"/>
          </w:tcPr>
          <w:p w14:paraId="55200779" w14:textId="77777777" w:rsidR="00374D2C" w:rsidRPr="00C729A5" w:rsidRDefault="00374D2C" w:rsidP="00512092">
            <w:pPr>
              <w:pStyle w:val="TableHeadingCentre"/>
              <w:tabs>
                <w:tab w:val="left" w:pos="240"/>
                <w:tab w:val="center" w:pos="611"/>
              </w:tabs>
              <w:rPr>
                <w:sz w:val="20"/>
              </w:rPr>
            </w:pPr>
            <w:r>
              <w:rPr>
                <w:sz w:val="20"/>
              </w:rPr>
              <w:t>Mean</w:t>
            </w:r>
          </w:p>
        </w:tc>
        <w:tc>
          <w:tcPr>
            <w:tcW w:w="1276" w:type="dxa"/>
          </w:tcPr>
          <w:p w14:paraId="48CB90E9" w14:textId="77777777" w:rsidR="00374D2C" w:rsidRPr="00C729A5" w:rsidRDefault="00374D2C" w:rsidP="00512092">
            <w:pPr>
              <w:pStyle w:val="TableHeadingCentre"/>
              <w:rPr>
                <w:sz w:val="20"/>
              </w:rPr>
            </w:pPr>
            <w:r>
              <w:rPr>
                <w:sz w:val="20"/>
              </w:rPr>
              <w:t>Median</w:t>
            </w:r>
          </w:p>
        </w:tc>
        <w:tc>
          <w:tcPr>
            <w:tcW w:w="1134" w:type="dxa"/>
          </w:tcPr>
          <w:p w14:paraId="44832053" w14:textId="77777777" w:rsidR="00374D2C" w:rsidRPr="00C729A5" w:rsidRDefault="00374D2C" w:rsidP="00512092">
            <w:pPr>
              <w:pStyle w:val="TableHeadingCentre"/>
              <w:rPr>
                <w:sz w:val="20"/>
              </w:rPr>
            </w:pPr>
            <w:r>
              <w:rPr>
                <w:sz w:val="20"/>
              </w:rPr>
              <w:t>Min</w:t>
            </w:r>
          </w:p>
        </w:tc>
        <w:tc>
          <w:tcPr>
            <w:tcW w:w="1134" w:type="dxa"/>
          </w:tcPr>
          <w:p w14:paraId="757BD648" w14:textId="77777777" w:rsidR="00374D2C" w:rsidRDefault="00374D2C" w:rsidP="00512092">
            <w:pPr>
              <w:pStyle w:val="TableHeadingCentre"/>
              <w:rPr>
                <w:sz w:val="20"/>
              </w:rPr>
            </w:pPr>
            <w:r>
              <w:rPr>
                <w:sz w:val="20"/>
              </w:rPr>
              <w:t>Max</w:t>
            </w:r>
          </w:p>
        </w:tc>
        <w:tc>
          <w:tcPr>
            <w:tcW w:w="1132" w:type="dxa"/>
          </w:tcPr>
          <w:p w14:paraId="2AD888F6" w14:textId="77777777" w:rsidR="00374D2C" w:rsidRDefault="00374D2C" w:rsidP="00512092">
            <w:pPr>
              <w:pStyle w:val="TableHeadingCentre"/>
              <w:rPr>
                <w:sz w:val="20"/>
              </w:rPr>
            </w:pPr>
            <w:r>
              <w:rPr>
                <w:sz w:val="20"/>
              </w:rPr>
              <w:t>IQR</w:t>
            </w:r>
          </w:p>
        </w:tc>
      </w:tr>
      <w:tr w:rsidR="00374D2C" w14:paraId="2D390197" w14:textId="77777777" w:rsidTr="00512092">
        <w:tc>
          <w:tcPr>
            <w:tcW w:w="2552" w:type="dxa"/>
            <w:vAlign w:val="center"/>
          </w:tcPr>
          <w:p w14:paraId="515DB81A" w14:textId="77777777" w:rsidR="00374D2C" w:rsidRPr="00C729A5" w:rsidRDefault="00374D2C" w:rsidP="00512092">
            <w:pPr>
              <w:pStyle w:val="TabletextLeft"/>
              <w:spacing w:before="0"/>
              <w:rPr>
                <w:rFonts w:asciiTheme="minorHAnsi" w:hAnsiTheme="minorHAnsi"/>
                <w:sz w:val="18"/>
                <w:szCs w:val="18"/>
              </w:rPr>
            </w:pPr>
            <w:r w:rsidRPr="00C729A5">
              <w:rPr>
                <w:rFonts w:asciiTheme="minorHAnsi" w:hAnsiTheme="minorHAnsi"/>
                <w:sz w:val="18"/>
                <w:szCs w:val="18"/>
              </w:rPr>
              <w:t>Log staff-student ratio (Teaching staff FTE / total EFTSL)</w:t>
            </w:r>
          </w:p>
        </w:tc>
        <w:tc>
          <w:tcPr>
            <w:tcW w:w="992" w:type="dxa"/>
            <w:vAlign w:val="center"/>
          </w:tcPr>
          <w:p w14:paraId="136CB0EA" w14:textId="77777777" w:rsidR="00374D2C" w:rsidRPr="005173CD"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-3.30</w:t>
            </w:r>
          </w:p>
        </w:tc>
        <w:tc>
          <w:tcPr>
            <w:tcW w:w="1276" w:type="dxa"/>
            <w:vAlign w:val="center"/>
          </w:tcPr>
          <w:p w14:paraId="4BCBB0F6" w14:textId="77777777" w:rsidR="00374D2C" w:rsidRPr="005173CD"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-3.37</w:t>
            </w:r>
          </w:p>
        </w:tc>
        <w:tc>
          <w:tcPr>
            <w:tcW w:w="1134" w:type="dxa"/>
            <w:vAlign w:val="center"/>
          </w:tcPr>
          <w:p w14:paraId="6050B0CC" w14:textId="77777777" w:rsidR="00374D2C" w:rsidRPr="005173CD"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-4.61</w:t>
            </w:r>
          </w:p>
        </w:tc>
        <w:tc>
          <w:tcPr>
            <w:tcW w:w="1134" w:type="dxa"/>
            <w:vAlign w:val="center"/>
          </w:tcPr>
          <w:p w14:paraId="129B5D60" w14:textId="77777777" w:rsidR="00374D2C" w:rsidRPr="005173CD"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-1.05</w:t>
            </w:r>
          </w:p>
        </w:tc>
        <w:tc>
          <w:tcPr>
            <w:tcW w:w="1132" w:type="dxa"/>
            <w:vAlign w:val="center"/>
          </w:tcPr>
          <w:p w14:paraId="6D59E87D" w14:textId="77777777" w:rsidR="00374D2C" w:rsidRPr="005173CD"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0.60</w:t>
            </w:r>
          </w:p>
        </w:tc>
      </w:tr>
      <w:tr w:rsidR="00374D2C" w14:paraId="3DD55E19" w14:textId="77777777" w:rsidTr="00512092">
        <w:tc>
          <w:tcPr>
            <w:tcW w:w="2552" w:type="dxa"/>
            <w:vAlign w:val="center"/>
          </w:tcPr>
          <w:p w14:paraId="7EFED332" w14:textId="77777777" w:rsidR="00374D2C" w:rsidRPr="00C729A5" w:rsidRDefault="00374D2C" w:rsidP="00512092">
            <w:pPr>
              <w:pStyle w:val="TabletextLeft"/>
              <w:spacing w:before="0"/>
              <w:rPr>
                <w:rFonts w:asciiTheme="minorHAnsi" w:hAnsiTheme="minorHAnsi"/>
                <w:sz w:val="18"/>
                <w:szCs w:val="18"/>
              </w:rPr>
            </w:pPr>
            <w:r>
              <w:rPr>
                <w:rFonts w:asciiTheme="minorHAnsi" w:hAnsiTheme="minorHAnsi"/>
                <w:sz w:val="18"/>
                <w:szCs w:val="18"/>
              </w:rPr>
              <w:t xml:space="preserve">Staff-student ratio </w:t>
            </w:r>
          </w:p>
        </w:tc>
        <w:tc>
          <w:tcPr>
            <w:tcW w:w="992" w:type="dxa"/>
            <w:vAlign w:val="center"/>
          </w:tcPr>
          <w:p w14:paraId="10F92119" w14:textId="77777777" w:rsidR="00374D2C" w:rsidRPr="005173CD"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0.04</w:t>
            </w:r>
          </w:p>
        </w:tc>
        <w:tc>
          <w:tcPr>
            <w:tcW w:w="1276" w:type="dxa"/>
            <w:vAlign w:val="center"/>
          </w:tcPr>
          <w:p w14:paraId="40778058" w14:textId="77777777" w:rsidR="00374D2C" w:rsidRPr="005173CD"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0.03</w:t>
            </w:r>
          </w:p>
        </w:tc>
        <w:tc>
          <w:tcPr>
            <w:tcW w:w="1134" w:type="dxa"/>
            <w:vAlign w:val="center"/>
          </w:tcPr>
          <w:p w14:paraId="438375A7" w14:textId="77777777" w:rsidR="00374D2C" w:rsidRPr="005173CD"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0.01</w:t>
            </w:r>
          </w:p>
        </w:tc>
        <w:tc>
          <w:tcPr>
            <w:tcW w:w="1134" w:type="dxa"/>
            <w:vAlign w:val="center"/>
          </w:tcPr>
          <w:p w14:paraId="25455EA9" w14:textId="77777777" w:rsidR="00374D2C" w:rsidRPr="005173CD"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0.35</w:t>
            </w:r>
          </w:p>
        </w:tc>
        <w:tc>
          <w:tcPr>
            <w:tcW w:w="1132" w:type="dxa"/>
            <w:vAlign w:val="center"/>
          </w:tcPr>
          <w:p w14:paraId="714D4ECF" w14:textId="77777777" w:rsidR="00374D2C" w:rsidRPr="005173CD"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0.02</w:t>
            </w:r>
          </w:p>
        </w:tc>
      </w:tr>
      <w:tr w:rsidR="00D72156" w14:paraId="7F6E873D" w14:textId="77777777" w:rsidTr="00512092">
        <w:tc>
          <w:tcPr>
            <w:tcW w:w="2552" w:type="dxa"/>
            <w:vAlign w:val="center"/>
          </w:tcPr>
          <w:p w14:paraId="3D87CB82" w14:textId="77777777" w:rsidR="00D72156" w:rsidRDefault="00D72156" w:rsidP="00D72156">
            <w:pPr>
              <w:pStyle w:val="TabletextLeft"/>
              <w:spacing w:before="0"/>
              <w:rPr>
                <w:rFonts w:asciiTheme="minorHAnsi" w:hAnsiTheme="minorHAnsi"/>
                <w:sz w:val="18"/>
                <w:szCs w:val="18"/>
              </w:rPr>
            </w:pPr>
            <w:r>
              <w:rPr>
                <w:rFonts w:asciiTheme="minorHAnsi" w:hAnsiTheme="minorHAnsi"/>
                <w:sz w:val="18"/>
                <w:szCs w:val="18"/>
              </w:rPr>
              <w:t>Student-staff ratio (inverse of</w:t>
            </w:r>
            <w:r>
              <w:t xml:space="preserve"> </w:t>
            </w:r>
            <w:r w:rsidRPr="00D72156">
              <w:rPr>
                <w:rFonts w:asciiTheme="minorHAnsi" w:hAnsiTheme="minorHAnsi"/>
                <w:sz w:val="18"/>
                <w:szCs w:val="18"/>
              </w:rPr>
              <w:t>Staff-student</w:t>
            </w:r>
            <w:r>
              <w:rPr>
                <w:rFonts w:asciiTheme="minorHAnsi" w:hAnsiTheme="minorHAnsi"/>
                <w:sz w:val="18"/>
                <w:szCs w:val="18"/>
              </w:rPr>
              <w:t xml:space="preserve"> ratio) </w:t>
            </w:r>
          </w:p>
        </w:tc>
        <w:tc>
          <w:tcPr>
            <w:tcW w:w="992" w:type="dxa"/>
            <w:vAlign w:val="center"/>
          </w:tcPr>
          <w:p w14:paraId="1D971FAF" w14:textId="77777777" w:rsidR="00D72156" w:rsidRPr="007D780F" w:rsidRDefault="00D72156" w:rsidP="00D72156">
            <w:pPr>
              <w:widowControl w:val="0"/>
              <w:autoSpaceDE w:val="0"/>
              <w:autoSpaceDN w:val="0"/>
              <w:adjustRightInd w:val="0"/>
              <w:jc w:val="center"/>
              <w:rPr>
                <w:sz w:val="18"/>
                <w:szCs w:val="18"/>
              </w:rPr>
            </w:pPr>
            <w:r>
              <w:rPr>
                <w:sz w:val="18"/>
                <w:szCs w:val="18"/>
              </w:rPr>
              <w:t>25</w:t>
            </w:r>
          </w:p>
        </w:tc>
        <w:tc>
          <w:tcPr>
            <w:tcW w:w="1276" w:type="dxa"/>
            <w:vAlign w:val="center"/>
          </w:tcPr>
          <w:p w14:paraId="49A72DCD" w14:textId="77777777" w:rsidR="00D72156" w:rsidRPr="007D780F" w:rsidRDefault="00D72156" w:rsidP="00D72156">
            <w:pPr>
              <w:widowControl w:val="0"/>
              <w:autoSpaceDE w:val="0"/>
              <w:autoSpaceDN w:val="0"/>
              <w:adjustRightInd w:val="0"/>
              <w:jc w:val="center"/>
              <w:rPr>
                <w:sz w:val="18"/>
                <w:szCs w:val="18"/>
              </w:rPr>
            </w:pPr>
            <w:r>
              <w:rPr>
                <w:sz w:val="18"/>
                <w:szCs w:val="18"/>
              </w:rPr>
              <w:t>33.3</w:t>
            </w:r>
          </w:p>
        </w:tc>
        <w:tc>
          <w:tcPr>
            <w:tcW w:w="1134" w:type="dxa"/>
            <w:vAlign w:val="center"/>
          </w:tcPr>
          <w:p w14:paraId="2D94F847" w14:textId="77777777" w:rsidR="00D72156" w:rsidRPr="007D780F" w:rsidRDefault="00D72156" w:rsidP="00D72156">
            <w:pPr>
              <w:widowControl w:val="0"/>
              <w:autoSpaceDE w:val="0"/>
              <w:autoSpaceDN w:val="0"/>
              <w:adjustRightInd w:val="0"/>
              <w:jc w:val="center"/>
              <w:rPr>
                <w:sz w:val="18"/>
                <w:szCs w:val="18"/>
              </w:rPr>
            </w:pPr>
            <w:r>
              <w:rPr>
                <w:sz w:val="18"/>
                <w:szCs w:val="18"/>
              </w:rPr>
              <w:t>100</w:t>
            </w:r>
          </w:p>
        </w:tc>
        <w:tc>
          <w:tcPr>
            <w:tcW w:w="1134" w:type="dxa"/>
            <w:vAlign w:val="center"/>
          </w:tcPr>
          <w:p w14:paraId="4705775C" w14:textId="77777777" w:rsidR="00D72156" w:rsidRPr="007D780F" w:rsidRDefault="00D72156" w:rsidP="00D72156">
            <w:pPr>
              <w:widowControl w:val="0"/>
              <w:autoSpaceDE w:val="0"/>
              <w:autoSpaceDN w:val="0"/>
              <w:adjustRightInd w:val="0"/>
              <w:jc w:val="center"/>
              <w:rPr>
                <w:sz w:val="18"/>
                <w:szCs w:val="18"/>
              </w:rPr>
            </w:pPr>
            <w:r>
              <w:rPr>
                <w:sz w:val="18"/>
                <w:szCs w:val="18"/>
              </w:rPr>
              <w:t>2.9</w:t>
            </w:r>
          </w:p>
        </w:tc>
        <w:tc>
          <w:tcPr>
            <w:tcW w:w="1132" w:type="dxa"/>
            <w:vAlign w:val="center"/>
          </w:tcPr>
          <w:p w14:paraId="37C0EDC6" w14:textId="77777777" w:rsidR="00D72156" w:rsidRPr="007D780F" w:rsidRDefault="00D72156" w:rsidP="00D72156">
            <w:pPr>
              <w:widowControl w:val="0"/>
              <w:autoSpaceDE w:val="0"/>
              <w:autoSpaceDN w:val="0"/>
              <w:adjustRightInd w:val="0"/>
              <w:jc w:val="center"/>
              <w:rPr>
                <w:sz w:val="18"/>
                <w:szCs w:val="18"/>
              </w:rPr>
            </w:pPr>
            <w:r>
              <w:rPr>
                <w:sz w:val="18"/>
                <w:szCs w:val="18"/>
              </w:rPr>
              <w:t>50</w:t>
            </w:r>
          </w:p>
        </w:tc>
      </w:tr>
      <w:tr w:rsidR="00D72156" w14:paraId="4F47E4B6" w14:textId="77777777" w:rsidTr="00512092">
        <w:tc>
          <w:tcPr>
            <w:tcW w:w="2552" w:type="dxa"/>
            <w:vAlign w:val="center"/>
          </w:tcPr>
          <w:p w14:paraId="4E4725D9" w14:textId="77777777" w:rsidR="00D72156" w:rsidRPr="00C729A5" w:rsidRDefault="00D72156" w:rsidP="00D72156">
            <w:pPr>
              <w:pStyle w:val="TabletextLeft"/>
              <w:spacing w:before="0"/>
              <w:rPr>
                <w:rFonts w:asciiTheme="minorHAnsi" w:hAnsiTheme="minorHAnsi"/>
                <w:sz w:val="18"/>
                <w:szCs w:val="18"/>
              </w:rPr>
            </w:pPr>
            <w:r w:rsidRPr="00C729A5">
              <w:rPr>
                <w:rFonts w:asciiTheme="minorHAnsi" w:hAnsiTheme="minorHAnsi"/>
                <w:sz w:val="18"/>
                <w:szCs w:val="18"/>
              </w:rPr>
              <w:t>Log Total EFTSL</w:t>
            </w:r>
            <w:r>
              <w:rPr>
                <w:rFonts w:asciiTheme="minorHAnsi" w:hAnsiTheme="minorHAnsi"/>
                <w:sz w:val="18"/>
                <w:szCs w:val="18"/>
              </w:rPr>
              <w:t xml:space="preserve"> (by field)</w:t>
            </w:r>
          </w:p>
        </w:tc>
        <w:tc>
          <w:tcPr>
            <w:tcW w:w="992" w:type="dxa"/>
            <w:vAlign w:val="center"/>
          </w:tcPr>
          <w:p w14:paraId="1A83C4E2"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7.11</w:t>
            </w:r>
          </w:p>
        </w:tc>
        <w:tc>
          <w:tcPr>
            <w:tcW w:w="1276" w:type="dxa"/>
            <w:vAlign w:val="center"/>
          </w:tcPr>
          <w:p w14:paraId="4C24DDC7"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7.40</w:t>
            </w:r>
          </w:p>
        </w:tc>
        <w:tc>
          <w:tcPr>
            <w:tcW w:w="1134" w:type="dxa"/>
            <w:vAlign w:val="center"/>
          </w:tcPr>
          <w:p w14:paraId="3D5D06AA"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1.18</w:t>
            </w:r>
          </w:p>
        </w:tc>
        <w:tc>
          <w:tcPr>
            <w:tcW w:w="1134" w:type="dxa"/>
            <w:vAlign w:val="center"/>
          </w:tcPr>
          <w:p w14:paraId="34D58CC3"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9.90</w:t>
            </w:r>
          </w:p>
        </w:tc>
        <w:tc>
          <w:tcPr>
            <w:tcW w:w="1132" w:type="dxa"/>
            <w:vAlign w:val="center"/>
          </w:tcPr>
          <w:p w14:paraId="7F85E8FB"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1.89</w:t>
            </w:r>
          </w:p>
        </w:tc>
      </w:tr>
      <w:tr w:rsidR="00D72156" w14:paraId="6B73C3BD" w14:textId="77777777" w:rsidTr="00512092">
        <w:tc>
          <w:tcPr>
            <w:tcW w:w="2552" w:type="dxa"/>
            <w:vAlign w:val="center"/>
          </w:tcPr>
          <w:p w14:paraId="141DF9F4" w14:textId="77777777" w:rsidR="00D72156" w:rsidRPr="00C729A5" w:rsidRDefault="00D72156" w:rsidP="00D72156">
            <w:pPr>
              <w:pStyle w:val="TabletextLeft"/>
              <w:spacing w:before="0"/>
              <w:rPr>
                <w:rFonts w:asciiTheme="minorHAnsi" w:hAnsiTheme="minorHAnsi"/>
                <w:sz w:val="18"/>
                <w:szCs w:val="18"/>
              </w:rPr>
            </w:pPr>
            <w:r>
              <w:rPr>
                <w:rFonts w:asciiTheme="minorHAnsi" w:hAnsiTheme="minorHAnsi"/>
                <w:sz w:val="18"/>
                <w:szCs w:val="18"/>
              </w:rPr>
              <w:t>Total EFTSL (by field)</w:t>
            </w:r>
          </w:p>
        </w:tc>
        <w:tc>
          <w:tcPr>
            <w:tcW w:w="992" w:type="dxa"/>
            <w:vAlign w:val="center"/>
          </w:tcPr>
          <w:p w14:paraId="5D0AC554"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295</w:t>
            </w:r>
            <w:r>
              <w:rPr>
                <w:sz w:val="18"/>
                <w:szCs w:val="18"/>
              </w:rPr>
              <w:t>4</w:t>
            </w:r>
          </w:p>
        </w:tc>
        <w:tc>
          <w:tcPr>
            <w:tcW w:w="1276" w:type="dxa"/>
            <w:vAlign w:val="center"/>
          </w:tcPr>
          <w:p w14:paraId="0141107F"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1632</w:t>
            </w:r>
          </w:p>
        </w:tc>
        <w:tc>
          <w:tcPr>
            <w:tcW w:w="1134" w:type="dxa"/>
            <w:vAlign w:val="center"/>
          </w:tcPr>
          <w:p w14:paraId="3822779B"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3</w:t>
            </w:r>
          </w:p>
        </w:tc>
        <w:tc>
          <w:tcPr>
            <w:tcW w:w="1134" w:type="dxa"/>
            <w:vAlign w:val="center"/>
          </w:tcPr>
          <w:p w14:paraId="1D535A3E"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19888</w:t>
            </w:r>
          </w:p>
        </w:tc>
        <w:tc>
          <w:tcPr>
            <w:tcW w:w="1132" w:type="dxa"/>
            <w:vAlign w:val="center"/>
          </w:tcPr>
          <w:p w14:paraId="21B9AECD"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324</w:t>
            </w:r>
            <w:r>
              <w:rPr>
                <w:sz w:val="18"/>
                <w:szCs w:val="18"/>
              </w:rPr>
              <w:t>3</w:t>
            </w:r>
          </w:p>
        </w:tc>
      </w:tr>
      <w:tr w:rsidR="00D72156" w14:paraId="3133A454" w14:textId="77777777" w:rsidTr="00512092">
        <w:tc>
          <w:tcPr>
            <w:tcW w:w="2552" w:type="dxa"/>
            <w:vAlign w:val="center"/>
          </w:tcPr>
          <w:p w14:paraId="53291E9F" w14:textId="77777777" w:rsidR="00D72156" w:rsidRPr="00C729A5" w:rsidRDefault="00D72156" w:rsidP="00D72156">
            <w:pPr>
              <w:pStyle w:val="TabletextLeft"/>
              <w:spacing w:before="0"/>
              <w:rPr>
                <w:rFonts w:asciiTheme="minorHAnsi" w:hAnsiTheme="minorHAnsi"/>
                <w:sz w:val="18"/>
                <w:szCs w:val="18"/>
              </w:rPr>
            </w:pPr>
            <w:r w:rsidRPr="00C729A5">
              <w:rPr>
                <w:rFonts w:asciiTheme="minorHAnsi" w:hAnsiTheme="minorHAnsi"/>
                <w:sz w:val="18"/>
                <w:szCs w:val="18"/>
              </w:rPr>
              <w:t>Indicator for</w:t>
            </w:r>
            <w:r>
              <w:rPr>
                <w:rFonts w:asciiTheme="minorHAnsi" w:hAnsiTheme="minorHAnsi"/>
                <w:sz w:val="18"/>
                <w:szCs w:val="18"/>
              </w:rPr>
              <w:t xml:space="preserve"> HDR EFTSL</w:t>
            </w:r>
          </w:p>
        </w:tc>
        <w:tc>
          <w:tcPr>
            <w:tcW w:w="992" w:type="dxa"/>
            <w:vAlign w:val="center"/>
          </w:tcPr>
          <w:p w14:paraId="6B88A86E"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0.86</w:t>
            </w:r>
          </w:p>
        </w:tc>
        <w:tc>
          <w:tcPr>
            <w:tcW w:w="1276" w:type="dxa"/>
            <w:vAlign w:val="center"/>
          </w:tcPr>
          <w:p w14:paraId="74B268A9"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1.00</w:t>
            </w:r>
          </w:p>
        </w:tc>
        <w:tc>
          <w:tcPr>
            <w:tcW w:w="1134" w:type="dxa"/>
            <w:vAlign w:val="center"/>
          </w:tcPr>
          <w:p w14:paraId="7B662064"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0.00</w:t>
            </w:r>
          </w:p>
        </w:tc>
        <w:tc>
          <w:tcPr>
            <w:tcW w:w="1134" w:type="dxa"/>
            <w:vAlign w:val="center"/>
          </w:tcPr>
          <w:p w14:paraId="17F5860E"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1.00</w:t>
            </w:r>
          </w:p>
        </w:tc>
        <w:tc>
          <w:tcPr>
            <w:tcW w:w="1132" w:type="dxa"/>
            <w:vAlign w:val="center"/>
          </w:tcPr>
          <w:p w14:paraId="412485F3"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0.00</w:t>
            </w:r>
          </w:p>
        </w:tc>
      </w:tr>
      <w:tr w:rsidR="00D72156" w14:paraId="309DCA42" w14:textId="77777777" w:rsidTr="00512092">
        <w:tc>
          <w:tcPr>
            <w:tcW w:w="2552" w:type="dxa"/>
            <w:vAlign w:val="center"/>
          </w:tcPr>
          <w:p w14:paraId="2533F752" w14:textId="77777777" w:rsidR="00D72156" w:rsidRPr="00C729A5" w:rsidRDefault="00D72156" w:rsidP="00D72156">
            <w:pPr>
              <w:pStyle w:val="TabletextLeft"/>
              <w:spacing w:before="0"/>
              <w:rPr>
                <w:rFonts w:asciiTheme="minorHAnsi" w:hAnsiTheme="minorHAnsi"/>
                <w:sz w:val="18"/>
                <w:szCs w:val="18"/>
              </w:rPr>
            </w:pPr>
            <w:r>
              <w:rPr>
                <w:rFonts w:asciiTheme="minorHAnsi" w:hAnsiTheme="minorHAnsi"/>
                <w:sz w:val="18"/>
                <w:szCs w:val="18"/>
              </w:rPr>
              <w:t xml:space="preserve">Proportion of HDR EFTSL to total field EFTSL </w:t>
            </w:r>
            <w:r w:rsidRPr="00C729A5">
              <w:rPr>
                <w:rFonts w:asciiTheme="minorHAnsi" w:hAnsiTheme="minorHAnsi"/>
                <w:sz w:val="18"/>
                <w:szCs w:val="18"/>
              </w:rPr>
              <w:t>(</w:t>
            </w:r>
            <w:r>
              <w:rPr>
                <w:rFonts w:asciiTheme="minorHAnsi" w:hAnsiTheme="minorHAnsi"/>
                <w:sz w:val="18"/>
                <w:szCs w:val="18"/>
              </w:rPr>
              <w:t>university level</w:t>
            </w:r>
            <w:r w:rsidRPr="00C729A5">
              <w:rPr>
                <w:rFonts w:asciiTheme="minorHAnsi" w:hAnsiTheme="minorHAnsi"/>
                <w:sz w:val="18"/>
                <w:szCs w:val="18"/>
              </w:rPr>
              <w:t>)</w:t>
            </w:r>
          </w:p>
        </w:tc>
        <w:tc>
          <w:tcPr>
            <w:tcW w:w="992" w:type="dxa"/>
            <w:vAlign w:val="center"/>
          </w:tcPr>
          <w:p w14:paraId="55A3BF3B"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0.03</w:t>
            </w:r>
          </w:p>
        </w:tc>
        <w:tc>
          <w:tcPr>
            <w:tcW w:w="1276" w:type="dxa"/>
            <w:vAlign w:val="center"/>
          </w:tcPr>
          <w:p w14:paraId="05EC2E5A"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0.02</w:t>
            </w:r>
          </w:p>
        </w:tc>
        <w:tc>
          <w:tcPr>
            <w:tcW w:w="1134" w:type="dxa"/>
            <w:vAlign w:val="center"/>
          </w:tcPr>
          <w:p w14:paraId="50BAE618"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0.00</w:t>
            </w:r>
          </w:p>
        </w:tc>
        <w:tc>
          <w:tcPr>
            <w:tcW w:w="1134" w:type="dxa"/>
            <w:vAlign w:val="center"/>
          </w:tcPr>
          <w:p w14:paraId="2D1A17C9"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0.35</w:t>
            </w:r>
          </w:p>
        </w:tc>
        <w:tc>
          <w:tcPr>
            <w:tcW w:w="1132" w:type="dxa"/>
            <w:vAlign w:val="center"/>
          </w:tcPr>
          <w:p w14:paraId="5D0F5787"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0.03</w:t>
            </w:r>
          </w:p>
        </w:tc>
      </w:tr>
      <w:tr w:rsidR="00D72156" w14:paraId="58B9DD9E" w14:textId="77777777" w:rsidTr="00512092">
        <w:tc>
          <w:tcPr>
            <w:tcW w:w="2552" w:type="dxa"/>
            <w:vAlign w:val="center"/>
          </w:tcPr>
          <w:p w14:paraId="30651541" w14:textId="77777777" w:rsidR="00D72156" w:rsidRPr="00C729A5" w:rsidRDefault="00D72156" w:rsidP="00D72156">
            <w:pPr>
              <w:pStyle w:val="TabletextLeft"/>
              <w:spacing w:before="0"/>
              <w:rPr>
                <w:rFonts w:asciiTheme="minorHAnsi" w:hAnsiTheme="minorHAnsi"/>
                <w:sz w:val="18"/>
                <w:szCs w:val="18"/>
              </w:rPr>
            </w:pPr>
            <w:r w:rsidRPr="00C729A5">
              <w:rPr>
                <w:rFonts w:asciiTheme="minorHAnsi" w:hAnsiTheme="minorHAnsi"/>
                <w:sz w:val="18"/>
                <w:szCs w:val="18"/>
              </w:rPr>
              <w:t>Proportion of international EFTSL</w:t>
            </w:r>
          </w:p>
        </w:tc>
        <w:tc>
          <w:tcPr>
            <w:tcW w:w="992" w:type="dxa"/>
            <w:vAlign w:val="center"/>
          </w:tcPr>
          <w:p w14:paraId="30ED18D5"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0.12</w:t>
            </w:r>
          </w:p>
        </w:tc>
        <w:tc>
          <w:tcPr>
            <w:tcW w:w="1276" w:type="dxa"/>
            <w:vAlign w:val="center"/>
          </w:tcPr>
          <w:p w14:paraId="12DE8264"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0.09</w:t>
            </w:r>
          </w:p>
        </w:tc>
        <w:tc>
          <w:tcPr>
            <w:tcW w:w="1134" w:type="dxa"/>
            <w:vAlign w:val="center"/>
          </w:tcPr>
          <w:p w14:paraId="7D3CF617"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0.00</w:t>
            </w:r>
          </w:p>
        </w:tc>
        <w:tc>
          <w:tcPr>
            <w:tcW w:w="1134" w:type="dxa"/>
            <w:vAlign w:val="center"/>
          </w:tcPr>
          <w:p w14:paraId="26B9C04D"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0.82</w:t>
            </w:r>
          </w:p>
        </w:tc>
        <w:tc>
          <w:tcPr>
            <w:tcW w:w="1132" w:type="dxa"/>
            <w:vAlign w:val="center"/>
          </w:tcPr>
          <w:p w14:paraId="3F130BD6"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0.14</w:t>
            </w:r>
          </w:p>
        </w:tc>
      </w:tr>
      <w:tr w:rsidR="00D72156" w14:paraId="4B0C3E95" w14:textId="77777777" w:rsidTr="00512092">
        <w:tc>
          <w:tcPr>
            <w:tcW w:w="2552" w:type="dxa"/>
            <w:vAlign w:val="center"/>
          </w:tcPr>
          <w:p w14:paraId="6D77DE2C" w14:textId="77777777" w:rsidR="00D72156" w:rsidRPr="00C729A5" w:rsidRDefault="00D72156" w:rsidP="00D72156">
            <w:pPr>
              <w:pStyle w:val="TabletextLeft"/>
              <w:spacing w:before="0"/>
              <w:rPr>
                <w:rFonts w:asciiTheme="minorHAnsi" w:hAnsiTheme="minorHAnsi"/>
                <w:sz w:val="18"/>
                <w:szCs w:val="18"/>
              </w:rPr>
            </w:pPr>
            <w:r w:rsidRPr="00C729A5">
              <w:rPr>
                <w:rFonts w:asciiTheme="minorHAnsi" w:hAnsiTheme="minorHAnsi"/>
                <w:sz w:val="18"/>
                <w:szCs w:val="18"/>
              </w:rPr>
              <w:t>Proportion of regional EFTSL</w:t>
            </w:r>
          </w:p>
        </w:tc>
        <w:tc>
          <w:tcPr>
            <w:tcW w:w="992" w:type="dxa"/>
            <w:vAlign w:val="center"/>
          </w:tcPr>
          <w:p w14:paraId="2A932DC7"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0.28</w:t>
            </w:r>
          </w:p>
        </w:tc>
        <w:tc>
          <w:tcPr>
            <w:tcW w:w="1276" w:type="dxa"/>
            <w:vAlign w:val="center"/>
          </w:tcPr>
          <w:p w14:paraId="6B50056E"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0.16</w:t>
            </w:r>
          </w:p>
        </w:tc>
        <w:tc>
          <w:tcPr>
            <w:tcW w:w="1134" w:type="dxa"/>
            <w:vAlign w:val="center"/>
          </w:tcPr>
          <w:p w14:paraId="77ED3A81"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0.01</w:t>
            </w:r>
          </w:p>
        </w:tc>
        <w:tc>
          <w:tcPr>
            <w:tcW w:w="1134" w:type="dxa"/>
            <w:vAlign w:val="center"/>
          </w:tcPr>
          <w:p w14:paraId="62EA5648"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0.96</w:t>
            </w:r>
          </w:p>
        </w:tc>
        <w:tc>
          <w:tcPr>
            <w:tcW w:w="1132" w:type="dxa"/>
            <w:vAlign w:val="center"/>
          </w:tcPr>
          <w:p w14:paraId="52FCE5E4"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0.37</w:t>
            </w:r>
          </w:p>
        </w:tc>
      </w:tr>
      <w:tr w:rsidR="00D72156" w14:paraId="634C9B27" w14:textId="77777777" w:rsidTr="00512092">
        <w:tc>
          <w:tcPr>
            <w:tcW w:w="2552" w:type="dxa"/>
            <w:vAlign w:val="center"/>
          </w:tcPr>
          <w:p w14:paraId="2FC9C368" w14:textId="77777777" w:rsidR="00D72156" w:rsidRPr="00C729A5" w:rsidRDefault="00D72156" w:rsidP="00D72156">
            <w:pPr>
              <w:pStyle w:val="TabletextLeft"/>
              <w:spacing w:before="0"/>
              <w:rPr>
                <w:rFonts w:asciiTheme="minorHAnsi" w:hAnsiTheme="minorHAnsi"/>
                <w:sz w:val="18"/>
                <w:szCs w:val="18"/>
              </w:rPr>
            </w:pPr>
            <w:r w:rsidRPr="00C729A5">
              <w:rPr>
                <w:rFonts w:asciiTheme="minorHAnsi" w:hAnsiTheme="minorHAnsi"/>
                <w:sz w:val="18"/>
                <w:szCs w:val="18"/>
              </w:rPr>
              <w:t xml:space="preserve">Proportion of casual teaching staff </w:t>
            </w:r>
          </w:p>
        </w:tc>
        <w:tc>
          <w:tcPr>
            <w:tcW w:w="992" w:type="dxa"/>
            <w:vAlign w:val="center"/>
          </w:tcPr>
          <w:p w14:paraId="6A5A281F"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0.43</w:t>
            </w:r>
          </w:p>
        </w:tc>
        <w:tc>
          <w:tcPr>
            <w:tcW w:w="1276" w:type="dxa"/>
            <w:vAlign w:val="center"/>
          </w:tcPr>
          <w:p w14:paraId="1FC22812"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0.36</w:t>
            </w:r>
          </w:p>
        </w:tc>
        <w:tc>
          <w:tcPr>
            <w:tcW w:w="1134" w:type="dxa"/>
            <w:vAlign w:val="center"/>
          </w:tcPr>
          <w:p w14:paraId="76880936"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0.00</w:t>
            </w:r>
          </w:p>
        </w:tc>
        <w:tc>
          <w:tcPr>
            <w:tcW w:w="1134" w:type="dxa"/>
            <w:vAlign w:val="center"/>
          </w:tcPr>
          <w:p w14:paraId="5BD6522E"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1.88</w:t>
            </w:r>
          </w:p>
        </w:tc>
        <w:tc>
          <w:tcPr>
            <w:tcW w:w="1132" w:type="dxa"/>
            <w:vAlign w:val="center"/>
          </w:tcPr>
          <w:p w14:paraId="481B8866"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0.34</w:t>
            </w:r>
          </w:p>
        </w:tc>
      </w:tr>
      <w:tr w:rsidR="00D72156" w14:paraId="5DDDD1A7" w14:textId="77777777" w:rsidTr="00512092">
        <w:tc>
          <w:tcPr>
            <w:tcW w:w="2552" w:type="dxa"/>
            <w:vAlign w:val="center"/>
          </w:tcPr>
          <w:p w14:paraId="0CE908CE" w14:textId="77777777" w:rsidR="00D72156" w:rsidRPr="00C729A5" w:rsidRDefault="00D72156" w:rsidP="00D72156">
            <w:pPr>
              <w:pStyle w:val="TabletextLeft"/>
              <w:spacing w:before="0"/>
              <w:rPr>
                <w:rFonts w:asciiTheme="minorHAnsi" w:hAnsiTheme="minorHAnsi"/>
                <w:sz w:val="18"/>
                <w:szCs w:val="18"/>
              </w:rPr>
            </w:pPr>
            <w:r w:rsidRPr="00C729A5">
              <w:rPr>
                <w:rFonts w:asciiTheme="minorHAnsi" w:hAnsiTheme="minorHAnsi"/>
                <w:sz w:val="18"/>
                <w:szCs w:val="18"/>
              </w:rPr>
              <w:t>Proportion of external (including multimodal) EFTSL</w:t>
            </w:r>
          </w:p>
        </w:tc>
        <w:tc>
          <w:tcPr>
            <w:tcW w:w="992" w:type="dxa"/>
            <w:vAlign w:val="center"/>
          </w:tcPr>
          <w:p w14:paraId="63036DF2"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0.16</w:t>
            </w:r>
          </w:p>
        </w:tc>
        <w:tc>
          <w:tcPr>
            <w:tcW w:w="1276" w:type="dxa"/>
            <w:vAlign w:val="center"/>
          </w:tcPr>
          <w:p w14:paraId="159DD613"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0.02</w:t>
            </w:r>
          </w:p>
        </w:tc>
        <w:tc>
          <w:tcPr>
            <w:tcW w:w="1134" w:type="dxa"/>
            <w:vAlign w:val="center"/>
          </w:tcPr>
          <w:p w14:paraId="632A65BA"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0.00</w:t>
            </w:r>
          </w:p>
        </w:tc>
        <w:tc>
          <w:tcPr>
            <w:tcW w:w="1134" w:type="dxa"/>
            <w:vAlign w:val="center"/>
          </w:tcPr>
          <w:p w14:paraId="6C8D6DB4"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1.00</w:t>
            </w:r>
          </w:p>
        </w:tc>
        <w:tc>
          <w:tcPr>
            <w:tcW w:w="1132" w:type="dxa"/>
            <w:vAlign w:val="center"/>
          </w:tcPr>
          <w:p w14:paraId="08B68A21" w14:textId="77777777" w:rsidR="00D72156" w:rsidRPr="005173CD" w:rsidRDefault="00D72156" w:rsidP="00D72156">
            <w:pPr>
              <w:widowControl w:val="0"/>
              <w:autoSpaceDE w:val="0"/>
              <w:autoSpaceDN w:val="0"/>
              <w:adjustRightInd w:val="0"/>
              <w:jc w:val="center"/>
              <w:rPr>
                <w:rFonts w:asciiTheme="minorHAnsi" w:hAnsiTheme="minorHAnsi"/>
                <w:sz w:val="18"/>
                <w:szCs w:val="18"/>
              </w:rPr>
            </w:pPr>
            <w:r w:rsidRPr="007D780F">
              <w:rPr>
                <w:sz w:val="18"/>
                <w:szCs w:val="18"/>
              </w:rPr>
              <w:t>0.21</w:t>
            </w:r>
          </w:p>
        </w:tc>
      </w:tr>
      <w:tr w:rsidR="00D72156" w14:paraId="288320B6" w14:textId="77777777" w:rsidTr="00512092">
        <w:tc>
          <w:tcPr>
            <w:tcW w:w="2552" w:type="dxa"/>
            <w:vAlign w:val="center"/>
          </w:tcPr>
          <w:p w14:paraId="21C0E051" w14:textId="77777777" w:rsidR="00D72156" w:rsidRPr="00C729A5" w:rsidRDefault="00D72156" w:rsidP="00D72156">
            <w:pPr>
              <w:pStyle w:val="TabletextLeft"/>
              <w:rPr>
                <w:rFonts w:asciiTheme="minorHAnsi" w:hAnsiTheme="minorHAnsi"/>
                <w:sz w:val="18"/>
                <w:szCs w:val="18"/>
              </w:rPr>
            </w:pPr>
            <w:r w:rsidRPr="00C729A5">
              <w:rPr>
                <w:rFonts w:asciiTheme="minorHAnsi" w:hAnsiTheme="minorHAnsi"/>
                <w:sz w:val="18"/>
                <w:szCs w:val="18"/>
              </w:rPr>
              <w:t>Average student experience survey score (SES, CEQ)</w:t>
            </w:r>
          </w:p>
        </w:tc>
        <w:tc>
          <w:tcPr>
            <w:tcW w:w="992" w:type="dxa"/>
            <w:vAlign w:val="center"/>
          </w:tcPr>
          <w:p w14:paraId="7F6A456F" w14:textId="77777777" w:rsidR="00D72156" w:rsidRPr="005173CD" w:rsidRDefault="00D72156" w:rsidP="00D72156">
            <w:pPr>
              <w:jc w:val="center"/>
              <w:rPr>
                <w:rFonts w:asciiTheme="minorHAnsi" w:hAnsiTheme="minorHAnsi"/>
                <w:color w:val="000000"/>
                <w:sz w:val="18"/>
                <w:szCs w:val="18"/>
              </w:rPr>
            </w:pPr>
            <w:r w:rsidRPr="007D780F">
              <w:rPr>
                <w:sz w:val="18"/>
                <w:szCs w:val="18"/>
              </w:rPr>
              <w:t>82.81</w:t>
            </w:r>
          </w:p>
        </w:tc>
        <w:tc>
          <w:tcPr>
            <w:tcW w:w="1276" w:type="dxa"/>
            <w:vAlign w:val="center"/>
          </w:tcPr>
          <w:p w14:paraId="2AF6B481" w14:textId="77777777" w:rsidR="00D72156" w:rsidRPr="005173CD" w:rsidRDefault="00D72156" w:rsidP="00D72156">
            <w:pPr>
              <w:jc w:val="center"/>
              <w:rPr>
                <w:rFonts w:asciiTheme="minorHAnsi" w:hAnsiTheme="minorHAnsi"/>
                <w:sz w:val="18"/>
                <w:szCs w:val="18"/>
              </w:rPr>
            </w:pPr>
            <w:r w:rsidRPr="007D780F">
              <w:rPr>
                <w:sz w:val="18"/>
                <w:szCs w:val="18"/>
              </w:rPr>
              <w:t>83.25</w:t>
            </w:r>
          </w:p>
        </w:tc>
        <w:tc>
          <w:tcPr>
            <w:tcW w:w="1134" w:type="dxa"/>
            <w:vAlign w:val="center"/>
          </w:tcPr>
          <w:p w14:paraId="55777208" w14:textId="77777777" w:rsidR="00D72156" w:rsidRPr="005173CD" w:rsidRDefault="00D72156" w:rsidP="00D72156">
            <w:pPr>
              <w:jc w:val="center"/>
              <w:rPr>
                <w:rFonts w:asciiTheme="minorHAnsi" w:hAnsiTheme="minorHAnsi"/>
                <w:sz w:val="18"/>
                <w:szCs w:val="18"/>
              </w:rPr>
            </w:pPr>
            <w:r w:rsidRPr="007D780F">
              <w:rPr>
                <w:sz w:val="18"/>
                <w:szCs w:val="18"/>
              </w:rPr>
              <w:t>59.50</w:t>
            </w:r>
          </w:p>
        </w:tc>
        <w:tc>
          <w:tcPr>
            <w:tcW w:w="1134" w:type="dxa"/>
            <w:vAlign w:val="center"/>
          </w:tcPr>
          <w:p w14:paraId="625E8D72" w14:textId="77777777" w:rsidR="00D72156" w:rsidRPr="005173CD" w:rsidRDefault="00D72156" w:rsidP="00D72156">
            <w:pPr>
              <w:jc w:val="center"/>
              <w:rPr>
                <w:rFonts w:asciiTheme="minorHAnsi" w:hAnsiTheme="minorHAnsi"/>
                <w:sz w:val="18"/>
                <w:szCs w:val="18"/>
              </w:rPr>
            </w:pPr>
            <w:r w:rsidRPr="007D780F">
              <w:rPr>
                <w:sz w:val="18"/>
                <w:szCs w:val="18"/>
              </w:rPr>
              <w:t>96.80</w:t>
            </w:r>
          </w:p>
        </w:tc>
        <w:tc>
          <w:tcPr>
            <w:tcW w:w="1132" w:type="dxa"/>
            <w:vAlign w:val="center"/>
          </w:tcPr>
          <w:p w14:paraId="606547DF" w14:textId="77777777" w:rsidR="00D72156" w:rsidRPr="005173CD" w:rsidRDefault="00D72156" w:rsidP="00D72156">
            <w:pPr>
              <w:jc w:val="center"/>
              <w:rPr>
                <w:rFonts w:asciiTheme="minorHAnsi" w:hAnsiTheme="minorHAnsi"/>
                <w:sz w:val="18"/>
                <w:szCs w:val="18"/>
              </w:rPr>
            </w:pPr>
            <w:r w:rsidRPr="007D780F">
              <w:rPr>
                <w:sz w:val="18"/>
                <w:szCs w:val="18"/>
              </w:rPr>
              <w:t>7.57</w:t>
            </w:r>
          </w:p>
        </w:tc>
      </w:tr>
      <w:tr w:rsidR="00D72156" w14:paraId="6E5BBBFC" w14:textId="77777777" w:rsidTr="00512092">
        <w:tc>
          <w:tcPr>
            <w:tcW w:w="2552" w:type="dxa"/>
            <w:vAlign w:val="center"/>
          </w:tcPr>
          <w:p w14:paraId="498AB2C5" w14:textId="77777777" w:rsidR="00D72156" w:rsidRPr="00C729A5" w:rsidRDefault="00D72156" w:rsidP="00D72156">
            <w:pPr>
              <w:pStyle w:val="TabletextLeft"/>
              <w:rPr>
                <w:rFonts w:asciiTheme="minorHAnsi" w:hAnsiTheme="minorHAnsi"/>
                <w:sz w:val="18"/>
                <w:szCs w:val="18"/>
              </w:rPr>
            </w:pPr>
            <w:r w:rsidRPr="00C729A5">
              <w:rPr>
                <w:rFonts w:asciiTheme="minorHAnsi" w:hAnsiTheme="minorHAnsi"/>
                <w:sz w:val="18"/>
                <w:szCs w:val="18"/>
              </w:rPr>
              <w:t>Proportion of graduates in fulltime employment</w:t>
            </w:r>
          </w:p>
        </w:tc>
        <w:tc>
          <w:tcPr>
            <w:tcW w:w="992" w:type="dxa"/>
            <w:vAlign w:val="center"/>
          </w:tcPr>
          <w:p w14:paraId="68F9026F" w14:textId="77777777" w:rsidR="00D72156" w:rsidRPr="005173CD" w:rsidRDefault="00D72156" w:rsidP="00D72156">
            <w:pPr>
              <w:jc w:val="center"/>
              <w:rPr>
                <w:rFonts w:asciiTheme="minorHAnsi" w:hAnsiTheme="minorHAnsi"/>
                <w:color w:val="000000"/>
                <w:sz w:val="18"/>
                <w:szCs w:val="18"/>
              </w:rPr>
            </w:pPr>
            <w:r w:rsidRPr="007D780F">
              <w:rPr>
                <w:sz w:val="18"/>
                <w:szCs w:val="18"/>
              </w:rPr>
              <w:t>62.74</w:t>
            </w:r>
          </w:p>
        </w:tc>
        <w:tc>
          <w:tcPr>
            <w:tcW w:w="1276" w:type="dxa"/>
            <w:vAlign w:val="center"/>
          </w:tcPr>
          <w:p w14:paraId="33DF587B" w14:textId="77777777" w:rsidR="00D72156" w:rsidRPr="005173CD" w:rsidRDefault="00D72156" w:rsidP="00D72156">
            <w:pPr>
              <w:jc w:val="center"/>
              <w:rPr>
                <w:rFonts w:asciiTheme="minorHAnsi" w:hAnsiTheme="minorHAnsi"/>
                <w:sz w:val="18"/>
                <w:szCs w:val="18"/>
              </w:rPr>
            </w:pPr>
            <w:r w:rsidRPr="007D780F">
              <w:rPr>
                <w:sz w:val="18"/>
                <w:szCs w:val="18"/>
              </w:rPr>
              <w:t>60.10</w:t>
            </w:r>
          </w:p>
        </w:tc>
        <w:tc>
          <w:tcPr>
            <w:tcW w:w="1134" w:type="dxa"/>
            <w:vAlign w:val="center"/>
          </w:tcPr>
          <w:p w14:paraId="1A523FB3" w14:textId="77777777" w:rsidR="00D72156" w:rsidRPr="005173CD" w:rsidRDefault="00D72156" w:rsidP="00D72156">
            <w:pPr>
              <w:jc w:val="center"/>
              <w:rPr>
                <w:rFonts w:asciiTheme="minorHAnsi" w:hAnsiTheme="minorHAnsi"/>
                <w:sz w:val="18"/>
                <w:szCs w:val="18"/>
              </w:rPr>
            </w:pPr>
            <w:r w:rsidRPr="007D780F">
              <w:rPr>
                <w:sz w:val="18"/>
                <w:szCs w:val="18"/>
              </w:rPr>
              <w:t>26.70</w:t>
            </w:r>
          </w:p>
        </w:tc>
        <w:tc>
          <w:tcPr>
            <w:tcW w:w="1134" w:type="dxa"/>
            <w:vAlign w:val="center"/>
          </w:tcPr>
          <w:p w14:paraId="606287C6" w14:textId="77777777" w:rsidR="00D72156" w:rsidRPr="005173CD" w:rsidRDefault="00D72156" w:rsidP="00D72156">
            <w:pPr>
              <w:jc w:val="center"/>
              <w:rPr>
                <w:rFonts w:asciiTheme="minorHAnsi" w:hAnsiTheme="minorHAnsi"/>
                <w:sz w:val="18"/>
                <w:szCs w:val="18"/>
              </w:rPr>
            </w:pPr>
            <w:r w:rsidRPr="007D780F">
              <w:rPr>
                <w:sz w:val="18"/>
                <w:szCs w:val="18"/>
              </w:rPr>
              <w:t>100.00</w:t>
            </w:r>
          </w:p>
        </w:tc>
        <w:tc>
          <w:tcPr>
            <w:tcW w:w="1132" w:type="dxa"/>
            <w:vAlign w:val="center"/>
          </w:tcPr>
          <w:p w14:paraId="3EFF974A" w14:textId="77777777" w:rsidR="00D72156" w:rsidRPr="005173CD" w:rsidRDefault="00D72156" w:rsidP="00D72156">
            <w:pPr>
              <w:jc w:val="center"/>
              <w:rPr>
                <w:rFonts w:asciiTheme="minorHAnsi" w:hAnsiTheme="minorHAnsi"/>
                <w:sz w:val="18"/>
                <w:szCs w:val="18"/>
              </w:rPr>
            </w:pPr>
            <w:r w:rsidRPr="007D780F">
              <w:rPr>
                <w:sz w:val="18"/>
                <w:szCs w:val="18"/>
              </w:rPr>
              <w:t>25.10</w:t>
            </w:r>
          </w:p>
        </w:tc>
      </w:tr>
      <w:tr w:rsidR="00D72156" w14:paraId="25FA20CF" w14:textId="77777777" w:rsidTr="00512092">
        <w:tc>
          <w:tcPr>
            <w:tcW w:w="2552" w:type="dxa"/>
            <w:vAlign w:val="center"/>
          </w:tcPr>
          <w:p w14:paraId="5047A509" w14:textId="77777777" w:rsidR="00D72156" w:rsidRPr="00C729A5" w:rsidRDefault="00D72156" w:rsidP="00D72156">
            <w:pPr>
              <w:pStyle w:val="TabletextLeft"/>
              <w:rPr>
                <w:rFonts w:asciiTheme="minorHAnsi" w:hAnsiTheme="minorHAnsi"/>
                <w:sz w:val="18"/>
                <w:szCs w:val="18"/>
              </w:rPr>
            </w:pPr>
            <w:r w:rsidRPr="00C729A5">
              <w:rPr>
                <w:rFonts w:asciiTheme="minorHAnsi" w:hAnsiTheme="minorHAnsi"/>
                <w:sz w:val="18"/>
                <w:szCs w:val="18"/>
              </w:rPr>
              <w:t>Median salary of graduates</w:t>
            </w:r>
          </w:p>
        </w:tc>
        <w:tc>
          <w:tcPr>
            <w:tcW w:w="992" w:type="dxa"/>
            <w:vAlign w:val="center"/>
          </w:tcPr>
          <w:p w14:paraId="67933916" w14:textId="77777777" w:rsidR="00D72156" w:rsidRPr="005173CD" w:rsidRDefault="00D72156" w:rsidP="00D72156">
            <w:pPr>
              <w:jc w:val="center"/>
              <w:rPr>
                <w:rFonts w:asciiTheme="minorHAnsi" w:hAnsiTheme="minorHAnsi"/>
                <w:color w:val="000000"/>
                <w:sz w:val="18"/>
                <w:szCs w:val="18"/>
              </w:rPr>
            </w:pPr>
            <w:r w:rsidRPr="007D780F">
              <w:rPr>
                <w:sz w:val="18"/>
                <w:szCs w:val="18"/>
              </w:rPr>
              <w:t>54539</w:t>
            </w:r>
          </w:p>
        </w:tc>
        <w:tc>
          <w:tcPr>
            <w:tcW w:w="1276" w:type="dxa"/>
            <w:vAlign w:val="center"/>
          </w:tcPr>
          <w:p w14:paraId="1601F3A3" w14:textId="77777777" w:rsidR="00D72156" w:rsidRPr="005173CD" w:rsidRDefault="00D72156" w:rsidP="00D72156">
            <w:pPr>
              <w:jc w:val="center"/>
              <w:rPr>
                <w:rFonts w:asciiTheme="minorHAnsi" w:hAnsiTheme="minorHAnsi"/>
                <w:sz w:val="18"/>
                <w:szCs w:val="18"/>
              </w:rPr>
            </w:pPr>
            <w:r w:rsidRPr="007D780F">
              <w:rPr>
                <w:sz w:val="18"/>
                <w:szCs w:val="18"/>
              </w:rPr>
              <w:t>55000</w:t>
            </w:r>
          </w:p>
        </w:tc>
        <w:tc>
          <w:tcPr>
            <w:tcW w:w="1134" w:type="dxa"/>
            <w:vAlign w:val="center"/>
          </w:tcPr>
          <w:p w14:paraId="63EC643E" w14:textId="77777777" w:rsidR="00D72156" w:rsidRPr="005173CD" w:rsidRDefault="00D72156" w:rsidP="00D72156">
            <w:pPr>
              <w:jc w:val="center"/>
              <w:rPr>
                <w:rFonts w:asciiTheme="minorHAnsi" w:hAnsiTheme="minorHAnsi"/>
                <w:sz w:val="18"/>
                <w:szCs w:val="18"/>
              </w:rPr>
            </w:pPr>
            <w:r w:rsidRPr="007D780F">
              <w:rPr>
                <w:sz w:val="18"/>
                <w:szCs w:val="18"/>
              </w:rPr>
              <w:t>38000</w:t>
            </w:r>
          </w:p>
        </w:tc>
        <w:tc>
          <w:tcPr>
            <w:tcW w:w="1134" w:type="dxa"/>
            <w:vAlign w:val="center"/>
          </w:tcPr>
          <w:p w14:paraId="7ECE88EB" w14:textId="77777777" w:rsidR="00D72156" w:rsidRPr="005173CD" w:rsidRDefault="00D72156" w:rsidP="00D72156">
            <w:pPr>
              <w:jc w:val="center"/>
              <w:rPr>
                <w:rFonts w:asciiTheme="minorHAnsi" w:hAnsiTheme="minorHAnsi"/>
                <w:sz w:val="18"/>
                <w:szCs w:val="18"/>
              </w:rPr>
            </w:pPr>
            <w:r w:rsidRPr="007D780F">
              <w:rPr>
                <w:sz w:val="18"/>
                <w:szCs w:val="18"/>
              </w:rPr>
              <w:t>92000</w:t>
            </w:r>
          </w:p>
        </w:tc>
        <w:tc>
          <w:tcPr>
            <w:tcW w:w="1132" w:type="dxa"/>
            <w:vAlign w:val="center"/>
          </w:tcPr>
          <w:p w14:paraId="54679CE0" w14:textId="77777777" w:rsidR="00D72156" w:rsidRPr="005173CD" w:rsidRDefault="00D72156" w:rsidP="00D72156">
            <w:pPr>
              <w:jc w:val="center"/>
              <w:rPr>
                <w:rFonts w:asciiTheme="minorHAnsi" w:hAnsiTheme="minorHAnsi"/>
                <w:sz w:val="18"/>
                <w:szCs w:val="18"/>
              </w:rPr>
            </w:pPr>
            <w:r w:rsidRPr="007D780F">
              <w:rPr>
                <w:sz w:val="18"/>
                <w:szCs w:val="18"/>
              </w:rPr>
              <w:t>9000</w:t>
            </w:r>
          </w:p>
        </w:tc>
      </w:tr>
      <w:tr w:rsidR="00D72156" w14:paraId="16F48414" w14:textId="77777777" w:rsidTr="00512092">
        <w:tc>
          <w:tcPr>
            <w:tcW w:w="2552" w:type="dxa"/>
            <w:vAlign w:val="center"/>
          </w:tcPr>
          <w:p w14:paraId="07C95A1A" w14:textId="77777777" w:rsidR="00D72156" w:rsidRPr="00C729A5" w:rsidRDefault="00D72156" w:rsidP="00D72156">
            <w:pPr>
              <w:pStyle w:val="TabletextLeft"/>
              <w:rPr>
                <w:rFonts w:asciiTheme="minorHAnsi" w:hAnsiTheme="minorHAnsi"/>
                <w:i/>
                <w:sz w:val="18"/>
                <w:szCs w:val="18"/>
              </w:rPr>
            </w:pPr>
          </w:p>
        </w:tc>
        <w:tc>
          <w:tcPr>
            <w:tcW w:w="992" w:type="dxa"/>
            <w:vAlign w:val="bottom"/>
          </w:tcPr>
          <w:p w14:paraId="52925410" w14:textId="77777777" w:rsidR="00D72156" w:rsidRPr="00155A50" w:rsidRDefault="00D72156" w:rsidP="00D72156">
            <w:pPr>
              <w:jc w:val="center"/>
              <w:rPr>
                <w:rFonts w:asciiTheme="minorHAnsi" w:hAnsiTheme="minorHAnsi"/>
                <w:color w:val="000000"/>
                <w:sz w:val="18"/>
                <w:szCs w:val="18"/>
              </w:rPr>
            </w:pPr>
          </w:p>
        </w:tc>
        <w:tc>
          <w:tcPr>
            <w:tcW w:w="1276" w:type="dxa"/>
            <w:vAlign w:val="bottom"/>
          </w:tcPr>
          <w:p w14:paraId="52AFC1A1" w14:textId="77777777" w:rsidR="00D72156" w:rsidRPr="00155A50" w:rsidRDefault="00D72156" w:rsidP="00D72156">
            <w:pPr>
              <w:jc w:val="center"/>
              <w:rPr>
                <w:rFonts w:asciiTheme="minorHAnsi" w:hAnsiTheme="minorHAnsi"/>
                <w:color w:val="000000"/>
                <w:sz w:val="18"/>
                <w:szCs w:val="18"/>
              </w:rPr>
            </w:pPr>
          </w:p>
        </w:tc>
        <w:tc>
          <w:tcPr>
            <w:tcW w:w="1134" w:type="dxa"/>
            <w:vAlign w:val="bottom"/>
          </w:tcPr>
          <w:p w14:paraId="3BA412D5" w14:textId="77777777" w:rsidR="00D72156" w:rsidRPr="00155A50" w:rsidRDefault="00D72156" w:rsidP="00D72156">
            <w:pPr>
              <w:jc w:val="center"/>
              <w:rPr>
                <w:rFonts w:asciiTheme="minorHAnsi" w:hAnsiTheme="minorHAnsi"/>
                <w:color w:val="000000"/>
                <w:sz w:val="18"/>
                <w:szCs w:val="18"/>
              </w:rPr>
            </w:pPr>
          </w:p>
        </w:tc>
        <w:tc>
          <w:tcPr>
            <w:tcW w:w="1134" w:type="dxa"/>
          </w:tcPr>
          <w:p w14:paraId="20734AF3" w14:textId="77777777" w:rsidR="00D72156" w:rsidRPr="00155A50" w:rsidRDefault="00D72156" w:rsidP="00D72156">
            <w:pPr>
              <w:jc w:val="center"/>
              <w:rPr>
                <w:rFonts w:asciiTheme="minorHAnsi" w:hAnsiTheme="minorHAnsi"/>
                <w:color w:val="000000"/>
                <w:sz w:val="18"/>
                <w:szCs w:val="18"/>
              </w:rPr>
            </w:pPr>
          </w:p>
        </w:tc>
        <w:tc>
          <w:tcPr>
            <w:tcW w:w="1132" w:type="dxa"/>
          </w:tcPr>
          <w:p w14:paraId="020F1064" w14:textId="77777777" w:rsidR="00D72156" w:rsidRPr="00155A50" w:rsidRDefault="00D72156" w:rsidP="00D72156">
            <w:pPr>
              <w:jc w:val="center"/>
              <w:rPr>
                <w:rFonts w:asciiTheme="minorHAnsi" w:hAnsiTheme="minorHAnsi"/>
                <w:color w:val="000000"/>
                <w:sz w:val="18"/>
                <w:szCs w:val="18"/>
              </w:rPr>
            </w:pPr>
          </w:p>
        </w:tc>
      </w:tr>
    </w:tbl>
    <w:p w14:paraId="3D7BAC24" w14:textId="77777777" w:rsidR="00374D2C" w:rsidRDefault="00374D2C" w:rsidP="00374D2C">
      <w:pPr>
        <w:pStyle w:val="Source"/>
      </w:pPr>
      <w:r>
        <w:t>Source: Deloitte Access Economics</w:t>
      </w:r>
      <w:r w:rsidR="000075ED">
        <w:t xml:space="preserve"> analysis</w:t>
      </w:r>
      <w:r>
        <w:t xml:space="preserve">. </w:t>
      </w:r>
      <w:r w:rsidRPr="004E467C">
        <w:t>See Appendix A for descriptive statistics by field</w:t>
      </w:r>
      <w:r w:rsidRPr="00552614">
        <w:t>.</w:t>
      </w:r>
      <w:r>
        <w:t xml:space="preserve">  </w:t>
      </w:r>
    </w:p>
    <w:p w14:paraId="4C87A663" w14:textId="77777777" w:rsidR="00374D2C" w:rsidRDefault="00374D2C" w:rsidP="00374D2C">
      <w:pPr>
        <w:pStyle w:val="HeadingC"/>
      </w:pPr>
      <w:r>
        <w:t>Other specifications</w:t>
      </w:r>
    </w:p>
    <w:p w14:paraId="0B06FE7B" w14:textId="039B7F7D" w:rsidR="00374D2C" w:rsidRDefault="00374D2C" w:rsidP="00374D2C">
      <w:pPr>
        <w:pStyle w:val="BodyText"/>
      </w:pPr>
      <w:r>
        <w:t xml:space="preserve">Quantile regression results and results from the SFA analysis are set out in </w:t>
      </w:r>
      <w:r>
        <w:fldChar w:fldCharType="begin"/>
      </w:r>
      <w:r>
        <w:instrText xml:space="preserve"> REF _Ref466492607 \r \h </w:instrText>
      </w:r>
      <w:r>
        <w:fldChar w:fldCharType="separate"/>
      </w:r>
      <w:r w:rsidR="00595C6E">
        <w:t>Appendix A</w:t>
      </w:r>
      <w:r>
        <w:fldChar w:fldCharType="end"/>
      </w:r>
      <w:r>
        <w:t xml:space="preserve">. The results from these models are broadly similar to the OLS regression in terms of identifying the main cost drivers of </w:t>
      </w:r>
      <w:r w:rsidR="00995626">
        <w:t>teaching and scholarship</w:t>
      </w:r>
      <w:r>
        <w:t xml:space="preserve"> costs. The coefficient estimates themselves vary across models, but it is not straightforward to interpret the differences directly. The implications of the differences in terms of costs per EFTSL are shown in the next section. </w:t>
      </w:r>
    </w:p>
    <w:p w14:paraId="265D7859" w14:textId="77777777" w:rsidR="00374D2C" w:rsidRPr="00A65BA3" w:rsidRDefault="00374D2C" w:rsidP="00374D2C">
      <w:pPr>
        <w:pStyle w:val="Heading2"/>
      </w:pPr>
      <w:bookmarkStart w:id="287" w:name="_Toc469927329"/>
      <w:r>
        <w:lastRenderedPageBreak/>
        <w:t xml:space="preserve">Obtaining indications of reasonable </w:t>
      </w:r>
      <w:r w:rsidRPr="00A65BA3">
        <w:t>cost</w:t>
      </w:r>
      <w:bookmarkEnd w:id="287"/>
      <w:r>
        <w:t xml:space="preserve"> </w:t>
      </w:r>
    </w:p>
    <w:p w14:paraId="6ADEA2A1" w14:textId="77777777" w:rsidR="00374D2C" w:rsidRDefault="00374D2C" w:rsidP="00374D2C">
      <w:pPr>
        <w:pStyle w:val="BodyText"/>
      </w:pPr>
      <w:r>
        <w:t xml:space="preserve">This section discusses how the results of the regression analysis can be used to inform an assessment of reasonable cost for a typical university. As noted </w:t>
      </w:r>
      <w:r w:rsidR="007330CB">
        <w:t>previously</w:t>
      </w:r>
      <w:r>
        <w:t>, what is considered reasonable cost is ultimately a question for policymakers. The objective of this section is not to provide a single estimate of reasonable cost</w:t>
      </w:r>
      <w:r w:rsidR="007330CB">
        <w:t>,</w:t>
      </w:r>
      <w:r>
        <w:t xml:space="preserve"> but rather to provide evidence about how the notion of reasonable cost varies based on the assumed values of different cost drivers and relative efficiency. </w:t>
      </w:r>
    </w:p>
    <w:p w14:paraId="7A11F272" w14:textId="77777777" w:rsidR="00374D2C" w:rsidRDefault="00374D2C" w:rsidP="00374D2C">
      <w:pPr>
        <w:pStyle w:val="BodyText"/>
      </w:pPr>
      <w:r>
        <w:t>The results in section 5.1 inform the assessment of reasonable cost for each field of education, based on the notion of ‘</w:t>
      </w:r>
      <w:r w:rsidRPr="00CD714E">
        <w:t>typical</w:t>
      </w:r>
      <w:r>
        <w:t>’ university characteristics and by removing variations in cost that are not related to underlying contextual, or field of education specific, drivers of cost. In particular, following the discussion in section 4.3.3, this may be done by:</w:t>
      </w:r>
    </w:p>
    <w:p w14:paraId="1D8EF847" w14:textId="77777777" w:rsidR="00374D2C" w:rsidRDefault="00374D2C" w:rsidP="00374D2C">
      <w:pPr>
        <w:pStyle w:val="Bullet1"/>
      </w:pPr>
      <w:r>
        <w:t>Applying the median characteristics of the sample universities in that field of education to each of the specifications discussed in Section 4.3.2; or alternatively,</w:t>
      </w:r>
    </w:p>
    <w:p w14:paraId="10D76ED3" w14:textId="7F7688BE" w:rsidR="00374D2C" w:rsidRDefault="00374D2C" w:rsidP="00374D2C">
      <w:pPr>
        <w:pStyle w:val="Bullet1"/>
      </w:pPr>
      <w:r>
        <w:t>Splitting the explanatory variables into two types: (1) choice or strategic variables and (2) contextual variables which universities ha</w:t>
      </w:r>
      <w:r w:rsidR="00055D80">
        <w:t>ve</w:t>
      </w:r>
      <w:r>
        <w:t xml:space="preserve"> limited scope to vary</w:t>
      </w:r>
      <w:r w:rsidR="000A6898">
        <w:t>,</w:t>
      </w:r>
      <w:r>
        <w:t xml:space="preserve"> </w:t>
      </w:r>
      <w:r w:rsidR="000A6898">
        <w:t>t</w:t>
      </w:r>
      <w:r>
        <w:t xml:space="preserve">hen applying the median characteristics of the sample universities in that field of education to each of the former and the actual university characteristics to the latter.  </w:t>
      </w:r>
    </w:p>
    <w:p w14:paraId="33C33C84" w14:textId="77777777" w:rsidR="00374D2C" w:rsidRDefault="00374D2C" w:rsidP="00374D2C">
      <w:pPr>
        <w:pStyle w:val="BodyText"/>
      </w:pPr>
      <w:r>
        <w:t xml:space="preserve">The second of these two approaches is taken in the analysis here, but as indicated it is just one such possible approach. The variable which is considered to be contextual in this analysis is the proportion of regional EFTSL, with all other variables assumed to be choice or strategic variables. In each case, the model is used to obtain predicted values of cost per EFTSL by field of education. </w:t>
      </w:r>
    </w:p>
    <w:p w14:paraId="63F55FB4" w14:textId="77777777" w:rsidR="00374D2C" w:rsidRDefault="00374D2C" w:rsidP="00374D2C">
      <w:pPr>
        <w:pStyle w:val="Heading3"/>
      </w:pPr>
      <w:r>
        <w:t xml:space="preserve">Reasonable cost assessment by field of education </w:t>
      </w:r>
    </w:p>
    <w:p w14:paraId="57656EBB" w14:textId="77777777" w:rsidR="00374D2C" w:rsidRDefault="00374D2C" w:rsidP="00374D2C">
      <w:pPr>
        <w:pStyle w:val="BodyText"/>
      </w:pPr>
      <w:r>
        <w:t>Applying the algorithm just outlined, Chart 5.2 compares the median actual costs (per EFTSL) in different fields of education with indications of reasonable costs based on estimates from the model estimated by OLS, the quantile regression model (at the 25</w:t>
      </w:r>
      <w:r w:rsidRPr="00275C08">
        <w:rPr>
          <w:vertAlign w:val="superscript"/>
        </w:rPr>
        <w:t>th</w:t>
      </w:r>
      <w:r>
        <w:t xml:space="preserve"> percentile) and SFA model. Table 5.5 shows the precise values for each field of education from these different models.</w:t>
      </w:r>
    </w:p>
    <w:p w14:paraId="6955DCD0" w14:textId="77777777" w:rsidR="00374D2C" w:rsidRDefault="00374D2C" w:rsidP="00374D2C">
      <w:pPr>
        <w:pStyle w:val="BodyText"/>
      </w:pPr>
      <w:r>
        <w:t xml:space="preserve">The lines labelled ‘OLS upper’ and ‘OLS lower’ show confidence intervals for the estimates from the OLS model. Some caution is needed in interpreting these confidence intervals. If longitudinal data was available it may be possible to account for university specific field of education effects, which may lead to smaller confidence intervals. Thus the confidence intervals presented here may be somewhat conservative, but nonetheless indicate that there is a degree of uncertainty around the estimate of reasonable cost developed through this approach. </w:t>
      </w:r>
    </w:p>
    <w:p w14:paraId="1E051273" w14:textId="77777777" w:rsidR="00374D2C" w:rsidRDefault="00374D2C" w:rsidP="00374D2C">
      <w:pPr>
        <w:pStyle w:val="BodyText"/>
      </w:pPr>
      <w:r>
        <w:t>The variation in the cost measures across fields of education reflect systematic differences in the characteristics and delivery of education across fields</w:t>
      </w:r>
      <w:r w:rsidR="000A6898">
        <w:t xml:space="preserve"> including</w:t>
      </w:r>
      <w:r>
        <w:t>:</w:t>
      </w:r>
    </w:p>
    <w:p w14:paraId="43A1750F" w14:textId="77777777" w:rsidR="00374D2C" w:rsidRDefault="00374D2C" w:rsidP="00374D2C">
      <w:pPr>
        <w:pStyle w:val="Bullet1"/>
      </w:pPr>
      <w:r>
        <w:t>Differences in the</w:t>
      </w:r>
      <w:r w:rsidR="000A6898">
        <w:t xml:space="preserve"> value</w:t>
      </w:r>
      <w:r>
        <w:t xml:space="preserve"> of cost drivers across different fields of education; and</w:t>
      </w:r>
    </w:p>
    <w:p w14:paraId="24148B88" w14:textId="77777777" w:rsidR="00374D2C" w:rsidRDefault="00374D2C" w:rsidP="00374D2C">
      <w:pPr>
        <w:pStyle w:val="Bullet1"/>
      </w:pPr>
      <w:r>
        <w:lastRenderedPageBreak/>
        <w:t xml:space="preserve">Unobserved factors that lead some disciplines to be more expensive than others, even after accounting for the </w:t>
      </w:r>
      <w:r w:rsidR="000A6898">
        <w:t xml:space="preserve">value </w:t>
      </w:r>
      <w:r>
        <w:t>of the cost drivers (demonstrated by the significant variations in the coefficient estimates on the field of education indicators in the OLS results shown in Table 5.2).</w:t>
      </w:r>
      <w:r>
        <w:rPr>
          <w:rStyle w:val="FootnoteReference"/>
        </w:rPr>
        <w:footnoteReference w:id="26"/>
      </w:r>
      <w:r>
        <w:t xml:space="preserve"> </w:t>
      </w:r>
    </w:p>
    <w:p w14:paraId="43399408" w14:textId="77777777" w:rsidR="00374D2C" w:rsidRDefault="00374D2C" w:rsidP="00374D2C">
      <w:pPr>
        <w:pStyle w:val="BodyText"/>
      </w:pPr>
      <w:r>
        <w:t>Quantile regression (at the 25</w:t>
      </w:r>
      <w:r w:rsidRPr="003802C0">
        <w:rPr>
          <w:vertAlign w:val="superscript"/>
        </w:rPr>
        <w:t>th</w:t>
      </w:r>
      <w:r>
        <w:t xml:space="preserve"> percentile) cost estimates are incorporated similarly, and attempt to ‘go beyond’ a measure of differentials in cost at the median or typical university, and estimate a lower bound of cost that may be interpreted as better representing the reasonable cost frontier, albeit with this frontier being chosen somewhat arbitrarily here as the 25</w:t>
      </w:r>
      <w:r w:rsidRPr="00136129">
        <w:rPr>
          <w:vertAlign w:val="superscript"/>
        </w:rPr>
        <w:t>th</w:t>
      </w:r>
      <w:r>
        <w:t xml:space="preserve"> percentile. </w:t>
      </w:r>
    </w:p>
    <w:p w14:paraId="12F0D685" w14:textId="77777777" w:rsidR="00374D2C" w:rsidRPr="00D55F3F" w:rsidRDefault="00374D2C" w:rsidP="00374D2C">
      <w:pPr>
        <w:pStyle w:val="BodyText"/>
        <w:rPr>
          <w:b/>
        </w:rPr>
      </w:pPr>
      <w:r>
        <w:t xml:space="preserve">These quantile regression estimates, as expected, </w:t>
      </w:r>
      <w:r w:rsidRPr="004E467C">
        <w:t>are generally lower than the median actual cost</w:t>
      </w:r>
      <w:r>
        <w:t xml:space="preserve"> and always lower than the OLS cost model predictions. Results from SFA, which apply an even more stringent definition of efficiency, always lie below both actual costs and reasonable costs based </w:t>
      </w:r>
      <w:r w:rsidRPr="005F2DE1">
        <w:t>on an OLS model.</w:t>
      </w:r>
      <w:r w:rsidRPr="00D55F3F">
        <w:rPr>
          <w:b/>
        </w:rPr>
        <w:t xml:space="preserve"> </w:t>
      </w:r>
      <w:r w:rsidRPr="005F2DE1">
        <w:rPr>
          <w:rStyle w:val="Boldword"/>
          <w:b w:val="0"/>
          <w:color w:val="auto"/>
        </w:rPr>
        <w:t>This suggests that the reasonable costs for a university operating efficiently is below average actual costs.</w:t>
      </w:r>
      <w:r w:rsidRPr="00D55F3F">
        <w:rPr>
          <w:b/>
        </w:rPr>
        <w:t xml:space="preserve"> </w:t>
      </w:r>
    </w:p>
    <w:p w14:paraId="3C62571A" w14:textId="0168DE6A" w:rsidR="00374D2C" w:rsidRDefault="00374D2C" w:rsidP="00374D2C">
      <w:pPr>
        <w:pStyle w:val="BodyText"/>
      </w:pPr>
      <w:r w:rsidRPr="005F2DE1">
        <w:t xml:space="preserve">Furthermore, there is some variation </w:t>
      </w:r>
      <w:r>
        <w:t>across fields in the distance between the reasonable cost estimate from the OLS model and lower cost bounds.</w:t>
      </w:r>
      <w:r>
        <w:rPr>
          <w:rStyle w:val="FootnoteReference"/>
        </w:rPr>
        <w:footnoteReference w:id="27"/>
      </w:r>
      <w:r>
        <w:t xml:space="preserve"> This suggests that some fields are on average ‘further’ from the cost frontier – for example, Dental Studies</w:t>
      </w:r>
      <w:r w:rsidRPr="00DD164E">
        <w:t xml:space="preserve"> and Veterinary </w:t>
      </w:r>
      <w:r w:rsidR="00FF7656">
        <w:t>Studies</w:t>
      </w:r>
      <w:r>
        <w:t xml:space="preserve"> – while others appear to be relatively close to the frontier. This variation may reflect:</w:t>
      </w:r>
    </w:p>
    <w:p w14:paraId="23B44F6C" w14:textId="77777777" w:rsidR="00374D2C" w:rsidRDefault="00374D2C" w:rsidP="00374D2C">
      <w:pPr>
        <w:pStyle w:val="Bullet1"/>
      </w:pPr>
      <w:r>
        <w:t>Greater differences in efficiency levels in particular fields of education;</w:t>
      </w:r>
    </w:p>
    <w:p w14:paraId="5757A6F1" w14:textId="77777777" w:rsidR="00374D2C" w:rsidRDefault="00374D2C" w:rsidP="00374D2C">
      <w:pPr>
        <w:pStyle w:val="Bullet1"/>
      </w:pPr>
      <w:r>
        <w:t xml:space="preserve">Different strategic decisions being made in particular fields of education; or </w:t>
      </w:r>
    </w:p>
    <w:p w14:paraId="58AC5B0B" w14:textId="77777777" w:rsidR="00374D2C" w:rsidRDefault="00374D2C" w:rsidP="00374D2C">
      <w:pPr>
        <w:pStyle w:val="Bullet1"/>
      </w:pPr>
      <w:r>
        <w:t>The influence of other unobserved factors impacting cost differentially across universities.</w:t>
      </w:r>
      <w:r>
        <w:rPr>
          <w:rStyle w:val="FootnoteReference"/>
        </w:rPr>
        <w:footnoteReference w:id="28"/>
      </w:r>
      <w:r>
        <w:t xml:space="preserve">  </w:t>
      </w:r>
    </w:p>
    <w:p w14:paraId="672D999F" w14:textId="77777777" w:rsidR="00374D2C" w:rsidRPr="005F2DE1" w:rsidRDefault="00374D2C" w:rsidP="00374D2C">
      <w:pPr>
        <w:pStyle w:val="BodyText"/>
        <w:rPr>
          <w:rStyle w:val="Boldword"/>
          <w:b w:val="0"/>
          <w:color w:val="auto"/>
        </w:rPr>
      </w:pPr>
      <w:r>
        <w:t xml:space="preserve">In summary, the analysis in Chart 5.2 demonstrates that </w:t>
      </w:r>
      <w:r w:rsidRPr="004E467C">
        <w:rPr>
          <w:rStyle w:val="Boldword"/>
        </w:rPr>
        <w:t xml:space="preserve">reasonable costs for a typical university vary considerably across different fields of education, reflecting differences in cost drivers such as staff to student ratios. </w:t>
      </w:r>
      <w:r w:rsidRPr="005F2DE1">
        <w:rPr>
          <w:rStyle w:val="Boldword"/>
          <w:b w:val="0"/>
          <w:color w:val="auto"/>
        </w:rPr>
        <w:t xml:space="preserve">Moreover, the notion of reasonable cost is very much dependent on the particular point in the cost distribution chosen to reflect the relative level of efficiency. </w:t>
      </w:r>
    </w:p>
    <w:p w14:paraId="5B6B66CA" w14:textId="77777777" w:rsidR="00374D2C" w:rsidRDefault="00374D2C" w:rsidP="007330CB">
      <w:pPr>
        <w:pStyle w:val="BodyText"/>
        <w:rPr>
          <w:rStyle w:val="Boldword"/>
          <w:b w:val="0"/>
          <w:color w:val="auto"/>
        </w:rPr>
      </w:pPr>
      <w:r w:rsidRPr="00327AA3">
        <w:rPr>
          <w:rStyle w:val="Boldword"/>
          <w:b w:val="0"/>
          <w:color w:val="auto"/>
        </w:rPr>
        <w:t>Chart 5.3 builds on the analysis in Chart 5.</w:t>
      </w:r>
      <w:r w:rsidRPr="0055398A">
        <w:rPr>
          <w:rStyle w:val="Boldword"/>
          <w:b w:val="0"/>
          <w:color w:val="auto"/>
        </w:rPr>
        <w:t xml:space="preserve">2 </w:t>
      </w:r>
      <w:r w:rsidR="005C15E1">
        <w:rPr>
          <w:rStyle w:val="Boldword"/>
          <w:b w:val="0"/>
          <w:color w:val="auto"/>
        </w:rPr>
        <w:t xml:space="preserve">by decomposing each cost estimate into </w:t>
      </w:r>
      <w:r w:rsidR="00941D93">
        <w:rPr>
          <w:rStyle w:val="Boldword"/>
          <w:b w:val="0"/>
          <w:color w:val="auto"/>
        </w:rPr>
        <w:t xml:space="preserve">common </w:t>
      </w:r>
      <w:r w:rsidR="005C15E1">
        <w:rPr>
          <w:rStyle w:val="Boldword"/>
          <w:b w:val="0"/>
          <w:color w:val="auto"/>
        </w:rPr>
        <w:t xml:space="preserve">cost drivers </w:t>
      </w:r>
      <w:r w:rsidR="00941D93">
        <w:rPr>
          <w:rStyle w:val="Boldword"/>
          <w:b w:val="0"/>
          <w:color w:val="auto"/>
        </w:rPr>
        <w:t>and</w:t>
      </w:r>
      <w:r w:rsidR="005C15E1">
        <w:rPr>
          <w:rStyle w:val="Boldword"/>
          <w:b w:val="0"/>
          <w:color w:val="auto"/>
        </w:rPr>
        <w:t xml:space="preserve"> field</w:t>
      </w:r>
      <w:r w:rsidR="00941D93">
        <w:rPr>
          <w:rStyle w:val="Boldword"/>
          <w:b w:val="0"/>
          <w:color w:val="auto"/>
        </w:rPr>
        <w:t>-</w:t>
      </w:r>
      <w:r w:rsidR="005C15E1">
        <w:rPr>
          <w:rStyle w:val="Boldword"/>
          <w:b w:val="0"/>
          <w:color w:val="auto"/>
        </w:rPr>
        <w:t xml:space="preserve">specific effects. </w:t>
      </w:r>
      <w:r>
        <w:rPr>
          <w:rStyle w:val="Boldword"/>
          <w:b w:val="0"/>
          <w:color w:val="auto"/>
        </w:rPr>
        <w:t xml:space="preserve">The dark blue </w:t>
      </w:r>
      <w:r w:rsidR="005C15E1">
        <w:rPr>
          <w:rStyle w:val="Boldword"/>
          <w:b w:val="0"/>
          <w:color w:val="auto"/>
        </w:rPr>
        <w:t xml:space="preserve">lower sections represent the </w:t>
      </w:r>
      <w:r>
        <w:rPr>
          <w:rStyle w:val="Boldword"/>
          <w:b w:val="0"/>
          <w:color w:val="auto"/>
        </w:rPr>
        <w:t xml:space="preserve">impact of cost drivers, which are set to their median value in each field. </w:t>
      </w:r>
      <w:r w:rsidR="005C15E1">
        <w:rPr>
          <w:rStyle w:val="Boldword"/>
          <w:b w:val="0"/>
          <w:color w:val="auto"/>
        </w:rPr>
        <w:t>Notably, t</w:t>
      </w:r>
      <w:r>
        <w:rPr>
          <w:rStyle w:val="Boldword"/>
          <w:b w:val="0"/>
          <w:color w:val="auto"/>
        </w:rPr>
        <w:t xml:space="preserve">here is only moderate variation in cost per EFTSL associated with differences in underlying cost drivers. </w:t>
      </w:r>
    </w:p>
    <w:p w14:paraId="42534127" w14:textId="77777777" w:rsidR="00374D2C" w:rsidRPr="0055398A" w:rsidRDefault="00374D2C">
      <w:pPr>
        <w:pStyle w:val="BodyText"/>
        <w:rPr>
          <w:rStyle w:val="Boldword"/>
          <w:b w:val="0"/>
          <w:color w:val="auto"/>
        </w:rPr>
      </w:pPr>
      <w:r>
        <w:rPr>
          <w:rStyle w:val="Boldword"/>
          <w:b w:val="0"/>
          <w:color w:val="auto"/>
        </w:rPr>
        <w:lastRenderedPageBreak/>
        <w:t xml:space="preserve">The light blue </w:t>
      </w:r>
      <w:r w:rsidR="005C15E1">
        <w:rPr>
          <w:rStyle w:val="Boldword"/>
          <w:b w:val="0"/>
          <w:color w:val="auto"/>
        </w:rPr>
        <w:t>upper sections</w:t>
      </w:r>
      <w:r>
        <w:rPr>
          <w:rStyle w:val="Boldword"/>
          <w:b w:val="0"/>
          <w:color w:val="auto"/>
        </w:rPr>
        <w:t xml:space="preserve"> in Chart 5.3 show the degree of cost variation due to field </w:t>
      </w:r>
      <w:r w:rsidR="005C15E1">
        <w:rPr>
          <w:rStyle w:val="Boldword"/>
          <w:b w:val="0"/>
          <w:color w:val="auto"/>
        </w:rPr>
        <w:t>specific or fixed</w:t>
      </w:r>
      <w:r>
        <w:rPr>
          <w:rStyle w:val="Boldword"/>
          <w:b w:val="0"/>
          <w:color w:val="auto"/>
        </w:rPr>
        <w:t xml:space="preserve"> effects. </w:t>
      </w:r>
      <w:r w:rsidR="005C15E1">
        <w:rPr>
          <w:rStyle w:val="Boldword"/>
          <w:b w:val="0"/>
          <w:color w:val="auto"/>
        </w:rPr>
        <w:t xml:space="preserve">Shading is used to represent field specific effects that are not statistically different from the omitted base category (Other </w:t>
      </w:r>
      <w:r w:rsidR="002D54FD">
        <w:rPr>
          <w:rStyle w:val="Boldword"/>
          <w:b w:val="0"/>
          <w:color w:val="auto"/>
        </w:rPr>
        <w:t>Society</w:t>
      </w:r>
      <w:r w:rsidR="005C15E1">
        <w:rPr>
          <w:rStyle w:val="Boldword"/>
          <w:b w:val="0"/>
          <w:color w:val="auto"/>
        </w:rPr>
        <w:t xml:space="preserve"> and</w:t>
      </w:r>
      <w:r w:rsidR="002D54FD">
        <w:rPr>
          <w:rStyle w:val="Boldword"/>
          <w:b w:val="0"/>
          <w:color w:val="auto"/>
        </w:rPr>
        <w:t xml:space="preserve"> Culture</w:t>
      </w:r>
      <w:r w:rsidR="005C15E1">
        <w:rPr>
          <w:rStyle w:val="Boldword"/>
          <w:b w:val="0"/>
          <w:color w:val="auto"/>
        </w:rPr>
        <w:t xml:space="preserve">). A significant degree of variation is observed </w:t>
      </w:r>
      <w:r w:rsidR="00931924">
        <w:rPr>
          <w:rStyle w:val="Boldword"/>
          <w:b w:val="0"/>
          <w:color w:val="auto"/>
        </w:rPr>
        <w:t>to be</w:t>
      </w:r>
      <w:r w:rsidR="005C15E1">
        <w:rPr>
          <w:rStyle w:val="Boldword"/>
          <w:b w:val="0"/>
          <w:color w:val="auto"/>
        </w:rPr>
        <w:t xml:space="preserve"> field specific, after controlling for observed cost drivers. This suggests that there are likely unobserved differences at the field level, </w:t>
      </w:r>
      <w:r w:rsidR="00931924">
        <w:rPr>
          <w:rStyle w:val="Boldword"/>
          <w:b w:val="0"/>
          <w:color w:val="auto"/>
        </w:rPr>
        <w:t xml:space="preserve">which could include factors </w:t>
      </w:r>
      <w:r w:rsidR="005C15E1">
        <w:rPr>
          <w:rStyle w:val="Boldword"/>
          <w:b w:val="0"/>
          <w:color w:val="auto"/>
        </w:rPr>
        <w:t>such as laboratories or work placements, which have a significant impact on cost, in addition to the included cost driver</w:t>
      </w:r>
      <w:r w:rsidR="00931924">
        <w:rPr>
          <w:rStyle w:val="Boldword"/>
          <w:b w:val="0"/>
          <w:color w:val="auto"/>
        </w:rPr>
        <w:t>s</w:t>
      </w:r>
      <w:r w:rsidR="005C15E1">
        <w:rPr>
          <w:rStyle w:val="Boldword"/>
          <w:b w:val="0"/>
          <w:color w:val="auto"/>
        </w:rPr>
        <w:t xml:space="preserve">. </w:t>
      </w:r>
      <w:r>
        <w:rPr>
          <w:rStyle w:val="Boldword"/>
          <w:b w:val="0"/>
          <w:color w:val="auto"/>
        </w:rPr>
        <w:t xml:space="preserve"> </w:t>
      </w:r>
    </w:p>
    <w:p w14:paraId="0EF752FB" w14:textId="77777777" w:rsidR="005C15E1" w:rsidRDefault="00374D2C" w:rsidP="00374D2C">
      <w:pPr>
        <w:pStyle w:val="BodyText"/>
        <w:rPr>
          <w:rStyle w:val="Boldword"/>
          <w:b w:val="0"/>
          <w:color w:val="auto"/>
        </w:rPr>
      </w:pPr>
      <w:r w:rsidRPr="004E467C">
        <w:rPr>
          <w:rStyle w:val="Boldword"/>
          <w:b w:val="0"/>
          <w:color w:val="auto"/>
        </w:rPr>
        <w:t>The green line shows</w:t>
      </w:r>
      <w:r>
        <w:rPr>
          <w:rStyle w:val="Boldword"/>
          <w:b w:val="0"/>
          <w:color w:val="auto"/>
        </w:rPr>
        <w:t xml:space="preserve"> total costs (including field specific effects) where the staff to student ratio is set at a common value of 30 students per teaching staff member</w:t>
      </w:r>
      <w:r w:rsidR="005C15E1">
        <w:rPr>
          <w:rStyle w:val="Boldword"/>
          <w:b w:val="0"/>
          <w:color w:val="auto"/>
        </w:rPr>
        <w:t xml:space="preserve">, compared to the median 26.8 </w:t>
      </w:r>
      <w:r>
        <w:rPr>
          <w:rStyle w:val="Boldword"/>
          <w:b w:val="0"/>
          <w:color w:val="auto"/>
        </w:rPr>
        <w:t xml:space="preserve">students per teaching staff. </w:t>
      </w:r>
      <w:r w:rsidR="00474F35">
        <w:rPr>
          <w:rStyle w:val="Boldword"/>
          <w:b w:val="0"/>
          <w:color w:val="auto"/>
        </w:rPr>
        <w:t xml:space="preserve">This new total cost is higher for low cost fields, which suggests these fields have higher </w:t>
      </w:r>
      <w:r w:rsidR="00941D93">
        <w:rPr>
          <w:rStyle w:val="Boldword"/>
          <w:b w:val="0"/>
          <w:color w:val="auto"/>
        </w:rPr>
        <w:t>staff to student</w:t>
      </w:r>
      <w:r w:rsidR="00474F35">
        <w:rPr>
          <w:rStyle w:val="Boldword"/>
          <w:b w:val="0"/>
          <w:color w:val="auto"/>
        </w:rPr>
        <w:t xml:space="preserve"> ratios (than the median), and vice versa for high cost fields. </w:t>
      </w:r>
    </w:p>
    <w:p w14:paraId="5F1F8F11" w14:textId="5D8731DB" w:rsidR="009C1085" w:rsidRDefault="00474F35" w:rsidP="00D55F3F">
      <w:pPr>
        <w:pStyle w:val="BodyText"/>
        <w:rPr>
          <w:rStyle w:val="Boldword"/>
          <w:b w:val="0"/>
          <w:color w:val="auto"/>
        </w:rPr>
      </w:pPr>
      <w:r>
        <w:rPr>
          <w:rStyle w:val="Boldword"/>
          <w:b w:val="0"/>
          <w:color w:val="auto"/>
        </w:rPr>
        <w:t xml:space="preserve">The total variation in costs between fields moderates after setting a common staff to student ratio, which indicates that a significant proportion of costs may be attributable to decisions on staff to student ratios. </w:t>
      </w:r>
      <w:r w:rsidR="00D66675">
        <w:rPr>
          <w:rStyle w:val="Boldword"/>
          <w:b w:val="0"/>
          <w:color w:val="auto"/>
        </w:rPr>
        <w:t xml:space="preserve">Notably, this is most apparent for the highest cost courses (Veterinary </w:t>
      </w:r>
      <w:r w:rsidR="00FF7656">
        <w:rPr>
          <w:rStyle w:val="Boldword"/>
          <w:b w:val="0"/>
          <w:color w:val="auto"/>
        </w:rPr>
        <w:t>Studies</w:t>
      </w:r>
      <w:r w:rsidR="00D66675">
        <w:rPr>
          <w:rStyle w:val="Boldword"/>
          <w:b w:val="0"/>
          <w:color w:val="auto"/>
        </w:rPr>
        <w:t xml:space="preserve">, Dental </w:t>
      </w:r>
      <w:r w:rsidR="00FF7656">
        <w:rPr>
          <w:rStyle w:val="Boldword"/>
          <w:b w:val="0"/>
          <w:color w:val="auto"/>
        </w:rPr>
        <w:t>Studies</w:t>
      </w:r>
      <w:r w:rsidR="00D66675">
        <w:rPr>
          <w:rStyle w:val="Boldword"/>
          <w:b w:val="0"/>
          <w:color w:val="auto"/>
        </w:rPr>
        <w:t xml:space="preserve">), which suggests their cost differentials are driven </w:t>
      </w:r>
      <w:r w:rsidR="00931924">
        <w:rPr>
          <w:rStyle w:val="Boldword"/>
          <w:b w:val="0"/>
          <w:color w:val="auto"/>
        </w:rPr>
        <w:t xml:space="preserve">to a substantial degree </w:t>
      </w:r>
      <w:r w:rsidR="00D66675">
        <w:rPr>
          <w:rStyle w:val="Boldword"/>
          <w:b w:val="0"/>
          <w:color w:val="auto"/>
        </w:rPr>
        <w:t>by staffing costs.</w:t>
      </w:r>
    </w:p>
    <w:p w14:paraId="41372A8B" w14:textId="58C061DB" w:rsidR="00374D2C" w:rsidRDefault="00D66675" w:rsidP="00D55F3F">
      <w:pPr>
        <w:pStyle w:val="BodyText"/>
        <w:sectPr w:rsidR="00374D2C" w:rsidSect="00F33D8F">
          <w:headerReference w:type="even" r:id="rId66"/>
          <w:headerReference w:type="default" r:id="rId67"/>
          <w:footerReference w:type="even" r:id="rId68"/>
          <w:pgSz w:w="11906" w:h="16838" w:code="9"/>
          <w:pgMar w:top="2268" w:right="1134" w:bottom="1134" w:left="2552" w:header="720" w:footer="720" w:gutter="0"/>
          <w:pgNumType w:start="1"/>
          <w:cols w:space="720"/>
          <w:docGrid w:linePitch="360"/>
        </w:sectPr>
      </w:pPr>
      <w:r>
        <w:rPr>
          <w:rStyle w:val="Boldword"/>
          <w:b w:val="0"/>
          <w:color w:val="auto"/>
        </w:rPr>
        <w:t xml:space="preserve"> </w:t>
      </w:r>
    </w:p>
    <w:p w14:paraId="7C67FBA5" w14:textId="269079B6" w:rsidR="00374D2C" w:rsidRDefault="00374D2C" w:rsidP="00374D2C">
      <w:pPr>
        <w:pStyle w:val="CaptionChart"/>
      </w:pPr>
      <w:bookmarkStart w:id="288" w:name="_Toc469927382"/>
      <w:r>
        <w:lastRenderedPageBreak/>
        <w:t>: Cost estimates</w:t>
      </w:r>
      <w:r w:rsidR="00E65A41">
        <w:t xml:space="preserve"> - </w:t>
      </w:r>
      <w:r>
        <w:t>Total cost per EFTSL (</w:t>
      </w:r>
      <w:r w:rsidR="009F6F84">
        <w:t>b</w:t>
      </w:r>
      <w:r>
        <w:t>achelor level, 2015)</w:t>
      </w:r>
      <w:bookmarkEnd w:id="288"/>
    </w:p>
    <w:p w14:paraId="3C2DF163" w14:textId="77777777" w:rsidR="00374D2C" w:rsidRDefault="00374D2C" w:rsidP="00374D2C">
      <w:pPr>
        <w:pStyle w:val="BodyText"/>
      </w:pPr>
      <w:r>
        <w:rPr>
          <w:noProof/>
          <w:lang w:eastAsia="en-AU"/>
        </w:rPr>
        <w:drawing>
          <wp:inline distT="0" distB="0" distL="0" distR="0" wp14:anchorId="400A271A" wp14:editId="608AE689">
            <wp:extent cx="8169275" cy="4681855"/>
            <wp:effectExtent l="0" t="0" r="3175" b="4445"/>
            <wp:docPr id="492" name="Picture 492" descr="Comparison of cost estimates relative to total cost per EFTSL for bachelor level, by field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169275" cy="4681855"/>
                    </a:xfrm>
                    <a:prstGeom prst="rect">
                      <a:avLst/>
                    </a:prstGeom>
                    <a:noFill/>
                  </pic:spPr>
                </pic:pic>
              </a:graphicData>
            </a:graphic>
          </wp:inline>
        </w:drawing>
      </w:r>
    </w:p>
    <w:p w14:paraId="499233F6" w14:textId="77777777" w:rsidR="00374D2C" w:rsidRDefault="00374D2C" w:rsidP="00374D2C">
      <w:pPr>
        <w:pStyle w:val="Source"/>
      </w:pPr>
      <w:r>
        <w:t xml:space="preserve">Source:  Deloitte Access Economics </w:t>
      </w:r>
      <w:r w:rsidR="000075ED">
        <w:t>analysis.</w:t>
      </w:r>
    </w:p>
    <w:p w14:paraId="08E04BC6" w14:textId="77777777" w:rsidR="00374D2C" w:rsidRDefault="00374D2C" w:rsidP="00374D2C">
      <w:pPr>
        <w:pStyle w:val="Source"/>
      </w:pPr>
      <w:r>
        <w:t xml:space="preserve">Note: Varied ‘contextual’ cost drivers include proportion of regional EFTSL and field fixed effects. Fixed cost drivers (set to median by FOE) include staff student ratio (log, teaching staff), proportion of casual teaching staff, and ratio of HDR to postgraduate coursework EFTSL. </w:t>
      </w:r>
    </w:p>
    <w:p w14:paraId="1FC79185" w14:textId="77777777" w:rsidR="00374D2C" w:rsidRPr="00525DA6" w:rsidRDefault="00374D2C" w:rsidP="00374D2C">
      <w:pPr>
        <w:pStyle w:val="Source"/>
        <w:sectPr w:rsidR="00374D2C" w:rsidRPr="00525DA6" w:rsidSect="00DD230E">
          <w:pgSz w:w="16838" w:h="11906" w:orient="landscape" w:code="9"/>
          <w:pgMar w:top="1418" w:right="2268" w:bottom="1134" w:left="1134" w:header="720" w:footer="720" w:gutter="0"/>
          <w:cols w:space="720"/>
          <w:docGrid w:linePitch="360"/>
        </w:sectPr>
      </w:pPr>
    </w:p>
    <w:p w14:paraId="462663B2" w14:textId="4041E3B5" w:rsidR="00374D2C" w:rsidRDefault="00374D2C" w:rsidP="00374D2C">
      <w:pPr>
        <w:pStyle w:val="CaptionTable"/>
      </w:pPr>
      <w:bookmarkStart w:id="289" w:name="_Toc469927399"/>
      <w:r>
        <w:lastRenderedPageBreak/>
        <w:t>: Reasonable vs raw cost by field (</w:t>
      </w:r>
      <w:r w:rsidR="009F6F84">
        <w:t>b</w:t>
      </w:r>
      <w:r>
        <w:t>achelo</w:t>
      </w:r>
      <w:r w:rsidR="009F6F84">
        <w:t>r level</w:t>
      </w:r>
      <w:r>
        <w:t>)</w:t>
      </w:r>
      <w:bookmarkEnd w:id="289"/>
    </w:p>
    <w:tbl>
      <w:tblPr>
        <w:tblStyle w:val="TableAE"/>
        <w:tblW w:w="13843" w:type="dxa"/>
        <w:tblLayout w:type="fixed"/>
        <w:tblLook w:val="04A0" w:firstRow="1" w:lastRow="0" w:firstColumn="1" w:lastColumn="0" w:noHBand="0" w:noVBand="1"/>
      </w:tblPr>
      <w:tblGrid>
        <w:gridCol w:w="2507"/>
        <w:gridCol w:w="1604"/>
        <w:gridCol w:w="1230"/>
        <w:gridCol w:w="1417"/>
        <w:gridCol w:w="1417"/>
        <w:gridCol w:w="1417"/>
        <w:gridCol w:w="1417"/>
        <w:gridCol w:w="1417"/>
        <w:gridCol w:w="1417"/>
      </w:tblGrid>
      <w:tr w:rsidR="00374D2C" w14:paraId="0BE8B7B5" w14:textId="77777777" w:rsidTr="00512092">
        <w:trPr>
          <w:cnfStyle w:val="100000000000" w:firstRow="1" w:lastRow="0" w:firstColumn="0" w:lastColumn="0" w:oddVBand="0" w:evenVBand="0" w:oddHBand="0" w:evenHBand="0" w:firstRowFirstColumn="0" w:firstRowLastColumn="0" w:lastRowFirstColumn="0" w:lastRowLastColumn="0"/>
        </w:trPr>
        <w:tc>
          <w:tcPr>
            <w:tcW w:w="2507" w:type="dxa"/>
            <w:vAlign w:val="center"/>
          </w:tcPr>
          <w:p w14:paraId="49CB8F56" w14:textId="77777777" w:rsidR="00374D2C" w:rsidRDefault="00374D2C" w:rsidP="00512092">
            <w:pPr>
              <w:pStyle w:val="TableHeadingCentre"/>
              <w:jc w:val="left"/>
            </w:pPr>
            <w:r>
              <w:t>Field</w:t>
            </w:r>
          </w:p>
        </w:tc>
        <w:tc>
          <w:tcPr>
            <w:tcW w:w="1604" w:type="dxa"/>
          </w:tcPr>
          <w:p w14:paraId="2146B0C2" w14:textId="77777777" w:rsidR="00374D2C" w:rsidRPr="00C729A5" w:rsidRDefault="00374D2C" w:rsidP="00512092">
            <w:pPr>
              <w:pStyle w:val="TableHeadingCentre"/>
              <w:tabs>
                <w:tab w:val="left" w:pos="240"/>
                <w:tab w:val="center" w:pos="611"/>
              </w:tabs>
              <w:rPr>
                <w:sz w:val="20"/>
              </w:rPr>
            </w:pPr>
            <w:r>
              <w:rPr>
                <w:sz w:val="20"/>
              </w:rPr>
              <w:t>Median</w:t>
            </w:r>
          </w:p>
        </w:tc>
        <w:tc>
          <w:tcPr>
            <w:tcW w:w="1230" w:type="dxa"/>
          </w:tcPr>
          <w:p w14:paraId="2FF7C623" w14:textId="77777777" w:rsidR="00374D2C" w:rsidRDefault="00374D2C" w:rsidP="00512092">
            <w:pPr>
              <w:pStyle w:val="TableHeadingCentre"/>
              <w:rPr>
                <w:sz w:val="20"/>
              </w:rPr>
            </w:pPr>
            <w:r>
              <w:rPr>
                <w:sz w:val="20"/>
              </w:rPr>
              <w:t>Mean</w:t>
            </w:r>
          </w:p>
        </w:tc>
        <w:tc>
          <w:tcPr>
            <w:tcW w:w="1417" w:type="dxa"/>
          </w:tcPr>
          <w:p w14:paraId="4F790761" w14:textId="77777777" w:rsidR="00374D2C" w:rsidRDefault="00374D2C" w:rsidP="00512092">
            <w:pPr>
              <w:pStyle w:val="TableHeadingCentre"/>
              <w:rPr>
                <w:sz w:val="20"/>
              </w:rPr>
            </w:pPr>
            <w:r>
              <w:rPr>
                <w:sz w:val="20"/>
              </w:rPr>
              <w:t xml:space="preserve">Min </w:t>
            </w:r>
          </w:p>
        </w:tc>
        <w:tc>
          <w:tcPr>
            <w:tcW w:w="1417" w:type="dxa"/>
          </w:tcPr>
          <w:p w14:paraId="711CE5D5" w14:textId="77777777" w:rsidR="00374D2C" w:rsidRDefault="00374D2C" w:rsidP="00512092">
            <w:pPr>
              <w:pStyle w:val="TableHeadingCentre"/>
              <w:rPr>
                <w:sz w:val="20"/>
              </w:rPr>
            </w:pPr>
            <w:r>
              <w:rPr>
                <w:sz w:val="20"/>
              </w:rPr>
              <w:t>Max</w:t>
            </w:r>
          </w:p>
        </w:tc>
        <w:tc>
          <w:tcPr>
            <w:tcW w:w="1417" w:type="dxa"/>
          </w:tcPr>
          <w:p w14:paraId="7CAA1529" w14:textId="77777777" w:rsidR="00374D2C" w:rsidRDefault="00374D2C" w:rsidP="00512092">
            <w:pPr>
              <w:pStyle w:val="TableHeadingCentre"/>
              <w:rPr>
                <w:sz w:val="20"/>
              </w:rPr>
            </w:pPr>
            <w:r>
              <w:rPr>
                <w:sz w:val="20"/>
              </w:rPr>
              <w:t>IQR</w:t>
            </w:r>
          </w:p>
        </w:tc>
        <w:tc>
          <w:tcPr>
            <w:tcW w:w="1417" w:type="dxa"/>
          </w:tcPr>
          <w:p w14:paraId="23FABE9B" w14:textId="77777777" w:rsidR="00374D2C" w:rsidRPr="00C729A5" w:rsidRDefault="00374D2C" w:rsidP="00512092">
            <w:pPr>
              <w:pStyle w:val="TableHeadingCentre"/>
              <w:rPr>
                <w:sz w:val="20"/>
              </w:rPr>
            </w:pPr>
            <w:r>
              <w:rPr>
                <w:sz w:val="20"/>
              </w:rPr>
              <w:t>OLS</w:t>
            </w:r>
          </w:p>
        </w:tc>
        <w:tc>
          <w:tcPr>
            <w:tcW w:w="1417" w:type="dxa"/>
          </w:tcPr>
          <w:p w14:paraId="656F0BC2" w14:textId="77777777" w:rsidR="00374D2C" w:rsidRPr="00C729A5" w:rsidRDefault="00374D2C" w:rsidP="00512092">
            <w:pPr>
              <w:pStyle w:val="TableHeadingCentre"/>
              <w:rPr>
                <w:sz w:val="20"/>
              </w:rPr>
            </w:pPr>
            <w:r>
              <w:rPr>
                <w:sz w:val="20"/>
              </w:rPr>
              <w:t>Quantile (25p)</w:t>
            </w:r>
          </w:p>
        </w:tc>
        <w:tc>
          <w:tcPr>
            <w:tcW w:w="1417" w:type="dxa"/>
          </w:tcPr>
          <w:p w14:paraId="70230E4E" w14:textId="77777777" w:rsidR="00374D2C" w:rsidRDefault="00374D2C" w:rsidP="00512092">
            <w:pPr>
              <w:pStyle w:val="TableHeadingCentre"/>
              <w:rPr>
                <w:sz w:val="20"/>
              </w:rPr>
            </w:pPr>
            <w:r>
              <w:rPr>
                <w:sz w:val="20"/>
              </w:rPr>
              <w:t>SFA</w:t>
            </w:r>
          </w:p>
        </w:tc>
      </w:tr>
      <w:tr w:rsidR="00374D2C" w14:paraId="0DAC6C72" w14:textId="77777777" w:rsidTr="00512092">
        <w:tc>
          <w:tcPr>
            <w:tcW w:w="2507" w:type="dxa"/>
            <w:vAlign w:val="bottom"/>
          </w:tcPr>
          <w:p w14:paraId="79DC477C" w14:textId="77777777" w:rsidR="00374D2C" w:rsidRPr="00774892" w:rsidRDefault="00374D2C" w:rsidP="00512092">
            <w:pPr>
              <w:pStyle w:val="TabletextLeft"/>
              <w:spacing w:before="0"/>
              <w:rPr>
                <w:rFonts w:asciiTheme="minorHAnsi" w:hAnsiTheme="minorHAnsi"/>
                <w:sz w:val="18"/>
                <w:szCs w:val="18"/>
              </w:rPr>
            </w:pPr>
            <w:r w:rsidRPr="003242E7">
              <w:rPr>
                <w:rFonts w:asciiTheme="minorHAnsi" w:hAnsiTheme="minorHAnsi"/>
                <w:sz w:val="18"/>
                <w:szCs w:val="18"/>
              </w:rPr>
              <w:t>Mathematical science</w:t>
            </w:r>
          </w:p>
        </w:tc>
        <w:tc>
          <w:tcPr>
            <w:tcW w:w="1604" w:type="dxa"/>
            <w:vAlign w:val="center"/>
          </w:tcPr>
          <w:p w14:paraId="12AF4ABF"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14,388 </w:t>
            </w:r>
          </w:p>
        </w:tc>
        <w:tc>
          <w:tcPr>
            <w:tcW w:w="1230" w:type="dxa"/>
            <w:vAlign w:val="center"/>
          </w:tcPr>
          <w:p w14:paraId="69D34E09"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14,428 </w:t>
            </w:r>
          </w:p>
        </w:tc>
        <w:tc>
          <w:tcPr>
            <w:tcW w:w="1417" w:type="dxa"/>
            <w:vAlign w:val="center"/>
          </w:tcPr>
          <w:p w14:paraId="6A65A880"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9,038 </w:t>
            </w:r>
          </w:p>
        </w:tc>
        <w:tc>
          <w:tcPr>
            <w:tcW w:w="1417" w:type="dxa"/>
            <w:vAlign w:val="center"/>
          </w:tcPr>
          <w:p w14:paraId="58FE32A8"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20,008 </w:t>
            </w:r>
          </w:p>
        </w:tc>
        <w:tc>
          <w:tcPr>
            <w:tcW w:w="1417" w:type="dxa"/>
            <w:vAlign w:val="center"/>
          </w:tcPr>
          <w:p w14:paraId="2AEA300C"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3,627 </w:t>
            </w:r>
          </w:p>
        </w:tc>
        <w:tc>
          <w:tcPr>
            <w:tcW w:w="1417" w:type="dxa"/>
            <w:vAlign w:val="center"/>
          </w:tcPr>
          <w:p w14:paraId="75420E1A"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14,004 </w:t>
            </w:r>
          </w:p>
        </w:tc>
        <w:tc>
          <w:tcPr>
            <w:tcW w:w="1417" w:type="dxa"/>
            <w:vAlign w:val="center"/>
          </w:tcPr>
          <w:p w14:paraId="0224022C"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12,991 </w:t>
            </w:r>
          </w:p>
        </w:tc>
        <w:tc>
          <w:tcPr>
            <w:tcW w:w="1417" w:type="dxa"/>
            <w:vAlign w:val="center"/>
          </w:tcPr>
          <w:p w14:paraId="3A73F5E0"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12,004 </w:t>
            </w:r>
          </w:p>
        </w:tc>
      </w:tr>
      <w:tr w:rsidR="00374D2C" w14:paraId="31A3A29E" w14:textId="77777777" w:rsidTr="00512092">
        <w:tc>
          <w:tcPr>
            <w:tcW w:w="2507" w:type="dxa"/>
            <w:vAlign w:val="bottom"/>
          </w:tcPr>
          <w:p w14:paraId="2AC90245" w14:textId="77777777" w:rsidR="00374D2C" w:rsidRPr="00774892" w:rsidRDefault="00374D2C" w:rsidP="00512092">
            <w:pPr>
              <w:pStyle w:val="TabletextLeft"/>
              <w:spacing w:before="0"/>
              <w:rPr>
                <w:rFonts w:asciiTheme="minorHAnsi" w:hAnsiTheme="minorHAnsi"/>
                <w:sz w:val="18"/>
                <w:szCs w:val="18"/>
              </w:rPr>
            </w:pPr>
            <w:r w:rsidRPr="003242E7">
              <w:rPr>
                <w:rFonts w:asciiTheme="minorHAnsi" w:hAnsiTheme="minorHAnsi"/>
                <w:sz w:val="18"/>
                <w:szCs w:val="18"/>
              </w:rPr>
              <w:t>Medical science</w:t>
            </w:r>
          </w:p>
        </w:tc>
        <w:tc>
          <w:tcPr>
            <w:tcW w:w="1604" w:type="dxa"/>
            <w:vAlign w:val="center"/>
          </w:tcPr>
          <w:p w14:paraId="7C68D506"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20,014 </w:t>
            </w:r>
          </w:p>
        </w:tc>
        <w:tc>
          <w:tcPr>
            <w:tcW w:w="1230" w:type="dxa"/>
            <w:vAlign w:val="center"/>
          </w:tcPr>
          <w:p w14:paraId="5CC13DB7"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21,734 </w:t>
            </w:r>
          </w:p>
        </w:tc>
        <w:tc>
          <w:tcPr>
            <w:tcW w:w="1417" w:type="dxa"/>
            <w:vAlign w:val="center"/>
          </w:tcPr>
          <w:p w14:paraId="7C697D1A"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17,501 </w:t>
            </w:r>
          </w:p>
        </w:tc>
        <w:tc>
          <w:tcPr>
            <w:tcW w:w="1417" w:type="dxa"/>
            <w:vAlign w:val="center"/>
          </w:tcPr>
          <w:p w14:paraId="75F156A9"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32,949 </w:t>
            </w:r>
          </w:p>
        </w:tc>
        <w:tc>
          <w:tcPr>
            <w:tcW w:w="1417" w:type="dxa"/>
            <w:vAlign w:val="center"/>
          </w:tcPr>
          <w:p w14:paraId="46969A4A"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4,791 </w:t>
            </w:r>
          </w:p>
        </w:tc>
        <w:tc>
          <w:tcPr>
            <w:tcW w:w="1417" w:type="dxa"/>
            <w:vAlign w:val="center"/>
          </w:tcPr>
          <w:p w14:paraId="1AA9DD54"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21,131 </w:t>
            </w:r>
          </w:p>
        </w:tc>
        <w:tc>
          <w:tcPr>
            <w:tcW w:w="1417" w:type="dxa"/>
            <w:vAlign w:val="center"/>
          </w:tcPr>
          <w:p w14:paraId="019CAE32"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20,298 </w:t>
            </w:r>
          </w:p>
        </w:tc>
        <w:tc>
          <w:tcPr>
            <w:tcW w:w="1417" w:type="dxa"/>
            <w:vAlign w:val="center"/>
          </w:tcPr>
          <w:p w14:paraId="72D35CFF"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17,948 </w:t>
            </w:r>
          </w:p>
        </w:tc>
      </w:tr>
      <w:tr w:rsidR="00374D2C" w14:paraId="0D0F7863" w14:textId="77777777" w:rsidTr="00512092">
        <w:tc>
          <w:tcPr>
            <w:tcW w:w="2507" w:type="dxa"/>
            <w:vAlign w:val="bottom"/>
          </w:tcPr>
          <w:p w14:paraId="6DA24FB4" w14:textId="77777777" w:rsidR="00374D2C" w:rsidRPr="00774892" w:rsidRDefault="00374D2C" w:rsidP="00512092">
            <w:pPr>
              <w:pStyle w:val="TabletextLeft"/>
              <w:spacing w:before="0"/>
              <w:rPr>
                <w:rFonts w:asciiTheme="minorHAnsi" w:hAnsiTheme="minorHAnsi"/>
                <w:sz w:val="18"/>
                <w:szCs w:val="18"/>
              </w:rPr>
            </w:pPr>
            <w:r w:rsidRPr="003242E7">
              <w:rPr>
                <w:rFonts w:asciiTheme="minorHAnsi" w:hAnsiTheme="minorHAnsi"/>
                <w:sz w:val="18"/>
                <w:szCs w:val="18"/>
              </w:rPr>
              <w:t>Other sciences</w:t>
            </w:r>
          </w:p>
        </w:tc>
        <w:tc>
          <w:tcPr>
            <w:tcW w:w="1604" w:type="dxa"/>
            <w:vAlign w:val="center"/>
          </w:tcPr>
          <w:p w14:paraId="06D89119"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19,380 </w:t>
            </w:r>
          </w:p>
        </w:tc>
        <w:tc>
          <w:tcPr>
            <w:tcW w:w="1230" w:type="dxa"/>
            <w:vAlign w:val="center"/>
          </w:tcPr>
          <w:p w14:paraId="3D43245B"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18,910 </w:t>
            </w:r>
          </w:p>
        </w:tc>
        <w:tc>
          <w:tcPr>
            <w:tcW w:w="1417" w:type="dxa"/>
            <w:vAlign w:val="center"/>
          </w:tcPr>
          <w:p w14:paraId="53D67A58"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10,494 </w:t>
            </w:r>
          </w:p>
        </w:tc>
        <w:tc>
          <w:tcPr>
            <w:tcW w:w="1417" w:type="dxa"/>
            <w:vAlign w:val="center"/>
          </w:tcPr>
          <w:p w14:paraId="66206027"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28,527 </w:t>
            </w:r>
          </w:p>
        </w:tc>
        <w:tc>
          <w:tcPr>
            <w:tcW w:w="1417" w:type="dxa"/>
            <w:vAlign w:val="center"/>
          </w:tcPr>
          <w:p w14:paraId="03159E60"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3,135 </w:t>
            </w:r>
          </w:p>
        </w:tc>
        <w:tc>
          <w:tcPr>
            <w:tcW w:w="1417" w:type="dxa"/>
            <w:vAlign w:val="center"/>
          </w:tcPr>
          <w:p w14:paraId="6F69730F"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17,540 </w:t>
            </w:r>
          </w:p>
        </w:tc>
        <w:tc>
          <w:tcPr>
            <w:tcW w:w="1417" w:type="dxa"/>
            <w:vAlign w:val="center"/>
          </w:tcPr>
          <w:p w14:paraId="3B6FEA68"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15,942 </w:t>
            </w:r>
          </w:p>
        </w:tc>
        <w:tc>
          <w:tcPr>
            <w:tcW w:w="1417" w:type="dxa"/>
            <w:vAlign w:val="center"/>
          </w:tcPr>
          <w:p w14:paraId="4F806E2C"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14,992 </w:t>
            </w:r>
          </w:p>
        </w:tc>
      </w:tr>
      <w:tr w:rsidR="00374D2C" w14:paraId="291DFFBD" w14:textId="77777777" w:rsidTr="00512092">
        <w:tc>
          <w:tcPr>
            <w:tcW w:w="2507" w:type="dxa"/>
            <w:vAlign w:val="bottom"/>
          </w:tcPr>
          <w:p w14:paraId="258A1EBF" w14:textId="77777777" w:rsidR="00374D2C" w:rsidRPr="00774892" w:rsidRDefault="00374D2C" w:rsidP="00512092">
            <w:pPr>
              <w:pStyle w:val="TabletextLeft"/>
              <w:spacing w:before="0"/>
              <w:rPr>
                <w:rFonts w:asciiTheme="minorHAnsi" w:hAnsiTheme="minorHAnsi"/>
                <w:sz w:val="18"/>
                <w:szCs w:val="18"/>
              </w:rPr>
            </w:pPr>
            <w:r w:rsidRPr="003242E7">
              <w:rPr>
                <w:rFonts w:asciiTheme="minorHAnsi" w:hAnsiTheme="minorHAnsi"/>
                <w:sz w:val="18"/>
                <w:szCs w:val="18"/>
              </w:rPr>
              <w:t>Information technology</w:t>
            </w:r>
          </w:p>
        </w:tc>
        <w:tc>
          <w:tcPr>
            <w:tcW w:w="1604" w:type="dxa"/>
            <w:vAlign w:val="center"/>
          </w:tcPr>
          <w:p w14:paraId="3ECA4261"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17,408 </w:t>
            </w:r>
          </w:p>
        </w:tc>
        <w:tc>
          <w:tcPr>
            <w:tcW w:w="1230" w:type="dxa"/>
            <w:vAlign w:val="center"/>
          </w:tcPr>
          <w:p w14:paraId="70615788"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17,066 </w:t>
            </w:r>
          </w:p>
        </w:tc>
        <w:tc>
          <w:tcPr>
            <w:tcW w:w="1417" w:type="dxa"/>
            <w:vAlign w:val="center"/>
          </w:tcPr>
          <w:p w14:paraId="6167E382"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9,085 </w:t>
            </w:r>
          </w:p>
        </w:tc>
        <w:tc>
          <w:tcPr>
            <w:tcW w:w="1417" w:type="dxa"/>
            <w:vAlign w:val="center"/>
          </w:tcPr>
          <w:p w14:paraId="698FC9AA"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24,432 </w:t>
            </w:r>
          </w:p>
        </w:tc>
        <w:tc>
          <w:tcPr>
            <w:tcW w:w="1417" w:type="dxa"/>
            <w:vAlign w:val="center"/>
          </w:tcPr>
          <w:p w14:paraId="4C387DFC"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4,600 </w:t>
            </w:r>
          </w:p>
        </w:tc>
        <w:tc>
          <w:tcPr>
            <w:tcW w:w="1417" w:type="dxa"/>
            <w:vAlign w:val="center"/>
          </w:tcPr>
          <w:p w14:paraId="2E4616B9"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15,774 </w:t>
            </w:r>
          </w:p>
        </w:tc>
        <w:tc>
          <w:tcPr>
            <w:tcW w:w="1417" w:type="dxa"/>
            <w:vAlign w:val="center"/>
          </w:tcPr>
          <w:p w14:paraId="51E27971"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13,835 </w:t>
            </w:r>
          </w:p>
        </w:tc>
        <w:tc>
          <w:tcPr>
            <w:tcW w:w="1417" w:type="dxa"/>
            <w:vAlign w:val="center"/>
          </w:tcPr>
          <w:p w14:paraId="7859D3C4"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13,483 </w:t>
            </w:r>
          </w:p>
        </w:tc>
      </w:tr>
      <w:tr w:rsidR="00374D2C" w14:paraId="342ACAF6" w14:textId="77777777" w:rsidTr="00512092">
        <w:tc>
          <w:tcPr>
            <w:tcW w:w="2507" w:type="dxa"/>
            <w:vAlign w:val="bottom"/>
          </w:tcPr>
          <w:p w14:paraId="7EE8C11C" w14:textId="77777777" w:rsidR="00374D2C" w:rsidRPr="00774892" w:rsidRDefault="00374D2C" w:rsidP="00512092">
            <w:pPr>
              <w:pStyle w:val="TabletextLeft"/>
              <w:spacing w:before="0"/>
              <w:rPr>
                <w:rFonts w:asciiTheme="minorHAnsi" w:hAnsiTheme="minorHAnsi"/>
                <w:sz w:val="18"/>
                <w:szCs w:val="18"/>
              </w:rPr>
            </w:pPr>
            <w:r w:rsidRPr="003242E7">
              <w:rPr>
                <w:rFonts w:asciiTheme="minorHAnsi" w:hAnsiTheme="minorHAnsi"/>
                <w:sz w:val="18"/>
                <w:szCs w:val="18"/>
              </w:rPr>
              <w:t>Engineering</w:t>
            </w:r>
          </w:p>
        </w:tc>
        <w:tc>
          <w:tcPr>
            <w:tcW w:w="1604" w:type="dxa"/>
            <w:vAlign w:val="center"/>
          </w:tcPr>
          <w:p w14:paraId="42454C01"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20,146 </w:t>
            </w:r>
          </w:p>
        </w:tc>
        <w:tc>
          <w:tcPr>
            <w:tcW w:w="1230" w:type="dxa"/>
            <w:vAlign w:val="center"/>
          </w:tcPr>
          <w:p w14:paraId="77818D83"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22,514 </w:t>
            </w:r>
          </w:p>
        </w:tc>
        <w:tc>
          <w:tcPr>
            <w:tcW w:w="1417" w:type="dxa"/>
            <w:vAlign w:val="center"/>
          </w:tcPr>
          <w:p w14:paraId="401EE1E9"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12,303 </w:t>
            </w:r>
          </w:p>
        </w:tc>
        <w:tc>
          <w:tcPr>
            <w:tcW w:w="1417" w:type="dxa"/>
            <w:vAlign w:val="center"/>
          </w:tcPr>
          <w:p w14:paraId="7BCD8347"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55,165 </w:t>
            </w:r>
          </w:p>
        </w:tc>
        <w:tc>
          <w:tcPr>
            <w:tcW w:w="1417" w:type="dxa"/>
            <w:vAlign w:val="center"/>
          </w:tcPr>
          <w:p w14:paraId="1632409E"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4,316 </w:t>
            </w:r>
          </w:p>
        </w:tc>
        <w:tc>
          <w:tcPr>
            <w:tcW w:w="1417" w:type="dxa"/>
            <w:vAlign w:val="center"/>
          </w:tcPr>
          <w:p w14:paraId="20E5B0C3"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20,650 </w:t>
            </w:r>
          </w:p>
        </w:tc>
        <w:tc>
          <w:tcPr>
            <w:tcW w:w="1417" w:type="dxa"/>
            <w:vAlign w:val="center"/>
          </w:tcPr>
          <w:p w14:paraId="26BAE7A2"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16,336 </w:t>
            </w:r>
          </w:p>
        </w:tc>
        <w:tc>
          <w:tcPr>
            <w:tcW w:w="1417" w:type="dxa"/>
            <w:vAlign w:val="center"/>
          </w:tcPr>
          <w:p w14:paraId="6B54ED91"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17,697 </w:t>
            </w:r>
          </w:p>
        </w:tc>
      </w:tr>
      <w:tr w:rsidR="00374D2C" w14:paraId="550C6577" w14:textId="77777777" w:rsidTr="00512092">
        <w:tc>
          <w:tcPr>
            <w:tcW w:w="2507" w:type="dxa"/>
            <w:vAlign w:val="bottom"/>
          </w:tcPr>
          <w:p w14:paraId="68B91FCC" w14:textId="77777777" w:rsidR="00374D2C" w:rsidRPr="00774892" w:rsidRDefault="00374D2C" w:rsidP="00512092">
            <w:pPr>
              <w:pStyle w:val="TabletextLeft"/>
              <w:spacing w:before="0"/>
              <w:rPr>
                <w:rFonts w:asciiTheme="minorHAnsi" w:hAnsiTheme="minorHAnsi"/>
                <w:sz w:val="18"/>
                <w:szCs w:val="18"/>
              </w:rPr>
            </w:pPr>
            <w:r w:rsidRPr="003242E7">
              <w:rPr>
                <w:rFonts w:asciiTheme="minorHAnsi" w:hAnsiTheme="minorHAnsi"/>
                <w:sz w:val="18"/>
                <w:szCs w:val="18"/>
              </w:rPr>
              <w:t>Architecture</w:t>
            </w:r>
          </w:p>
        </w:tc>
        <w:tc>
          <w:tcPr>
            <w:tcW w:w="1604" w:type="dxa"/>
            <w:vAlign w:val="center"/>
          </w:tcPr>
          <w:p w14:paraId="2105CC8C"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17,384 </w:t>
            </w:r>
          </w:p>
        </w:tc>
        <w:tc>
          <w:tcPr>
            <w:tcW w:w="1230" w:type="dxa"/>
            <w:vAlign w:val="center"/>
          </w:tcPr>
          <w:p w14:paraId="7684DEDD"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22,460 </w:t>
            </w:r>
          </w:p>
        </w:tc>
        <w:tc>
          <w:tcPr>
            <w:tcW w:w="1417" w:type="dxa"/>
            <w:vAlign w:val="center"/>
          </w:tcPr>
          <w:p w14:paraId="6266B37A"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11,208 </w:t>
            </w:r>
          </w:p>
        </w:tc>
        <w:tc>
          <w:tcPr>
            <w:tcW w:w="1417" w:type="dxa"/>
            <w:vAlign w:val="center"/>
          </w:tcPr>
          <w:p w14:paraId="19003E71"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109,988 </w:t>
            </w:r>
          </w:p>
        </w:tc>
        <w:tc>
          <w:tcPr>
            <w:tcW w:w="1417" w:type="dxa"/>
            <w:vAlign w:val="center"/>
          </w:tcPr>
          <w:p w14:paraId="396836D7"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5,036 </w:t>
            </w:r>
          </w:p>
        </w:tc>
        <w:tc>
          <w:tcPr>
            <w:tcW w:w="1417" w:type="dxa"/>
            <w:vAlign w:val="center"/>
          </w:tcPr>
          <w:p w14:paraId="6E0C9C03"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16,411 </w:t>
            </w:r>
          </w:p>
        </w:tc>
        <w:tc>
          <w:tcPr>
            <w:tcW w:w="1417" w:type="dxa"/>
            <w:vAlign w:val="center"/>
          </w:tcPr>
          <w:p w14:paraId="74CA0AFC"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14,256 </w:t>
            </w:r>
          </w:p>
        </w:tc>
        <w:tc>
          <w:tcPr>
            <w:tcW w:w="1417" w:type="dxa"/>
            <w:vAlign w:val="center"/>
          </w:tcPr>
          <w:p w14:paraId="061454F8"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14,035 </w:t>
            </w:r>
          </w:p>
        </w:tc>
      </w:tr>
      <w:tr w:rsidR="00374D2C" w14:paraId="4272FA0A" w14:textId="77777777" w:rsidTr="00512092">
        <w:tc>
          <w:tcPr>
            <w:tcW w:w="2507" w:type="dxa"/>
            <w:vAlign w:val="bottom"/>
          </w:tcPr>
          <w:p w14:paraId="579D68FC" w14:textId="77777777" w:rsidR="00374D2C" w:rsidRPr="00774892" w:rsidRDefault="00374D2C" w:rsidP="00512092">
            <w:pPr>
              <w:pStyle w:val="TabletextLeft"/>
              <w:spacing w:before="0"/>
              <w:rPr>
                <w:rFonts w:asciiTheme="minorHAnsi" w:hAnsiTheme="minorHAnsi"/>
                <w:sz w:val="18"/>
                <w:szCs w:val="18"/>
              </w:rPr>
            </w:pPr>
            <w:r w:rsidRPr="003242E7">
              <w:rPr>
                <w:rFonts w:asciiTheme="minorHAnsi" w:hAnsiTheme="minorHAnsi"/>
                <w:sz w:val="18"/>
                <w:szCs w:val="18"/>
              </w:rPr>
              <w:t>Environmental science</w:t>
            </w:r>
          </w:p>
        </w:tc>
        <w:tc>
          <w:tcPr>
            <w:tcW w:w="1604" w:type="dxa"/>
            <w:vAlign w:val="center"/>
          </w:tcPr>
          <w:p w14:paraId="4CD174D2"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22,876 </w:t>
            </w:r>
          </w:p>
        </w:tc>
        <w:tc>
          <w:tcPr>
            <w:tcW w:w="1230" w:type="dxa"/>
            <w:vAlign w:val="center"/>
          </w:tcPr>
          <w:p w14:paraId="1A7B7E00"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21,443 </w:t>
            </w:r>
          </w:p>
        </w:tc>
        <w:tc>
          <w:tcPr>
            <w:tcW w:w="1417" w:type="dxa"/>
            <w:vAlign w:val="center"/>
          </w:tcPr>
          <w:p w14:paraId="0E9D7416"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9,193 </w:t>
            </w:r>
          </w:p>
        </w:tc>
        <w:tc>
          <w:tcPr>
            <w:tcW w:w="1417" w:type="dxa"/>
            <w:vAlign w:val="center"/>
          </w:tcPr>
          <w:p w14:paraId="497B184E"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32,564 </w:t>
            </w:r>
          </w:p>
        </w:tc>
        <w:tc>
          <w:tcPr>
            <w:tcW w:w="1417" w:type="dxa"/>
            <w:vAlign w:val="center"/>
          </w:tcPr>
          <w:p w14:paraId="1260378A"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6,855 </w:t>
            </w:r>
          </w:p>
        </w:tc>
        <w:tc>
          <w:tcPr>
            <w:tcW w:w="1417" w:type="dxa"/>
            <w:vAlign w:val="center"/>
          </w:tcPr>
          <w:p w14:paraId="103F5C63"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19,690 </w:t>
            </w:r>
          </w:p>
        </w:tc>
        <w:tc>
          <w:tcPr>
            <w:tcW w:w="1417" w:type="dxa"/>
            <w:vAlign w:val="center"/>
          </w:tcPr>
          <w:p w14:paraId="69C7FEBB"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17,475 </w:t>
            </w:r>
          </w:p>
        </w:tc>
        <w:tc>
          <w:tcPr>
            <w:tcW w:w="1417" w:type="dxa"/>
            <w:vAlign w:val="center"/>
          </w:tcPr>
          <w:p w14:paraId="388431B0"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16,840 </w:t>
            </w:r>
          </w:p>
        </w:tc>
      </w:tr>
      <w:tr w:rsidR="00374D2C" w14:paraId="68DBB031" w14:textId="77777777" w:rsidTr="00512092">
        <w:tc>
          <w:tcPr>
            <w:tcW w:w="2507" w:type="dxa"/>
            <w:vAlign w:val="bottom"/>
          </w:tcPr>
          <w:p w14:paraId="4FEF27F3" w14:textId="77777777" w:rsidR="00374D2C" w:rsidRPr="00774892" w:rsidRDefault="00374D2C" w:rsidP="00512092">
            <w:pPr>
              <w:pStyle w:val="TabletextLeft"/>
              <w:spacing w:before="0"/>
              <w:rPr>
                <w:rFonts w:asciiTheme="minorHAnsi" w:hAnsiTheme="minorHAnsi"/>
                <w:sz w:val="18"/>
                <w:szCs w:val="18"/>
              </w:rPr>
            </w:pPr>
            <w:r w:rsidRPr="003242E7">
              <w:rPr>
                <w:rFonts w:asciiTheme="minorHAnsi" w:hAnsiTheme="minorHAnsi"/>
                <w:sz w:val="18"/>
                <w:szCs w:val="18"/>
              </w:rPr>
              <w:t>Agriculture and related studies</w:t>
            </w:r>
          </w:p>
        </w:tc>
        <w:tc>
          <w:tcPr>
            <w:tcW w:w="1604" w:type="dxa"/>
            <w:vAlign w:val="center"/>
          </w:tcPr>
          <w:p w14:paraId="24DC78B6"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27,443 </w:t>
            </w:r>
          </w:p>
        </w:tc>
        <w:tc>
          <w:tcPr>
            <w:tcW w:w="1230" w:type="dxa"/>
            <w:vAlign w:val="center"/>
          </w:tcPr>
          <w:p w14:paraId="390F9304"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29,657 </w:t>
            </w:r>
          </w:p>
        </w:tc>
        <w:tc>
          <w:tcPr>
            <w:tcW w:w="1417" w:type="dxa"/>
            <w:vAlign w:val="center"/>
          </w:tcPr>
          <w:p w14:paraId="2587E36F"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18,975 </w:t>
            </w:r>
          </w:p>
        </w:tc>
        <w:tc>
          <w:tcPr>
            <w:tcW w:w="1417" w:type="dxa"/>
            <w:vAlign w:val="center"/>
          </w:tcPr>
          <w:p w14:paraId="692CF123"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48,600 </w:t>
            </w:r>
          </w:p>
        </w:tc>
        <w:tc>
          <w:tcPr>
            <w:tcW w:w="1417" w:type="dxa"/>
            <w:vAlign w:val="center"/>
          </w:tcPr>
          <w:p w14:paraId="7C2BC76B"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16,134 </w:t>
            </w:r>
          </w:p>
        </w:tc>
        <w:tc>
          <w:tcPr>
            <w:tcW w:w="1417" w:type="dxa"/>
            <w:vAlign w:val="center"/>
          </w:tcPr>
          <w:p w14:paraId="368E4FCE"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27,791 </w:t>
            </w:r>
          </w:p>
        </w:tc>
        <w:tc>
          <w:tcPr>
            <w:tcW w:w="1417" w:type="dxa"/>
            <w:vAlign w:val="center"/>
          </w:tcPr>
          <w:p w14:paraId="0C985619"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22,157 </w:t>
            </w:r>
          </w:p>
        </w:tc>
        <w:tc>
          <w:tcPr>
            <w:tcW w:w="1417" w:type="dxa"/>
            <w:vAlign w:val="center"/>
          </w:tcPr>
          <w:p w14:paraId="4B2BC2C4"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23,922 </w:t>
            </w:r>
          </w:p>
        </w:tc>
      </w:tr>
      <w:tr w:rsidR="00374D2C" w14:paraId="2028C8E6" w14:textId="77777777" w:rsidTr="00512092">
        <w:tc>
          <w:tcPr>
            <w:tcW w:w="2507" w:type="dxa"/>
            <w:vAlign w:val="bottom"/>
          </w:tcPr>
          <w:p w14:paraId="4F034395" w14:textId="77777777" w:rsidR="00374D2C" w:rsidRPr="00774892" w:rsidRDefault="00374D2C" w:rsidP="00512092">
            <w:pPr>
              <w:pStyle w:val="TabletextLeft"/>
              <w:spacing w:before="0"/>
              <w:rPr>
                <w:rFonts w:asciiTheme="minorHAnsi" w:hAnsiTheme="minorHAnsi"/>
                <w:sz w:val="18"/>
                <w:szCs w:val="18"/>
              </w:rPr>
            </w:pPr>
            <w:r w:rsidRPr="003242E7">
              <w:rPr>
                <w:rFonts w:asciiTheme="minorHAnsi" w:hAnsiTheme="minorHAnsi"/>
                <w:sz w:val="18"/>
                <w:szCs w:val="18"/>
              </w:rPr>
              <w:t>Medical studies</w:t>
            </w:r>
          </w:p>
        </w:tc>
        <w:tc>
          <w:tcPr>
            <w:tcW w:w="1604" w:type="dxa"/>
            <w:vAlign w:val="center"/>
          </w:tcPr>
          <w:p w14:paraId="4B4487AA"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28,543 </w:t>
            </w:r>
          </w:p>
        </w:tc>
        <w:tc>
          <w:tcPr>
            <w:tcW w:w="1230" w:type="dxa"/>
            <w:vAlign w:val="center"/>
          </w:tcPr>
          <w:p w14:paraId="1F156B1D"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29,213 </w:t>
            </w:r>
          </w:p>
        </w:tc>
        <w:tc>
          <w:tcPr>
            <w:tcW w:w="1417" w:type="dxa"/>
            <w:vAlign w:val="center"/>
          </w:tcPr>
          <w:p w14:paraId="13BAEFA9"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11,371 </w:t>
            </w:r>
          </w:p>
        </w:tc>
        <w:tc>
          <w:tcPr>
            <w:tcW w:w="1417" w:type="dxa"/>
            <w:vAlign w:val="center"/>
          </w:tcPr>
          <w:p w14:paraId="0588DBBF"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60,606 </w:t>
            </w:r>
          </w:p>
        </w:tc>
        <w:tc>
          <w:tcPr>
            <w:tcW w:w="1417" w:type="dxa"/>
            <w:vAlign w:val="center"/>
          </w:tcPr>
          <w:p w14:paraId="6E62EE73"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14,656 </w:t>
            </w:r>
          </w:p>
        </w:tc>
        <w:tc>
          <w:tcPr>
            <w:tcW w:w="1417" w:type="dxa"/>
            <w:vAlign w:val="center"/>
          </w:tcPr>
          <w:p w14:paraId="6462973A"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26,512 </w:t>
            </w:r>
          </w:p>
        </w:tc>
        <w:tc>
          <w:tcPr>
            <w:tcW w:w="1417" w:type="dxa"/>
            <w:vAlign w:val="center"/>
          </w:tcPr>
          <w:p w14:paraId="35508A2D"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24,004 </w:t>
            </w:r>
          </w:p>
        </w:tc>
        <w:tc>
          <w:tcPr>
            <w:tcW w:w="1417" w:type="dxa"/>
            <w:vAlign w:val="center"/>
          </w:tcPr>
          <w:p w14:paraId="6DD1AEB8"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22,678 </w:t>
            </w:r>
          </w:p>
        </w:tc>
      </w:tr>
      <w:tr w:rsidR="00374D2C" w14:paraId="44971A22" w14:textId="77777777" w:rsidTr="00512092">
        <w:tc>
          <w:tcPr>
            <w:tcW w:w="2507" w:type="dxa"/>
            <w:vAlign w:val="bottom"/>
          </w:tcPr>
          <w:p w14:paraId="57AFE35D" w14:textId="77777777" w:rsidR="00374D2C" w:rsidRPr="00774892" w:rsidRDefault="00374D2C" w:rsidP="00512092">
            <w:pPr>
              <w:pStyle w:val="TabletextLeft"/>
              <w:spacing w:before="0"/>
              <w:rPr>
                <w:rFonts w:asciiTheme="minorHAnsi" w:hAnsiTheme="minorHAnsi"/>
                <w:sz w:val="18"/>
                <w:szCs w:val="18"/>
              </w:rPr>
            </w:pPr>
            <w:r w:rsidRPr="003242E7">
              <w:rPr>
                <w:rFonts w:asciiTheme="minorHAnsi" w:hAnsiTheme="minorHAnsi"/>
                <w:sz w:val="18"/>
                <w:szCs w:val="18"/>
              </w:rPr>
              <w:t>Dental studies</w:t>
            </w:r>
          </w:p>
        </w:tc>
        <w:tc>
          <w:tcPr>
            <w:tcW w:w="1604" w:type="dxa"/>
            <w:vAlign w:val="center"/>
          </w:tcPr>
          <w:p w14:paraId="11B24F63"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43,619 </w:t>
            </w:r>
          </w:p>
        </w:tc>
        <w:tc>
          <w:tcPr>
            <w:tcW w:w="1230" w:type="dxa"/>
            <w:vAlign w:val="center"/>
          </w:tcPr>
          <w:p w14:paraId="009C5253"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42,799 </w:t>
            </w:r>
          </w:p>
        </w:tc>
        <w:tc>
          <w:tcPr>
            <w:tcW w:w="1417" w:type="dxa"/>
            <w:vAlign w:val="center"/>
          </w:tcPr>
          <w:p w14:paraId="080EE6F7"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23,771 </w:t>
            </w:r>
          </w:p>
        </w:tc>
        <w:tc>
          <w:tcPr>
            <w:tcW w:w="1417" w:type="dxa"/>
            <w:vAlign w:val="center"/>
          </w:tcPr>
          <w:p w14:paraId="3EBF36AC"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60,663 </w:t>
            </w:r>
          </w:p>
        </w:tc>
        <w:tc>
          <w:tcPr>
            <w:tcW w:w="1417" w:type="dxa"/>
            <w:vAlign w:val="center"/>
          </w:tcPr>
          <w:p w14:paraId="48A13884"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25,987 </w:t>
            </w:r>
          </w:p>
        </w:tc>
        <w:tc>
          <w:tcPr>
            <w:tcW w:w="1417" w:type="dxa"/>
            <w:vAlign w:val="center"/>
          </w:tcPr>
          <w:p w14:paraId="6C0201CF"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38,072 </w:t>
            </w:r>
          </w:p>
        </w:tc>
        <w:tc>
          <w:tcPr>
            <w:tcW w:w="1417" w:type="dxa"/>
            <w:vAlign w:val="center"/>
          </w:tcPr>
          <w:p w14:paraId="240C4495"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28,618 </w:t>
            </w:r>
          </w:p>
        </w:tc>
        <w:tc>
          <w:tcPr>
            <w:tcW w:w="1417" w:type="dxa"/>
            <w:vAlign w:val="center"/>
          </w:tcPr>
          <w:p w14:paraId="05AFCEA4"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32,287 </w:t>
            </w:r>
          </w:p>
        </w:tc>
      </w:tr>
      <w:tr w:rsidR="00374D2C" w14:paraId="4ED509ED" w14:textId="77777777" w:rsidTr="00512092">
        <w:tc>
          <w:tcPr>
            <w:tcW w:w="2507" w:type="dxa"/>
            <w:vAlign w:val="bottom"/>
          </w:tcPr>
          <w:p w14:paraId="73D258CC" w14:textId="77777777" w:rsidR="00374D2C" w:rsidRPr="00774892" w:rsidRDefault="00374D2C" w:rsidP="00512092">
            <w:pPr>
              <w:pStyle w:val="TabletextLeft"/>
              <w:spacing w:before="0"/>
              <w:rPr>
                <w:rFonts w:asciiTheme="minorHAnsi" w:hAnsiTheme="minorHAnsi"/>
                <w:sz w:val="18"/>
                <w:szCs w:val="18"/>
              </w:rPr>
            </w:pPr>
            <w:r w:rsidRPr="003242E7">
              <w:rPr>
                <w:rFonts w:asciiTheme="minorHAnsi" w:hAnsiTheme="minorHAnsi"/>
                <w:sz w:val="18"/>
                <w:szCs w:val="18"/>
              </w:rPr>
              <w:t>Veterinary studies</w:t>
            </w:r>
          </w:p>
        </w:tc>
        <w:tc>
          <w:tcPr>
            <w:tcW w:w="1604" w:type="dxa"/>
            <w:vAlign w:val="center"/>
          </w:tcPr>
          <w:p w14:paraId="67A59121"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42,452 </w:t>
            </w:r>
          </w:p>
        </w:tc>
        <w:tc>
          <w:tcPr>
            <w:tcW w:w="1230" w:type="dxa"/>
            <w:vAlign w:val="center"/>
          </w:tcPr>
          <w:p w14:paraId="55BD851D"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51,305 </w:t>
            </w:r>
          </w:p>
        </w:tc>
        <w:tc>
          <w:tcPr>
            <w:tcW w:w="1417" w:type="dxa"/>
            <w:vAlign w:val="center"/>
          </w:tcPr>
          <w:p w14:paraId="62A8997A"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32,632 </w:t>
            </w:r>
          </w:p>
        </w:tc>
        <w:tc>
          <w:tcPr>
            <w:tcW w:w="1417" w:type="dxa"/>
            <w:vAlign w:val="center"/>
          </w:tcPr>
          <w:p w14:paraId="7914C564"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78,788 </w:t>
            </w:r>
          </w:p>
        </w:tc>
        <w:tc>
          <w:tcPr>
            <w:tcW w:w="1417" w:type="dxa"/>
            <w:vAlign w:val="center"/>
          </w:tcPr>
          <w:p w14:paraId="2CE598FF"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28,482 </w:t>
            </w:r>
          </w:p>
        </w:tc>
        <w:tc>
          <w:tcPr>
            <w:tcW w:w="1417" w:type="dxa"/>
            <w:vAlign w:val="center"/>
          </w:tcPr>
          <w:p w14:paraId="7F2B384A"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44,881 </w:t>
            </w:r>
          </w:p>
        </w:tc>
        <w:tc>
          <w:tcPr>
            <w:tcW w:w="1417" w:type="dxa"/>
            <w:vAlign w:val="center"/>
          </w:tcPr>
          <w:p w14:paraId="381B5DED"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42,032 </w:t>
            </w:r>
          </w:p>
        </w:tc>
        <w:tc>
          <w:tcPr>
            <w:tcW w:w="1417" w:type="dxa"/>
            <w:vAlign w:val="center"/>
          </w:tcPr>
          <w:p w14:paraId="0CEF2E6F"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38,799 </w:t>
            </w:r>
          </w:p>
        </w:tc>
      </w:tr>
      <w:tr w:rsidR="00374D2C" w14:paraId="13365188" w14:textId="77777777" w:rsidTr="00512092">
        <w:tc>
          <w:tcPr>
            <w:tcW w:w="2507" w:type="dxa"/>
            <w:vAlign w:val="bottom"/>
          </w:tcPr>
          <w:p w14:paraId="5DEAAC60" w14:textId="77777777" w:rsidR="00374D2C" w:rsidRPr="00774892" w:rsidRDefault="00374D2C" w:rsidP="00512092">
            <w:pPr>
              <w:pStyle w:val="TabletextLeft"/>
              <w:spacing w:before="0"/>
              <w:rPr>
                <w:rFonts w:asciiTheme="minorHAnsi" w:hAnsiTheme="minorHAnsi"/>
                <w:sz w:val="18"/>
                <w:szCs w:val="18"/>
              </w:rPr>
            </w:pPr>
            <w:r w:rsidRPr="003242E7">
              <w:rPr>
                <w:rFonts w:asciiTheme="minorHAnsi" w:hAnsiTheme="minorHAnsi"/>
                <w:sz w:val="18"/>
                <w:szCs w:val="18"/>
              </w:rPr>
              <w:t>Other health</w:t>
            </w:r>
          </w:p>
        </w:tc>
        <w:tc>
          <w:tcPr>
            <w:tcW w:w="1604" w:type="dxa"/>
            <w:vAlign w:val="center"/>
          </w:tcPr>
          <w:p w14:paraId="0EE3D291"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16,533 </w:t>
            </w:r>
          </w:p>
        </w:tc>
        <w:tc>
          <w:tcPr>
            <w:tcW w:w="1230" w:type="dxa"/>
            <w:vAlign w:val="center"/>
          </w:tcPr>
          <w:p w14:paraId="5511C989"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17,577 </w:t>
            </w:r>
          </w:p>
        </w:tc>
        <w:tc>
          <w:tcPr>
            <w:tcW w:w="1417" w:type="dxa"/>
            <w:vAlign w:val="center"/>
          </w:tcPr>
          <w:p w14:paraId="266D63D7"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12,682 </w:t>
            </w:r>
          </w:p>
        </w:tc>
        <w:tc>
          <w:tcPr>
            <w:tcW w:w="1417" w:type="dxa"/>
            <w:vAlign w:val="center"/>
          </w:tcPr>
          <w:p w14:paraId="4D9BE521"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35,856 </w:t>
            </w:r>
          </w:p>
        </w:tc>
        <w:tc>
          <w:tcPr>
            <w:tcW w:w="1417" w:type="dxa"/>
            <w:vAlign w:val="center"/>
          </w:tcPr>
          <w:p w14:paraId="70B1FB67"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4,294 </w:t>
            </w:r>
          </w:p>
        </w:tc>
        <w:tc>
          <w:tcPr>
            <w:tcW w:w="1417" w:type="dxa"/>
            <w:vAlign w:val="center"/>
          </w:tcPr>
          <w:p w14:paraId="77068524"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16,544 </w:t>
            </w:r>
          </w:p>
        </w:tc>
        <w:tc>
          <w:tcPr>
            <w:tcW w:w="1417" w:type="dxa"/>
            <w:vAlign w:val="center"/>
          </w:tcPr>
          <w:p w14:paraId="502EB77B"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15,248 </w:t>
            </w:r>
          </w:p>
        </w:tc>
        <w:tc>
          <w:tcPr>
            <w:tcW w:w="1417" w:type="dxa"/>
            <w:vAlign w:val="center"/>
          </w:tcPr>
          <w:p w14:paraId="2B41B7D6"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14,185 </w:t>
            </w:r>
          </w:p>
        </w:tc>
      </w:tr>
      <w:tr w:rsidR="00374D2C" w14:paraId="7AC9414E" w14:textId="77777777" w:rsidTr="00512092">
        <w:tc>
          <w:tcPr>
            <w:tcW w:w="2507" w:type="dxa"/>
            <w:vAlign w:val="bottom"/>
          </w:tcPr>
          <w:p w14:paraId="25E27825" w14:textId="77777777" w:rsidR="00374D2C" w:rsidRPr="00774892" w:rsidRDefault="00374D2C" w:rsidP="00512092">
            <w:pPr>
              <w:pStyle w:val="TabletextLeft"/>
              <w:spacing w:before="0"/>
              <w:rPr>
                <w:rFonts w:asciiTheme="minorHAnsi" w:hAnsiTheme="minorHAnsi"/>
                <w:sz w:val="18"/>
                <w:szCs w:val="18"/>
              </w:rPr>
            </w:pPr>
            <w:r w:rsidRPr="003242E7">
              <w:rPr>
                <w:rFonts w:asciiTheme="minorHAnsi" w:hAnsiTheme="minorHAnsi"/>
                <w:sz w:val="18"/>
                <w:szCs w:val="18"/>
              </w:rPr>
              <w:t>Education</w:t>
            </w:r>
          </w:p>
        </w:tc>
        <w:tc>
          <w:tcPr>
            <w:tcW w:w="1604" w:type="dxa"/>
            <w:vAlign w:val="center"/>
          </w:tcPr>
          <w:p w14:paraId="7C27DD95"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13,364 </w:t>
            </w:r>
          </w:p>
        </w:tc>
        <w:tc>
          <w:tcPr>
            <w:tcW w:w="1230" w:type="dxa"/>
            <w:vAlign w:val="center"/>
          </w:tcPr>
          <w:p w14:paraId="206C9B89"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13,845 </w:t>
            </w:r>
          </w:p>
        </w:tc>
        <w:tc>
          <w:tcPr>
            <w:tcW w:w="1417" w:type="dxa"/>
            <w:vAlign w:val="center"/>
          </w:tcPr>
          <w:p w14:paraId="01979ABC"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7,843 </w:t>
            </w:r>
          </w:p>
        </w:tc>
        <w:tc>
          <w:tcPr>
            <w:tcW w:w="1417" w:type="dxa"/>
            <w:vAlign w:val="center"/>
          </w:tcPr>
          <w:p w14:paraId="3017C81C"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22,507 </w:t>
            </w:r>
          </w:p>
        </w:tc>
        <w:tc>
          <w:tcPr>
            <w:tcW w:w="1417" w:type="dxa"/>
            <w:vAlign w:val="center"/>
          </w:tcPr>
          <w:p w14:paraId="1B649B4A"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2,758 </w:t>
            </w:r>
          </w:p>
        </w:tc>
        <w:tc>
          <w:tcPr>
            <w:tcW w:w="1417" w:type="dxa"/>
            <w:vAlign w:val="center"/>
          </w:tcPr>
          <w:p w14:paraId="7DA61EF0"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13,139 </w:t>
            </w:r>
          </w:p>
        </w:tc>
        <w:tc>
          <w:tcPr>
            <w:tcW w:w="1417" w:type="dxa"/>
            <w:vAlign w:val="center"/>
          </w:tcPr>
          <w:p w14:paraId="68FDD675"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12,060 </w:t>
            </w:r>
          </w:p>
        </w:tc>
        <w:tc>
          <w:tcPr>
            <w:tcW w:w="1417" w:type="dxa"/>
            <w:vAlign w:val="center"/>
          </w:tcPr>
          <w:p w14:paraId="6D193313"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11,254 </w:t>
            </w:r>
          </w:p>
        </w:tc>
      </w:tr>
      <w:tr w:rsidR="00374D2C" w14:paraId="656A572F" w14:textId="77777777" w:rsidTr="00512092">
        <w:tc>
          <w:tcPr>
            <w:tcW w:w="2507" w:type="dxa"/>
            <w:vAlign w:val="bottom"/>
          </w:tcPr>
          <w:p w14:paraId="15DB52A3" w14:textId="77777777" w:rsidR="00374D2C" w:rsidRPr="00774892" w:rsidRDefault="00374D2C" w:rsidP="00512092">
            <w:pPr>
              <w:pStyle w:val="TabletextLeft"/>
              <w:spacing w:before="0"/>
              <w:rPr>
                <w:rFonts w:asciiTheme="minorHAnsi" w:hAnsiTheme="minorHAnsi"/>
                <w:sz w:val="18"/>
                <w:szCs w:val="18"/>
              </w:rPr>
            </w:pPr>
            <w:r w:rsidRPr="003242E7">
              <w:rPr>
                <w:rFonts w:asciiTheme="minorHAnsi" w:hAnsiTheme="minorHAnsi"/>
                <w:sz w:val="18"/>
                <w:szCs w:val="18"/>
              </w:rPr>
              <w:t>Management and Commerce</w:t>
            </w:r>
          </w:p>
        </w:tc>
        <w:tc>
          <w:tcPr>
            <w:tcW w:w="1604" w:type="dxa"/>
            <w:vAlign w:val="center"/>
          </w:tcPr>
          <w:p w14:paraId="19FDF017"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13,586 </w:t>
            </w:r>
          </w:p>
        </w:tc>
        <w:tc>
          <w:tcPr>
            <w:tcW w:w="1230" w:type="dxa"/>
            <w:vAlign w:val="center"/>
          </w:tcPr>
          <w:p w14:paraId="3DF050A9"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13,904 </w:t>
            </w:r>
          </w:p>
        </w:tc>
        <w:tc>
          <w:tcPr>
            <w:tcW w:w="1417" w:type="dxa"/>
            <w:vAlign w:val="center"/>
          </w:tcPr>
          <w:p w14:paraId="475346F9"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6,431 </w:t>
            </w:r>
          </w:p>
        </w:tc>
        <w:tc>
          <w:tcPr>
            <w:tcW w:w="1417" w:type="dxa"/>
            <w:vAlign w:val="center"/>
          </w:tcPr>
          <w:p w14:paraId="60D6A7A8"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26,033 </w:t>
            </w:r>
          </w:p>
        </w:tc>
        <w:tc>
          <w:tcPr>
            <w:tcW w:w="1417" w:type="dxa"/>
            <w:vAlign w:val="center"/>
          </w:tcPr>
          <w:p w14:paraId="25EAB2C5"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2,737 </w:t>
            </w:r>
          </w:p>
        </w:tc>
        <w:tc>
          <w:tcPr>
            <w:tcW w:w="1417" w:type="dxa"/>
            <w:vAlign w:val="center"/>
          </w:tcPr>
          <w:p w14:paraId="37D90822"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13,359 </w:t>
            </w:r>
          </w:p>
        </w:tc>
        <w:tc>
          <w:tcPr>
            <w:tcW w:w="1417" w:type="dxa"/>
            <w:vAlign w:val="center"/>
          </w:tcPr>
          <w:p w14:paraId="1C19CEA7"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11,547 </w:t>
            </w:r>
          </w:p>
        </w:tc>
        <w:tc>
          <w:tcPr>
            <w:tcW w:w="1417" w:type="dxa"/>
            <w:vAlign w:val="center"/>
          </w:tcPr>
          <w:p w14:paraId="2519AF64"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11,481 </w:t>
            </w:r>
          </w:p>
        </w:tc>
      </w:tr>
      <w:tr w:rsidR="00374D2C" w14:paraId="68CD1D46" w14:textId="77777777" w:rsidTr="00512092">
        <w:tc>
          <w:tcPr>
            <w:tcW w:w="2507" w:type="dxa"/>
            <w:vAlign w:val="bottom"/>
          </w:tcPr>
          <w:p w14:paraId="3B9F8755" w14:textId="77777777" w:rsidR="00374D2C" w:rsidRPr="00774892" w:rsidRDefault="00374D2C" w:rsidP="00512092">
            <w:pPr>
              <w:pStyle w:val="TabletextLeft"/>
              <w:spacing w:before="0"/>
              <w:rPr>
                <w:rFonts w:asciiTheme="minorHAnsi" w:hAnsiTheme="minorHAnsi"/>
                <w:sz w:val="18"/>
                <w:szCs w:val="18"/>
              </w:rPr>
            </w:pPr>
            <w:r w:rsidRPr="003242E7">
              <w:rPr>
                <w:rFonts w:asciiTheme="minorHAnsi" w:hAnsiTheme="minorHAnsi"/>
                <w:sz w:val="18"/>
                <w:szCs w:val="18"/>
              </w:rPr>
              <w:t>Languages</w:t>
            </w:r>
          </w:p>
        </w:tc>
        <w:tc>
          <w:tcPr>
            <w:tcW w:w="1604" w:type="dxa"/>
            <w:vAlign w:val="center"/>
          </w:tcPr>
          <w:p w14:paraId="721798E0"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16,322 </w:t>
            </w:r>
          </w:p>
        </w:tc>
        <w:tc>
          <w:tcPr>
            <w:tcW w:w="1230" w:type="dxa"/>
            <w:vAlign w:val="center"/>
          </w:tcPr>
          <w:p w14:paraId="0E50B0C8"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21,964 </w:t>
            </w:r>
          </w:p>
        </w:tc>
        <w:tc>
          <w:tcPr>
            <w:tcW w:w="1417" w:type="dxa"/>
            <w:vAlign w:val="center"/>
          </w:tcPr>
          <w:p w14:paraId="489A8F3E"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10,288 </w:t>
            </w:r>
          </w:p>
        </w:tc>
        <w:tc>
          <w:tcPr>
            <w:tcW w:w="1417" w:type="dxa"/>
            <w:vAlign w:val="center"/>
          </w:tcPr>
          <w:p w14:paraId="6C762C44"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68,091 </w:t>
            </w:r>
          </w:p>
        </w:tc>
        <w:tc>
          <w:tcPr>
            <w:tcW w:w="1417" w:type="dxa"/>
            <w:vAlign w:val="center"/>
          </w:tcPr>
          <w:p w14:paraId="0C8D1861"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3,633 </w:t>
            </w:r>
          </w:p>
        </w:tc>
        <w:tc>
          <w:tcPr>
            <w:tcW w:w="1417" w:type="dxa"/>
            <w:vAlign w:val="center"/>
          </w:tcPr>
          <w:p w14:paraId="1BECF577"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17,749 </w:t>
            </w:r>
          </w:p>
        </w:tc>
        <w:tc>
          <w:tcPr>
            <w:tcW w:w="1417" w:type="dxa"/>
            <w:vAlign w:val="center"/>
          </w:tcPr>
          <w:p w14:paraId="6C91A0DB"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15,121 </w:t>
            </w:r>
          </w:p>
        </w:tc>
        <w:tc>
          <w:tcPr>
            <w:tcW w:w="1417" w:type="dxa"/>
            <w:vAlign w:val="center"/>
          </w:tcPr>
          <w:p w14:paraId="29D4EE77"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15,139 </w:t>
            </w:r>
          </w:p>
        </w:tc>
      </w:tr>
      <w:tr w:rsidR="00374D2C" w14:paraId="06CB6C96" w14:textId="77777777" w:rsidTr="00512092">
        <w:tc>
          <w:tcPr>
            <w:tcW w:w="2507" w:type="dxa"/>
            <w:vAlign w:val="bottom"/>
          </w:tcPr>
          <w:p w14:paraId="1FE902AA" w14:textId="77777777" w:rsidR="00374D2C" w:rsidRPr="00774892" w:rsidRDefault="00374D2C" w:rsidP="00512092">
            <w:pPr>
              <w:pStyle w:val="TabletextLeft"/>
              <w:spacing w:before="0"/>
              <w:rPr>
                <w:rFonts w:asciiTheme="minorHAnsi" w:hAnsiTheme="minorHAnsi"/>
                <w:sz w:val="18"/>
                <w:szCs w:val="18"/>
              </w:rPr>
            </w:pPr>
            <w:r w:rsidRPr="003242E7">
              <w:rPr>
                <w:rFonts w:asciiTheme="minorHAnsi" w:hAnsiTheme="minorHAnsi"/>
                <w:sz w:val="18"/>
                <w:szCs w:val="18"/>
              </w:rPr>
              <w:t>Clinical psychology</w:t>
            </w:r>
          </w:p>
        </w:tc>
        <w:tc>
          <w:tcPr>
            <w:tcW w:w="1604" w:type="dxa"/>
            <w:vAlign w:val="center"/>
          </w:tcPr>
          <w:p w14:paraId="4917ED61"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14,322 </w:t>
            </w:r>
          </w:p>
        </w:tc>
        <w:tc>
          <w:tcPr>
            <w:tcW w:w="1230" w:type="dxa"/>
            <w:vAlign w:val="center"/>
          </w:tcPr>
          <w:p w14:paraId="35FA6FDD"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13,528 </w:t>
            </w:r>
          </w:p>
        </w:tc>
        <w:tc>
          <w:tcPr>
            <w:tcW w:w="1417" w:type="dxa"/>
            <w:vAlign w:val="center"/>
          </w:tcPr>
          <w:p w14:paraId="63A25204"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5,809 </w:t>
            </w:r>
          </w:p>
        </w:tc>
        <w:tc>
          <w:tcPr>
            <w:tcW w:w="1417" w:type="dxa"/>
            <w:vAlign w:val="center"/>
          </w:tcPr>
          <w:p w14:paraId="65315066"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18,413 </w:t>
            </w:r>
          </w:p>
        </w:tc>
        <w:tc>
          <w:tcPr>
            <w:tcW w:w="1417" w:type="dxa"/>
            <w:vAlign w:val="center"/>
          </w:tcPr>
          <w:p w14:paraId="2FE636F1"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4,887 </w:t>
            </w:r>
          </w:p>
        </w:tc>
        <w:tc>
          <w:tcPr>
            <w:tcW w:w="1417" w:type="dxa"/>
            <w:vAlign w:val="center"/>
          </w:tcPr>
          <w:p w14:paraId="2DD685E2"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12,817 </w:t>
            </w:r>
          </w:p>
        </w:tc>
        <w:tc>
          <w:tcPr>
            <w:tcW w:w="1417" w:type="dxa"/>
            <w:vAlign w:val="center"/>
          </w:tcPr>
          <w:p w14:paraId="19DAE9C6"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12,490 </w:t>
            </w:r>
          </w:p>
        </w:tc>
        <w:tc>
          <w:tcPr>
            <w:tcW w:w="1417" w:type="dxa"/>
            <w:vAlign w:val="center"/>
          </w:tcPr>
          <w:p w14:paraId="7E470D05"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10,966 </w:t>
            </w:r>
          </w:p>
        </w:tc>
      </w:tr>
      <w:tr w:rsidR="00374D2C" w14:paraId="5EC62C3B" w14:textId="77777777" w:rsidTr="00512092">
        <w:tc>
          <w:tcPr>
            <w:tcW w:w="2507" w:type="dxa"/>
            <w:vAlign w:val="bottom"/>
          </w:tcPr>
          <w:p w14:paraId="45115C08" w14:textId="77777777" w:rsidR="00374D2C" w:rsidRPr="00774892" w:rsidRDefault="00374D2C" w:rsidP="00512092">
            <w:pPr>
              <w:pStyle w:val="TabletextLeft"/>
              <w:spacing w:before="0"/>
              <w:rPr>
                <w:rFonts w:asciiTheme="minorHAnsi" w:hAnsiTheme="minorHAnsi"/>
                <w:sz w:val="18"/>
                <w:szCs w:val="18"/>
              </w:rPr>
            </w:pPr>
            <w:r w:rsidRPr="003242E7">
              <w:rPr>
                <w:rFonts w:asciiTheme="minorHAnsi" w:hAnsiTheme="minorHAnsi"/>
                <w:sz w:val="18"/>
                <w:szCs w:val="18"/>
              </w:rPr>
              <w:t>Other society and culture</w:t>
            </w:r>
          </w:p>
        </w:tc>
        <w:tc>
          <w:tcPr>
            <w:tcW w:w="1604" w:type="dxa"/>
            <w:vAlign w:val="center"/>
          </w:tcPr>
          <w:p w14:paraId="460478D2"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13,609 </w:t>
            </w:r>
          </w:p>
        </w:tc>
        <w:tc>
          <w:tcPr>
            <w:tcW w:w="1230" w:type="dxa"/>
            <w:vAlign w:val="center"/>
          </w:tcPr>
          <w:p w14:paraId="349BE8EE"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12,974 </w:t>
            </w:r>
          </w:p>
        </w:tc>
        <w:tc>
          <w:tcPr>
            <w:tcW w:w="1417" w:type="dxa"/>
            <w:vAlign w:val="center"/>
          </w:tcPr>
          <w:p w14:paraId="5C43C7BA"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7,091 </w:t>
            </w:r>
          </w:p>
        </w:tc>
        <w:tc>
          <w:tcPr>
            <w:tcW w:w="1417" w:type="dxa"/>
            <w:vAlign w:val="center"/>
          </w:tcPr>
          <w:p w14:paraId="2F521F89"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18,669 </w:t>
            </w:r>
          </w:p>
        </w:tc>
        <w:tc>
          <w:tcPr>
            <w:tcW w:w="1417" w:type="dxa"/>
            <w:vAlign w:val="center"/>
          </w:tcPr>
          <w:p w14:paraId="7C9092FF"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3,684 </w:t>
            </w:r>
          </w:p>
        </w:tc>
        <w:tc>
          <w:tcPr>
            <w:tcW w:w="1417" w:type="dxa"/>
            <w:vAlign w:val="center"/>
          </w:tcPr>
          <w:p w14:paraId="516444BC"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12,213 </w:t>
            </w:r>
          </w:p>
        </w:tc>
        <w:tc>
          <w:tcPr>
            <w:tcW w:w="1417" w:type="dxa"/>
            <w:vAlign w:val="center"/>
          </w:tcPr>
          <w:p w14:paraId="0EADC321"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10,737 </w:t>
            </w:r>
          </w:p>
        </w:tc>
        <w:tc>
          <w:tcPr>
            <w:tcW w:w="1417" w:type="dxa"/>
            <w:vAlign w:val="center"/>
          </w:tcPr>
          <w:p w14:paraId="3B2392DE"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10,462 </w:t>
            </w:r>
          </w:p>
        </w:tc>
      </w:tr>
      <w:tr w:rsidR="00374D2C" w14:paraId="2CA79C6A" w14:textId="77777777" w:rsidTr="00512092">
        <w:tc>
          <w:tcPr>
            <w:tcW w:w="2507" w:type="dxa"/>
            <w:vAlign w:val="bottom"/>
          </w:tcPr>
          <w:p w14:paraId="739BCE9D" w14:textId="77777777" w:rsidR="00374D2C" w:rsidRPr="00774892" w:rsidRDefault="00374D2C" w:rsidP="00512092">
            <w:pPr>
              <w:pStyle w:val="TabletextLeft"/>
              <w:spacing w:before="0"/>
              <w:rPr>
                <w:rFonts w:asciiTheme="minorHAnsi" w:hAnsiTheme="minorHAnsi"/>
                <w:sz w:val="18"/>
                <w:szCs w:val="18"/>
              </w:rPr>
            </w:pPr>
            <w:r w:rsidRPr="003242E7">
              <w:rPr>
                <w:rFonts w:asciiTheme="minorHAnsi" w:hAnsiTheme="minorHAnsi"/>
                <w:sz w:val="18"/>
                <w:szCs w:val="18"/>
              </w:rPr>
              <w:t>Communication and media studies</w:t>
            </w:r>
          </w:p>
        </w:tc>
        <w:tc>
          <w:tcPr>
            <w:tcW w:w="1604" w:type="dxa"/>
            <w:vAlign w:val="center"/>
          </w:tcPr>
          <w:p w14:paraId="3B524E8D"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14,746 </w:t>
            </w:r>
          </w:p>
        </w:tc>
        <w:tc>
          <w:tcPr>
            <w:tcW w:w="1230" w:type="dxa"/>
            <w:vAlign w:val="center"/>
          </w:tcPr>
          <w:p w14:paraId="5F9C5841"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14,440 </w:t>
            </w:r>
          </w:p>
        </w:tc>
        <w:tc>
          <w:tcPr>
            <w:tcW w:w="1417" w:type="dxa"/>
            <w:vAlign w:val="center"/>
          </w:tcPr>
          <w:p w14:paraId="0BF29813"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9,230 </w:t>
            </w:r>
          </w:p>
        </w:tc>
        <w:tc>
          <w:tcPr>
            <w:tcW w:w="1417" w:type="dxa"/>
            <w:vAlign w:val="center"/>
          </w:tcPr>
          <w:p w14:paraId="74C0B7F0"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17,882 </w:t>
            </w:r>
          </w:p>
        </w:tc>
        <w:tc>
          <w:tcPr>
            <w:tcW w:w="1417" w:type="dxa"/>
            <w:vAlign w:val="center"/>
          </w:tcPr>
          <w:p w14:paraId="205D6461"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2,602 </w:t>
            </w:r>
          </w:p>
        </w:tc>
        <w:tc>
          <w:tcPr>
            <w:tcW w:w="1417" w:type="dxa"/>
            <w:vAlign w:val="center"/>
          </w:tcPr>
          <w:p w14:paraId="39E0B02F"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14,197 </w:t>
            </w:r>
          </w:p>
        </w:tc>
        <w:tc>
          <w:tcPr>
            <w:tcW w:w="1417" w:type="dxa"/>
            <w:vAlign w:val="center"/>
          </w:tcPr>
          <w:p w14:paraId="7BD3D7D5"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13,042 </w:t>
            </w:r>
          </w:p>
        </w:tc>
        <w:tc>
          <w:tcPr>
            <w:tcW w:w="1417" w:type="dxa"/>
            <w:vAlign w:val="center"/>
          </w:tcPr>
          <w:p w14:paraId="090C01A4"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12,178 </w:t>
            </w:r>
          </w:p>
        </w:tc>
      </w:tr>
      <w:tr w:rsidR="00374D2C" w14:paraId="19F967F4" w14:textId="77777777" w:rsidTr="00512092">
        <w:tc>
          <w:tcPr>
            <w:tcW w:w="2507" w:type="dxa"/>
            <w:vAlign w:val="bottom"/>
          </w:tcPr>
          <w:p w14:paraId="35284BF3" w14:textId="77777777" w:rsidR="00374D2C" w:rsidRPr="00774892" w:rsidRDefault="00374D2C" w:rsidP="00512092">
            <w:pPr>
              <w:pStyle w:val="TabletextLeft"/>
              <w:spacing w:before="0"/>
              <w:rPr>
                <w:rFonts w:asciiTheme="minorHAnsi" w:hAnsiTheme="minorHAnsi"/>
                <w:sz w:val="18"/>
                <w:szCs w:val="18"/>
              </w:rPr>
            </w:pPr>
            <w:r w:rsidRPr="003242E7">
              <w:rPr>
                <w:rFonts w:asciiTheme="minorHAnsi" w:hAnsiTheme="minorHAnsi"/>
                <w:sz w:val="18"/>
                <w:szCs w:val="18"/>
              </w:rPr>
              <w:t>Other creative arts</w:t>
            </w:r>
          </w:p>
        </w:tc>
        <w:tc>
          <w:tcPr>
            <w:tcW w:w="1604" w:type="dxa"/>
            <w:vAlign w:val="center"/>
          </w:tcPr>
          <w:p w14:paraId="65F68104"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17,361 </w:t>
            </w:r>
          </w:p>
        </w:tc>
        <w:tc>
          <w:tcPr>
            <w:tcW w:w="1230" w:type="dxa"/>
            <w:vAlign w:val="center"/>
          </w:tcPr>
          <w:p w14:paraId="3CC06B31"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20,349 </w:t>
            </w:r>
          </w:p>
        </w:tc>
        <w:tc>
          <w:tcPr>
            <w:tcW w:w="1417" w:type="dxa"/>
            <w:vAlign w:val="center"/>
          </w:tcPr>
          <w:p w14:paraId="3CDD107E"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13,430 </w:t>
            </w:r>
          </w:p>
        </w:tc>
        <w:tc>
          <w:tcPr>
            <w:tcW w:w="1417" w:type="dxa"/>
            <w:vAlign w:val="center"/>
          </w:tcPr>
          <w:p w14:paraId="07CE7583"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rFonts w:asciiTheme="minorHAnsi" w:hAnsiTheme="minorHAnsi"/>
                <w:sz w:val="18"/>
                <w:szCs w:val="18"/>
              </w:rPr>
              <w:t xml:space="preserve">43,987 </w:t>
            </w:r>
          </w:p>
        </w:tc>
        <w:tc>
          <w:tcPr>
            <w:tcW w:w="1417" w:type="dxa"/>
            <w:vAlign w:val="center"/>
          </w:tcPr>
          <w:p w14:paraId="167EDDDC" w14:textId="77777777" w:rsidR="00374D2C" w:rsidRPr="00934AC6"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7,362 </w:t>
            </w:r>
          </w:p>
        </w:tc>
        <w:tc>
          <w:tcPr>
            <w:tcW w:w="1417" w:type="dxa"/>
            <w:vAlign w:val="center"/>
          </w:tcPr>
          <w:p w14:paraId="1C120E66"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18,869 </w:t>
            </w:r>
          </w:p>
        </w:tc>
        <w:tc>
          <w:tcPr>
            <w:tcW w:w="1417" w:type="dxa"/>
            <w:vAlign w:val="center"/>
          </w:tcPr>
          <w:p w14:paraId="7BBF31D9"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16,462 </w:t>
            </w:r>
          </w:p>
        </w:tc>
        <w:tc>
          <w:tcPr>
            <w:tcW w:w="1417" w:type="dxa"/>
            <w:vAlign w:val="center"/>
          </w:tcPr>
          <w:p w14:paraId="70E84704" w14:textId="77777777" w:rsidR="00374D2C" w:rsidRPr="00122C6F" w:rsidRDefault="00374D2C" w:rsidP="00512092">
            <w:pPr>
              <w:widowControl w:val="0"/>
              <w:autoSpaceDE w:val="0"/>
              <w:autoSpaceDN w:val="0"/>
              <w:adjustRightInd w:val="0"/>
              <w:jc w:val="center"/>
              <w:rPr>
                <w:rFonts w:asciiTheme="minorHAnsi" w:hAnsiTheme="minorHAnsi"/>
                <w:sz w:val="18"/>
                <w:szCs w:val="18"/>
              </w:rPr>
            </w:pPr>
            <w:r w:rsidRPr="007D780F">
              <w:rPr>
                <w:sz w:val="18"/>
                <w:szCs w:val="18"/>
              </w:rPr>
              <w:t xml:space="preserve">16,144 </w:t>
            </w:r>
          </w:p>
        </w:tc>
      </w:tr>
    </w:tbl>
    <w:p w14:paraId="1015CD17" w14:textId="77777777" w:rsidR="00374D2C" w:rsidRDefault="00374D2C" w:rsidP="00374D2C">
      <w:pPr>
        <w:pStyle w:val="Source"/>
      </w:pPr>
      <w:r>
        <w:t xml:space="preserve">Source: Deloitte Access Economics </w:t>
      </w:r>
      <w:r w:rsidR="000075ED">
        <w:t>analysis.</w:t>
      </w:r>
    </w:p>
    <w:p w14:paraId="2F69AFD7" w14:textId="77777777" w:rsidR="00374D2C" w:rsidRDefault="00374D2C" w:rsidP="00374D2C">
      <w:pPr>
        <w:pStyle w:val="Source"/>
      </w:pPr>
      <w:r>
        <w:t xml:space="preserve">Note: Median, mean, min, max and IQR are calculated for the raw data. Reasonable cost estimates for OLS, quantile and SFA are measured for each field and university, and presented at the median value. </w:t>
      </w:r>
    </w:p>
    <w:p w14:paraId="048BA5B3" w14:textId="77777777" w:rsidR="00374D2C" w:rsidRPr="00525DA6" w:rsidRDefault="00374D2C" w:rsidP="00374D2C">
      <w:pPr>
        <w:pStyle w:val="Source"/>
        <w:sectPr w:rsidR="00374D2C" w:rsidRPr="00525DA6" w:rsidSect="00B56412">
          <w:pgSz w:w="16838" w:h="11906" w:orient="landscape" w:code="9"/>
          <w:pgMar w:top="1701" w:right="2268" w:bottom="1134" w:left="1134" w:header="720" w:footer="720" w:gutter="0"/>
          <w:cols w:space="720"/>
          <w:docGrid w:linePitch="360"/>
        </w:sectPr>
      </w:pPr>
    </w:p>
    <w:p w14:paraId="7C60684A" w14:textId="282B0E63" w:rsidR="00374D2C" w:rsidRDefault="00374D2C" w:rsidP="00374D2C">
      <w:pPr>
        <w:pStyle w:val="CaptionChart"/>
      </w:pPr>
      <w:bookmarkStart w:id="290" w:name="_Toc469927383"/>
      <w:r>
        <w:lastRenderedPageBreak/>
        <w:t>: Reasonable cost</w:t>
      </w:r>
      <w:r w:rsidR="00E65A41">
        <w:t xml:space="preserve"> - </w:t>
      </w:r>
      <w:r>
        <w:t>Cost drivers vs Field effects by field (</w:t>
      </w:r>
      <w:r w:rsidR="009F6F84">
        <w:t>b</w:t>
      </w:r>
      <w:r>
        <w:t>achelor</w:t>
      </w:r>
      <w:r w:rsidR="009F6F84">
        <w:t xml:space="preserve"> level</w:t>
      </w:r>
      <w:r>
        <w:t>)</w:t>
      </w:r>
      <w:bookmarkEnd w:id="290"/>
    </w:p>
    <w:p w14:paraId="198DDBCA" w14:textId="77777777" w:rsidR="00374D2C" w:rsidRDefault="002B5049" w:rsidP="00374D2C">
      <w:pPr>
        <w:pStyle w:val="BodyText"/>
        <w:jc w:val="center"/>
      </w:pPr>
      <w:r>
        <w:rPr>
          <w:noProof/>
          <w:lang w:eastAsia="en-AU"/>
        </w:rPr>
        <w:drawing>
          <wp:inline distT="0" distB="0" distL="0" distR="0" wp14:anchorId="4BBB0AA8" wp14:editId="6194B6A8">
            <wp:extent cx="7224395" cy="4097020"/>
            <wp:effectExtent l="0" t="0" r="0" b="0"/>
            <wp:docPr id="6" name="Picture 6" descr="Comparison between reasonable cost relative to cost drivers and field effects, for bachelor level, by field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7224395" cy="4097020"/>
                    </a:xfrm>
                    <a:prstGeom prst="rect">
                      <a:avLst/>
                    </a:prstGeom>
                    <a:noFill/>
                  </pic:spPr>
                </pic:pic>
              </a:graphicData>
            </a:graphic>
          </wp:inline>
        </w:drawing>
      </w:r>
    </w:p>
    <w:p w14:paraId="7235A66D" w14:textId="73951217" w:rsidR="00374D2C" w:rsidRDefault="00374D2C" w:rsidP="00374D2C">
      <w:pPr>
        <w:pStyle w:val="Source"/>
      </w:pPr>
      <w:r>
        <w:t xml:space="preserve">Source: Deloitte Access Economics </w:t>
      </w:r>
      <w:r w:rsidR="000075ED">
        <w:t>analysis</w:t>
      </w:r>
      <w:r>
        <w:t xml:space="preserve">. </w:t>
      </w:r>
      <w:r w:rsidR="002B5049">
        <w:t xml:space="preserve">The omitted field is other society and culture. </w:t>
      </w:r>
      <w:r>
        <w:t xml:space="preserve">Field effects are statistically insignificant for </w:t>
      </w:r>
      <w:r w:rsidR="002D54FD">
        <w:t>Management</w:t>
      </w:r>
      <w:r>
        <w:t xml:space="preserve"> and </w:t>
      </w:r>
      <w:r w:rsidR="002D54FD">
        <w:t>Commerce</w:t>
      </w:r>
      <w:r>
        <w:t xml:space="preserve">, </w:t>
      </w:r>
      <w:r w:rsidR="00055D80">
        <w:t>E</w:t>
      </w:r>
      <w:r>
        <w:t xml:space="preserve">ducation, </w:t>
      </w:r>
      <w:r w:rsidR="00055D80">
        <w:t>M</w:t>
      </w:r>
      <w:r>
        <w:t xml:space="preserve">athematical </w:t>
      </w:r>
      <w:r w:rsidR="00055D80">
        <w:t>S</w:t>
      </w:r>
      <w:r w:rsidR="002B5049">
        <w:t>cience</w:t>
      </w:r>
      <w:r>
        <w:t xml:space="preserve">, </w:t>
      </w:r>
      <w:r w:rsidR="00055D80">
        <w:t>C</w:t>
      </w:r>
      <w:r>
        <w:t xml:space="preserve">linical </w:t>
      </w:r>
      <w:r w:rsidR="00055D80">
        <w:t>P</w:t>
      </w:r>
      <w:r>
        <w:t xml:space="preserve">sychology, </w:t>
      </w:r>
      <w:r w:rsidR="00055D80">
        <w:t>C</w:t>
      </w:r>
      <w:r>
        <w:t xml:space="preserve">ommunication and </w:t>
      </w:r>
      <w:r w:rsidR="00055D80">
        <w:t>M</w:t>
      </w:r>
      <w:r>
        <w:t xml:space="preserve">edia </w:t>
      </w:r>
      <w:r w:rsidR="00055D80">
        <w:t>S</w:t>
      </w:r>
      <w:r>
        <w:t>tudies,</w:t>
      </w:r>
      <w:r w:rsidR="002B5049">
        <w:t xml:space="preserve"> </w:t>
      </w:r>
      <w:r w:rsidR="00055D80">
        <w:t>A</w:t>
      </w:r>
      <w:r w:rsidR="002B5049">
        <w:t>rchitecture</w:t>
      </w:r>
      <w:r>
        <w:t xml:space="preserve"> and </w:t>
      </w:r>
      <w:r w:rsidR="00055D80">
        <w:t>L</w:t>
      </w:r>
      <w:r>
        <w:t xml:space="preserve">anguages. Cost drivers are calculated at median values, and include staff student ratio (log), proportion of regional EFTSL, proportion of casual staff, proportion of external EFTSL and a common constant. Field effects are calculated multiplicatively, that is, as a multiple of the cost drivers and constant term. The median log staff student ratio (SSR) across fields is -3.29, which translates to 26.8 students per teaching staff. </w:t>
      </w:r>
    </w:p>
    <w:p w14:paraId="0F3E9FD5" w14:textId="77777777" w:rsidR="00374D2C" w:rsidRDefault="00374D2C" w:rsidP="00374D2C">
      <w:pPr>
        <w:pStyle w:val="Source"/>
        <w:sectPr w:rsidR="00374D2C" w:rsidSect="00512092">
          <w:headerReference w:type="even" r:id="rId70"/>
          <w:headerReference w:type="default" r:id="rId71"/>
          <w:footerReference w:type="even" r:id="rId72"/>
          <w:pgSz w:w="16840" w:h="11907" w:orient="landscape" w:code="9"/>
          <w:pgMar w:top="2127" w:right="2268" w:bottom="1134" w:left="1134" w:header="567" w:footer="567" w:gutter="0"/>
          <w:cols w:space="708"/>
          <w:titlePg/>
          <w:docGrid w:linePitch="360"/>
        </w:sectPr>
      </w:pPr>
    </w:p>
    <w:p w14:paraId="70866825" w14:textId="77777777" w:rsidR="00374D2C" w:rsidRDefault="00374D2C" w:rsidP="00374D2C">
      <w:pPr>
        <w:pStyle w:val="Heading3"/>
      </w:pPr>
      <w:r>
        <w:lastRenderedPageBreak/>
        <w:t xml:space="preserve">Cost within a field of education </w:t>
      </w:r>
    </w:p>
    <w:p w14:paraId="6F56555D" w14:textId="77777777" w:rsidR="00374D2C" w:rsidRDefault="00374D2C" w:rsidP="00374D2C">
      <w:pPr>
        <w:pStyle w:val="BodyText"/>
      </w:pPr>
      <w:r>
        <w:t xml:space="preserve">While costs are likely to differ across fields of education due to differences in the underlying cost drivers across universities, there is often significant variation in costs across different universities within a given field of education. </w:t>
      </w:r>
    </w:p>
    <w:p w14:paraId="5E15CFC9" w14:textId="77777777" w:rsidR="00374D2C" w:rsidRDefault="00374D2C" w:rsidP="00374D2C">
      <w:pPr>
        <w:pStyle w:val="BodyText"/>
      </w:pPr>
      <w:r>
        <w:t xml:space="preserve">Chart 5.5 presents, for the Management and Commerce field of education at the bachelor level, actual costs and the three measures of reasonable costs based on typical university characteristics – OLS, quantile regression and SFA-based – across the seventeen universities in the sample. Each of the predicted cost lines (aside from actual costs) are estimated using the median values of the choice or strategic cost drivers, while allowing for the proportion of regional EFTSL to take its actual value (as this is likely to reflect contextual factors that are less able to be controlled by the university). Hence the variation in predicted costs by university is determined only by differences in regional students. These measures of cost are thus relatively stable across universities. </w:t>
      </w:r>
    </w:p>
    <w:p w14:paraId="05D14DBB" w14:textId="38E3EE8C" w:rsidR="00374D2C" w:rsidRDefault="00374D2C" w:rsidP="00374D2C">
      <w:pPr>
        <w:pStyle w:val="CaptionChart"/>
      </w:pPr>
      <w:bookmarkStart w:id="291" w:name="_Toc469927384"/>
      <w:r>
        <w:t>: Cost estimates</w:t>
      </w:r>
      <w:r w:rsidR="00E65A41">
        <w:t xml:space="preserve"> - </w:t>
      </w:r>
      <w:r>
        <w:t xml:space="preserve">Total cost per EFTSL (Management and Commerce, </w:t>
      </w:r>
      <w:r w:rsidR="009F6F84">
        <w:t>b</w:t>
      </w:r>
      <w:r>
        <w:t>achelor level, 2015)</w:t>
      </w:r>
      <w:bookmarkEnd w:id="291"/>
    </w:p>
    <w:p w14:paraId="499FAE23" w14:textId="77777777" w:rsidR="00374D2C" w:rsidRDefault="003B00EE" w:rsidP="00374D2C">
      <w:pPr>
        <w:pStyle w:val="BodyText"/>
        <w:jc w:val="center"/>
      </w:pPr>
      <w:r>
        <w:rPr>
          <w:noProof/>
          <w:lang w:eastAsia="en-AU"/>
        </w:rPr>
        <w:drawing>
          <wp:inline distT="0" distB="0" distL="0" distR="0" wp14:anchorId="21302CE4" wp14:editId="2B460F04">
            <wp:extent cx="5049155" cy="2811618"/>
            <wp:effectExtent l="0" t="0" r="0" b="8255"/>
            <wp:docPr id="8" name="Picture 8" descr="Comparison of derived cost estimates relative to observed cost per EFTSL, for Management and Commerce bachelor level in 2015, across univers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49155" cy="2811618"/>
                    </a:xfrm>
                    <a:prstGeom prst="rect">
                      <a:avLst/>
                    </a:prstGeom>
                    <a:noFill/>
                  </pic:spPr>
                </pic:pic>
              </a:graphicData>
            </a:graphic>
          </wp:inline>
        </w:drawing>
      </w:r>
    </w:p>
    <w:p w14:paraId="0DE85F31" w14:textId="77777777" w:rsidR="00374D2C" w:rsidRPr="00C65E4D" w:rsidRDefault="00374D2C" w:rsidP="00374D2C">
      <w:pPr>
        <w:pStyle w:val="Source"/>
      </w:pPr>
      <w:r w:rsidRPr="00C65E4D">
        <w:t xml:space="preserve">Source:  Deloitte Access Economics </w:t>
      </w:r>
      <w:r w:rsidR="000075ED">
        <w:t>analysis.</w:t>
      </w:r>
    </w:p>
    <w:p w14:paraId="2698928D" w14:textId="77777777" w:rsidR="00374D2C" w:rsidRDefault="00374D2C" w:rsidP="00374D2C">
      <w:pPr>
        <w:pStyle w:val="Source"/>
      </w:pPr>
      <w:r>
        <w:t xml:space="preserve">Note: Varied ‘contextual’ cost drivers include proportion of regional EFTSL. Fixed cost drivers (set to median by FOE) include staff student ratio (log, teaching staff), proportion of casual teaching staff, and ratio of HDR to postgraduate coursework EFTSL. </w:t>
      </w:r>
    </w:p>
    <w:p w14:paraId="463AE418" w14:textId="77777777" w:rsidR="00374D2C" w:rsidRDefault="00374D2C" w:rsidP="00374D2C">
      <w:pPr>
        <w:pStyle w:val="BodyText"/>
      </w:pPr>
      <w:r w:rsidRPr="005F2DE1">
        <w:rPr>
          <w:rStyle w:val="Boldword"/>
          <w:b w:val="0"/>
          <w:color w:val="auto"/>
        </w:rPr>
        <w:t>Chart 5.5 demonstrates a significant degree of variation in actual costs between universities.</w:t>
      </w:r>
      <w:r w:rsidRPr="005F2DE1">
        <w:rPr>
          <w:rStyle w:val="Boldword"/>
          <w:color w:val="auto"/>
        </w:rPr>
        <w:t xml:space="preserve"> </w:t>
      </w:r>
      <w:r w:rsidRPr="00B81BD5">
        <w:rPr>
          <w:rStyle w:val="Boldword"/>
        </w:rPr>
        <w:t xml:space="preserve">In some cases actual costs are substantially </w:t>
      </w:r>
      <w:r>
        <w:rPr>
          <w:rStyle w:val="Boldword"/>
        </w:rPr>
        <w:t xml:space="preserve">different to </w:t>
      </w:r>
      <w:r w:rsidRPr="00B81BD5">
        <w:rPr>
          <w:rStyle w:val="Boldword"/>
        </w:rPr>
        <w:t>those predicted by each model.</w:t>
      </w:r>
      <w:r>
        <w:t xml:space="preserve"> This could be driven by a given university having cost drivers which differ substantially from the median, unobserved factors, or strategic decisions by a university to prioritise particular fields of education. </w:t>
      </w:r>
    </w:p>
    <w:p w14:paraId="5C4D4163" w14:textId="77777777" w:rsidR="00374D2C" w:rsidRPr="004E467C" w:rsidRDefault="00374D2C" w:rsidP="00374D2C">
      <w:pPr>
        <w:pStyle w:val="BodyText"/>
      </w:pPr>
      <w:r>
        <w:t xml:space="preserve">The 25% quantile and SFA measures are below the OLS measures, again reflecting moves towards the efficient cost. Interestingly, some universities continue to have actual costs below this level, which results from such universities having ‘weaker’ cost drivers relative to </w:t>
      </w:r>
      <w:r>
        <w:lastRenderedPageBreak/>
        <w:t xml:space="preserve">the median (such as smaller staff-student ratios) or unobserved factors which reduce their actual costs. The lower confidence interval of the OLS estimate of reasonable costs for a typical </w:t>
      </w:r>
      <w:r w:rsidRPr="004E467C">
        <w:t xml:space="preserve">university is broadly in line with estimates of the SFA model. The width of the confidence interval here provides an indication of the relative range into which reasonable costs could fall. </w:t>
      </w:r>
    </w:p>
    <w:p w14:paraId="1AD2568C" w14:textId="77777777" w:rsidR="00374D2C" w:rsidRDefault="00374D2C" w:rsidP="00374D2C">
      <w:pPr>
        <w:pStyle w:val="Heading3"/>
      </w:pPr>
      <w:r>
        <w:t>Interpretation of reasonable cost estimates</w:t>
      </w:r>
    </w:p>
    <w:p w14:paraId="124EFBB3" w14:textId="3BF745E8" w:rsidR="00374D2C" w:rsidRPr="00CF0AFE" w:rsidRDefault="00374D2C" w:rsidP="00374D2C">
      <w:pPr>
        <w:pStyle w:val="BodyText"/>
        <w:rPr>
          <w:rStyle w:val="Boldword"/>
        </w:rPr>
      </w:pPr>
      <w:r w:rsidRPr="0095497E">
        <w:rPr>
          <w:rStyle w:val="Boldword"/>
          <w:b w:val="0"/>
          <w:color w:val="auto"/>
        </w:rPr>
        <w:t xml:space="preserve">In general terms, the results from these models can be interpreted as measures of reasonable cost for a </w:t>
      </w:r>
      <w:r w:rsidRPr="005F2DE1">
        <w:rPr>
          <w:rStyle w:val="Boldword"/>
          <w:b w:val="0"/>
          <w:color w:val="auto"/>
        </w:rPr>
        <w:t>university with typical characteristics (in 2015). At the same time, it should be emphasised that the estimates of reasonable cost are determined by the particular values of the variables used in the calculation, and the choice of the typical uni</w:t>
      </w:r>
      <w:r w:rsidRPr="00327AA3">
        <w:rPr>
          <w:rStyle w:val="Boldword"/>
          <w:b w:val="0"/>
          <w:color w:val="auto"/>
        </w:rPr>
        <w:t xml:space="preserve">versity inputs may not be representative of the inputs which </w:t>
      </w:r>
      <w:r w:rsidR="00055D80">
        <w:rPr>
          <w:rStyle w:val="Boldword"/>
          <w:b w:val="0"/>
          <w:color w:val="auto"/>
        </w:rPr>
        <w:t>policymakers</w:t>
      </w:r>
      <w:r w:rsidRPr="00327AA3">
        <w:rPr>
          <w:rStyle w:val="Boldword"/>
          <w:b w:val="0"/>
          <w:color w:val="auto"/>
        </w:rPr>
        <w:t xml:space="preserve"> may choose for their assessment of reasonable cost</w:t>
      </w:r>
      <w:r w:rsidR="00B256EE" w:rsidRPr="00327AA3">
        <w:rPr>
          <w:rStyle w:val="Boldword"/>
          <w:b w:val="0"/>
          <w:color w:val="auto"/>
        </w:rPr>
        <w:t xml:space="preserve">. </w:t>
      </w:r>
      <w:r w:rsidR="00B256EE" w:rsidRPr="005F2DE1">
        <w:rPr>
          <w:rStyle w:val="Boldword"/>
          <w:b w:val="0"/>
          <w:color w:val="auto"/>
        </w:rPr>
        <w:t xml:space="preserve">Estimates </w:t>
      </w:r>
      <w:r w:rsidR="00B256EE" w:rsidRPr="00610DBE">
        <w:rPr>
          <w:rStyle w:val="Boldword"/>
          <w:b w:val="0"/>
          <w:color w:val="auto"/>
        </w:rPr>
        <w:t>of reasonable cost differ depending on:</w:t>
      </w:r>
      <w:r w:rsidR="00B256EE">
        <w:rPr>
          <w:rStyle w:val="Boldword"/>
        </w:rPr>
        <w:t xml:space="preserve"> </w:t>
      </w:r>
    </w:p>
    <w:p w14:paraId="7B1AB666" w14:textId="77777777" w:rsidR="00374D2C" w:rsidRPr="00C6120F" w:rsidRDefault="00374D2C" w:rsidP="00374D2C">
      <w:pPr>
        <w:pStyle w:val="Bullet1"/>
      </w:pPr>
      <w:r w:rsidRPr="00C6120F">
        <w:t xml:space="preserve">The values </w:t>
      </w:r>
      <w:r>
        <w:t xml:space="preserve">of the choice, or strategic, and contextual variables that go into </w:t>
      </w:r>
      <w:r w:rsidRPr="00C6120F">
        <w:t>the underlying</w:t>
      </w:r>
      <w:r>
        <w:t xml:space="preserve"> estimated</w:t>
      </w:r>
      <w:r w:rsidRPr="00C6120F">
        <w:t xml:space="preserve"> model</w:t>
      </w:r>
      <w:r>
        <w:t>s</w:t>
      </w:r>
      <w:r w:rsidRPr="00C6120F">
        <w:t xml:space="preserve"> of costs.</w:t>
      </w:r>
      <w:r>
        <w:t xml:space="preserve">  </w:t>
      </w:r>
    </w:p>
    <w:p w14:paraId="4AD465FC" w14:textId="77777777" w:rsidR="00374D2C" w:rsidRDefault="00374D2C" w:rsidP="00374D2C">
      <w:pPr>
        <w:pStyle w:val="Bullet2"/>
      </w:pPr>
      <w:r w:rsidRPr="00C6120F">
        <w:t xml:space="preserve">For example, </w:t>
      </w:r>
      <w:r>
        <w:t xml:space="preserve">the </w:t>
      </w:r>
      <w:r w:rsidRPr="00C6120F">
        <w:t>staff to student ratios for each FOE must be pre-defined to reflect benchmark standards implicit in the definition of reasonable cost.</w:t>
      </w:r>
      <w:r>
        <w:t xml:space="preserve"> Changes in assumed staff to student ratios can have large impacts on the estimated level of reasonable costs. </w:t>
      </w:r>
    </w:p>
    <w:p w14:paraId="515942FF" w14:textId="1841AE73" w:rsidR="00374D2C" w:rsidRDefault="00374D2C" w:rsidP="00374D2C">
      <w:pPr>
        <w:pStyle w:val="Bullet2"/>
      </w:pPr>
      <w:r>
        <w:t xml:space="preserve">Similarly, changes to other variables such as the proportion of casual teaching staff can have a material impact on </w:t>
      </w:r>
      <w:r w:rsidR="00995626">
        <w:t>teaching and scholarship</w:t>
      </w:r>
      <w:r>
        <w:t xml:space="preserve"> costs, although the impact of other variables is relatively smaller than staff to student ratios. </w:t>
      </w:r>
    </w:p>
    <w:p w14:paraId="686C114B" w14:textId="77777777" w:rsidR="00374D2C" w:rsidRDefault="00374D2C" w:rsidP="00374D2C">
      <w:pPr>
        <w:pStyle w:val="Bullet1"/>
      </w:pPr>
      <w:r>
        <w:t xml:space="preserve">The specific field of education being considered. </w:t>
      </w:r>
    </w:p>
    <w:p w14:paraId="14E0503A" w14:textId="77777777" w:rsidR="00374D2C" w:rsidRPr="00C6120F" w:rsidRDefault="00374D2C" w:rsidP="00374D2C">
      <w:pPr>
        <w:pStyle w:val="Bullet2"/>
      </w:pPr>
      <w:r>
        <w:t xml:space="preserve">There are significant differences in estimated reasonable costs by field of education even after controlling for differences in the underlying cost drivers.  </w:t>
      </w:r>
    </w:p>
    <w:p w14:paraId="7C727CB6" w14:textId="77777777" w:rsidR="00374D2C" w:rsidRPr="00C6120F" w:rsidRDefault="00374D2C" w:rsidP="00374D2C">
      <w:pPr>
        <w:pStyle w:val="Bullet1"/>
      </w:pPr>
      <w:r w:rsidRPr="00C6120F">
        <w:t>The desired threshold of benchmark efficiency, to inform the choice of model used to determine underlying costs.</w:t>
      </w:r>
    </w:p>
    <w:p w14:paraId="4F27426F" w14:textId="77777777" w:rsidR="00374D2C" w:rsidRPr="00C6120F" w:rsidRDefault="00374D2C" w:rsidP="00374D2C">
      <w:pPr>
        <w:pStyle w:val="Bullet2"/>
      </w:pPr>
      <w:r w:rsidRPr="00C6120F">
        <w:t xml:space="preserve">For example, if a threshold level of efficiency is believed to be </w:t>
      </w:r>
      <w:r>
        <w:t xml:space="preserve">at the </w:t>
      </w:r>
      <w:r w:rsidRPr="00C6120F">
        <w:t>25</w:t>
      </w:r>
      <w:r w:rsidRPr="00C6120F">
        <w:rPr>
          <w:vertAlign w:val="superscript"/>
        </w:rPr>
        <w:t>th</w:t>
      </w:r>
      <w:r w:rsidRPr="00C6120F">
        <w:t xml:space="preserve"> percentile of cost</w:t>
      </w:r>
      <w:r>
        <w:t>s</w:t>
      </w:r>
      <w:r w:rsidRPr="00C6120F">
        <w:t xml:space="preserve"> by FOE, then the results from the quartile regression analysis may be used to define reasonable cost.</w:t>
      </w:r>
    </w:p>
    <w:p w14:paraId="302C80F4" w14:textId="77777777" w:rsidR="00374D2C" w:rsidRDefault="00374D2C" w:rsidP="00374D2C">
      <w:pPr>
        <w:pStyle w:val="BodyText"/>
      </w:pPr>
      <w:r w:rsidRPr="00C6120F">
        <w:t xml:space="preserve">Critically, these parameters are </w:t>
      </w:r>
      <w:r>
        <w:t xml:space="preserve">chosen in order to present a stylised representation of reasonable costs </w:t>
      </w:r>
      <w:r w:rsidRPr="00C6120F">
        <w:t>for the purposes of this report and should be considered as illustrative only. Ultimately these assumptions must be determined by policymakers in the context of other considerations, including notions of benchmark quality in teaching and scholarship</w:t>
      </w:r>
      <w:r>
        <w:t>.</w:t>
      </w:r>
    </w:p>
    <w:p w14:paraId="365BE84F" w14:textId="77777777" w:rsidR="00374D2C" w:rsidRDefault="00374D2C" w:rsidP="00374D2C">
      <w:pPr>
        <w:pStyle w:val="BodyText"/>
      </w:pPr>
      <w:r>
        <w:t>There are a number of ways in which the robustness of the results provided in this study could be enhanced in future research:</w:t>
      </w:r>
    </w:p>
    <w:p w14:paraId="7EEBE61A" w14:textId="7B222DAF" w:rsidR="00374D2C" w:rsidRPr="00804B7E" w:rsidRDefault="00374D2C" w:rsidP="00374D2C">
      <w:pPr>
        <w:pStyle w:val="BodyText"/>
      </w:pPr>
      <w:r w:rsidRPr="007D780F">
        <w:rPr>
          <w:b/>
          <w:iCs/>
          <w:color w:val="002776" w:themeColor="text2"/>
        </w:rPr>
        <w:t xml:space="preserve">Sampling error </w:t>
      </w:r>
      <w:r w:rsidRPr="007D780F">
        <w:rPr>
          <w:b/>
          <w:iCs/>
        </w:rPr>
        <w:t>-</w:t>
      </w:r>
      <w:r>
        <w:rPr>
          <w:i/>
          <w:iCs/>
        </w:rPr>
        <w:t xml:space="preserve"> </w:t>
      </w:r>
      <w:r>
        <w:t xml:space="preserve">The data collected for this study is </w:t>
      </w:r>
      <w:r w:rsidR="00E91E54">
        <w:t xml:space="preserve">from </w:t>
      </w:r>
      <w:r>
        <w:t xml:space="preserve">a sample of </w:t>
      </w:r>
      <w:r w:rsidR="00055D80">
        <w:t xml:space="preserve">all comprehensive </w:t>
      </w:r>
      <w:r>
        <w:t xml:space="preserve">universities in Australia. However, even if data were available for all universities, there would still be a degree of sampling error in the results.  While the results on such data would exactly reflect behaviour in 2015 (ignoring that there may be measurement errors in the reported data), using the results going forward must acknowledge that natural variations in costs from one year to the next. In other words, a hypothetical dataset containing all universities should still be treated as a sample. Results from a sample of universities over a number of years (that is, a panel data approach) could help minimise </w:t>
      </w:r>
      <w:r>
        <w:lastRenderedPageBreak/>
        <w:t xml:space="preserve">sampling error by accounting for university specific field of education effects. Such effects may reflect strategic prioritisation or resourcing decisions by universities that are correlated over time.  </w:t>
      </w:r>
    </w:p>
    <w:p w14:paraId="3AE7779F" w14:textId="77777777" w:rsidR="00374D2C" w:rsidRDefault="00374D2C" w:rsidP="00374D2C">
      <w:pPr>
        <w:pStyle w:val="BodyText"/>
      </w:pPr>
      <w:r w:rsidRPr="007D780F">
        <w:rPr>
          <w:b/>
          <w:iCs/>
          <w:color w:val="002776" w:themeColor="text2"/>
        </w:rPr>
        <w:t xml:space="preserve">Specification of functional form </w:t>
      </w:r>
      <w:r w:rsidRPr="007D780F">
        <w:rPr>
          <w:b/>
          <w:iCs/>
        </w:rPr>
        <w:t>-</w:t>
      </w:r>
      <w:r>
        <w:rPr>
          <w:i/>
          <w:iCs/>
        </w:rPr>
        <w:t xml:space="preserve"> </w:t>
      </w:r>
      <w:r>
        <w:t xml:space="preserve">While various tests of the functional form of the model were carried out in the course of the analysis (resulting in some refinements to the functional form), there is scope for further refinement of the model. In particular, the functional form could potentially include more complex forms of non-linearity, as well as interaction terms, although the inclusion of additional terms is somewhat limited by the sample size of the current study. Again a panel data set would assist in considering these effects. </w:t>
      </w:r>
    </w:p>
    <w:p w14:paraId="5CE4D21F" w14:textId="77777777" w:rsidR="00374D2C" w:rsidRDefault="00374D2C" w:rsidP="00374D2C">
      <w:pPr>
        <w:pStyle w:val="BodyText"/>
      </w:pPr>
      <w:r w:rsidRPr="007D780F">
        <w:rPr>
          <w:b/>
          <w:iCs/>
          <w:color w:val="002776" w:themeColor="text2"/>
        </w:rPr>
        <w:t xml:space="preserve">Additional variables </w:t>
      </w:r>
      <w:r w:rsidRPr="007D780F">
        <w:rPr>
          <w:b/>
          <w:iCs/>
        </w:rPr>
        <w:t>-</w:t>
      </w:r>
      <w:r>
        <w:rPr>
          <w:i/>
          <w:iCs/>
        </w:rPr>
        <w:t xml:space="preserve"> </w:t>
      </w:r>
      <w:r>
        <w:t xml:space="preserve">It is possible that the model suffers from omitted variables (as does any econometric model), which may lead to incorrect conclusions being drawn about the relative efficiency of different universities. In particular, there may be omitted variables relating to teaching quality and the trade-offs between teaching and research. This highlights the importance of developing robust long term measures of learning outcomes. </w:t>
      </w:r>
    </w:p>
    <w:p w14:paraId="515DD46A" w14:textId="43E690F5" w:rsidR="00374D2C" w:rsidRPr="00C6120F" w:rsidRDefault="00374D2C" w:rsidP="00374D2C">
      <w:pPr>
        <w:pStyle w:val="BodyText"/>
      </w:pPr>
      <w:r w:rsidRPr="007D780F">
        <w:rPr>
          <w:b/>
          <w:iCs/>
          <w:color w:val="002776" w:themeColor="text2"/>
        </w:rPr>
        <w:t>Efficiency</w:t>
      </w:r>
      <w:r w:rsidRPr="007D780F">
        <w:rPr>
          <w:i/>
          <w:iCs/>
          <w:color w:val="002776" w:themeColor="text2"/>
        </w:rPr>
        <w:t xml:space="preserve"> </w:t>
      </w:r>
      <w:r w:rsidRPr="00E91E54">
        <w:rPr>
          <w:b/>
          <w:i/>
          <w:iCs/>
        </w:rPr>
        <w:t>-</w:t>
      </w:r>
      <w:r>
        <w:rPr>
          <w:i/>
          <w:iCs/>
        </w:rPr>
        <w:t xml:space="preserve"> </w:t>
      </w:r>
      <w:r>
        <w:t xml:space="preserve">The relative efficiency of different universities can be manifested out in a number of different ways. For example, some universities may have higher fixed costs (e.g. administration costs), represented by a larger constant term in the model. Inefficiency may also be present through differences in the slope of cost drivers. While panel data could help to some extent in disentangling these effects, there could exist another form of inefficiency in which universities use their inputs efficiently, but apply more inputs that is strictly required to meet benchmark </w:t>
      </w:r>
      <w:r w:rsidR="00995626">
        <w:t>teaching and scholarship</w:t>
      </w:r>
      <w:r>
        <w:t xml:space="preserve"> standards. The ability of the data in this study to identify this latter form of inefficiency is relatively limited. Identifying this form of inefficiency requires reliable data on </w:t>
      </w:r>
      <w:r w:rsidR="00995626">
        <w:t>teaching and scholarship</w:t>
      </w:r>
      <w:r>
        <w:t xml:space="preserve"> outcomes across universities and is an important area for future research. </w:t>
      </w:r>
    </w:p>
    <w:p w14:paraId="17AAC897" w14:textId="77777777" w:rsidR="00801B60" w:rsidRPr="00C6120F" w:rsidRDefault="00801B60" w:rsidP="007223C2">
      <w:pPr>
        <w:pStyle w:val="BodyText"/>
      </w:pPr>
    </w:p>
    <w:p w14:paraId="0DDE19C8" w14:textId="77777777" w:rsidR="00452A34" w:rsidRPr="00A65BA3" w:rsidRDefault="00452A34" w:rsidP="00452A34">
      <w:pPr>
        <w:pStyle w:val="Heading1"/>
      </w:pPr>
      <w:bookmarkStart w:id="292" w:name="_Toc469927330"/>
      <w:r w:rsidRPr="00A65BA3">
        <w:lastRenderedPageBreak/>
        <w:t>International benchmarking</w:t>
      </w:r>
      <w:bookmarkEnd w:id="292"/>
    </w:p>
    <w:p w14:paraId="1C8FC7BA" w14:textId="77777777" w:rsidR="00E1434C" w:rsidRPr="000E1310" w:rsidRDefault="00E1434C" w:rsidP="00E1434C">
      <w:pPr>
        <w:pStyle w:val="BodyText"/>
      </w:pPr>
      <w:r w:rsidRPr="000E1310">
        <w:t xml:space="preserve">This </w:t>
      </w:r>
      <w:r w:rsidR="00B2757F">
        <w:t>chapter</w:t>
      </w:r>
      <w:r w:rsidRPr="000E1310">
        <w:t xml:space="preserve"> compares the relative costs of teaching </w:t>
      </w:r>
      <w:r>
        <w:t xml:space="preserve">in Australia across disciplines with costs in comparable international jurisdictions, namely the UK and New Zealand. Given the available data and inconsistencies in the scope of costs captured across countries, the results are presented </w:t>
      </w:r>
      <w:r w:rsidRPr="00C14A19">
        <w:t xml:space="preserve">as </w:t>
      </w:r>
      <w:r w:rsidRPr="00937624">
        <w:t xml:space="preserve">relative to the average teaching cost in </w:t>
      </w:r>
      <w:r w:rsidR="002D54FD">
        <w:t>Management</w:t>
      </w:r>
      <w:r w:rsidRPr="00937624">
        <w:t xml:space="preserve"> and </w:t>
      </w:r>
      <w:r w:rsidR="002D54FD">
        <w:t>Commerce</w:t>
      </w:r>
      <w:r w:rsidRPr="00937624">
        <w:t xml:space="preserve"> in each country. </w:t>
      </w:r>
      <w:r w:rsidRPr="000E1310">
        <w:t>This provides a benchmark against which observed costs in the Australian context can be moderated, independently of the effects of existing funding arrangements in Australia.</w:t>
      </w:r>
    </w:p>
    <w:p w14:paraId="52EDFBA4" w14:textId="77777777" w:rsidR="00E1434C" w:rsidRPr="0071121D" w:rsidRDefault="00E1434C" w:rsidP="00E1434C">
      <w:pPr>
        <w:pStyle w:val="Heading2"/>
        <w:tabs>
          <w:tab w:val="clear" w:pos="709"/>
        </w:tabs>
        <w:ind w:left="851" w:hanging="851"/>
      </w:pPr>
      <w:bookmarkStart w:id="293" w:name="_Toc465940251"/>
      <w:bookmarkStart w:id="294" w:name="_Toc469927331"/>
      <w:r>
        <w:t>International funding systems: a brief overview</w:t>
      </w:r>
      <w:bookmarkEnd w:id="293"/>
      <w:bookmarkEnd w:id="294"/>
    </w:p>
    <w:p w14:paraId="0EDBB0F3" w14:textId="77777777" w:rsidR="00E1434C" w:rsidRDefault="00E1434C" w:rsidP="00E1434C">
      <w:pPr>
        <w:pStyle w:val="HeadingB"/>
      </w:pPr>
      <w:r>
        <w:t>United Kingdom</w:t>
      </w:r>
    </w:p>
    <w:p w14:paraId="1D20231C" w14:textId="77777777" w:rsidR="00E1434C" w:rsidRDefault="00E1434C" w:rsidP="00E1434C">
      <w:pPr>
        <w:pStyle w:val="BodyText"/>
      </w:pPr>
      <w:r>
        <w:t>The higher education funding framework in the United Kingdom is broadly comparable to the Australian system. University revenue is a combination of tuition fees, teaching grants from the Government via the Higher Education Funding Council for England (</w:t>
      </w:r>
      <w:r w:rsidRPr="0045469A">
        <w:t>HEFCE</w:t>
      </w:r>
      <w:r>
        <w:t>), and grants to cover other activities (both research and non-research).</w:t>
      </w:r>
    </w:p>
    <w:p w14:paraId="74EFB1ED" w14:textId="77777777" w:rsidR="00E1434C" w:rsidRDefault="00E1434C" w:rsidP="00E1434C">
      <w:pPr>
        <w:pStyle w:val="BodyText"/>
      </w:pPr>
      <w:r w:rsidRPr="0020197C">
        <w:t>The United Kingdom underwent funding reform in 2012, with tuition fees set by individual institutions subject to a cap. In England, fees are capped at £9,000 a year (for students from the UK and EU), with around 76% of all institutions charging the full amount in 2015-16. This reform led to a shift towards students contributing much of the cost of their education themselves, with access to publicly funded loans that are generally repayable after the student has finished their studies. Before the reform, 35% of total teaching funds in 2010-11 were through HEFCE teaching grants. This decreased to 12% by 2014-15 (HEFCE, 2015).</w:t>
      </w:r>
      <w:r>
        <w:t xml:space="preserve"> </w:t>
      </w:r>
    </w:p>
    <w:p w14:paraId="2A89B940" w14:textId="77777777" w:rsidR="00E1434C" w:rsidRDefault="00E1434C" w:rsidP="00E1434C">
      <w:pPr>
        <w:pStyle w:val="HeadingB"/>
      </w:pPr>
      <w:r>
        <w:t>New Zealand</w:t>
      </w:r>
    </w:p>
    <w:p w14:paraId="00949250" w14:textId="77777777" w:rsidR="00E1434C" w:rsidRDefault="00E1434C" w:rsidP="00E1434C">
      <w:pPr>
        <w:pStyle w:val="BodyText"/>
      </w:pPr>
      <w:r w:rsidRPr="009D27B9">
        <w:t>New Zealand’s university system forms one component of a</w:t>
      </w:r>
      <w:r>
        <w:t xml:space="preserve"> national</w:t>
      </w:r>
      <w:r w:rsidRPr="009D27B9">
        <w:t xml:space="preserve"> tertiary funding program administered by the Tertiary Education Commission on behalf of the Ministry of Education.</w:t>
      </w:r>
      <w:r>
        <w:t xml:space="preserve"> </w:t>
      </w:r>
    </w:p>
    <w:p w14:paraId="5EBDB42B" w14:textId="7F53E782" w:rsidR="00E1434C" w:rsidRDefault="00E1434C" w:rsidP="00E1434C">
      <w:pPr>
        <w:pStyle w:val="BodyText"/>
      </w:pPr>
      <w:r>
        <w:t>The Student Achievement Component (</w:t>
      </w:r>
      <w:r w:rsidRPr="0045469A">
        <w:t>SAC</w:t>
      </w:r>
      <w:r>
        <w:t xml:space="preserve">) is the mechanism through which the Government funds </w:t>
      </w:r>
      <w:r w:rsidR="00995626">
        <w:t>teaching and scholarship</w:t>
      </w:r>
      <w:r>
        <w:t xml:space="preserve">. SAC funding rates are set on an Equivalent </w:t>
      </w:r>
      <w:r w:rsidR="00B80952">
        <w:br/>
      </w:r>
      <w:r>
        <w:t xml:space="preserve">Full-time Student Load (EFTSL) basis, and differ depending on the level of study and 18 fields of study. SAC funding is supplemented by student private contributions through an </w:t>
      </w:r>
      <w:r w:rsidR="00B80952">
        <w:br/>
      </w:r>
      <w:r>
        <w:t xml:space="preserve">interest-free student loan scheme. In 2010, tertiary education students contributed 27% towards the direct cost of tertiary education, while Government funding accounted for the remaining 73% </w:t>
      </w:r>
      <w:r w:rsidRPr="0045469A">
        <w:t>(Baxter, 2012).</w:t>
      </w:r>
    </w:p>
    <w:p w14:paraId="2EB5BCCD" w14:textId="77777777" w:rsidR="00E1434C" w:rsidRPr="0020197C" w:rsidRDefault="00E1434C" w:rsidP="00E1434C">
      <w:pPr>
        <w:pStyle w:val="BodyText"/>
        <w:rPr>
          <w:szCs w:val="22"/>
        </w:rPr>
      </w:pPr>
      <w:r>
        <w:lastRenderedPageBreak/>
        <w:fldChar w:fldCharType="begin"/>
      </w:r>
      <w:r>
        <w:instrText xml:space="preserve"> REF _Ref465876027 \r \h </w:instrText>
      </w:r>
      <w:r>
        <w:fldChar w:fldCharType="separate"/>
      </w:r>
      <w:r w:rsidR="00595C6E">
        <w:t>Chart 6.1</w:t>
      </w:r>
      <w:r>
        <w:fldChar w:fldCharType="end"/>
      </w:r>
      <w:r>
        <w:t xml:space="preserve"> compares income sources for the higher education sector in Australia (2014), UK (2012-13) and New Zealand (2012).</w:t>
      </w:r>
      <w:r>
        <w:rPr>
          <w:rStyle w:val="FootnoteReference"/>
        </w:rPr>
        <w:footnoteReference w:id="29"/>
      </w:r>
      <w:r>
        <w:t xml:space="preserve"> The Australian and New Zealand Governments provide </w:t>
      </w:r>
      <w:r w:rsidRPr="0020197C">
        <w:rPr>
          <w:szCs w:val="22"/>
        </w:rPr>
        <w:t>similar levels of non-research support (35%) for the higher education sector. In particular, this includes Government funding for teaching, scholarships, capital grants and other financial assistance.</w:t>
      </w:r>
    </w:p>
    <w:p w14:paraId="0D18C7FD" w14:textId="77777777" w:rsidR="00E1434C" w:rsidRPr="0020197C" w:rsidRDefault="00E1434C" w:rsidP="00E1434C">
      <w:pPr>
        <w:pStyle w:val="BodyText"/>
        <w:rPr>
          <w:szCs w:val="22"/>
        </w:rPr>
      </w:pPr>
      <w:r w:rsidRPr="0020197C">
        <w:rPr>
          <w:szCs w:val="22"/>
        </w:rPr>
        <w:t>Australia and New Zealand have relatively high levels of Government non-research funding compared to the UK.  UK funding bodies (including HEFCE) contribute 24% of the sector’s income. However, this includes grants for teaching as well as for research.</w:t>
      </w:r>
    </w:p>
    <w:p w14:paraId="0ABCDB47" w14:textId="77777777" w:rsidR="00E1434C" w:rsidRPr="0020197C" w:rsidRDefault="00E1434C" w:rsidP="00E1434C">
      <w:pPr>
        <w:pStyle w:val="BodyText"/>
        <w:rPr>
          <w:szCs w:val="22"/>
        </w:rPr>
      </w:pPr>
      <w:r w:rsidRPr="0020197C">
        <w:rPr>
          <w:szCs w:val="22"/>
        </w:rPr>
        <w:t xml:space="preserve">Student fees make up the largest source of higher education income for Australia (42%) and </w:t>
      </w:r>
      <w:r w:rsidR="00B2757F">
        <w:rPr>
          <w:szCs w:val="22"/>
        </w:rPr>
        <w:t xml:space="preserve">the </w:t>
      </w:r>
      <w:r w:rsidRPr="0020197C">
        <w:rPr>
          <w:szCs w:val="22"/>
        </w:rPr>
        <w:t xml:space="preserve">UK (40%). This includes tuition fees by both international and domestic students. For Australia, 41% of total student fees is made up of Australian Government payments for </w:t>
      </w:r>
      <w:r w:rsidR="00B80952">
        <w:rPr>
          <w:szCs w:val="22"/>
        </w:rPr>
        <w:br/>
      </w:r>
      <w:r w:rsidRPr="0020197C">
        <w:rPr>
          <w:szCs w:val="22"/>
        </w:rPr>
        <w:t>HEC</w:t>
      </w:r>
      <w:r w:rsidR="00B80952">
        <w:rPr>
          <w:szCs w:val="22"/>
        </w:rPr>
        <w:t>S</w:t>
      </w:r>
      <w:r w:rsidRPr="0020197C">
        <w:rPr>
          <w:szCs w:val="22"/>
        </w:rPr>
        <w:t xml:space="preserve">-HELP, FEE-HELP and SA-HELP. This funding has been included under student fees for consistency with the other jurisdictions, where funding from public student loan programs is not </w:t>
      </w:r>
      <w:r w:rsidR="00941D93">
        <w:rPr>
          <w:szCs w:val="22"/>
        </w:rPr>
        <w:t>explicitly</w:t>
      </w:r>
      <w:r w:rsidR="00941D93" w:rsidRPr="0020197C">
        <w:rPr>
          <w:szCs w:val="22"/>
        </w:rPr>
        <w:t xml:space="preserve"> </w:t>
      </w:r>
      <w:r w:rsidRPr="0020197C">
        <w:rPr>
          <w:szCs w:val="22"/>
        </w:rPr>
        <w:t xml:space="preserve">counted as funding from the Government. In contrast, student fees make up 29% of total provider income in New Zealand.  </w:t>
      </w:r>
    </w:p>
    <w:p w14:paraId="0A34E646" w14:textId="77777777" w:rsidR="00E1434C" w:rsidRPr="0020197C" w:rsidRDefault="00E1434C" w:rsidP="00E1434C">
      <w:pPr>
        <w:pStyle w:val="BodyText"/>
        <w:rPr>
          <w:szCs w:val="22"/>
        </w:rPr>
      </w:pPr>
      <w:r w:rsidRPr="0020197C">
        <w:rPr>
          <w:szCs w:val="22"/>
        </w:rPr>
        <w:t xml:space="preserve">Australian higher education providers receive a relatively lower share of income from research funding (8%) compared to New Zealand (23%) and the UK (16%). This includes research grants and contracts from both public (such as the Australian </w:t>
      </w:r>
      <w:r w:rsidR="00B2757F">
        <w:rPr>
          <w:szCs w:val="22"/>
        </w:rPr>
        <w:t>R</w:t>
      </w:r>
      <w:r w:rsidR="00B2757F" w:rsidRPr="0020197C">
        <w:rPr>
          <w:szCs w:val="22"/>
        </w:rPr>
        <w:t xml:space="preserve">esearch </w:t>
      </w:r>
      <w:r w:rsidRPr="0020197C">
        <w:rPr>
          <w:szCs w:val="22"/>
        </w:rPr>
        <w:t xml:space="preserve">Council and Australian Government research block grants) and private institutions. The lower level of funding for research in Australia could potentially lead to greater degree of </w:t>
      </w:r>
      <w:r w:rsidR="00B80952">
        <w:rPr>
          <w:szCs w:val="22"/>
        </w:rPr>
        <w:br/>
      </w:r>
      <w:r w:rsidRPr="0020197C">
        <w:rPr>
          <w:szCs w:val="22"/>
        </w:rPr>
        <w:t xml:space="preserve">cross-subsidisation between departments and activities. </w:t>
      </w:r>
    </w:p>
    <w:p w14:paraId="2A72B6BD" w14:textId="77777777" w:rsidR="00E1434C" w:rsidRPr="0020197C" w:rsidRDefault="00E1434C" w:rsidP="0020197C">
      <w:pPr>
        <w:pStyle w:val="CaptionChart"/>
      </w:pPr>
      <w:bookmarkStart w:id="295" w:name="_Ref465876027"/>
      <w:bookmarkStart w:id="296" w:name="_Toc465940285"/>
      <w:bookmarkStart w:id="297" w:name="_Toc469927385"/>
      <w:r w:rsidRPr="0020197C">
        <w:lastRenderedPageBreak/>
        <w:t>: Higher education funding by benchmark countries</w:t>
      </w:r>
      <w:bookmarkEnd w:id="295"/>
      <w:bookmarkEnd w:id="296"/>
      <w:bookmarkEnd w:id="297"/>
    </w:p>
    <w:p w14:paraId="0DD94A0E" w14:textId="50E564A1" w:rsidR="00E1434C" w:rsidRDefault="00D72156" w:rsidP="00E1434C">
      <w:pPr>
        <w:pStyle w:val="BodyText"/>
        <w:keepNext/>
        <w:keepLines/>
        <w:jc w:val="center"/>
        <w:rPr>
          <w:rFonts w:cs="Arial"/>
          <w:color w:val="000000"/>
          <w:szCs w:val="22"/>
          <w:shd w:val="clear" w:color="auto" w:fill="FFFFFF"/>
        </w:rPr>
      </w:pPr>
      <w:r>
        <w:rPr>
          <w:rFonts w:cs="Arial"/>
          <w:noProof/>
          <w:color w:val="000000"/>
          <w:szCs w:val="22"/>
          <w:shd w:val="clear" w:color="auto" w:fill="FFFFFF"/>
          <w:lang w:eastAsia="en-AU"/>
        </w:rPr>
        <w:drawing>
          <wp:inline distT="0" distB="0" distL="0" distR="0" wp14:anchorId="5012263D" wp14:editId="1DB53FE5">
            <wp:extent cx="5248053" cy="2411730"/>
            <wp:effectExtent l="0" t="0" r="0" b="7620"/>
            <wp:docPr id="15" name="Picture 15" descr="Comparisons between  Australia, New Zealand and the UK in the sources of higher education funding as a percentage of total fu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52098" cy="2413589"/>
                    </a:xfrm>
                    <a:prstGeom prst="rect">
                      <a:avLst/>
                    </a:prstGeom>
                    <a:noFill/>
                  </pic:spPr>
                </pic:pic>
              </a:graphicData>
            </a:graphic>
          </wp:inline>
        </w:drawing>
      </w:r>
    </w:p>
    <w:p w14:paraId="63FAA2F2" w14:textId="77777777" w:rsidR="00E1434C" w:rsidRDefault="00E1434C" w:rsidP="00E1434C">
      <w:pPr>
        <w:pStyle w:val="Source"/>
        <w:keepNext/>
        <w:keepLines/>
        <w:contextualSpacing/>
      </w:pPr>
      <w:r w:rsidRPr="00B80F34">
        <w:t xml:space="preserve">Source: </w:t>
      </w:r>
      <w:r w:rsidR="00B80F34" w:rsidRPr="00B80F34">
        <w:t>Department of Education and Training</w:t>
      </w:r>
      <w:r w:rsidRPr="00B80F34">
        <w:t xml:space="preserve">, </w:t>
      </w:r>
      <w:r w:rsidR="00B80F34" w:rsidRPr="00B80F34">
        <w:t>2015b</w:t>
      </w:r>
      <w:r w:rsidRPr="00B80F34">
        <w:t>; Tertiary Education Commission, 2016; Higher Education Statistics Agency, 2016.</w:t>
      </w:r>
    </w:p>
    <w:p w14:paraId="214A1008" w14:textId="77777777" w:rsidR="00E1434C" w:rsidRDefault="00E1434C" w:rsidP="00E1434C">
      <w:pPr>
        <w:pStyle w:val="Source"/>
        <w:keepNext/>
        <w:keepLines/>
        <w:contextualSpacing/>
      </w:pPr>
      <w:r>
        <w:t>* Australian Government payments for HECS-HELP, FEE-HELP and SA-HELP is included under student fees as students are assumed to repay the Government over time. This is consistent with attribution in New Zealand and UK.</w:t>
      </w:r>
    </w:p>
    <w:p w14:paraId="3155CEE2" w14:textId="77777777" w:rsidR="00E1434C" w:rsidRDefault="00E1434C" w:rsidP="00E1434C">
      <w:pPr>
        <w:pStyle w:val="Source"/>
        <w:keepNext/>
        <w:keepLines/>
        <w:contextualSpacing/>
      </w:pPr>
      <w:r>
        <w:t>^ UK funding bodies also contribute to research (in addition to teaching). However, this cannot be separated from teaching funding due to data limitations.</w:t>
      </w:r>
    </w:p>
    <w:p w14:paraId="43EE94FC" w14:textId="77777777" w:rsidR="00E1434C" w:rsidRPr="00EE6C94" w:rsidRDefault="00E1434C" w:rsidP="00E1434C">
      <w:pPr>
        <w:pStyle w:val="BodyText"/>
        <w:rPr>
          <w:rFonts w:cs="Arial"/>
          <w:color w:val="000000"/>
          <w:szCs w:val="22"/>
          <w:shd w:val="clear" w:color="auto" w:fill="FFFFFF"/>
        </w:rPr>
      </w:pPr>
      <w:r>
        <w:rPr>
          <w:rFonts w:cs="Arial"/>
          <w:color w:val="000000"/>
          <w:szCs w:val="22"/>
          <w:shd w:val="clear" w:color="auto" w:fill="FFFFFF"/>
        </w:rPr>
        <w:t>These funding differences could potentially contribute to differences in the relative costs of teaching between countries.</w:t>
      </w:r>
    </w:p>
    <w:p w14:paraId="32D65C11" w14:textId="77777777" w:rsidR="00E1434C" w:rsidRPr="0071121D" w:rsidRDefault="00E1434C" w:rsidP="00E1434C">
      <w:pPr>
        <w:pStyle w:val="Heading2"/>
        <w:tabs>
          <w:tab w:val="clear" w:pos="709"/>
        </w:tabs>
        <w:ind w:left="851" w:hanging="851"/>
      </w:pPr>
      <w:bookmarkStart w:id="298" w:name="_Toc465940252"/>
      <w:bookmarkStart w:id="299" w:name="_Toc469927332"/>
      <w:r>
        <w:t>International costing systems: a brief overview</w:t>
      </w:r>
      <w:bookmarkEnd w:id="298"/>
      <w:bookmarkEnd w:id="299"/>
    </w:p>
    <w:p w14:paraId="6496CDD1" w14:textId="77777777" w:rsidR="00E1434C" w:rsidRDefault="00E1434C" w:rsidP="00E1434C">
      <w:pPr>
        <w:pStyle w:val="HeadingB"/>
      </w:pPr>
      <w:r>
        <w:t>United Kingdom</w:t>
      </w:r>
    </w:p>
    <w:p w14:paraId="0862BC5F" w14:textId="77777777" w:rsidR="00E1434C" w:rsidRDefault="00E1434C" w:rsidP="00E1434C">
      <w:pPr>
        <w:pStyle w:val="BodyText"/>
      </w:pPr>
      <w:r w:rsidRPr="00B80F34">
        <w:rPr>
          <w:szCs w:val="22"/>
        </w:rPr>
        <w:t>The UK uses an activity-based costing system, the Transparent Approach to Costing</w:t>
      </w:r>
      <w:r w:rsidRPr="00B80F34">
        <w:t xml:space="preserve"> (TRAC), to attribute costs and income of higher education providers across the three core activities of teaching, research and other. Building on the TRAC principles, TRAC for Teaching (TRAC(T)) is a framework for costing </w:t>
      </w:r>
      <w:r w:rsidRPr="00B80F34">
        <w:rPr>
          <w:i/>
        </w:rPr>
        <w:t>publicly funded teaching</w:t>
      </w:r>
      <w:r w:rsidRPr="00B80F34">
        <w:t xml:space="preserve"> for different subjects. These costs are then used to derive the subject-related Full Average Cost of Teaching a Student </w:t>
      </w:r>
      <w:r w:rsidR="00B80952">
        <w:br/>
      </w:r>
      <w:r w:rsidRPr="00B80F34">
        <w:t xml:space="preserve">(Subject-FACTS). The relative teaching costs of subjects are used to review the assignment of subjects into five broad price groups, and determine the allocation of </w:t>
      </w:r>
      <w:r w:rsidR="001578D1">
        <w:t>HEFCE</w:t>
      </w:r>
      <w:r w:rsidRPr="00B80F34">
        <w:t xml:space="preserve"> funding for these subjects (HEFCE, 2012).</w:t>
      </w:r>
    </w:p>
    <w:p w14:paraId="4EE13C23" w14:textId="77777777" w:rsidR="00E1434C" w:rsidRPr="000E1310" w:rsidRDefault="00E1434C" w:rsidP="00E1434C">
      <w:pPr>
        <w:pStyle w:val="BodyText"/>
      </w:pPr>
      <w:r w:rsidRPr="006D663D">
        <w:t xml:space="preserve">TRAC(T) data does not represent the total cost of teaching a student as non-subject costs are excluded. </w:t>
      </w:r>
      <w:r w:rsidRPr="00644719">
        <w:t xml:space="preserve">This </w:t>
      </w:r>
      <w:r>
        <w:t>includes bursaries to support student living costs, costs to widen participation, and work placement years. Further, the costs funded by the tuition of overseas students, and non-HEFCE funding for specific courses (such as by the Department of Health) are also excluded from TRAC(T) data.  To the extent that the excluded costs are proportional to TRAC(T) costs, TRAC(T) data give</w:t>
      </w:r>
      <w:r w:rsidR="00941D93">
        <w:t>s</w:t>
      </w:r>
      <w:r>
        <w:t xml:space="preserve"> a reliable indication of the relative costs between subjects. </w:t>
      </w:r>
    </w:p>
    <w:p w14:paraId="31CCEA53" w14:textId="77777777" w:rsidR="00E1434C" w:rsidRDefault="00E1434C" w:rsidP="00E1434C">
      <w:pPr>
        <w:pStyle w:val="HeadingB"/>
      </w:pPr>
      <w:r>
        <w:lastRenderedPageBreak/>
        <w:t>New Zealand</w:t>
      </w:r>
    </w:p>
    <w:p w14:paraId="1D46434D" w14:textId="77777777" w:rsidR="00E1434C" w:rsidRDefault="00E1434C" w:rsidP="00E1434C">
      <w:pPr>
        <w:pStyle w:val="BodyText"/>
      </w:pPr>
      <w:r>
        <w:t xml:space="preserve">In order for providers to be eligible for </w:t>
      </w:r>
      <w:r w:rsidRPr="00822307">
        <w:t xml:space="preserve">SAC funding, </w:t>
      </w:r>
      <w:r>
        <w:t>they must participate in the annual benchmarking of revenue and costs. This is done through</w:t>
      </w:r>
      <w:r w:rsidR="0020197C">
        <w:t xml:space="preserve"> the New Zealand </w:t>
      </w:r>
      <w:r w:rsidRPr="000268F1">
        <w:t>Benchmarking Tool (NZBT),</w:t>
      </w:r>
      <w:r>
        <w:t xml:space="preserve"> which collates data on the income, expenditure and equivalent full-time students of providers. Using NZBT data, average ‘direct operational costs’ per EFTSL can be identified across departments. O</w:t>
      </w:r>
      <w:r w:rsidRPr="006D663D">
        <w:t>verhead costs such as student support services and capital costs are excluded</w:t>
      </w:r>
      <w:r w:rsidRPr="00367BFD">
        <w:t>. Consequen</w:t>
      </w:r>
      <w:r>
        <w:t xml:space="preserve">tly, the tool is not well-placed to quantify the total delivery costs for a particular course. </w:t>
      </w:r>
    </w:p>
    <w:p w14:paraId="2B90AFF3" w14:textId="77777777" w:rsidR="00E1434C" w:rsidRPr="007018A1" w:rsidRDefault="00E1434C" w:rsidP="00E1434C">
      <w:pPr>
        <w:pStyle w:val="BodyText"/>
        <w:rPr>
          <w:rFonts w:cs="Arial"/>
          <w:color w:val="000000"/>
          <w:szCs w:val="22"/>
          <w:shd w:val="clear" w:color="auto" w:fill="FFFFFF"/>
        </w:rPr>
      </w:pPr>
      <w:r>
        <w:t>This data has been used to help New Zealand Ministry of Education identify areas of under- and over-funding and align cost and funding relativities. For instanc</w:t>
      </w:r>
      <w:r w:rsidRPr="0020197C">
        <w:t xml:space="preserve">e, </w:t>
      </w:r>
      <w:r w:rsidR="00B2757F">
        <w:t>d</w:t>
      </w:r>
      <w:r w:rsidRPr="0020197C">
        <w:t>ecisions taken in Budgets 2013 and 2014 reduced many of these imbalances.</w:t>
      </w:r>
    </w:p>
    <w:p w14:paraId="68BAC1FC" w14:textId="77777777" w:rsidR="00E1434C" w:rsidRPr="0071121D" w:rsidRDefault="00E1434C" w:rsidP="00E1434C">
      <w:pPr>
        <w:pStyle w:val="Heading2"/>
        <w:tabs>
          <w:tab w:val="clear" w:pos="709"/>
        </w:tabs>
        <w:ind w:left="851" w:hanging="851"/>
      </w:pPr>
      <w:bookmarkStart w:id="300" w:name="_Toc465940253"/>
      <w:bookmarkStart w:id="301" w:name="_Toc469927333"/>
      <w:r>
        <w:t>Comparison methodology</w:t>
      </w:r>
      <w:bookmarkEnd w:id="300"/>
      <w:bookmarkEnd w:id="301"/>
    </w:p>
    <w:p w14:paraId="5FB0D00A" w14:textId="77777777" w:rsidR="00E1434C" w:rsidRDefault="00E1434C" w:rsidP="00E1434C">
      <w:pPr>
        <w:pStyle w:val="BodyText"/>
      </w:pPr>
      <w:r>
        <w:t>Acknowledging that the international benchmarks are capturing different costs and may not be easily comparable (</w:t>
      </w:r>
      <w:r>
        <w:fldChar w:fldCharType="begin"/>
      </w:r>
      <w:r>
        <w:instrText xml:space="preserve"> REF _Ref465847030 \r \h </w:instrText>
      </w:r>
      <w:r>
        <w:fldChar w:fldCharType="separate"/>
      </w:r>
      <w:r w:rsidR="00595C6E">
        <w:t>Figure 6.1</w:t>
      </w:r>
      <w:r>
        <w:fldChar w:fldCharType="end"/>
      </w:r>
      <w:r>
        <w:t>), the relative costs of teaching across different fields of education in the UK and New Zealand are compared to Australia based on the national approaches identified above.</w:t>
      </w:r>
    </w:p>
    <w:p w14:paraId="1D29F444" w14:textId="77777777" w:rsidR="00E1434C" w:rsidRDefault="00E1434C" w:rsidP="00E1434C">
      <w:pPr>
        <w:pStyle w:val="CaptionFigure"/>
      </w:pPr>
      <w:bookmarkStart w:id="302" w:name="_Ref465847030"/>
      <w:bookmarkStart w:id="303" w:name="_Toc465848629"/>
      <w:bookmarkStart w:id="304" w:name="_Toc465940289"/>
      <w:bookmarkStart w:id="305" w:name="_Toc469927407"/>
      <w:r>
        <w:t>: Costs captured under international benchmarks</w:t>
      </w:r>
      <w:bookmarkEnd w:id="302"/>
      <w:bookmarkEnd w:id="303"/>
      <w:bookmarkEnd w:id="304"/>
      <w:bookmarkEnd w:id="305"/>
    </w:p>
    <w:p w14:paraId="6D8C8601" w14:textId="77777777" w:rsidR="00E1434C" w:rsidRDefault="00E1434C" w:rsidP="00E1434C">
      <w:pPr>
        <w:pStyle w:val="BodyText"/>
      </w:pPr>
      <w:r>
        <w:rPr>
          <w:noProof/>
          <w:lang w:eastAsia="en-AU"/>
        </w:rPr>
        <w:drawing>
          <wp:inline distT="0" distB="0" distL="0" distR="0" wp14:anchorId="5503228D" wp14:editId="74514B78">
            <wp:extent cx="4943475" cy="1900186"/>
            <wp:effectExtent l="0" t="0" r="0" b="508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956446" cy="1905172"/>
                    </a:xfrm>
                    <a:prstGeom prst="rect">
                      <a:avLst/>
                    </a:prstGeom>
                    <a:noFill/>
                  </pic:spPr>
                </pic:pic>
              </a:graphicData>
            </a:graphic>
          </wp:inline>
        </w:drawing>
      </w:r>
    </w:p>
    <w:p w14:paraId="42FDC222" w14:textId="77777777" w:rsidR="00E1434C" w:rsidRDefault="00E1434C" w:rsidP="00E1434C">
      <w:pPr>
        <w:pStyle w:val="Source"/>
      </w:pPr>
      <w:r w:rsidRPr="00367BFD">
        <w:t xml:space="preserve">Source: </w:t>
      </w:r>
      <w:r w:rsidR="007D7A5A">
        <w:t>Deloitte Access Economics analysis</w:t>
      </w:r>
      <w:r w:rsidRPr="00367BFD">
        <w:t>.</w:t>
      </w:r>
    </w:p>
    <w:p w14:paraId="1C0D703D" w14:textId="77777777" w:rsidR="00E1434C" w:rsidRPr="00287DAC" w:rsidRDefault="00E1434C" w:rsidP="00E1434C">
      <w:pPr>
        <w:pStyle w:val="HeadingB"/>
      </w:pPr>
      <w:r w:rsidRPr="00287DAC">
        <w:t>Data source</w:t>
      </w:r>
      <w:r>
        <w:t>s</w:t>
      </w:r>
    </w:p>
    <w:p w14:paraId="4A979E7D" w14:textId="77777777" w:rsidR="00E1434C" w:rsidRPr="008E2578" w:rsidRDefault="00E1434C" w:rsidP="00E1434C">
      <w:pPr>
        <w:pStyle w:val="BodyText"/>
      </w:pPr>
      <w:r>
        <w:t>Deloitte Access Economics is unable to directly access primary data at the institutional level in each of these countries. Instead, it has compared Australian</w:t>
      </w:r>
      <w:r w:rsidRPr="008A1FAE">
        <w:t xml:space="preserve"> </w:t>
      </w:r>
      <w:r>
        <w:t xml:space="preserve">survey results from the </w:t>
      </w:r>
      <w:r w:rsidR="00234A20">
        <w:t xml:space="preserve">18 </w:t>
      </w:r>
      <w:r>
        <w:t xml:space="preserve">participating institutions </w:t>
      </w:r>
      <w:r w:rsidR="00234A20">
        <w:t xml:space="preserve">(17 of which provided full data) </w:t>
      </w:r>
      <w:r>
        <w:t>to the following international secondary data sources:</w:t>
      </w:r>
    </w:p>
    <w:p w14:paraId="35A80271" w14:textId="77777777" w:rsidR="00E1434C" w:rsidRDefault="00E1434C" w:rsidP="00E1434C">
      <w:pPr>
        <w:pStyle w:val="Bullet1"/>
      </w:pPr>
      <w:r w:rsidRPr="00FC6060">
        <w:rPr>
          <w:b/>
          <w:color w:val="002576"/>
        </w:rPr>
        <w:t>United Kingdom:</w:t>
      </w:r>
      <w:r w:rsidRPr="008E2578">
        <w:rPr>
          <w:color w:val="002776" w:themeColor="text2"/>
        </w:rPr>
        <w:t xml:space="preserve"> </w:t>
      </w:r>
      <w:r w:rsidRPr="00B80F34">
        <w:t>KPMG (2014) collected data from 22 higher education institutions that broke down their 2012 TRAC(T) costs by postgraduate</w:t>
      </w:r>
      <w:r>
        <w:t xml:space="preserve"> and undergraduate studies. The postgraduate students at these institutions covered 22% of the postgraduate EFTSL population in England</w:t>
      </w:r>
      <w:r w:rsidR="005F2DE1">
        <w:t>; and</w:t>
      </w:r>
    </w:p>
    <w:p w14:paraId="09728B83" w14:textId="77777777" w:rsidR="00E1434C" w:rsidRDefault="00E1434C" w:rsidP="00E1434C">
      <w:pPr>
        <w:pStyle w:val="Bullet1"/>
      </w:pPr>
      <w:r w:rsidRPr="00FC6060">
        <w:rPr>
          <w:b/>
          <w:color w:val="002576"/>
        </w:rPr>
        <w:lastRenderedPageBreak/>
        <w:t>New Zealand:</w:t>
      </w:r>
      <w:r w:rsidRPr="008E2578">
        <w:rPr>
          <w:color w:val="002776" w:themeColor="text2"/>
        </w:rPr>
        <w:t xml:space="preserve"> </w:t>
      </w:r>
      <w:r>
        <w:t>The Ministry of Education (</w:t>
      </w:r>
      <w:r w:rsidRPr="00B80F34">
        <w:t>2015</w:t>
      </w:r>
      <w:r>
        <w:t xml:space="preserve">) used NZBT data from 2012 to benchmark teaching costs for the fields of study and compare relative costs to SAC funding rates. </w:t>
      </w:r>
    </w:p>
    <w:p w14:paraId="0A5EC7A2" w14:textId="77777777" w:rsidR="00E1434C" w:rsidRDefault="00E1434C" w:rsidP="00E1434C">
      <w:pPr>
        <w:pStyle w:val="BodyText"/>
      </w:pPr>
      <w:r>
        <w:t xml:space="preserve">Key differences between the data sources, including the level of disaggregation at the field of education and level of study are summarised in </w:t>
      </w:r>
      <w:r>
        <w:fldChar w:fldCharType="begin"/>
      </w:r>
      <w:r>
        <w:instrText xml:space="preserve"> REF _Ref465284367 \r \h </w:instrText>
      </w:r>
      <w:r>
        <w:fldChar w:fldCharType="separate"/>
      </w:r>
      <w:r w:rsidR="00595C6E">
        <w:t>Table 6.1</w:t>
      </w:r>
      <w:r>
        <w:fldChar w:fldCharType="end"/>
      </w:r>
      <w:r>
        <w:t xml:space="preserve">. </w:t>
      </w:r>
    </w:p>
    <w:p w14:paraId="711D3750" w14:textId="77777777" w:rsidR="00E1434C" w:rsidRDefault="00E1434C" w:rsidP="00E1434C">
      <w:pPr>
        <w:pStyle w:val="CaptionTable"/>
      </w:pPr>
      <w:bookmarkStart w:id="306" w:name="_Ref465284367"/>
      <w:bookmarkStart w:id="307" w:name="_Toc465284469"/>
      <w:bookmarkStart w:id="308" w:name="_Toc469927400"/>
      <w:r>
        <w:t>: Summary of international cost data sources</w:t>
      </w:r>
      <w:bookmarkEnd w:id="306"/>
      <w:bookmarkEnd w:id="307"/>
      <w:bookmarkEnd w:id="308"/>
    </w:p>
    <w:tbl>
      <w:tblPr>
        <w:tblW w:w="5000" w:type="pct"/>
        <w:tblLook w:val="04A0" w:firstRow="1" w:lastRow="0" w:firstColumn="1" w:lastColumn="0" w:noHBand="0" w:noVBand="1"/>
      </w:tblPr>
      <w:tblGrid>
        <w:gridCol w:w="2328"/>
        <w:gridCol w:w="2037"/>
        <w:gridCol w:w="2037"/>
        <w:gridCol w:w="2035"/>
      </w:tblGrid>
      <w:tr w:rsidR="00E1434C" w:rsidRPr="00CD50D4" w14:paraId="28104478" w14:textId="77777777" w:rsidTr="00E1434C">
        <w:trPr>
          <w:trHeight w:val="182"/>
        </w:trPr>
        <w:tc>
          <w:tcPr>
            <w:tcW w:w="1380" w:type="pct"/>
            <w:tcBorders>
              <w:top w:val="single" w:sz="12" w:space="0" w:color="002776"/>
              <w:left w:val="nil"/>
              <w:bottom w:val="single" w:sz="8" w:space="0" w:color="002776"/>
              <w:right w:val="nil"/>
            </w:tcBorders>
            <w:shd w:val="clear" w:color="auto" w:fill="auto"/>
            <w:vAlign w:val="center"/>
            <w:hideMark/>
          </w:tcPr>
          <w:p w14:paraId="08DFF160" w14:textId="77777777" w:rsidR="00E1434C" w:rsidRPr="00CD50D4" w:rsidRDefault="00E1434C" w:rsidP="00E1434C">
            <w:pPr>
              <w:keepNext/>
              <w:keepLines/>
              <w:jc w:val="center"/>
              <w:rPr>
                <w:rFonts w:cs="Arial"/>
                <w:color w:val="000000"/>
                <w:sz w:val="20"/>
                <w:lang w:eastAsia="en-AU"/>
              </w:rPr>
            </w:pPr>
            <w:r w:rsidRPr="00CD50D4">
              <w:rPr>
                <w:rFonts w:cs="Arial"/>
                <w:color w:val="000000"/>
                <w:sz w:val="20"/>
                <w:lang w:eastAsia="en-AU"/>
              </w:rPr>
              <w:t> </w:t>
            </w:r>
          </w:p>
        </w:tc>
        <w:tc>
          <w:tcPr>
            <w:tcW w:w="1207" w:type="pct"/>
            <w:tcBorders>
              <w:top w:val="single" w:sz="12" w:space="0" w:color="002776"/>
              <w:left w:val="nil"/>
              <w:bottom w:val="single" w:sz="8" w:space="0" w:color="002776"/>
              <w:right w:val="nil"/>
            </w:tcBorders>
            <w:shd w:val="clear" w:color="auto" w:fill="auto"/>
            <w:vAlign w:val="center"/>
            <w:hideMark/>
          </w:tcPr>
          <w:p w14:paraId="123BA65A" w14:textId="77777777" w:rsidR="00E1434C" w:rsidRPr="00CD50D4" w:rsidRDefault="00E1434C" w:rsidP="00E1434C">
            <w:pPr>
              <w:keepNext/>
              <w:keepLines/>
              <w:jc w:val="center"/>
              <w:rPr>
                <w:rFonts w:cs="Arial"/>
                <w:b/>
                <w:bCs/>
                <w:color w:val="002776" w:themeColor="text2"/>
                <w:sz w:val="20"/>
                <w:lang w:eastAsia="en-AU"/>
              </w:rPr>
            </w:pPr>
            <w:r w:rsidRPr="00CD50D4">
              <w:rPr>
                <w:rFonts w:cs="Arial"/>
                <w:b/>
                <w:bCs/>
                <w:color w:val="002776" w:themeColor="text2"/>
                <w:sz w:val="20"/>
                <w:lang w:eastAsia="en-AU"/>
              </w:rPr>
              <w:t>Australia</w:t>
            </w:r>
          </w:p>
        </w:tc>
        <w:tc>
          <w:tcPr>
            <w:tcW w:w="1207" w:type="pct"/>
            <w:tcBorders>
              <w:top w:val="single" w:sz="12" w:space="0" w:color="002776"/>
              <w:left w:val="nil"/>
              <w:bottom w:val="single" w:sz="8" w:space="0" w:color="002776"/>
              <w:right w:val="nil"/>
            </w:tcBorders>
            <w:shd w:val="clear" w:color="auto" w:fill="auto"/>
            <w:vAlign w:val="center"/>
            <w:hideMark/>
          </w:tcPr>
          <w:p w14:paraId="15698032" w14:textId="77777777" w:rsidR="00E1434C" w:rsidRPr="00CD50D4" w:rsidRDefault="00E1434C" w:rsidP="00E1434C">
            <w:pPr>
              <w:keepNext/>
              <w:keepLines/>
              <w:jc w:val="center"/>
              <w:rPr>
                <w:rFonts w:cs="Arial"/>
                <w:b/>
                <w:bCs/>
                <w:color w:val="002776" w:themeColor="text2"/>
                <w:sz w:val="20"/>
                <w:lang w:eastAsia="en-AU"/>
              </w:rPr>
            </w:pPr>
            <w:r w:rsidRPr="00CD50D4">
              <w:rPr>
                <w:rFonts w:cs="Arial"/>
                <w:b/>
                <w:bCs/>
                <w:color w:val="002776" w:themeColor="text2"/>
                <w:sz w:val="20"/>
                <w:lang w:eastAsia="en-AU"/>
              </w:rPr>
              <w:t>United Kingdom</w:t>
            </w:r>
          </w:p>
        </w:tc>
        <w:tc>
          <w:tcPr>
            <w:tcW w:w="1206" w:type="pct"/>
            <w:tcBorders>
              <w:top w:val="single" w:sz="12" w:space="0" w:color="002776"/>
              <w:left w:val="nil"/>
              <w:bottom w:val="single" w:sz="8" w:space="0" w:color="002776"/>
              <w:right w:val="nil"/>
            </w:tcBorders>
            <w:shd w:val="clear" w:color="auto" w:fill="auto"/>
            <w:vAlign w:val="center"/>
            <w:hideMark/>
          </w:tcPr>
          <w:p w14:paraId="0B67CC2B" w14:textId="77777777" w:rsidR="00E1434C" w:rsidRPr="00CD50D4" w:rsidRDefault="00E1434C" w:rsidP="00E1434C">
            <w:pPr>
              <w:keepNext/>
              <w:keepLines/>
              <w:jc w:val="center"/>
              <w:rPr>
                <w:rFonts w:cs="Arial"/>
                <w:b/>
                <w:bCs/>
                <w:color w:val="002776" w:themeColor="text2"/>
                <w:sz w:val="20"/>
                <w:lang w:eastAsia="en-AU"/>
              </w:rPr>
            </w:pPr>
            <w:r w:rsidRPr="00CD50D4">
              <w:rPr>
                <w:rFonts w:cs="Arial"/>
                <w:b/>
                <w:bCs/>
                <w:color w:val="002776" w:themeColor="text2"/>
                <w:sz w:val="20"/>
                <w:lang w:eastAsia="en-AU"/>
              </w:rPr>
              <w:t>New Zealand</w:t>
            </w:r>
          </w:p>
        </w:tc>
      </w:tr>
      <w:tr w:rsidR="00E1434C" w:rsidRPr="00CD50D4" w14:paraId="362E57F1" w14:textId="77777777" w:rsidTr="00E1434C">
        <w:trPr>
          <w:trHeight w:val="285"/>
        </w:trPr>
        <w:tc>
          <w:tcPr>
            <w:tcW w:w="1380" w:type="pct"/>
            <w:tcBorders>
              <w:top w:val="nil"/>
              <w:left w:val="nil"/>
              <w:bottom w:val="nil"/>
              <w:right w:val="nil"/>
            </w:tcBorders>
            <w:shd w:val="clear" w:color="auto" w:fill="auto"/>
            <w:hideMark/>
          </w:tcPr>
          <w:p w14:paraId="131F87F0" w14:textId="77777777" w:rsidR="00E1434C" w:rsidRPr="00CD50D4" w:rsidRDefault="00E1434C" w:rsidP="00E1434C">
            <w:pPr>
              <w:keepNext/>
              <w:keepLines/>
              <w:rPr>
                <w:rFonts w:cs="Arial"/>
                <w:b/>
                <w:bCs/>
                <w:color w:val="000000"/>
                <w:sz w:val="20"/>
                <w:lang w:eastAsia="en-AU"/>
              </w:rPr>
            </w:pPr>
            <w:r w:rsidRPr="00CD50D4">
              <w:rPr>
                <w:rFonts w:cs="Arial"/>
                <w:b/>
                <w:bCs/>
                <w:color w:val="000000"/>
                <w:sz w:val="20"/>
                <w:lang w:eastAsia="en-AU"/>
              </w:rPr>
              <w:t>Source</w:t>
            </w:r>
          </w:p>
        </w:tc>
        <w:tc>
          <w:tcPr>
            <w:tcW w:w="1207" w:type="pct"/>
            <w:tcBorders>
              <w:top w:val="nil"/>
              <w:left w:val="nil"/>
              <w:bottom w:val="nil"/>
              <w:right w:val="nil"/>
            </w:tcBorders>
            <w:shd w:val="clear" w:color="auto" w:fill="auto"/>
            <w:vAlign w:val="center"/>
            <w:hideMark/>
          </w:tcPr>
          <w:p w14:paraId="3BAEBB95" w14:textId="77777777" w:rsidR="00E1434C" w:rsidRPr="00CD50D4" w:rsidRDefault="00E1434C" w:rsidP="00E1434C">
            <w:pPr>
              <w:keepNext/>
              <w:keepLines/>
              <w:jc w:val="center"/>
              <w:rPr>
                <w:rFonts w:cs="Arial"/>
                <w:color w:val="000000"/>
                <w:sz w:val="20"/>
                <w:lang w:eastAsia="en-AU"/>
              </w:rPr>
            </w:pPr>
            <w:r w:rsidRPr="00CD50D4">
              <w:rPr>
                <w:rFonts w:cs="Arial"/>
                <w:color w:val="000000"/>
                <w:sz w:val="20"/>
                <w:lang w:eastAsia="en-AU"/>
              </w:rPr>
              <w:t>Survey</w:t>
            </w:r>
          </w:p>
        </w:tc>
        <w:tc>
          <w:tcPr>
            <w:tcW w:w="1207" w:type="pct"/>
            <w:tcBorders>
              <w:top w:val="nil"/>
              <w:left w:val="nil"/>
              <w:bottom w:val="nil"/>
              <w:right w:val="nil"/>
            </w:tcBorders>
            <w:shd w:val="clear" w:color="auto" w:fill="auto"/>
            <w:vAlign w:val="center"/>
            <w:hideMark/>
          </w:tcPr>
          <w:p w14:paraId="395F2237" w14:textId="77777777" w:rsidR="00E1434C" w:rsidRPr="00CD50D4" w:rsidRDefault="00E1434C" w:rsidP="00E1434C">
            <w:pPr>
              <w:keepNext/>
              <w:keepLines/>
              <w:jc w:val="center"/>
              <w:rPr>
                <w:rFonts w:cs="Arial"/>
                <w:color w:val="000000"/>
                <w:sz w:val="20"/>
                <w:lang w:eastAsia="en-AU"/>
              </w:rPr>
            </w:pPr>
            <w:r w:rsidRPr="00CD50D4">
              <w:rPr>
                <w:rFonts w:cs="Arial"/>
                <w:color w:val="000000"/>
                <w:sz w:val="20"/>
                <w:lang w:eastAsia="en-AU"/>
              </w:rPr>
              <w:t>TRAC(T)</w:t>
            </w:r>
          </w:p>
        </w:tc>
        <w:tc>
          <w:tcPr>
            <w:tcW w:w="1207" w:type="pct"/>
            <w:tcBorders>
              <w:top w:val="nil"/>
              <w:left w:val="nil"/>
              <w:bottom w:val="nil"/>
              <w:right w:val="nil"/>
            </w:tcBorders>
            <w:shd w:val="clear" w:color="auto" w:fill="auto"/>
            <w:vAlign w:val="center"/>
            <w:hideMark/>
          </w:tcPr>
          <w:p w14:paraId="11B05EB7" w14:textId="77777777" w:rsidR="00E1434C" w:rsidRPr="00CD50D4" w:rsidRDefault="00E1434C" w:rsidP="00E1434C">
            <w:pPr>
              <w:keepNext/>
              <w:keepLines/>
              <w:jc w:val="center"/>
              <w:rPr>
                <w:rFonts w:cs="Arial"/>
                <w:color w:val="000000"/>
                <w:sz w:val="20"/>
                <w:lang w:eastAsia="en-AU"/>
              </w:rPr>
            </w:pPr>
            <w:r w:rsidRPr="00CD50D4">
              <w:rPr>
                <w:rFonts w:cs="Arial"/>
                <w:color w:val="000000"/>
                <w:sz w:val="20"/>
                <w:lang w:eastAsia="en-AU"/>
              </w:rPr>
              <w:t>NZBT</w:t>
            </w:r>
          </w:p>
        </w:tc>
      </w:tr>
      <w:tr w:rsidR="00E1434C" w:rsidRPr="00CD50D4" w14:paraId="22F75E5E" w14:textId="77777777" w:rsidTr="00E1434C">
        <w:trPr>
          <w:trHeight w:val="510"/>
        </w:trPr>
        <w:tc>
          <w:tcPr>
            <w:tcW w:w="1380" w:type="pct"/>
            <w:tcBorders>
              <w:top w:val="nil"/>
              <w:left w:val="nil"/>
              <w:bottom w:val="nil"/>
              <w:right w:val="nil"/>
            </w:tcBorders>
            <w:shd w:val="clear" w:color="auto" w:fill="auto"/>
            <w:vAlign w:val="center"/>
            <w:hideMark/>
          </w:tcPr>
          <w:p w14:paraId="2AF07AA4" w14:textId="77777777" w:rsidR="00E1434C" w:rsidRPr="00CD50D4" w:rsidRDefault="00E1434C" w:rsidP="00E1434C">
            <w:pPr>
              <w:keepNext/>
              <w:keepLines/>
              <w:rPr>
                <w:rFonts w:cs="Arial"/>
                <w:b/>
                <w:bCs/>
                <w:color w:val="000000"/>
                <w:sz w:val="20"/>
                <w:lang w:eastAsia="en-AU"/>
              </w:rPr>
            </w:pPr>
            <w:r>
              <w:rPr>
                <w:rFonts w:cs="Arial"/>
                <w:b/>
                <w:bCs/>
                <w:color w:val="000000"/>
                <w:sz w:val="20"/>
                <w:lang w:eastAsia="en-AU"/>
              </w:rPr>
              <w:t>Coverage</w:t>
            </w:r>
          </w:p>
        </w:tc>
        <w:tc>
          <w:tcPr>
            <w:tcW w:w="1207" w:type="pct"/>
            <w:tcBorders>
              <w:top w:val="nil"/>
              <w:left w:val="nil"/>
              <w:bottom w:val="nil"/>
              <w:right w:val="nil"/>
            </w:tcBorders>
            <w:shd w:val="clear" w:color="auto" w:fill="auto"/>
            <w:vAlign w:val="center"/>
            <w:hideMark/>
          </w:tcPr>
          <w:p w14:paraId="669DA0FF" w14:textId="77777777" w:rsidR="00E1434C" w:rsidRPr="00196797" w:rsidRDefault="00E1434C" w:rsidP="00E1434C">
            <w:pPr>
              <w:keepNext/>
              <w:keepLines/>
              <w:jc w:val="center"/>
              <w:rPr>
                <w:rFonts w:cs="Arial"/>
                <w:color w:val="000000"/>
                <w:sz w:val="20"/>
                <w:lang w:eastAsia="en-AU"/>
              </w:rPr>
            </w:pPr>
            <w:r w:rsidRPr="00196797">
              <w:rPr>
                <w:rFonts w:cs="Arial"/>
                <w:color w:val="000000"/>
                <w:sz w:val="20"/>
                <w:lang w:eastAsia="en-AU"/>
              </w:rPr>
              <w:t>1</w:t>
            </w:r>
            <w:r w:rsidR="00234A20">
              <w:rPr>
                <w:rFonts w:cs="Arial"/>
                <w:color w:val="000000"/>
                <w:sz w:val="20"/>
                <w:lang w:eastAsia="en-AU"/>
              </w:rPr>
              <w:t>8</w:t>
            </w:r>
            <w:r w:rsidRPr="00B15790">
              <w:rPr>
                <w:rFonts w:cs="Arial"/>
                <w:color w:val="000000"/>
                <w:sz w:val="20"/>
                <w:lang w:eastAsia="en-AU"/>
              </w:rPr>
              <w:t xml:space="preserve"> institutions </w:t>
            </w:r>
            <w:r>
              <w:rPr>
                <w:rFonts w:cs="Arial"/>
                <w:color w:val="000000"/>
                <w:sz w:val="20"/>
                <w:lang w:eastAsia="en-AU"/>
              </w:rPr>
              <w:t xml:space="preserve">representing </w:t>
            </w:r>
            <w:r w:rsidR="00234A20">
              <w:rPr>
                <w:rFonts w:cs="Arial"/>
                <w:color w:val="000000"/>
                <w:sz w:val="20"/>
                <w:lang w:eastAsia="en-AU"/>
              </w:rPr>
              <w:t>54</w:t>
            </w:r>
            <w:r>
              <w:rPr>
                <w:rFonts w:cs="Arial"/>
                <w:color w:val="000000"/>
                <w:sz w:val="20"/>
                <w:lang w:eastAsia="en-AU"/>
              </w:rPr>
              <w:t xml:space="preserve">% of </w:t>
            </w:r>
            <w:r>
              <w:t xml:space="preserve">EFTSL </w:t>
            </w:r>
            <w:r>
              <w:rPr>
                <w:rFonts w:cs="Arial"/>
                <w:color w:val="000000"/>
                <w:sz w:val="20"/>
                <w:lang w:eastAsia="en-AU"/>
              </w:rPr>
              <w:t>population</w:t>
            </w:r>
          </w:p>
        </w:tc>
        <w:tc>
          <w:tcPr>
            <w:tcW w:w="1207" w:type="pct"/>
            <w:tcBorders>
              <w:top w:val="nil"/>
              <w:left w:val="nil"/>
              <w:bottom w:val="nil"/>
              <w:right w:val="nil"/>
            </w:tcBorders>
            <w:shd w:val="clear" w:color="auto" w:fill="auto"/>
            <w:vAlign w:val="center"/>
            <w:hideMark/>
          </w:tcPr>
          <w:p w14:paraId="4836320D" w14:textId="77777777" w:rsidR="00E1434C" w:rsidRPr="00CD50D4" w:rsidRDefault="00E1434C" w:rsidP="00E1434C">
            <w:pPr>
              <w:keepNext/>
              <w:keepLines/>
              <w:jc w:val="center"/>
              <w:rPr>
                <w:rFonts w:cs="Arial"/>
                <w:color w:val="000000"/>
                <w:sz w:val="20"/>
                <w:lang w:eastAsia="en-AU"/>
              </w:rPr>
            </w:pPr>
            <w:r>
              <w:rPr>
                <w:rFonts w:cs="Arial"/>
                <w:color w:val="000000"/>
                <w:sz w:val="20"/>
                <w:lang w:eastAsia="en-AU"/>
              </w:rPr>
              <w:t>22</w:t>
            </w:r>
            <w:r w:rsidRPr="00CD50D4">
              <w:rPr>
                <w:rFonts w:cs="Arial"/>
                <w:color w:val="000000"/>
                <w:sz w:val="20"/>
                <w:lang w:eastAsia="en-AU"/>
              </w:rPr>
              <w:t xml:space="preserve"> institutions</w:t>
            </w:r>
            <w:r>
              <w:rPr>
                <w:rStyle w:val="FootnoteReference"/>
                <w:rFonts w:cs="Arial"/>
                <w:color w:val="000000"/>
                <w:lang w:eastAsia="en-AU"/>
              </w:rPr>
              <w:footnoteReference w:id="30"/>
            </w:r>
            <w:r>
              <w:rPr>
                <w:rFonts w:cs="Arial"/>
                <w:color w:val="000000"/>
                <w:sz w:val="20"/>
                <w:lang w:eastAsia="en-AU"/>
              </w:rPr>
              <w:t xml:space="preserve"> representing 22% of </w:t>
            </w:r>
            <w:r>
              <w:t xml:space="preserve">EFTSL </w:t>
            </w:r>
            <w:r>
              <w:rPr>
                <w:rFonts w:cs="Arial"/>
                <w:color w:val="000000"/>
                <w:sz w:val="20"/>
                <w:lang w:eastAsia="en-AU"/>
              </w:rPr>
              <w:t xml:space="preserve">population </w:t>
            </w:r>
          </w:p>
        </w:tc>
        <w:tc>
          <w:tcPr>
            <w:tcW w:w="1207" w:type="pct"/>
            <w:tcBorders>
              <w:top w:val="nil"/>
              <w:left w:val="nil"/>
              <w:bottom w:val="nil"/>
              <w:right w:val="nil"/>
            </w:tcBorders>
            <w:shd w:val="clear" w:color="auto" w:fill="auto"/>
            <w:vAlign w:val="center"/>
            <w:hideMark/>
          </w:tcPr>
          <w:p w14:paraId="622AE746" w14:textId="77777777" w:rsidR="00E1434C" w:rsidRPr="00CD50D4" w:rsidRDefault="00E1434C" w:rsidP="00E1434C">
            <w:pPr>
              <w:keepNext/>
              <w:keepLines/>
              <w:jc w:val="center"/>
              <w:rPr>
                <w:rFonts w:cs="Arial"/>
                <w:color w:val="000000"/>
                <w:sz w:val="20"/>
                <w:lang w:eastAsia="en-AU"/>
              </w:rPr>
            </w:pPr>
            <w:r w:rsidRPr="00CD50D4">
              <w:rPr>
                <w:rFonts w:cs="Arial"/>
                <w:color w:val="000000"/>
                <w:sz w:val="20"/>
                <w:lang w:eastAsia="en-AU"/>
              </w:rPr>
              <w:t>All 8 institutions</w:t>
            </w:r>
          </w:p>
        </w:tc>
      </w:tr>
      <w:tr w:rsidR="00E1434C" w:rsidRPr="00CD50D4" w14:paraId="6EA0FCCC" w14:textId="77777777" w:rsidTr="00E1434C">
        <w:trPr>
          <w:trHeight w:val="315"/>
        </w:trPr>
        <w:tc>
          <w:tcPr>
            <w:tcW w:w="1380" w:type="pct"/>
            <w:tcBorders>
              <w:top w:val="nil"/>
              <w:left w:val="nil"/>
              <w:bottom w:val="nil"/>
              <w:right w:val="nil"/>
            </w:tcBorders>
            <w:shd w:val="clear" w:color="auto" w:fill="auto"/>
            <w:hideMark/>
          </w:tcPr>
          <w:p w14:paraId="06EC123F" w14:textId="77777777" w:rsidR="00E1434C" w:rsidRPr="00CD50D4" w:rsidRDefault="00E1434C" w:rsidP="00E1434C">
            <w:pPr>
              <w:keepNext/>
              <w:keepLines/>
              <w:rPr>
                <w:rFonts w:cs="Arial"/>
                <w:b/>
                <w:bCs/>
                <w:color w:val="000000"/>
                <w:sz w:val="20"/>
                <w:lang w:eastAsia="en-AU"/>
              </w:rPr>
            </w:pPr>
            <w:r w:rsidRPr="00CD50D4">
              <w:rPr>
                <w:rFonts w:cs="Arial"/>
                <w:b/>
                <w:bCs/>
                <w:color w:val="000000"/>
                <w:sz w:val="20"/>
                <w:lang w:eastAsia="en-AU"/>
              </w:rPr>
              <w:t>Year of data</w:t>
            </w:r>
          </w:p>
        </w:tc>
        <w:tc>
          <w:tcPr>
            <w:tcW w:w="1207" w:type="pct"/>
            <w:tcBorders>
              <w:top w:val="nil"/>
              <w:left w:val="nil"/>
              <w:bottom w:val="nil"/>
              <w:right w:val="nil"/>
            </w:tcBorders>
            <w:shd w:val="clear" w:color="auto" w:fill="auto"/>
            <w:vAlign w:val="center"/>
            <w:hideMark/>
          </w:tcPr>
          <w:p w14:paraId="2984A30D" w14:textId="77777777" w:rsidR="00E1434C" w:rsidRPr="00196797" w:rsidRDefault="00E1434C" w:rsidP="00E1434C">
            <w:pPr>
              <w:keepNext/>
              <w:keepLines/>
              <w:jc w:val="center"/>
              <w:rPr>
                <w:rFonts w:cs="Arial"/>
                <w:color w:val="000000"/>
                <w:sz w:val="20"/>
                <w:lang w:eastAsia="en-AU"/>
              </w:rPr>
            </w:pPr>
            <w:r w:rsidRPr="00367BFD">
              <w:rPr>
                <w:rFonts w:cs="Arial"/>
                <w:color w:val="000000"/>
                <w:sz w:val="20"/>
                <w:lang w:eastAsia="en-AU"/>
              </w:rPr>
              <w:t>2015</w:t>
            </w:r>
          </w:p>
        </w:tc>
        <w:tc>
          <w:tcPr>
            <w:tcW w:w="1207" w:type="pct"/>
            <w:tcBorders>
              <w:top w:val="nil"/>
              <w:left w:val="nil"/>
              <w:bottom w:val="nil"/>
              <w:right w:val="nil"/>
            </w:tcBorders>
            <w:shd w:val="clear" w:color="auto" w:fill="auto"/>
            <w:vAlign w:val="center"/>
            <w:hideMark/>
          </w:tcPr>
          <w:p w14:paraId="606FEAFC" w14:textId="77777777" w:rsidR="00E1434C" w:rsidRPr="00CD50D4" w:rsidRDefault="00E1434C" w:rsidP="00E1434C">
            <w:pPr>
              <w:keepNext/>
              <w:keepLines/>
              <w:jc w:val="center"/>
              <w:rPr>
                <w:rFonts w:cs="Arial"/>
                <w:color w:val="000000"/>
                <w:sz w:val="20"/>
                <w:lang w:eastAsia="en-AU"/>
              </w:rPr>
            </w:pPr>
            <w:r w:rsidRPr="00CD50D4">
              <w:rPr>
                <w:rFonts w:cs="Arial"/>
                <w:color w:val="000000"/>
                <w:sz w:val="20"/>
                <w:lang w:eastAsia="en-AU"/>
              </w:rPr>
              <w:t>2012-13</w:t>
            </w:r>
          </w:p>
        </w:tc>
        <w:tc>
          <w:tcPr>
            <w:tcW w:w="1207" w:type="pct"/>
            <w:tcBorders>
              <w:top w:val="nil"/>
              <w:left w:val="nil"/>
              <w:bottom w:val="nil"/>
              <w:right w:val="nil"/>
            </w:tcBorders>
            <w:shd w:val="clear" w:color="auto" w:fill="auto"/>
            <w:vAlign w:val="center"/>
            <w:hideMark/>
          </w:tcPr>
          <w:p w14:paraId="4096A767" w14:textId="77777777" w:rsidR="00E1434C" w:rsidRPr="00CD50D4" w:rsidRDefault="00E1434C" w:rsidP="00E1434C">
            <w:pPr>
              <w:keepNext/>
              <w:keepLines/>
              <w:jc w:val="center"/>
              <w:rPr>
                <w:rFonts w:cs="Arial"/>
                <w:color w:val="000000"/>
                <w:sz w:val="20"/>
                <w:lang w:eastAsia="en-AU"/>
              </w:rPr>
            </w:pPr>
            <w:r w:rsidRPr="00CD50D4">
              <w:rPr>
                <w:rFonts w:cs="Arial"/>
                <w:color w:val="000000"/>
                <w:sz w:val="20"/>
                <w:lang w:eastAsia="en-AU"/>
              </w:rPr>
              <w:t>2012</w:t>
            </w:r>
          </w:p>
        </w:tc>
      </w:tr>
      <w:tr w:rsidR="00E1434C" w:rsidRPr="00CD50D4" w14:paraId="00245972" w14:textId="77777777" w:rsidTr="00E1434C">
        <w:trPr>
          <w:trHeight w:val="442"/>
        </w:trPr>
        <w:tc>
          <w:tcPr>
            <w:tcW w:w="1380" w:type="pct"/>
            <w:tcBorders>
              <w:top w:val="nil"/>
              <w:left w:val="nil"/>
              <w:bottom w:val="nil"/>
              <w:right w:val="nil"/>
            </w:tcBorders>
            <w:shd w:val="clear" w:color="auto" w:fill="auto"/>
            <w:vAlign w:val="center"/>
          </w:tcPr>
          <w:p w14:paraId="310F0AE8" w14:textId="77777777" w:rsidR="00E1434C" w:rsidRPr="00CD50D4" w:rsidRDefault="00E1434C" w:rsidP="00E1434C">
            <w:pPr>
              <w:keepNext/>
              <w:keepLines/>
              <w:rPr>
                <w:rFonts w:cs="Arial"/>
                <w:b/>
                <w:bCs/>
                <w:color w:val="000000"/>
                <w:sz w:val="20"/>
                <w:lang w:eastAsia="en-AU"/>
              </w:rPr>
            </w:pPr>
            <w:r>
              <w:rPr>
                <w:rFonts w:cs="Arial"/>
                <w:b/>
                <w:bCs/>
                <w:color w:val="000000"/>
                <w:sz w:val="20"/>
                <w:lang w:eastAsia="en-AU"/>
              </w:rPr>
              <w:t>Absolute costs / student data</w:t>
            </w:r>
          </w:p>
        </w:tc>
        <w:tc>
          <w:tcPr>
            <w:tcW w:w="1207" w:type="pct"/>
            <w:tcBorders>
              <w:top w:val="nil"/>
              <w:left w:val="nil"/>
              <w:bottom w:val="nil"/>
              <w:right w:val="nil"/>
            </w:tcBorders>
            <w:shd w:val="clear" w:color="auto" w:fill="auto"/>
            <w:vAlign w:val="center"/>
          </w:tcPr>
          <w:p w14:paraId="2922363B" w14:textId="77777777" w:rsidR="00E1434C" w:rsidRDefault="00E1434C" w:rsidP="00E1434C">
            <w:pPr>
              <w:keepNext/>
              <w:keepLines/>
              <w:jc w:val="center"/>
              <w:rPr>
                <w:rFonts w:cs="Arial"/>
                <w:color w:val="000000"/>
                <w:sz w:val="20"/>
                <w:lang w:eastAsia="en-AU"/>
              </w:rPr>
            </w:pPr>
            <w:r w:rsidRPr="00CD50D4">
              <w:rPr>
                <w:rFonts w:ascii="Segoe UI Symbol" w:hAnsi="Segoe UI Symbol" w:cs="Segoe UI Symbol"/>
                <w:color w:val="000000"/>
                <w:sz w:val="20"/>
                <w:lang w:eastAsia="en-AU"/>
              </w:rPr>
              <w:t>✓</w:t>
            </w:r>
          </w:p>
        </w:tc>
        <w:tc>
          <w:tcPr>
            <w:tcW w:w="1207" w:type="pct"/>
            <w:tcBorders>
              <w:top w:val="nil"/>
              <w:left w:val="nil"/>
              <w:bottom w:val="nil"/>
              <w:right w:val="nil"/>
            </w:tcBorders>
            <w:shd w:val="clear" w:color="auto" w:fill="auto"/>
            <w:vAlign w:val="center"/>
          </w:tcPr>
          <w:p w14:paraId="20874802" w14:textId="77777777" w:rsidR="00E1434C" w:rsidRDefault="00E1434C" w:rsidP="00E1434C">
            <w:pPr>
              <w:keepNext/>
              <w:keepLines/>
              <w:jc w:val="center"/>
              <w:rPr>
                <w:rFonts w:cs="Arial"/>
                <w:color w:val="000000"/>
                <w:sz w:val="20"/>
                <w:lang w:eastAsia="en-AU"/>
              </w:rPr>
            </w:pPr>
            <w:r w:rsidRPr="00CD50D4">
              <w:rPr>
                <w:rFonts w:ascii="Segoe UI Symbol" w:hAnsi="Segoe UI Symbol" w:cs="Segoe UI Symbol"/>
                <w:color w:val="000000"/>
                <w:sz w:val="20"/>
                <w:lang w:eastAsia="en-AU"/>
              </w:rPr>
              <w:t>✓</w:t>
            </w:r>
          </w:p>
        </w:tc>
        <w:tc>
          <w:tcPr>
            <w:tcW w:w="1207" w:type="pct"/>
            <w:tcBorders>
              <w:top w:val="nil"/>
              <w:left w:val="nil"/>
              <w:bottom w:val="nil"/>
              <w:right w:val="nil"/>
            </w:tcBorders>
            <w:shd w:val="clear" w:color="auto" w:fill="auto"/>
            <w:vAlign w:val="center"/>
          </w:tcPr>
          <w:p w14:paraId="00E22EA6" w14:textId="77777777" w:rsidR="00E1434C" w:rsidRPr="00CD50D4" w:rsidRDefault="00E1434C" w:rsidP="00E1434C">
            <w:pPr>
              <w:keepNext/>
              <w:keepLines/>
              <w:jc w:val="center"/>
              <w:rPr>
                <w:rFonts w:cs="Arial"/>
                <w:color w:val="000000"/>
                <w:sz w:val="20"/>
                <w:lang w:eastAsia="en-AU"/>
              </w:rPr>
            </w:pPr>
            <w:r w:rsidRPr="00CD50D4">
              <w:rPr>
                <w:rFonts w:cs="Arial"/>
                <w:color w:val="000000"/>
                <w:sz w:val="20"/>
                <w:lang w:eastAsia="en-AU"/>
              </w:rPr>
              <w:t>×</w:t>
            </w:r>
          </w:p>
        </w:tc>
      </w:tr>
      <w:tr w:rsidR="00E1434C" w:rsidRPr="00CD50D4" w14:paraId="3FF7CA17" w14:textId="77777777" w:rsidTr="00E1434C">
        <w:trPr>
          <w:trHeight w:val="442"/>
        </w:trPr>
        <w:tc>
          <w:tcPr>
            <w:tcW w:w="1380" w:type="pct"/>
            <w:tcBorders>
              <w:top w:val="nil"/>
              <w:left w:val="nil"/>
              <w:bottom w:val="nil"/>
              <w:right w:val="nil"/>
            </w:tcBorders>
            <w:shd w:val="clear" w:color="auto" w:fill="auto"/>
            <w:vAlign w:val="center"/>
            <w:hideMark/>
          </w:tcPr>
          <w:p w14:paraId="0D88144E" w14:textId="77777777" w:rsidR="00E1434C" w:rsidRPr="00CD50D4" w:rsidRDefault="00E1434C" w:rsidP="00E1434C">
            <w:pPr>
              <w:keepNext/>
              <w:keepLines/>
              <w:rPr>
                <w:rFonts w:cs="Arial"/>
                <w:b/>
                <w:bCs/>
                <w:color w:val="000000"/>
                <w:sz w:val="20"/>
                <w:lang w:eastAsia="en-AU"/>
              </w:rPr>
            </w:pPr>
            <w:r w:rsidRPr="00CD50D4">
              <w:rPr>
                <w:rFonts w:cs="Arial"/>
                <w:b/>
                <w:bCs/>
                <w:color w:val="000000"/>
                <w:sz w:val="20"/>
                <w:lang w:eastAsia="en-AU"/>
              </w:rPr>
              <w:t>Field of education detail</w:t>
            </w:r>
          </w:p>
        </w:tc>
        <w:tc>
          <w:tcPr>
            <w:tcW w:w="1207" w:type="pct"/>
            <w:tcBorders>
              <w:top w:val="nil"/>
              <w:left w:val="nil"/>
              <w:bottom w:val="nil"/>
              <w:right w:val="nil"/>
            </w:tcBorders>
            <w:shd w:val="clear" w:color="auto" w:fill="auto"/>
            <w:vAlign w:val="center"/>
            <w:hideMark/>
          </w:tcPr>
          <w:p w14:paraId="387FA18E" w14:textId="77777777" w:rsidR="00E1434C" w:rsidRPr="00CD50D4" w:rsidRDefault="00E1434C" w:rsidP="00E1434C">
            <w:pPr>
              <w:keepNext/>
              <w:keepLines/>
              <w:jc w:val="center"/>
              <w:rPr>
                <w:rFonts w:cs="Arial"/>
                <w:color w:val="000000"/>
                <w:sz w:val="20"/>
                <w:lang w:eastAsia="en-AU"/>
              </w:rPr>
            </w:pPr>
            <w:r>
              <w:rPr>
                <w:rFonts w:cs="Arial"/>
                <w:color w:val="000000"/>
                <w:sz w:val="20"/>
                <w:lang w:eastAsia="en-AU"/>
              </w:rPr>
              <w:t>10</w:t>
            </w:r>
            <w:r w:rsidRPr="00CD50D4">
              <w:rPr>
                <w:rFonts w:cs="Arial"/>
                <w:color w:val="000000"/>
                <w:sz w:val="20"/>
                <w:lang w:eastAsia="en-AU"/>
              </w:rPr>
              <w:t xml:space="preserve"> fields of education </w:t>
            </w:r>
            <w:r>
              <w:rPr>
                <w:rFonts w:cs="Arial"/>
                <w:color w:val="000000"/>
                <w:sz w:val="20"/>
                <w:lang w:eastAsia="en-AU"/>
              </w:rPr>
              <w:t>(</w:t>
            </w:r>
            <w:r w:rsidRPr="00CD50D4">
              <w:rPr>
                <w:rFonts w:cs="Arial"/>
                <w:color w:val="000000"/>
                <w:sz w:val="20"/>
                <w:lang w:eastAsia="en-AU"/>
              </w:rPr>
              <w:t>ASCED 2-digit</w:t>
            </w:r>
            <w:r>
              <w:rPr>
                <w:rFonts w:cs="Arial"/>
                <w:color w:val="000000"/>
                <w:sz w:val="20"/>
                <w:lang w:eastAsia="en-AU"/>
              </w:rPr>
              <w:t>)</w:t>
            </w:r>
          </w:p>
        </w:tc>
        <w:tc>
          <w:tcPr>
            <w:tcW w:w="1207" w:type="pct"/>
            <w:tcBorders>
              <w:top w:val="nil"/>
              <w:left w:val="nil"/>
              <w:bottom w:val="nil"/>
              <w:right w:val="nil"/>
            </w:tcBorders>
            <w:shd w:val="clear" w:color="auto" w:fill="auto"/>
            <w:vAlign w:val="center"/>
            <w:hideMark/>
          </w:tcPr>
          <w:p w14:paraId="13658EEB" w14:textId="77777777" w:rsidR="00E1434C" w:rsidRPr="00CD50D4" w:rsidRDefault="00E1434C" w:rsidP="00E1434C">
            <w:pPr>
              <w:keepNext/>
              <w:keepLines/>
              <w:jc w:val="center"/>
              <w:rPr>
                <w:rFonts w:cs="Arial"/>
                <w:color w:val="000000"/>
                <w:sz w:val="20"/>
                <w:lang w:eastAsia="en-AU"/>
              </w:rPr>
            </w:pPr>
            <w:r>
              <w:rPr>
                <w:rFonts w:cs="Arial"/>
                <w:color w:val="000000"/>
                <w:sz w:val="20"/>
                <w:lang w:eastAsia="en-AU"/>
              </w:rPr>
              <w:t>45 cost centres</w:t>
            </w:r>
          </w:p>
        </w:tc>
        <w:tc>
          <w:tcPr>
            <w:tcW w:w="1206" w:type="pct"/>
            <w:tcBorders>
              <w:top w:val="nil"/>
              <w:left w:val="nil"/>
              <w:bottom w:val="nil"/>
              <w:right w:val="nil"/>
            </w:tcBorders>
            <w:shd w:val="clear" w:color="auto" w:fill="auto"/>
            <w:vAlign w:val="center"/>
            <w:hideMark/>
          </w:tcPr>
          <w:p w14:paraId="3A28880A" w14:textId="77777777" w:rsidR="00E1434C" w:rsidRPr="00CD50D4" w:rsidRDefault="00E1434C" w:rsidP="00E1434C">
            <w:pPr>
              <w:keepNext/>
              <w:keepLines/>
              <w:jc w:val="center"/>
              <w:rPr>
                <w:rFonts w:cs="Arial"/>
                <w:color w:val="000000"/>
                <w:sz w:val="20"/>
                <w:lang w:eastAsia="en-AU"/>
              </w:rPr>
            </w:pPr>
            <w:r w:rsidRPr="00CD50D4">
              <w:rPr>
                <w:rFonts w:cs="Arial"/>
                <w:color w:val="000000"/>
                <w:sz w:val="20"/>
                <w:lang w:eastAsia="en-AU"/>
              </w:rPr>
              <w:t xml:space="preserve">10 fields of education </w:t>
            </w:r>
            <w:r>
              <w:rPr>
                <w:rFonts w:cs="Arial"/>
                <w:color w:val="000000"/>
                <w:sz w:val="20"/>
                <w:lang w:eastAsia="en-AU"/>
              </w:rPr>
              <w:t>(</w:t>
            </w:r>
            <w:r w:rsidRPr="00CD50D4">
              <w:rPr>
                <w:rFonts w:cs="Arial"/>
                <w:color w:val="000000"/>
                <w:sz w:val="20"/>
                <w:lang w:eastAsia="en-AU"/>
              </w:rPr>
              <w:t>ASCED 2-digit</w:t>
            </w:r>
            <w:r>
              <w:rPr>
                <w:rFonts w:cs="Arial"/>
                <w:color w:val="000000"/>
                <w:sz w:val="20"/>
                <w:lang w:eastAsia="en-AU"/>
              </w:rPr>
              <w:t>)</w:t>
            </w:r>
            <w:r>
              <w:rPr>
                <w:rStyle w:val="FootnoteReference"/>
                <w:rFonts w:cs="Arial"/>
                <w:color w:val="000000"/>
                <w:lang w:eastAsia="en-AU"/>
              </w:rPr>
              <w:footnoteReference w:id="31"/>
            </w:r>
          </w:p>
        </w:tc>
      </w:tr>
      <w:tr w:rsidR="00E1434C" w:rsidRPr="00CD50D4" w14:paraId="46FCFC44" w14:textId="77777777" w:rsidTr="00E1434C">
        <w:trPr>
          <w:trHeight w:val="87"/>
        </w:trPr>
        <w:tc>
          <w:tcPr>
            <w:tcW w:w="1380" w:type="pct"/>
            <w:tcBorders>
              <w:top w:val="nil"/>
              <w:left w:val="nil"/>
              <w:bottom w:val="single" w:sz="12" w:space="0" w:color="002776"/>
              <w:right w:val="nil"/>
            </w:tcBorders>
            <w:shd w:val="clear" w:color="auto" w:fill="auto"/>
            <w:vAlign w:val="center"/>
            <w:hideMark/>
          </w:tcPr>
          <w:p w14:paraId="2010A1C2" w14:textId="77777777" w:rsidR="00E1434C" w:rsidRPr="00CD50D4" w:rsidRDefault="00E1434C" w:rsidP="00E1434C">
            <w:pPr>
              <w:keepNext/>
              <w:keepLines/>
              <w:rPr>
                <w:rFonts w:cs="Arial"/>
                <w:b/>
                <w:bCs/>
                <w:color w:val="000000"/>
                <w:sz w:val="20"/>
                <w:lang w:eastAsia="en-AU"/>
              </w:rPr>
            </w:pPr>
            <w:r>
              <w:rPr>
                <w:rFonts w:cs="Arial"/>
                <w:b/>
                <w:bCs/>
                <w:color w:val="000000"/>
                <w:sz w:val="20"/>
                <w:lang w:eastAsia="en-AU"/>
              </w:rPr>
              <w:t>Level of study detail</w:t>
            </w:r>
          </w:p>
        </w:tc>
        <w:tc>
          <w:tcPr>
            <w:tcW w:w="1207" w:type="pct"/>
            <w:tcBorders>
              <w:top w:val="nil"/>
              <w:left w:val="nil"/>
              <w:bottom w:val="single" w:sz="12" w:space="0" w:color="002776"/>
              <w:right w:val="nil"/>
            </w:tcBorders>
            <w:shd w:val="clear" w:color="auto" w:fill="auto"/>
            <w:vAlign w:val="center"/>
            <w:hideMark/>
          </w:tcPr>
          <w:p w14:paraId="391A5B4E" w14:textId="77777777" w:rsidR="00E1434C" w:rsidRPr="00CD50D4" w:rsidRDefault="00E1434C" w:rsidP="00E1434C">
            <w:pPr>
              <w:keepNext/>
              <w:keepLines/>
              <w:jc w:val="center"/>
              <w:rPr>
                <w:rFonts w:cs="Arial"/>
                <w:color w:val="000000"/>
                <w:sz w:val="20"/>
                <w:lang w:eastAsia="en-AU"/>
              </w:rPr>
            </w:pPr>
            <w:r w:rsidRPr="00CD50D4">
              <w:rPr>
                <w:rFonts w:ascii="Segoe UI Symbol" w:hAnsi="Segoe UI Symbol" w:cs="Segoe UI Symbol"/>
                <w:color w:val="000000"/>
                <w:sz w:val="20"/>
                <w:lang w:eastAsia="en-AU"/>
              </w:rPr>
              <w:t>✓</w:t>
            </w:r>
          </w:p>
        </w:tc>
        <w:tc>
          <w:tcPr>
            <w:tcW w:w="1207" w:type="pct"/>
            <w:tcBorders>
              <w:top w:val="nil"/>
              <w:left w:val="nil"/>
              <w:bottom w:val="single" w:sz="12" w:space="0" w:color="002776"/>
              <w:right w:val="nil"/>
            </w:tcBorders>
            <w:shd w:val="clear" w:color="auto" w:fill="auto"/>
            <w:vAlign w:val="center"/>
            <w:hideMark/>
          </w:tcPr>
          <w:p w14:paraId="432D9248" w14:textId="77777777" w:rsidR="00E1434C" w:rsidRPr="00CD50D4" w:rsidRDefault="00E1434C" w:rsidP="00E1434C">
            <w:pPr>
              <w:keepNext/>
              <w:keepLines/>
              <w:jc w:val="center"/>
              <w:rPr>
                <w:rFonts w:cs="Arial"/>
                <w:color w:val="000000"/>
                <w:sz w:val="20"/>
                <w:lang w:eastAsia="en-AU"/>
              </w:rPr>
            </w:pPr>
            <w:r w:rsidRPr="00CD50D4">
              <w:rPr>
                <w:rFonts w:ascii="Segoe UI Symbol" w:hAnsi="Segoe UI Symbol" w:cs="Segoe UI Symbol"/>
                <w:color w:val="000000"/>
                <w:sz w:val="20"/>
                <w:lang w:eastAsia="en-AU"/>
              </w:rPr>
              <w:t>✓</w:t>
            </w:r>
          </w:p>
        </w:tc>
        <w:tc>
          <w:tcPr>
            <w:tcW w:w="1206" w:type="pct"/>
            <w:tcBorders>
              <w:top w:val="nil"/>
              <w:left w:val="nil"/>
              <w:bottom w:val="single" w:sz="12" w:space="0" w:color="002776"/>
              <w:right w:val="nil"/>
            </w:tcBorders>
            <w:shd w:val="clear" w:color="auto" w:fill="auto"/>
            <w:vAlign w:val="center"/>
            <w:hideMark/>
          </w:tcPr>
          <w:p w14:paraId="4651B0EB" w14:textId="77777777" w:rsidR="00E1434C" w:rsidRPr="00CD50D4" w:rsidRDefault="00E1434C" w:rsidP="00E1434C">
            <w:pPr>
              <w:keepNext/>
              <w:keepLines/>
              <w:jc w:val="center"/>
              <w:rPr>
                <w:rFonts w:cs="Arial"/>
                <w:color w:val="000000"/>
                <w:sz w:val="20"/>
                <w:lang w:eastAsia="en-AU"/>
              </w:rPr>
            </w:pPr>
            <w:r w:rsidRPr="00CD50D4">
              <w:rPr>
                <w:rFonts w:cs="Arial"/>
                <w:color w:val="000000"/>
                <w:sz w:val="20"/>
                <w:lang w:eastAsia="en-AU"/>
              </w:rPr>
              <w:t>×</w:t>
            </w:r>
          </w:p>
        </w:tc>
      </w:tr>
    </w:tbl>
    <w:p w14:paraId="72668ED2" w14:textId="77777777" w:rsidR="00E1434C" w:rsidRDefault="00E1434C" w:rsidP="00E1434C">
      <w:pPr>
        <w:pStyle w:val="Source"/>
      </w:pPr>
      <w:r w:rsidRPr="00367BFD">
        <w:t xml:space="preserve">Source: </w:t>
      </w:r>
      <w:r w:rsidR="007D7A5A">
        <w:t>Deloitte Access Economics analysis</w:t>
      </w:r>
      <w:r w:rsidRPr="00367BFD">
        <w:t>.</w:t>
      </w:r>
      <w:r w:rsidR="00234A20">
        <w:t xml:space="preserve"> Note one institution provided partial data in current study</w:t>
      </w:r>
      <w:r w:rsidR="00343EF4">
        <w:t>.</w:t>
      </w:r>
    </w:p>
    <w:p w14:paraId="6382117D" w14:textId="77777777" w:rsidR="00E1434C" w:rsidRPr="00287DAC" w:rsidRDefault="00E1434C" w:rsidP="00E1434C">
      <w:pPr>
        <w:pStyle w:val="HeadingB"/>
      </w:pPr>
      <w:r w:rsidRPr="00287DAC">
        <w:t>Methodology</w:t>
      </w:r>
    </w:p>
    <w:p w14:paraId="0FE5C45A" w14:textId="77777777" w:rsidR="00E1434C" w:rsidRPr="00086BA8" w:rsidRDefault="00E1434C" w:rsidP="00E1434C">
      <w:pPr>
        <w:pStyle w:val="BodyText"/>
      </w:pPr>
      <w:r>
        <w:t>Given differences in approaches across the international data sources, the most useful comparison would be based on the relative, rather than absolute, cost of teaching across the countries. As funding arrangements in these countries are influenced or determined based on the costs of delivery and has notable differences to funding in Australia (</w:t>
      </w:r>
      <w:r>
        <w:fldChar w:fldCharType="begin"/>
      </w:r>
      <w:r>
        <w:instrText xml:space="preserve"> REF _Ref465876027 \r \h </w:instrText>
      </w:r>
      <w:r>
        <w:fldChar w:fldCharType="separate"/>
      </w:r>
      <w:r w:rsidR="00595C6E">
        <w:t>Chart 6.1</w:t>
      </w:r>
      <w:r>
        <w:fldChar w:fldCharType="end"/>
      </w:r>
      <w:r>
        <w:t xml:space="preserve">), this offers a </w:t>
      </w:r>
      <w:r w:rsidRPr="00086BA8">
        <w:t xml:space="preserve">costing benchmark </w:t>
      </w:r>
      <w:r w:rsidRPr="000E1310">
        <w:t xml:space="preserve">independent of existing funding arrangements in Australia. </w:t>
      </w:r>
    </w:p>
    <w:p w14:paraId="7CAA5F4C" w14:textId="77777777" w:rsidR="00E1434C" w:rsidRDefault="00E1434C" w:rsidP="00E1434C">
      <w:pPr>
        <w:pStyle w:val="BodyText"/>
      </w:pPr>
      <w:r>
        <w:t xml:space="preserve">The average cost of teaching a </w:t>
      </w:r>
      <w:r w:rsidR="00C511FA">
        <w:t>M</w:t>
      </w:r>
      <w:r>
        <w:t xml:space="preserve">anagement and </w:t>
      </w:r>
      <w:r w:rsidR="00C511FA">
        <w:t>C</w:t>
      </w:r>
      <w:r>
        <w:t>ommerce EFTSL in each country is used as the benchmark unit to compare average costs in other fields of education. It has been chosen as it typically has a low cost compared to other subjects.</w:t>
      </w:r>
    </w:p>
    <w:p w14:paraId="2F16E610" w14:textId="77777777" w:rsidR="00E1434C" w:rsidRDefault="00E1434C" w:rsidP="00E1434C">
      <w:pPr>
        <w:pStyle w:val="BodyText"/>
      </w:pPr>
      <w:r>
        <w:t>To make costs comparable, the following steps have been taken:</w:t>
      </w:r>
    </w:p>
    <w:p w14:paraId="1C84CC9B" w14:textId="77777777" w:rsidR="00E1434C" w:rsidRPr="00FC3C09" w:rsidRDefault="005F2DE1" w:rsidP="00FC3C09">
      <w:pPr>
        <w:pStyle w:val="Bullet1"/>
      </w:pPr>
      <w:r>
        <w:t>t</w:t>
      </w:r>
      <w:r w:rsidR="00E1434C">
        <w:t xml:space="preserve">he international fields of education have been mapped to the 10 </w:t>
      </w:r>
      <w:r w:rsidR="00E1434C" w:rsidRPr="00B80F34">
        <w:t>Australian Standard Classification of Education (ASCED)</w:t>
      </w:r>
      <w:r w:rsidR="00E1434C">
        <w:t xml:space="preserve"> 2-digit fields of education.</w:t>
      </w:r>
      <w:r w:rsidR="00234A20" w:rsidRPr="00234A20">
        <w:t xml:space="preserve"> </w:t>
      </w:r>
      <w:r w:rsidR="00234A20" w:rsidRPr="00B80F34">
        <w:t xml:space="preserve">United Kingdom cost </w:t>
      </w:r>
      <w:r w:rsidR="00234A20" w:rsidRPr="00D54AD7">
        <w:t xml:space="preserve">centres (45 subjects) are mapped one-to-one to Australian fields of education. See </w:t>
      </w:r>
      <w:r w:rsidR="00234A20" w:rsidRPr="00D54AD7">
        <w:fldChar w:fldCharType="begin"/>
      </w:r>
      <w:r w:rsidR="00234A20" w:rsidRPr="00D54AD7">
        <w:instrText xml:space="preserve"> REF _Ref467162879 \r \h </w:instrText>
      </w:r>
      <w:r w:rsidR="00234A20">
        <w:instrText xml:space="preserve"> \* MERGEFORMAT </w:instrText>
      </w:r>
      <w:r w:rsidR="00234A20" w:rsidRPr="00D54AD7">
        <w:fldChar w:fldCharType="separate"/>
      </w:r>
      <w:r w:rsidR="00595C6E">
        <w:t>Table 6.2</w:t>
      </w:r>
      <w:r w:rsidR="00234A20" w:rsidRPr="00D54AD7">
        <w:fldChar w:fldCharType="end"/>
      </w:r>
      <w:r w:rsidR="00234A20" w:rsidRPr="00D54AD7">
        <w:t xml:space="preserve"> for the full mapping</w:t>
      </w:r>
      <w:r>
        <w:t xml:space="preserve">; </w:t>
      </w:r>
    </w:p>
    <w:p w14:paraId="2DAA1327" w14:textId="77777777" w:rsidR="00E1434C" w:rsidRDefault="005F2DE1" w:rsidP="00E1434C">
      <w:pPr>
        <w:pStyle w:val="Bullet1"/>
      </w:pPr>
      <w:r>
        <w:t>w</w:t>
      </w:r>
      <w:r w:rsidR="00E1434C" w:rsidRPr="00FC3C09">
        <w:t>here total cost and student data are available, total teaching related</w:t>
      </w:r>
      <w:r w:rsidR="00E1434C">
        <w:t xml:space="preserve"> costs for each country has been aggregated under the appropriate field of education. This is then divided by the EFTSL to calculate the average teaching cost per EFTSL for each field of education</w:t>
      </w:r>
      <w:r>
        <w:t>; and</w:t>
      </w:r>
    </w:p>
    <w:p w14:paraId="70AD8586" w14:textId="77777777" w:rsidR="00E1434C" w:rsidRDefault="005F2DE1" w:rsidP="00E1434C">
      <w:pPr>
        <w:pStyle w:val="Bullet1"/>
      </w:pPr>
      <w:r>
        <w:lastRenderedPageBreak/>
        <w:t>t</w:t>
      </w:r>
      <w:r w:rsidR="00E1434C">
        <w:t xml:space="preserve">his is then divided by the average teaching cost in </w:t>
      </w:r>
      <w:r w:rsidR="002D54FD">
        <w:t>Management</w:t>
      </w:r>
      <w:r w:rsidR="00E1434C">
        <w:t xml:space="preserve"> and </w:t>
      </w:r>
      <w:r w:rsidR="002D54FD">
        <w:t>Commerce</w:t>
      </w:r>
      <w:r w:rsidR="00E1434C">
        <w:t xml:space="preserve"> to calculate the relative costs of delivery in other fields of education and funding clusters.</w:t>
      </w:r>
    </w:p>
    <w:p w14:paraId="4BE85506" w14:textId="77777777" w:rsidR="00234A20" w:rsidRDefault="00234A20" w:rsidP="00FC3C09">
      <w:pPr>
        <w:pStyle w:val="CaptionTable"/>
      </w:pPr>
      <w:bookmarkStart w:id="309" w:name="_Ref467162879"/>
      <w:bookmarkStart w:id="310" w:name="_Toc469927401"/>
      <w:r>
        <w:t xml:space="preserve">: </w:t>
      </w:r>
      <w:r w:rsidRPr="00FC3C09">
        <w:t>Mapping</w:t>
      </w:r>
      <w:r>
        <w:t xml:space="preserve"> between HESA and DET clusters</w:t>
      </w:r>
      <w:bookmarkEnd w:id="309"/>
      <w:bookmarkEnd w:id="310"/>
    </w:p>
    <w:tbl>
      <w:tblPr>
        <w:tblW w:w="0" w:type="auto"/>
        <w:tblCellMar>
          <w:left w:w="0" w:type="dxa"/>
          <w:right w:w="0" w:type="dxa"/>
        </w:tblCellMar>
        <w:tblLook w:val="04A0" w:firstRow="1" w:lastRow="0" w:firstColumn="1" w:lastColumn="0" w:noHBand="0" w:noVBand="1"/>
      </w:tblPr>
      <w:tblGrid>
        <w:gridCol w:w="3544"/>
        <w:gridCol w:w="3571"/>
        <w:gridCol w:w="1106"/>
      </w:tblGrid>
      <w:tr w:rsidR="00234A20" w14:paraId="2A88C097" w14:textId="77777777" w:rsidTr="00D55F3F">
        <w:trPr>
          <w:trHeight w:val="315"/>
          <w:tblHeader/>
        </w:trPr>
        <w:tc>
          <w:tcPr>
            <w:tcW w:w="3544" w:type="dxa"/>
            <w:tcBorders>
              <w:top w:val="single" w:sz="12" w:space="0" w:color="002776"/>
              <w:left w:val="nil"/>
              <w:bottom w:val="single" w:sz="8" w:space="0" w:color="002776"/>
              <w:right w:val="nil"/>
            </w:tcBorders>
            <w:noWrap/>
            <w:tcMar>
              <w:top w:w="0" w:type="dxa"/>
              <w:left w:w="108" w:type="dxa"/>
              <w:bottom w:w="0" w:type="dxa"/>
              <w:right w:w="108" w:type="dxa"/>
            </w:tcMar>
            <w:vAlign w:val="bottom"/>
            <w:hideMark/>
          </w:tcPr>
          <w:p w14:paraId="2B129E06" w14:textId="77777777" w:rsidR="00234A20" w:rsidRDefault="00234A20" w:rsidP="0019276A">
            <w:pPr>
              <w:rPr>
                <w:b/>
                <w:bCs/>
                <w:color w:val="002776"/>
                <w:sz w:val="18"/>
                <w:szCs w:val="18"/>
                <w:lang w:eastAsia="en-AU"/>
              </w:rPr>
            </w:pPr>
            <w:r>
              <w:rPr>
                <w:b/>
                <w:bCs/>
                <w:color w:val="002776"/>
                <w:sz w:val="18"/>
                <w:szCs w:val="18"/>
                <w:lang w:eastAsia="en-AU"/>
              </w:rPr>
              <w:t>HESA cost centre</w:t>
            </w:r>
          </w:p>
        </w:tc>
        <w:tc>
          <w:tcPr>
            <w:tcW w:w="3571" w:type="dxa"/>
            <w:tcBorders>
              <w:top w:val="single" w:sz="12" w:space="0" w:color="002776"/>
              <w:left w:val="nil"/>
              <w:bottom w:val="single" w:sz="8" w:space="0" w:color="002776"/>
              <w:right w:val="nil"/>
            </w:tcBorders>
            <w:noWrap/>
            <w:tcMar>
              <w:top w:w="0" w:type="dxa"/>
              <w:left w:w="108" w:type="dxa"/>
              <w:bottom w:w="0" w:type="dxa"/>
              <w:right w:w="108" w:type="dxa"/>
            </w:tcMar>
            <w:vAlign w:val="bottom"/>
            <w:hideMark/>
          </w:tcPr>
          <w:p w14:paraId="044513AA" w14:textId="77777777" w:rsidR="00234A20" w:rsidRDefault="00234A20" w:rsidP="0019276A">
            <w:pPr>
              <w:rPr>
                <w:b/>
                <w:bCs/>
                <w:color w:val="002776"/>
                <w:sz w:val="18"/>
                <w:szCs w:val="18"/>
                <w:lang w:eastAsia="en-AU"/>
              </w:rPr>
            </w:pPr>
            <w:r>
              <w:rPr>
                <w:b/>
                <w:bCs/>
                <w:color w:val="002776"/>
                <w:sz w:val="18"/>
                <w:szCs w:val="18"/>
                <w:lang w:eastAsia="en-AU"/>
              </w:rPr>
              <w:t>FOE mapping</w:t>
            </w:r>
          </w:p>
        </w:tc>
        <w:tc>
          <w:tcPr>
            <w:tcW w:w="1106" w:type="dxa"/>
            <w:tcBorders>
              <w:top w:val="single" w:sz="12" w:space="0" w:color="002776"/>
              <w:left w:val="nil"/>
              <w:bottom w:val="single" w:sz="8" w:space="0" w:color="002776"/>
              <w:right w:val="nil"/>
            </w:tcBorders>
            <w:noWrap/>
            <w:tcMar>
              <w:top w:w="0" w:type="dxa"/>
              <w:left w:w="108" w:type="dxa"/>
              <w:bottom w:w="0" w:type="dxa"/>
              <w:right w:w="108" w:type="dxa"/>
            </w:tcMar>
            <w:vAlign w:val="bottom"/>
            <w:hideMark/>
          </w:tcPr>
          <w:p w14:paraId="69101F2C" w14:textId="77777777" w:rsidR="00234A20" w:rsidRDefault="00234A20" w:rsidP="0019276A">
            <w:pPr>
              <w:rPr>
                <w:b/>
                <w:bCs/>
                <w:color w:val="002776"/>
                <w:sz w:val="18"/>
                <w:szCs w:val="18"/>
                <w:lang w:eastAsia="en-AU"/>
              </w:rPr>
            </w:pPr>
            <w:r>
              <w:rPr>
                <w:b/>
                <w:bCs/>
                <w:color w:val="002776"/>
                <w:sz w:val="18"/>
                <w:szCs w:val="18"/>
                <w:lang w:eastAsia="en-AU"/>
              </w:rPr>
              <w:t>Funding clusters</w:t>
            </w:r>
          </w:p>
        </w:tc>
      </w:tr>
      <w:tr w:rsidR="00234A20" w14:paraId="3734E8E5" w14:textId="77777777" w:rsidTr="0019276A">
        <w:trPr>
          <w:trHeight w:val="300"/>
        </w:trPr>
        <w:tc>
          <w:tcPr>
            <w:tcW w:w="3544" w:type="dxa"/>
            <w:noWrap/>
            <w:tcMar>
              <w:top w:w="0" w:type="dxa"/>
              <w:left w:w="108" w:type="dxa"/>
              <w:bottom w:w="0" w:type="dxa"/>
              <w:right w:w="108" w:type="dxa"/>
            </w:tcMar>
            <w:vAlign w:val="bottom"/>
            <w:hideMark/>
          </w:tcPr>
          <w:p w14:paraId="5B512005" w14:textId="77777777" w:rsidR="00234A20" w:rsidRDefault="00234A20" w:rsidP="0019276A">
            <w:pPr>
              <w:rPr>
                <w:color w:val="000000"/>
                <w:sz w:val="18"/>
                <w:szCs w:val="18"/>
                <w:lang w:eastAsia="en-AU"/>
              </w:rPr>
            </w:pPr>
            <w:r>
              <w:rPr>
                <w:color w:val="000000"/>
                <w:sz w:val="18"/>
                <w:szCs w:val="18"/>
                <w:lang w:eastAsia="en-AU"/>
              </w:rPr>
              <w:t>Clinical medicine</w:t>
            </w:r>
          </w:p>
        </w:tc>
        <w:tc>
          <w:tcPr>
            <w:tcW w:w="3571" w:type="dxa"/>
            <w:noWrap/>
            <w:tcMar>
              <w:top w:w="0" w:type="dxa"/>
              <w:left w:w="108" w:type="dxa"/>
              <w:bottom w:w="0" w:type="dxa"/>
              <w:right w:w="108" w:type="dxa"/>
            </w:tcMar>
            <w:vAlign w:val="bottom"/>
            <w:hideMark/>
          </w:tcPr>
          <w:p w14:paraId="52463E60" w14:textId="77777777" w:rsidR="00234A20" w:rsidRDefault="00234A20" w:rsidP="0019276A">
            <w:pPr>
              <w:rPr>
                <w:color w:val="000000"/>
                <w:sz w:val="18"/>
                <w:szCs w:val="18"/>
                <w:lang w:eastAsia="en-AU"/>
              </w:rPr>
            </w:pPr>
            <w:r>
              <w:rPr>
                <w:color w:val="000000"/>
                <w:sz w:val="18"/>
                <w:szCs w:val="18"/>
                <w:lang w:eastAsia="en-AU"/>
              </w:rPr>
              <w:t>Health</w:t>
            </w:r>
          </w:p>
        </w:tc>
        <w:tc>
          <w:tcPr>
            <w:tcW w:w="1106" w:type="dxa"/>
            <w:noWrap/>
            <w:tcMar>
              <w:top w:w="0" w:type="dxa"/>
              <w:left w:w="108" w:type="dxa"/>
              <w:bottom w:w="0" w:type="dxa"/>
              <w:right w:w="108" w:type="dxa"/>
            </w:tcMar>
            <w:vAlign w:val="bottom"/>
            <w:hideMark/>
          </w:tcPr>
          <w:p w14:paraId="6BD3CB8E" w14:textId="77777777" w:rsidR="00234A20" w:rsidRDefault="00234A20" w:rsidP="0019276A">
            <w:pPr>
              <w:rPr>
                <w:color w:val="000000"/>
                <w:sz w:val="18"/>
                <w:szCs w:val="18"/>
                <w:lang w:eastAsia="en-AU"/>
              </w:rPr>
            </w:pPr>
            <w:r>
              <w:rPr>
                <w:color w:val="000000"/>
                <w:sz w:val="18"/>
                <w:szCs w:val="18"/>
                <w:lang w:eastAsia="en-AU"/>
              </w:rPr>
              <w:t>8a</w:t>
            </w:r>
          </w:p>
        </w:tc>
      </w:tr>
      <w:tr w:rsidR="00234A20" w14:paraId="61EA7375" w14:textId="77777777" w:rsidTr="0019276A">
        <w:trPr>
          <w:trHeight w:val="300"/>
        </w:trPr>
        <w:tc>
          <w:tcPr>
            <w:tcW w:w="3544" w:type="dxa"/>
            <w:noWrap/>
            <w:tcMar>
              <w:top w:w="0" w:type="dxa"/>
              <w:left w:w="108" w:type="dxa"/>
              <w:bottom w:w="0" w:type="dxa"/>
              <w:right w:w="108" w:type="dxa"/>
            </w:tcMar>
            <w:vAlign w:val="bottom"/>
            <w:hideMark/>
          </w:tcPr>
          <w:p w14:paraId="03D758A9" w14:textId="77777777" w:rsidR="00234A20" w:rsidRDefault="00234A20" w:rsidP="0019276A">
            <w:pPr>
              <w:rPr>
                <w:color w:val="000000"/>
                <w:sz w:val="18"/>
                <w:szCs w:val="18"/>
                <w:lang w:eastAsia="en-AU"/>
              </w:rPr>
            </w:pPr>
            <w:r>
              <w:rPr>
                <w:color w:val="000000"/>
                <w:sz w:val="18"/>
                <w:szCs w:val="18"/>
                <w:lang w:eastAsia="en-AU"/>
              </w:rPr>
              <w:t>Clinical dentistry</w:t>
            </w:r>
          </w:p>
        </w:tc>
        <w:tc>
          <w:tcPr>
            <w:tcW w:w="3571" w:type="dxa"/>
            <w:noWrap/>
            <w:tcMar>
              <w:top w:w="0" w:type="dxa"/>
              <w:left w:w="108" w:type="dxa"/>
              <w:bottom w:w="0" w:type="dxa"/>
              <w:right w:w="108" w:type="dxa"/>
            </w:tcMar>
            <w:vAlign w:val="bottom"/>
            <w:hideMark/>
          </w:tcPr>
          <w:p w14:paraId="7770F919" w14:textId="77777777" w:rsidR="00234A20" w:rsidRDefault="00234A20" w:rsidP="0019276A">
            <w:pPr>
              <w:rPr>
                <w:color w:val="000000"/>
                <w:sz w:val="18"/>
                <w:szCs w:val="18"/>
                <w:lang w:eastAsia="en-AU"/>
              </w:rPr>
            </w:pPr>
            <w:r>
              <w:rPr>
                <w:color w:val="000000"/>
                <w:sz w:val="18"/>
                <w:szCs w:val="18"/>
                <w:lang w:eastAsia="en-AU"/>
              </w:rPr>
              <w:t>Health</w:t>
            </w:r>
          </w:p>
        </w:tc>
        <w:tc>
          <w:tcPr>
            <w:tcW w:w="1106" w:type="dxa"/>
            <w:noWrap/>
            <w:tcMar>
              <w:top w:w="0" w:type="dxa"/>
              <w:left w:w="108" w:type="dxa"/>
              <w:bottom w:w="0" w:type="dxa"/>
              <w:right w:w="108" w:type="dxa"/>
            </w:tcMar>
            <w:vAlign w:val="bottom"/>
            <w:hideMark/>
          </w:tcPr>
          <w:p w14:paraId="44112CA4" w14:textId="77777777" w:rsidR="00234A20" w:rsidRDefault="00234A20" w:rsidP="0019276A">
            <w:pPr>
              <w:rPr>
                <w:color w:val="000000"/>
                <w:sz w:val="18"/>
                <w:szCs w:val="18"/>
                <w:lang w:eastAsia="en-AU"/>
              </w:rPr>
            </w:pPr>
            <w:r>
              <w:rPr>
                <w:color w:val="000000"/>
                <w:sz w:val="18"/>
                <w:szCs w:val="18"/>
                <w:lang w:eastAsia="en-AU"/>
              </w:rPr>
              <w:t>8a</w:t>
            </w:r>
          </w:p>
        </w:tc>
      </w:tr>
      <w:tr w:rsidR="00234A20" w14:paraId="4432075F" w14:textId="77777777" w:rsidTr="0019276A">
        <w:trPr>
          <w:trHeight w:val="300"/>
        </w:trPr>
        <w:tc>
          <w:tcPr>
            <w:tcW w:w="3544" w:type="dxa"/>
            <w:noWrap/>
            <w:tcMar>
              <w:top w:w="0" w:type="dxa"/>
              <w:left w:w="108" w:type="dxa"/>
              <w:bottom w:w="0" w:type="dxa"/>
              <w:right w:w="108" w:type="dxa"/>
            </w:tcMar>
            <w:vAlign w:val="bottom"/>
            <w:hideMark/>
          </w:tcPr>
          <w:p w14:paraId="7A5C2E36" w14:textId="77777777" w:rsidR="00234A20" w:rsidRDefault="00234A20" w:rsidP="0019276A">
            <w:pPr>
              <w:rPr>
                <w:color w:val="000000"/>
                <w:sz w:val="18"/>
                <w:szCs w:val="18"/>
                <w:lang w:eastAsia="en-AU"/>
              </w:rPr>
            </w:pPr>
            <w:r>
              <w:rPr>
                <w:color w:val="000000"/>
                <w:sz w:val="18"/>
                <w:szCs w:val="18"/>
                <w:lang w:eastAsia="en-AU"/>
              </w:rPr>
              <w:t>Nursing and allied health professions</w:t>
            </w:r>
          </w:p>
        </w:tc>
        <w:tc>
          <w:tcPr>
            <w:tcW w:w="3571" w:type="dxa"/>
            <w:noWrap/>
            <w:tcMar>
              <w:top w:w="0" w:type="dxa"/>
              <w:left w:w="108" w:type="dxa"/>
              <w:bottom w:w="0" w:type="dxa"/>
              <w:right w:w="108" w:type="dxa"/>
            </w:tcMar>
            <w:vAlign w:val="bottom"/>
            <w:hideMark/>
          </w:tcPr>
          <w:p w14:paraId="3D65BE3C" w14:textId="77777777" w:rsidR="00234A20" w:rsidRDefault="00234A20" w:rsidP="0019276A">
            <w:pPr>
              <w:rPr>
                <w:color w:val="000000"/>
                <w:sz w:val="18"/>
                <w:szCs w:val="18"/>
                <w:lang w:eastAsia="en-AU"/>
              </w:rPr>
            </w:pPr>
            <w:r>
              <w:rPr>
                <w:color w:val="000000"/>
                <w:sz w:val="18"/>
                <w:szCs w:val="18"/>
                <w:lang w:eastAsia="en-AU"/>
              </w:rPr>
              <w:t>Health</w:t>
            </w:r>
          </w:p>
        </w:tc>
        <w:tc>
          <w:tcPr>
            <w:tcW w:w="1106" w:type="dxa"/>
            <w:noWrap/>
            <w:tcMar>
              <w:top w:w="0" w:type="dxa"/>
              <w:left w:w="108" w:type="dxa"/>
              <w:bottom w:w="0" w:type="dxa"/>
              <w:right w:w="108" w:type="dxa"/>
            </w:tcMar>
            <w:vAlign w:val="bottom"/>
            <w:hideMark/>
          </w:tcPr>
          <w:p w14:paraId="033FDDF1" w14:textId="77777777" w:rsidR="00234A20" w:rsidRDefault="00234A20" w:rsidP="0019276A">
            <w:pPr>
              <w:rPr>
                <w:color w:val="000000"/>
                <w:sz w:val="18"/>
                <w:szCs w:val="18"/>
                <w:lang w:eastAsia="en-AU"/>
              </w:rPr>
            </w:pPr>
            <w:r>
              <w:rPr>
                <w:color w:val="000000"/>
                <w:sz w:val="18"/>
                <w:szCs w:val="18"/>
                <w:lang w:eastAsia="en-AU"/>
              </w:rPr>
              <w:t>6</w:t>
            </w:r>
          </w:p>
        </w:tc>
      </w:tr>
      <w:tr w:rsidR="00234A20" w14:paraId="2E13E0F8" w14:textId="77777777" w:rsidTr="0019276A">
        <w:trPr>
          <w:trHeight w:val="300"/>
        </w:trPr>
        <w:tc>
          <w:tcPr>
            <w:tcW w:w="3544" w:type="dxa"/>
            <w:noWrap/>
            <w:tcMar>
              <w:top w:w="0" w:type="dxa"/>
              <w:left w:w="108" w:type="dxa"/>
              <w:bottom w:w="0" w:type="dxa"/>
              <w:right w:w="108" w:type="dxa"/>
            </w:tcMar>
            <w:vAlign w:val="bottom"/>
            <w:hideMark/>
          </w:tcPr>
          <w:p w14:paraId="4E51906B" w14:textId="77777777" w:rsidR="00234A20" w:rsidRDefault="00234A20" w:rsidP="0019276A">
            <w:pPr>
              <w:rPr>
                <w:color w:val="000000"/>
                <w:sz w:val="18"/>
                <w:szCs w:val="18"/>
                <w:lang w:eastAsia="en-AU"/>
              </w:rPr>
            </w:pPr>
            <w:r>
              <w:rPr>
                <w:color w:val="000000"/>
                <w:sz w:val="18"/>
                <w:szCs w:val="18"/>
                <w:lang w:eastAsia="en-AU"/>
              </w:rPr>
              <w:t>Psychology and behavioural sciences</w:t>
            </w:r>
          </w:p>
        </w:tc>
        <w:tc>
          <w:tcPr>
            <w:tcW w:w="3571" w:type="dxa"/>
            <w:noWrap/>
            <w:tcMar>
              <w:top w:w="0" w:type="dxa"/>
              <w:left w:w="108" w:type="dxa"/>
              <w:bottom w:w="0" w:type="dxa"/>
              <w:right w:w="108" w:type="dxa"/>
            </w:tcMar>
            <w:vAlign w:val="bottom"/>
            <w:hideMark/>
          </w:tcPr>
          <w:p w14:paraId="2A1E3F99" w14:textId="77777777" w:rsidR="00234A20" w:rsidRDefault="00234A20" w:rsidP="0019276A">
            <w:pPr>
              <w:rPr>
                <w:color w:val="000000"/>
                <w:sz w:val="18"/>
                <w:szCs w:val="18"/>
                <w:lang w:eastAsia="en-AU"/>
              </w:rPr>
            </w:pPr>
            <w:r>
              <w:rPr>
                <w:color w:val="000000"/>
                <w:sz w:val="18"/>
                <w:szCs w:val="18"/>
                <w:lang w:eastAsia="en-AU"/>
              </w:rPr>
              <w:t>Society and culture</w:t>
            </w:r>
          </w:p>
        </w:tc>
        <w:tc>
          <w:tcPr>
            <w:tcW w:w="1106" w:type="dxa"/>
            <w:noWrap/>
            <w:tcMar>
              <w:top w:w="0" w:type="dxa"/>
              <w:left w:w="108" w:type="dxa"/>
              <w:bottom w:w="0" w:type="dxa"/>
              <w:right w:w="108" w:type="dxa"/>
            </w:tcMar>
            <w:vAlign w:val="bottom"/>
            <w:hideMark/>
          </w:tcPr>
          <w:p w14:paraId="657AAB8B" w14:textId="77777777" w:rsidR="00234A20" w:rsidRDefault="00234A20" w:rsidP="0019276A">
            <w:pPr>
              <w:rPr>
                <w:color w:val="000000"/>
                <w:sz w:val="18"/>
                <w:szCs w:val="18"/>
                <w:lang w:eastAsia="en-AU"/>
              </w:rPr>
            </w:pPr>
            <w:r>
              <w:rPr>
                <w:color w:val="000000"/>
                <w:sz w:val="18"/>
                <w:szCs w:val="18"/>
                <w:lang w:eastAsia="en-AU"/>
              </w:rPr>
              <w:t>5a</w:t>
            </w:r>
          </w:p>
        </w:tc>
      </w:tr>
      <w:tr w:rsidR="00234A20" w14:paraId="6478F695" w14:textId="77777777" w:rsidTr="0019276A">
        <w:trPr>
          <w:trHeight w:val="300"/>
        </w:trPr>
        <w:tc>
          <w:tcPr>
            <w:tcW w:w="3544" w:type="dxa"/>
            <w:noWrap/>
            <w:tcMar>
              <w:top w:w="0" w:type="dxa"/>
              <w:left w:w="108" w:type="dxa"/>
              <w:bottom w:w="0" w:type="dxa"/>
              <w:right w:w="108" w:type="dxa"/>
            </w:tcMar>
            <w:vAlign w:val="bottom"/>
            <w:hideMark/>
          </w:tcPr>
          <w:p w14:paraId="4BAA4C08" w14:textId="77777777" w:rsidR="00234A20" w:rsidRDefault="00234A20" w:rsidP="0019276A">
            <w:pPr>
              <w:rPr>
                <w:color w:val="000000"/>
                <w:sz w:val="18"/>
                <w:szCs w:val="18"/>
                <w:lang w:eastAsia="en-AU"/>
              </w:rPr>
            </w:pPr>
            <w:r>
              <w:rPr>
                <w:color w:val="000000"/>
                <w:sz w:val="18"/>
                <w:szCs w:val="18"/>
                <w:lang w:eastAsia="en-AU"/>
              </w:rPr>
              <w:t>Health and community studies</w:t>
            </w:r>
          </w:p>
        </w:tc>
        <w:tc>
          <w:tcPr>
            <w:tcW w:w="3571" w:type="dxa"/>
            <w:noWrap/>
            <w:tcMar>
              <w:top w:w="0" w:type="dxa"/>
              <w:left w:w="108" w:type="dxa"/>
              <w:bottom w:w="0" w:type="dxa"/>
              <w:right w:w="108" w:type="dxa"/>
            </w:tcMar>
            <w:vAlign w:val="bottom"/>
            <w:hideMark/>
          </w:tcPr>
          <w:p w14:paraId="5F33A2C0" w14:textId="77777777" w:rsidR="00234A20" w:rsidRDefault="00234A20" w:rsidP="0019276A">
            <w:pPr>
              <w:rPr>
                <w:color w:val="000000"/>
                <w:sz w:val="18"/>
                <w:szCs w:val="18"/>
                <w:lang w:eastAsia="en-AU"/>
              </w:rPr>
            </w:pPr>
            <w:r>
              <w:rPr>
                <w:color w:val="000000"/>
                <w:sz w:val="18"/>
                <w:szCs w:val="18"/>
                <w:lang w:eastAsia="en-AU"/>
              </w:rPr>
              <w:t>Health</w:t>
            </w:r>
          </w:p>
        </w:tc>
        <w:tc>
          <w:tcPr>
            <w:tcW w:w="1106" w:type="dxa"/>
            <w:noWrap/>
            <w:tcMar>
              <w:top w:w="0" w:type="dxa"/>
              <w:left w:w="108" w:type="dxa"/>
              <w:bottom w:w="0" w:type="dxa"/>
              <w:right w:w="108" w:type="dxa"/>
            </w:tcMar>
            <w:vAlign w:val="bottom"/>
            <w:hideMark/>
          </w:tcPr>
          <w:p w14:paraId="5AF78367" w14:textId="77777777" w:rsidR="00234A20" w:rsidRDefault="00234A20" w:rsidP="0019276A">
            <w:pPr>
              <w:rPr>
                <w:color w:val="000000"/>
                <w:sz w:val="18"/>
                <w:szCs w:val="18"/>
                <w:lang w:eastAsia="en-AU"/>
              </w:rPr>
            </w:pPr>
            <w:r>
              <w:rPr>
                <w:color w:val="000000"/>
                <w:sz w:val="18"/>
                <w:szCs w:val="18"/>
                <w:lang w:eastAsia="en-AU"/>
              </w:rPr>
              <w:t>3a</w:t>
            </w:r>
          </w:p>
        </w:tc>
      </w:tr>
      <w:tr w:rsidR="00234A20" w14:paraId="59B8A6B1" w14:textId="77777777" w:rsidTr="0019276A">
        <w:trPr>
          <w:trHeight w:val="300"/>
        </w:trPr>
        <w:tc>
          <w:tcPr>
            <w:tcW w:w="3544" w:type="dxa"/>
            <w:noWrap/>
            <w:tcMar>
              <w:top w:w="0" w:type="dxa"/>
              <w:left w:w="108" w:type="dxa"/>
              <w:bottom w:w="0" w:type="dxa"/>
              <w:right w:w="108" w:type="dxa"/>
            </w:tcMar>
            <w:vAlign w:val="bottom"/>
            <w:hideMark/>
          </w:tcPr>
          <w:p w14:paraId="0F98AF1D" w14:textId="77777777" w:rsidR="00234A20" w:rsidRDefault="00234A20" w:rsidP="0019276A">
            <w:pPr>
              <w:rPr>
                <w:color w:val="000000"/>
                <w:sz w:val="18"/>
                <w:szCs w:val="18"/>
                <w:lang w:eastAsia="en-AU"/>
              </w:rPr>
            </w:pPr>
            <w:r>
              <w:rPr>
                <w:color w:val="000000"/>
                <w:sz w:val="18"/>
                <w:szCs w:val="18"/>
                <w:lang w:eastAsia="en-AU"/>
              </w:rPr>
              <w:t>Anatomy and physiology</w:t>
            </w:r>
          </w:p>
        </w:tc>
        <w:tc>
          <w:tcPr>
            <w:tcW w:w="3571" w:type="dxa"/>
            <w:noWrap/>
            <w:tcMar>
              <w:top w:w="0" w:type="dxa"/>
              <w:left w:w="108" w:type="dxa"/>
              <w:bottom w:w="0" w:type="dxa"/>
              <w:right w:w="108" w:type="dxa"/>
            </w:tcMar>
            <w:vAlign w:val="bottom"/>
            <w:hideMark/>
          </w:tcPr>
          <w:p w14:paraId="6F829E1C" w14:textId="77777777" w:rsidR="00234A20" w:rsidRDefault="00234A20" w:rsidP="0019276A">
            <w:pPr>
              <w:rPr>
                <w:color w:val="000000"/>
                <w:sz w:val="18"/>
                <w:szCs w:val="18"/>
                <w:lang w:eastAsia="en-AU"/>
              </w:rPr>
            </w:pPr>
            <w:r>
              <w:rPr>
                <w:color w:val="000000"/>
                <w:sz w:val="18"/>
                <w:szCs w:val="18"/>
                <w:lang w:eastAsia="en-AU"/>
              </w:rPr>
              <w:t>Natural and physical sciences</w:t>
            </w:r>
          </w:p>
        </w:tc>
        <w:tc>
          <w:tcPr>
            <w:tcW w:w="1106" w:type="dxa"/>
            <w:noWrap/>
            <w:tcMar>
              <w:top w:w="0" w:type="dxa"/>
              <w:left w:w="108" w:type="dxa"/>
              <w:bottom w:w="0" w:type="dxa"/>
              <w:right w:w="108" w:type="dxa"/>
            </w:tcMar>
            <w:vAlign w:val="bottom"/>
            <w:hideMark/>
          </w:tcPr>
          <w:p w14:paraId="00F88951" w14:textId="77777777" w:rsidR="00234A20" w:rsidRDefault="00234A20" w:rsidP="0019276A">
            <w:pPr>
              <w:rPr>
                <w:color w:val="000000"/>
                <w:sz w:val="18"/>
                <w:szCs w:val="18"/>
                <w:lang w:eastAsia="en-AU"/>
              </w:rPr>
            </w:pPr>
            <w:r>
              <w:rPr>
                <w:color w:val="000000"/>
                <w:sz w:val="18"/>
                <w:szCs w:val="18"/>
                <w:lang w:eastAsia="en-AU"/>
              </w:rPr>
              <w:t>7</w:t>
            </w:r>
          </w:p>
        </w:tc>
      </w:tr>
      <w:tr w:rsidR="00234A20" w14:paraId="61B3F5C5" w14:textId="77777777" w:rsidTr="0019276A">
        <w:trPr>
          <w:trHeight w:val="300"/>
        </w:trPr>
        <w:tc>
          <w:tcPr>
            <w:tcW w:w="3544" w:type="dxa"/>
            <w:noWrap/>
            <w:tcMar>
              <w:top w:w="0" w:type="dxa"/>
              <w:left w:w="108" w:type="dxa"/>
              <w:bottom w:w="0" w:type="dxa"/>
              <w:right w:w="108" w:type="dxa"/>
            </w:tcMar>
            <w:vAlign w:val="bottom"/>
            <w:hideMark/>
          </w:tcPr>
          <w:p w14:paraId="1BDFABF8" w14:textId="77777777" w:rsidR="00234A20" w:rsidRDefault="00234A20" w:rsidP="0019276A">
            <w:pPr>
              <w:rPr>
                <w:color w:val="000000"/>
                <w:sz w:val="18"/>
                <w:szCs w:val="18"/>
                <w:lang w:eastAsia="en-AU"/>
              </w:rPr>
            </w:pPr>
            <w:r>
              <w:rPr>
                <w:color w:val="000000"/>
                <w:sz w:val="18"/>
                <w:szCs w:val="18"/>
                <w:lang w:eastAsia="en-AU"/>
              </w:rPr>
              <w:t>Pharmacy and pharmacology</w:t>
            </w:r>
          </w:p>
        </w:tc>
        <w:tc>
          <w:tcPr>
            <w:tcW w:w="3571" w:type="dxa"/>
            <w:noWrap/>
            <w:tcMar>
              <w:top w:w="0" w:type="dxa"/>
              <w:left w:w="108" w:type="dxa"/>
              <w:bottom w:w="0" w:type="dxa"/>
              <w:right w:w="108" w:type="dxa"/>
            </w:tcMar>
            <w:vAlign w:val="bottom"/>
            <w:hideMark/>
          </w:tcPr>
          <w:p w14:paraId="6ED51BF6" w14:textId="77777777" w:rsidR="00234A20" w:rsidRDefault="00234A20" w:rsidP="0019276A">
            <w:pPr>
              <w:rPr>
                <w:color w:val="000000"/>
                <w:sz w:val="18"/>
                <w:szCs w:val="18"/>
                <w:lang w:eastAsia="en-AU"/>
              </w:rPr>
            </w:pPr>
            <w:r>
              <w:rPr>
                <w:color w:val="000000"/>
                <w:sz w:val="18"/>
                <w:szCs w:val="18"/>
                <w:lang w:eastAsia="en-AU"/>
              </w:rPr>
              <w:t>Health</w:t>
            </w:r>
          </w:p>
        </w:tc>
        <w:tc>
          <w:tcPr>
            <w:tcW w:w="1106" w:type="dxa"/>
            <w:noWrap/>
            <w:tcMar>
              <w:top w:w="0" w:type="dxa"/>
              <w:left w:w="108" w:type="dxa"/>
              <w:bottom w:w="0" w:type="dxa"/>
              <w:right w:w="108" w:type="dxa"/>
            </w:tcMar>
            <w:vAlign w:val="bottom"/>
            <w:hideMark/>
          </w:tcPr>
          <w:p w14:paraId="009EA887" w14:textId="77777777" w:rsidR="00234A20" w:rsidRDefault="00234A20" w:rsidP="0019276A">
            <w:pPr>
              <w:rPr>
                <w:color w:val="000000"/>
                <w:sz w:val="18"/>
                <w:szCs w:val="18"/>
                <w:lang w:eastAsia="en-AU"/>
              </w:rPr>
            </w:pPr>
            <w:r>
              <w:rPr>
                <w:color w:val="000000"/>
                <w:sz w:val="18"/>
                <w:szCs w:val="18"/>
                <w:lang w:eastAsia="en-AU"/>
              </w:rPr>
              <w:t>7</w:t>
            </w:r>
          </w:p>
        </w:tc>
      </w:tr>
      <w:tr w:rsidR="00234A20" w14:paraId="7D5CF3DC" w14:textId="77777777" w:rsidTr="0019276A">
        <w:trPr>
          <w:trHeight w:val="300"/>
        </w:trPr>
        <w:tc>
          <w:tcPr>
            <w:tcW w:w="3544" w:type="dxa"/>
            <w:noWrap/>
            <w:tcMar>
              <w:top w:w="0" w:type="dxa"/>
              <w:left w:w="108" w:type="dxa"/>
              <w:bottom w:w="0" w:type="dxa"/>
              <w:right w:w="108" w:type="dxa"/>
            </w:tcMar>
            <w:vAlign w:val="bottom"/>
            <w:hideMark/>
          </w:tcPr>
          <w:p w14:paraId="4FE85F48" w14:textId="77777777" w:rsidR="00234A20" w:rsidRDefault="00234A20" w:rsidP="0019276A">
            <w:pPr>
              <w:rPr>
                <w:color w:val="000000"/>
                <w:sz w:val="18"/>
                <w:szCs w:val="18"/>
                <w:lang w:eastAsia="en-AU"/>
              </w:rPr>
            </w:pPr>
            <w:r>
              <w:rPr>
                <w:color w:val="000000"/>
                <w:sz w:val="18"/>
                <w:szCs w:val="18"/>
                <w:lang w:eastAsia="en-AU"/>
              </w:rPr>
              <w:t>Sports science and leisure studies</w:t>
            </w:r>
          </w:p>
        </w:tc>
        <w:tc>
          <w:tcPr>
            <w:tcW w:w="3571" w:type="dxa"/>
            <w:noWrap/>
            <w:tcMar>
              <w:top w:w="0" w:type="dxa"/>
              <w:left w:w="108" w:type="dxa"/>
              <w:bottom w:w="0" w:type="dxa"/>
              <w:right w:w="108" w:type="dxa"/>
            </w:tcMar>
            <w:vAlign w:val="bottom"/>
            <w:hideMark/>
          </w:tcPr>
          <w:p w14:paraId="209C34DC" w14:textId="77777777" w:rsidR="00234A20" w:rsidRDefault="00234A20" w:rsidP="0019276A">
            <w:pPr>
              <w:rPr>
                <w:color w:val="000000"/>
                <w:sz w:val="18"/>
                <w:szCs w:val="18"/>
                <w:lang w:eastAsia="en-AU"/>
              </w:rPr>
            </w:pPr>
            <w:r>
              <w:rPr>
                <w:color w:val="000000"/>
                <w:sz w:val="18"/>
                <w:szCs w:val="18"/>
                <w:lang w:eastAsia="en-AU"/>
              </w:rPr>
              <w:t>Society and culture</w:t>
            </w:r>
          </w:p>
        </w:tc>
        <w:tc>
          <w:tcPr>
            <w:tcW w:w="1106" w:type="dxa"/>
            <w:noWrap/>
            <w:tcMar>
              <w:top w:w="0" w:type="dxa"/>
              <w:left w:w="108" w:type="dxa"/>
              <w:bottom w:w="0" w:type="dxa"/>
              <w:right w:w="108" w:type="dxa"/>
            </w:tcMar>
            <w:vAlign w:val="bottom"/>
            <w:hideMark/>
          </w:tcPr>
          <w:p w14:paraId="23A49E63" w14:textId="77777777" w:rsidR="00234A20" w:rsidRDefault="00234A20" w:rsidP="0019276A">
            <w:pPr>
              <w:rPr>
                <w:color w:val="000000"/>
                <w:sz w:val="18"/>
                <w:szCs w:val="18"/>
                <w:lang w:eastAsia="en-AU"/>
              </w:rPr>
            </w:pPr>
            <w:r>
              <w:rPr>
                <w:color w:val="000000"/>
                <w:sz w:val="18"/>
                <w:szCs w:val="18"/>
                <w:lang w:eastAsia="en-AU"/>
              </w:rPr>
              <w:t>3b</w:t>
            </w:r>
          </w:p>
        </w:tc>
      </w:tr>
      <w:tr w:rsidR="00234A20" w14:paraId="11852D7D" w14:textId="77777777" w:rsidTr="0019276A">
        <w:trPr>
          <w:trHeight w:val="300"/>
        </w:trPr>
        <w:tc>
          <w:tcPr>
            <w:tcW w:w="3544" w:type="dxa"/>
            <w:noWrap/>
            <w:tcMar>
              <w:top w:w="0" w:type="dxa"/>
              <w:left w:w="108" w:type="dxa"/>
              <w:bottom w:w="0" w:type="dxa"/>
              <w:right w:w="108" w:type="dxa"/>
            </w:tcMar>
            <w:vAlign w:val="bottom"/>
            <w:hideMark/>
          </w:tcPr>
          <w:p w14:paraId="72042C17" w14:textId="77777777" w:rsidR="00234A20" w:rsidRDefault="00234A20" w:rsidP="0019276A">
            <w:pPr>
              <w:rPr>
                <w:color w:val="000000"/>
                <w:sz w:val="18"/>
                <w:szCs w:val="18"/>
                <w:lang w:eastAsia="en-AU"/>
              </w:rPr>
            </w:pPr>
            <w:r>
              <w:rPr>
                <w:color w:val="000000"/>
                <w:sz w:val="18"/>
                <w:szCs w:val="18"/>
                <w:lang w:eastAsia="en-AU"/>
              </w:rPr>
              <w:t>Veterinary science</w:t>
            </w:r>
          </w:p>
        </w:tc>
        <w:tc>
          <w:tcPr>
            <w:tcW w:w="3571" w:type="dxa"/>
            <w:noWrap/>
            <w:tcMar>
              <w:top w:w="0" w:type="dxa"/>
              <w:left w:w="108" w:type="dxa"/>
              <w:bottom w:w="0" w:type="dxa"/>
              <w:right w:w="108" w:type="dxa"/>
            </w:tcMar>
            <w:vAlign w:val="bottom"/>
            <w:hideMark/>
          </w:tcPr>
          <w:p w14:paraId="251C6139" w14:textId="77777777" w:rsidR="00234A20" w:rsidRDefault="00234A20" w:rsidP="0019276A">
            <w:pPr>
              <w:rPr>
                <w:color w:val="000000"/>
                <w:sz w:val="18"/>
                <w:szCs w:val="18"/>
                <w:lang w:eastAsia="en-AU"/>
              </w:rPr>
            </w:pPr>
            <w:r>
              <w:rPr>
                <w:color w:val="000000"/>
                <w:sz w:val="18"/>
                <w:szCs w:val="18"/>
                <w:lang w:eastAsia="en-AU"/>
              </w:rPr>
              <w:t>Health</w:t>
            </w:r>
          </w:p>
        </w:tc>
        <w:tc>
          <w:tcPr>
            <w:tcW w:w="1106" w:type="dxa"/>
            <w:noWrap/>
            <w:tcMar>
              <w:top w:w="0" w:type="dxa"/>
              <w:left w:w="108" w:type="dxa"/>
              <w:bottom w:w="0" w:type="dxa"/>
              <w:right w:w="108" w:type="dxa"/>
            </w:tcMar>
            <w:vAlign w:val="bottom"/>
            <w:hideMark/>
          </w:tcPr>
          <w:p w14:paraId="4CCA8CB7" w14:textId="77777777" w:rsidR="00234A20" w:rsidRDefault="00234A20" w:rsidP="0019276A">
            <w:pPr>
              <w:rPr>
                <w:color w:val="000000"/>
                <w:sz w:val="18"/>
                <w:szCs w:val="18"/>
                <w:lang w:eastAsia="en-AU"/>
              </w:rPr>
            </w:pPr>
            <w:r>
              <w:rPr>
                <w:color w:val="000000"/>
                <w:sz w:val="18"/>
                <w:szCs w:val="18"/>
                <w:lang w:eastAsia="en-AU"/>
              </w:rPr>
              <w:t>8a</w:t>
            </w:r>
          </w:p>
        </w:tc>
      </w:tr>
      <w:tr w:rsidR="00234A20" w14:paraId="7DB1AB9F" w14:textId="77777777" w:rsidTr="0019276A">
        <w:trPr>
          <w:trHeight w:val="300"/>
        </w:trPr>
        <w:tc>
          <w:tcPr>
            <w:tcW w:w="3544" w:type="dxa"/>
            <w:noWrap/>
            <w:tcMar>
              <w:top w:w="0" w:type="dxa"/>
              <w:left w:w="108" w:type="dxa"/>
              <w:bottom w:w="0" w:type="dxa"/>
              <w:right w:w="108" w:type="dxa"/>
            </w:tcMar>
            <w:vAlign w:val="bottom"/>
            <w:hideMark/>
          </w:tcPr>
          <w:p w14:paraId="3D2EC231" w14:textId="77777777" w:rsidR="00234A20" w:rsidRDefault="00234A20" w:rsidP="0019276A">
            <w:pPr>
              <w:rPr>
                <w:color w:val="000000"/>
                <w:sz w:val="18"/>
                <w:szCs w:val="18"/>
                <w:lang w:eastAsia="en-AU"/>
              </w:rPr>
            </w:pPr>
            <w:r>
              <w:rPr>
                <w:color w:val="000000"/>
                <w:sz w:val="18"/>
                <w:szCs w:val="18"/>
                <w:lang w:eastAsia="en-AU"/>
              </w:rPr>
              <w:t>Agriculture, forestry and food science</w:t>
            </w:r>
          </w:p>
        </w:tc>
        <w:tc>
          <w:tcPr>
            <w:tcW w:w="3571" w:type="dxa"/>
            <w:noWrap/>
            <w:tcMar>
              <w:top w:w="0" w:type="dxa"/>
              <w:left w:w="108" w:type="dxa"/>
              <w:bottom w:w="0" w:type="dxa"/>
              <w:right w:w="108" w:type="dxa"/>
            </w:tcMar>
            <w:vAlign w:val="bottom"/>
            <w:hideMark/>
          </w:tcPr>
          <w:p w14:paraId="45DCAAF7" w14:textId="77777777" w:rsidR="00234A20" w:rsidRDefault="00234A20" w:rsidP="0019276A">
            <w:pPr>
              <w:rPr>
                <w:color w:val="000000"/>
                <w:sz w:val="18"/>
                <w:szCs w:val="18"/>
                <w:lang w:eastAsia="en-AU"/>
              </w:rPr>
            </w:pPr>
            <w:r>
              <w:rPr>
                <w:color w:val="000000"/>
                <w:sz w:val="18"/>
                <w:szCs w:val="18"/>
                <w:lang w:eastAsia="en-AU"/>
              </w:rPr>
              <w:t>Agriculture, environmental and related studies</w:t>
            </w:r>
          </w:p>
        </w:tc>
        <w:tc>
          <w:tcPr>
            <w:tcW w:w="1106" w:type="dxa"/>
            <w:noWrap/>
            <w:tcMar>
              <w:top w:w="0" w:type="dxa"/>
              <w:left w:w="108" w:type="dxa"/>
              <w:bottom w:w="0" w:type="dxa"/>
              <w:right w:w="108" w:type="dxa"/>
            </w:tcMar>
            <w:vAlign w:val="bottom"/>
            <w:hideMark/>
          </w:tcPr>
          <w:p w14:paraId="3D97A56A" w14:textId="77777777" w:rsidR="00234A20" w:rsidRDefault="00234A20" w:rsidP="0019276A">
            <w:pPr>
              <w:rPr>
                <w:color w:val="000000"/>
                <w:sz w:val="18"/>
                <w:szCs w:val="18"/>
                <w:lang w:eastAsia="en-AU"/>
              </w:rPr>
            </w:pPr>
            <w:r>
              <w:rPr>
                <w:color w:val="000000"/>
                <w:sz w:val="18"/>
                <w:szCs w:val="18"/>
                <w:lang w:eastAsia="en-AU"/>
              </w:rPr>
              <w:t>8b</w:t>
            </w:r>
          </w:p>
        </w:tc>
      </w:tr>
      <w:tr w:rsidR="00234A20" w14:paraId="4094B3C3" w14:textId="77777777" w:rsidTr="0019276A">
        <w:trPr>
          <w:trHeight w:val="300"/>
        </w:trPr>
        <w:tc>
          <w:tcPr>
            <w:tcW w:w="3544" w:type="dxa"/>
            <w:noWrap/>
            <w:tcMar>
              <w:top w:w="0" w:type="dxa"/>
              <w:left w:w="108" w:type="dxa"/>
              <w:bottom w:w="0" w:type="dxa"/>
              <w:right w:w="108" w:type="dxa"/>
            </w:tcMar>
            <w:vAlign w:val="bottom"/>
            <w:hideMark/>
          </w:tcPr>
          <w:p w14:paraId="2411E3FB" w14:textId="77777777" w:rsidR="00234A20" w:rsidRDefault="00234A20" w:rsidP="0019276A">
            <w:pPr>
              <w:rPr>
                <w:color w:val="000000"/>
                <w:sz w:val="18"/>
                <w:szCs w:val="18"/>
                <w:lang w:eastAsia="en-AU"/>
              </w:rPr>
            </w:pPr>
            <w:r>
              <w:rPr>
                <w:color w:val="000000"/>
                <w:sz w:val="18"/>
                <w:szCs w:val="18"/>
                <w:lang w:eastAsia="en-AU"/>
              </w:rPr>
              <w:t>Earth, marine and environmental sciences</w:t>
            </w:r>
          </w:p>
        </w:tc>
        <w:tc>
          <w:tcPr>
            <w:tcW w:w="3571" w:type="dxa"/>
            <w:noWrap/>
            <w:tcMar>
              <w:top w:w="0" w:type="dxa"/>
              <w:left w:w="108" w:type="dxa"/>
              <w:bottom w:w="0" w:type="dxa"/>
              <w:right w:w="108" w:type="dxa"/>
            </w:tcMar>
            <w:vAlign w:val="bottom"/>
            <w:hideMark/>
          </w:tcPr>
          <w:p w14:paraId="5D63D957" w14:textId="77777777" w:rsidR="00234A20" w:rsidRDefault="00234A20" w:rsidP="0019276A">
            <w:pPr>
              <w:rPr>
                <w:color w:val="000000"/>
                <w:sz w:val="18"/>
                <w:szCs w:val="18"/>
                <w:lang w:eastAsia="en-AU"/>
              </w:rPr>
            </w:pPr>
            <w:r>
              <w:rPr>
                <w:color w:val="000000"/>
                <w:sz w:val="18"/>
                <w:szCs w:val="18"/>
                <w:lang w:eastAsia="en-AU"/>
              </w:rPr>
              <w:t>Agriculture, environmental and related studies</w:t>
            </w:r>
          </w:p>
        </w:tc>
        <w:tc>
          <w:tcPr>
            <w:tcW w:w="1106" w:type="dxa"/>
            <w:noWrap/>
            <w:tcMar>
              <w:top w:w="0" w:type="dxa"/>
              <w:left w:w="108" w:type="dxa"/>
              <w:bottom w:w="0" w:type="dxa"/>
              <w:right w:w="108" w:type="dxa"/>
            </w:tcMar>
            <w:vAlign w:val="bottom"/>
            <w:hideMark/>
          </w:tcPr>
          <w:p w14:paraId="5A95D18B" w14:textId="77777777" w:rsidR="00234A20" w:rsidRDefault="00234A20" w:rsidP="0019276A">
            <w:pPr>
              <w:rPr>
                <w:color w:val="000000"/>
                <w:sz w:val="18"/>
                <w:szCs w:val="18"/>
                <w:lang w:eastAsia="en-AU"/>
              </w:rPr>
            </w:pPr>
            <w:r>
              <w:rPr>
                <w:color w:val="000000"/>
                <w:sz w:val="18"/>
                <w:szCs w:val="18"/>
                <w:lang w:eastAsia="en-AU"/>
              </w:rPr>
              <w:t>8b</w:t>
            </w:r>
          </w:p>
        </w:tc>
      </w:tr>
      <w:tr w:rsidR="00234A20" w14:paraId="3AB8FC34" w14:textId="77777777" w:rsidTr="0019276A">
        <w:trPr>
          <w:trHeight w:val="300"/>
        </w:trPr>
        <w:tc>
          <w:tcPr>
            <w:tcW w:w="3544" w:type="dxa"/>
            <w:noWrap/>
            <w:tcMar>
              <w:top w:w="0" w:type="dxa"/>
              <w:left w:w="108" w:type="dxa"/>
              <w:bottom w:w="0" w:type="dxa"/>
              <w:right w:w="108" w:type="dxa"/>
            </w:tcMar>
            <w:vAlign w:val="bottom"/>
            <w:hideMark/>
          </w:tcPr>
          <w:p w14:paraId="23C119C1" w14:textId="77777777" w:rsidR="00234A20" w:rsidRDefault="00234A20" w:rsidP="0019276A">
            <w:pPr>
              <w:rPr>
                <w:color w:val="000000"/>
                <w:sz w:val="18"/>
                <w:szCs w:val="18"/>
                <w:lang w:eastAsia="en-AU"/>
              </w:rPr>
            </w:pPr>
            <w:r>
              <w:rPr>
                <w:color w:val="000000"/>
                <w:sz w:val="18"/>
                <w:szCs w:val="18"/>
                <w:lang w:eastAsia="en-AU"/>
              </w:rPr>
              <w:t>Biosciences</w:t>
            </w:r>
          </w:p>
        </w:tc>
        <w:tc>
          <w:tcPr>
            <w:tcW w:w="3571" w:type="dxa"/>
            <w:noWrap/>
            <w:tcMar>
              <w:top w:w="0" w:type="dxa"/>
              <w:left w:w="108" w:type="dxa"/>
              <w:bottom w:w="0" w:type="dxa"/>
              <w:right w:w="108" w:type="dxa"/>
            </w:tcMar>
            <w:vAlign w:val="bottom"/>
            <w:hideMark/>
          </w:tcPr>
          <w:p w14:paraId="4205D9C1" w14:textId="77777777" w:rsidR="00234A20" w:rsidRDefault="00234A20" w:rsidP="0019276A">
            <w:pPr>
              <w:rPr>
                <w:color w:val="000000"/>
                <w:sz w:val="18"/>
                <w:szCs w:val="18"/>
                <w:lang w:eastAsia="en-AU"/>
              </w:rPr>
            </w:pPr>
            <w:r>
              <w:rPr>
                <w:color w:val="000000"/>
                <w:sz w:val="18"/>
                <w:szCs w:val="18"/>
                <w:lang w:eastAsia="en-AU"/>
              </w:rPr>
              <w:t>Natural and physical sciences</w:t>
            </w:r>
          </w:p>
        </w:tc>
        <w:tc>
          <w:tcPr>
            <w:tcW w:w="1106" w:type="dxa"/>
            <w:noWrap/>
            <w:tcMar>
              <w:top w:w="0" w:type="dxa"/>
              <w:left w:w="108" w:type="dxa"/>
              <w:bottom w:w="0" w:type="dxa"/>
              <w:right w:w="108" w:type="dxa"/>
            </w:tcMar>
            <w:vAlign w:val="bottom"/>
            <w:hideMark/>
          </w:tcPr>
          <w:p w14:paraId="757F9661" w14:textId="77777777" w:rsidR="00234A20" w:rsidRDefault="00234A20" w:rsidP="0019276A">
            <w:pPr>
              <w:rPr>
                <w:color w:val="000000"/>
                <w:sz w:val="18"/>
                <w:szCs w:val="18"/>
                <w:lang w:eastAsia="en-AU"/>
              </w:rPr>
            </w:pPr>
            <w:r>
              <w:rPr>
                <w:color w:val="000000"/>
                <w:sz w:val="18"/>
                <w:szCs w:val="18"/>
                <w:lang w:eastAsia="en-AU"/>
              </w:rPr>
              <w:t>7</w:t>
            </w:r>
          </w:p>
        </w:tc>
      </w:tr>
      <w:tr w:rsidR="00234A20" w14:paraId="630FF7CE" w14:textId="77777777" w:rsidTr="0019276A">
        <w:trPr>
          <w:trHeight w:val="300"/>
        </w:trPr>
        <w:tc>
          <w:tcPr>
            <w:tcW w:w="3544" w:type="dxa"/>
            <w:noWrap/>
            <w:tcMar>
              <w:top w:w="0" w:type="dxa"/>
              <w:left w:w="108" w:type="dxa"/>
              <w:bottom w:w="0" w:type="dxa"/>
              <w:right w:w="108" w:type="dxa"/>
            </w:tcMar>
            <w:vAlign w:val="bottom"/>
            <w:hideMark/>
          </w:tcPr>
          <w:p w14:paraId="65B01F32" w14:textId="77777777" w:rsidR="00234A20" w:rsidRDefault="00234A20" w:rsidP="0019276A">
            <w:pPr>
              <w:rPr>
                <w:color w:val="000000"/>
                <w:sz w:val="18"/>
                <w:szCs w:val="18"/>
                <w:lang w:eastAsia="en-AU"/>
              </w:rPr>
            </w:pPr>
            <w:r>
              <w:rPr>
                <w:color w:val="000000"/>
                <w:sz w:val="18"/>
                <w:szCs w:val="18"/>
                <w:lang w:eastAsia="en-AU"/>
              </w:rPr>
              <w:t>Chemistry</w:t>
            </w:r>
          </w:p>
        </w:tc>
        <w:tc>
          <w:tcPr>
            <w:tcW w:w="3571" w:type="dxa"/>
            <w:noWrap/>
            <w:tcMar>
              <w:top w:w="0" w:type="dxa"/>
              <w:left w:w="108" w:type="dxa"/>
              <w:bottom w:w="0" w:type="dxa"/>
              <w:right w:w="108" w:type="dxa"/>
            </w:tcMar>
            <w:vAlign w:val="bottom"/>
            <w:hideMark/>
          </w:tcPr>
          <w:p w14:paraId="30A9A5DE" w14:textId="77777777" w:rsidR="00234A20" w:rsidRDefault="00234A20" w:rsidP="0019276A">
            <w:pPr>
              <w:rPr>
                <w:color w:val="000000"/>
                <w:sz w:val="18"/>
                <w:szCs w:val="18"/>
                <w:lang w:eastAsia="en-AU"/>
              </w:rPr>
            </w:pPr>
            <w:r>
              <w:rPr>
                <w:color w:val="000000"/>
                <w:sz w:val="18"/>
                <w:szCs w:val="18"/>
                <w:lang w:eastAsia="en-AU"/>
              </w:rPr>
              <w:t>Natural and physical sciences</w:t>
            </w:r>
          </w:p>
        </w:tc>
        <w:tc>
          <w:tcPr>
            <w:tcW w:w="1106" w:type="dxa"/>
            <w:noWrap/>
            <w:tcMar>
              <w:top w:w="0" w:type="dxa"/>
              <w:left w:w="108" w:type="dxa"/>
              <w:bottom w:w="0" w:type="dxa"/>
              <w:right w:w="108" w:type="dxa"/>
            </w:tcMar>
            <w:vAlign w:val="bottom"/>
            <w:hideMark/>
          </w:tcPr>
          <w:p w14:paraId="774D1448" w14:textId="77777777" w:rsidR="00234A20" w:rsidRDefault="00234A20" w:rsidP="0019276A">
            <w:pPr>
              <w:rPr>
                <w:color w:val="000000"/>
                <w:sz w:val="18"/>
                <w:szCs w:val="18"/>
                <w:lang w:eastAsia="en-AU"/>
              </w:rPr>
            </w:pPr>
            <w:r>
              <w:rPr>
                <w:color w:val="000000"/>
                <w:sz w:val="18"/>
                <w:szCs w:val="18"/>
                <w:lang w:eastAsia="en-AU"/>
              </w:rPr>
              <w:t>7</w:t>
            </w:r>
          </w:p>
        </w:tc>
      </w:tr>
      <w:tr w:rsidR="00234A20" w14:paraId="4B3831E3" w14:textId="77777777" w:rsidTr="0019276A">
        <w:trPr>
          <w:trHeight w:val="300"/>
        </w:trPr>
        <w:tc>
          <w:tcPr>
            <w:tcW w:w="3544" w:type="dxa"/>
            <w:noWrap/>
            <w:tcMar>
              <w:top w:w="0" w:type="dxa"/>
              <w:left w:w="108" w:type="dxa"/>
              <w:bottom w:w="0" w:type="dxa"/>
              <w:right w:w="108" w:type="dxa"/>
            </w:tcMar>
            <w:vAlign w:val="bottom"/>
            <w:hideMark/>
          </w:tcPr>
          <w:p w14:paraId="76A2782B" w14:textId="77777777" w:rsidR="00234A20" w:rsidRDefault="00234A20" w:rsidP="0019276A">
            <w:pPr>
              <w:rPr>
                <w:color w:val="000000"/>
                <w:sz w:val="18"/>
                <w:szCs w:val="18"/>
                <w:lang w:eastAsia="en-AU"/>
              </w:rPr>
            </w:pPr>
            <w:r>
              <w:rPr>
                <w:color w:val="000000"/>
                <w:sz w:val="18"/>
                <w:szCs w:val="18"/>
                <w:lang w:eastAsia="en-AU"/>
              </w:rPr>
              <w:t>Physics</w:t>
            </w:r>
          </w:p>
        </w:tc>
        <w:tc>
          <w:tcPr>
            <w:tcW w:w="3571" w:type="dxa"/>
            <w:noWrap/>
            <w:tcMar>
              <w:top w:w="0" w:type="dxa"/>
              <w:left w:w="108" w:type="dxa"/>
              <w:bottom w:w="0" w:type="dxa"/>
              <w:right w:w="108" w:type="dxa"/>
            </w:tcMar>
            <w:vAlign w:val="bottom"/>
            <w:hideMark/>
          </w:tcPr>
          <w:p w14:paraId="51E8FDC2" w14:textId="77777777" w:rsidR="00234A20" w:rsidRDefault="00234A20" w:rsidP="0019276A">
            <w:pPr>
              <w:rPr>
                <w:color w:val="000000"/>
                <w:sz w:val="18"/>
                <w:szCs w:val="18"/>
                <w:lang w:eastAsia="en-AU"/>
              </w:rPr>
            </w:pPr>
            <w:r>
              <w:rPr>
                <w:color w:val="000000"/>
                <w:sz w:val="18"/>
                <w:szCs w:val="18"/>
                <w:lang w:eastAsia="en-AU"/>
              </w:rPr>
              <w:t>Natural and physical sciences</w:t>
            </w:r>
          </w:p>
        </w:tc>
        <w:tc>
          <w:tcPr>
            <w:tcW w:w="1106" w:type="dxa"/>
            <w:noWrap/>
            <w:tcMar>
              <w:top w:w="0" w:type="dxa"/>
              <w:left w:w="108" w:type="dxa"/>
              <w:bottom w:w="0" w:type="dxa"/>
              <w:right w:w="108" w:type="dxa"/>
            </w:tcMar>
            <w:vAlign w:val="bottom"/>
            <w:hideMark/>
          </w:tcPr>
          <w:p w14:paraId="725BEA4B" w14:textId="77777777" w:rsidR="00234A20" w:rsidRDefault="00234A20" w:rsidP="0019276A">
            <w:pPr>
              <w:rPr>
                <w:color w:val="000000"/>
                <w:sz w:val="18"/>
                <w:szCs w:val="18"/>
                <w:lang w:eastAsia="en-AU"/>
              </w:rPr>
            </w:pPr>
            <w:r>
              <w:rPr>
                <w:color w:val="000000"/>
                <w:sz w:val="18"/>
                <w:szCs w:val="18"/>
                <w:lang w:eastAsia="en-AU"/>
              </w:rPr>
              <w:t>7</w:t>
            </w:r>
          </w:p>
        </w:tc>
      </w:tr>
      <w:tr w:rsidR="00234A20" w14:paraId="7187BB33" w14:textId="77777777" w:rsidTr="0019276A">
        <w:trPr>
          <w:trHeight w:val="300"/>
        </w:trPr>
        <w:tc>
          <w:tcPr>
            <w:tcW w:w="3544" w:type="dxa"/>
            <w:noWrap/>
            <w:tcMar>
              <w:top w:w="0" w:type="dxa"/>
              <w:left w:w="108" w:type="dxa"/>
              <w:bottom w:w="0" w:type="dxa"/>
              <w:right w:w="108" w:type="dxa"/>
            </w:tcMar>
            <w:vAlign w:val="bottom"/>
            <w:hideMark/>
          </w:tcPr>
          <w:p w14:paraId="45DEA802" w14:textId="77777777" w:rsidR="00234A20" w:rsidRDefault="00234A20" w:rsidP="0019276A">
            <w:pPr>
              <w:rPr>
                <w:color w:val="000000"/>
                <w:sz w:val="18"/>
                <w:szCs w:val="18"/>
                <w:lang w:eastAsia="en-AU"/>
              </w:rPr>
            </w:pPr>
            <w:r>
              <w:rPr>
                <w:color w:val="000000"/>
                <w:sz w:val="18"/>
                <w:szCs w:val="18"/>
                <w:lang w:eastAsia="en-AU"/>
              </w:rPr>
              <w:t>General engineering</w:t>
            </w:r>
          </w:p>
        </w:tc>
        <w:tc>
          <w:tcPr>
            <w:tcW w:w="3571" w:type="dxa"/>
            <w:noWrap/>
            <w:tcMar>
              <w:top w:w="0" w:type="dxa"/>
              <w:left w:w="108" w:type="dxa"/>
              <w:bottom w:w="0" w:type="dxa"/>
              <w:right w:w="108" w:type="dxa"/>
            </w:tcMar>
            <w:vAlign w:val="bottom"/>
            <w:hideMark/>
          </w:tcPr>
          <w:p w14:paraId="09E026B4" w14:textId="77777777" w:rsidR="00234A20" w:rsidRDefault="00234A20" w:rsidP="0019276A">
            <w:pPr>
              <w:rPr>
                <w:color w:val="000000"/>
                <w:sz w:val="18"/>
                <w:szCs w:val="18"/>
                <w:lang w:eastAsia="en-AU"/>
              </w:rPr>
            </w:pPr>
            <w:r>
              <w:rPr>
                <w:color w:val="000000"/>
                <w:sz w:val="18"/>
                <w:szCs w:val="18"/>
                <w:lang w:eastAsia="en-AU"/>
              </w:rPr>
              <w:t>Engineering and related technologies</w:t>
            </w:r>
          </w:p>
        </w:tc>
        <w:tc>
          <w:tcPr>
            <w:tcW w:w="1106" w:type="dxa"/>
            <w:noWrap/>
            <w:tcMar>
              <w:top w:w="0" w:type="dxa"/>
              <w:left w:w="108" w:type="dxa"/>
              <w:bottom w:w="0" w:type="dxa"/>
              <w:right w:w="108" w:type="dxa"/>
            </w:tcMar>
            <w:vAlign w:val="bottom"/>
            <w:hideMark/>
          </w:tcPr>
          <w:p w14:paraId="77396FEC" w14:textId="77777777" w:rsidR="00234A20" w:rsidRDefault="00234A20" w:rsidP="0019276A">
            <w:pPr>
              <w:rPr>
                <w:color w:val="000000"/>
                <w:sz w:val="18"/>
                <w:szCs w:val="18"/>
                <w:lang w:eastAsia="en-AU"/>
              </w:rPr>
            </w:pPr>
            <w:r>
              <w:rPr>
                <w:color w:val="000000"/>
                <w:sz w:val="18"/>
                <w:szCs w:val="18"/>
                <w:lang w:eastAsia="en-AU"/>
              </w:rPr>
              <w:t>7</w:t>
            </w:r>
          </w:p>
        </w:tc>
      </w:tr>
      <w:tr w:rsidR="00234A20" w14:paraId="78A8DDF2" w14:textId="77777777" w:rsidTr="0019276A">
        <w:trPr>
          <w:trHeight w:val="300"/>
        </w:trPr>
        <w:tc>
          <w:tcPr>
            <w:tcW w:w="3544" w:type="dxa"/>
            <w:noWrap/>
            <w:tcMar>
              <w:top w:w="0" w:type="dxa"/>
              <w:left w:w="108" w:type="dxa"/>
              <w:bottom w:w="0" w:type="dxa"/>
              <w:right w:w="108" w:type="dxa"/>
            </w:tcMar>
            <w:vAlign w:val="bottom"/>
            <w:hideMark/>
          </w:tcPr>
          <w:p w14:paraId="7F258723" w14:textId="77777777" w:rsidR="00234A20" w:rsidRDefault="00234A20" w:rsidP="0019276A">
            <w:pPr>
              <w:rPr>
                <w:color w:val="000000"/>
                <w:sz w:val="18"/>
                <w:szCs w:val="18"/>
                <w:lang w:eastAsia="en-AU"/>
              </w:rPr>
            </w:pPr>
            <w:r>
              <w:rPr>
                <w:color w:val="000000"/>
                <w:sz w:val="18"/>
                <w:szCs w:val="18"/>
                <w:lang w:eastAsia="en-AU"/>
              </w:rPr>
              <w:t>Chemical engineering</w:t>
            </w:r>
          </w:p>
        </w:tc>
        <w:tc>
          <w:tcPr>
            <w:tcW w:w="3571" w:type="dxa"/>
            <w:noWrap/>
            <w:tcMar>
              <w:top w:w="0" w:type="dxa"/>
              <w:left w:w="108" w:type="dxa"/>
              <w:bottom w:w="0" w:type="dxa"/>
              <w:right w:w="108" w:type="dxa"/>
            </w:tcMar>
            <w:vAlign w:val="bottom"/>
            <w:hideMark/>
          </w:tcPr>
          <w:p w14:paraId="5DBE5468" w14:textId="77777777" w:rsidR="00234A20" w:rsidRDefault="00234A20" w:rsidP="0019276A">
            <w:pPr>
              <w:rPr>
                <w:color w:val="000000"/>
                <w:sz w:val="18"/>
                <w:szCs w:val="18"/>
                <w:lang w:eastAsia="en-AU"/>
              </w:rPr>
            </w:pPr>
            <w:r>
              <w:rPr>
                <w:color w:val="000000"/>
                <w:sz w:val="18"/>
                <w:szCs w:val="18"/>
                <w:lang w:eastAsia="en-AU"/>
              </w:rPr>
              <w:t>Engineering and related technologies</w:t>
            </w:r>
          </w:p>
        </w:tc>
        <w:tc>
          <w:tcPr>
            <w:tcW w:w="1106" w:type="dxa"/>
            <w:noWrap/>
            <w:tcMar>
              <w:top w:w="0" w:type="dxa"/>
              <w:left w:w="108" w:type="dxa"/>
              <w:bottom w:w="0" w:type="dxa"/>
              <w:right w:w="108" w:type="dxa"/>
            </w:tcMar>
            <w:vAlign w:val="bottom"/>
            <w:hideMark/>
          </w:tcPr>
          <w:p w14:paraId="69B8FC03" w14:textId="77777777" w:rsidR="00234A20" w:rsidRDefault="00234A20" w:rsidP="0019276A">
            <w:pPr>
              <w:rPr>
                <w:color w:val="000000"/>
                <w:sz w:val="18"/>
                <w:szCs w:val="18"/>
                <w:lang w:eastAsia="en-AU"/>
              </w:rPr>
            </w:pPr>
            <w:r>
              <w:rPr>
                <w:color w:val="000000"/>
                <w:sz w:val="18"/>
                <w:szCs w:val="18"/>
                <w:lang w:eastAsia="en-AU"/>
              </w:rPr>
              <w:t>7</w:t>
            </w:r>
          </w:p>
        </w:tc>
      </w:tr>
      <w:tr w:rsidR="00234A20" w14:paraId="2093FE1F" w14:textId="77777777" w:rsidTr="0019276A">
        <w:trPr>
          <w:trHeight w:val="300"/>
        </w:trPr>
        <w:tc>
          <w:tcPr>
            <w:tcW w:w="3544" w:type="dxa"/>
            <w:noWrap/>
            <w:tcMar>
              <w:top w:w="0" w:type="dxa"/>
              <w:left w:w="108" w:type="dxa"/>
              <w:bottom w:w="0" w:type="dxa"/>
              <w:right w:w="108" w:type="dxa"/>
            </w:tcMar>
            <w:vAlign w:val="bottom"/>
            <w:hideMark/>
          </w:tcPr>
          <w:p w14:paraId="01578B79" w14:textId="77777777" w:rsidR="00234A20" w:rsidRDefault="00234A20" w:rsidP="0019276A">
            <w:pPr>
              <w:rPr>
                <w:color w:val="000000"/>
                <w:sz w:val="18"/>
                <w:szCs w:val="18"/>
                <w:lang w:eastAsia="en-AU"/>
              </w:rPr>
            </w:pPr>
            <w:r>
              <w:rPr>
                <w:color w:val="000000"/>
                <w:sz w:val="18"/>
                <w:szCs w:val="18"/>
                <w:lang w:eastAsia="en-AU"/>
              </w:rPr>
              <w:t>Mineral, metallurgy and materials engineering</w:t>
            </w:r>
          </w:p>
        </w:tc>
        <w:tc>
          <w:tcPr>
            <w:tcW w:w="3571" w:type="dxa"/>
            <w:noWrap/>
            <w:tcMar>
              <w:top w:w="0" w:type="dxa"/>
              <w:left w:w="108" w:type="dxa"/>
              <w:bottom w:w="0" w:type="dxa"/>
              <w:right w:w="108" w:type="dxa"/>
            </w:tcMar>
            <w:vAlign w:val="bottom"/>
            <w:hideMark/>
          </w:tcPr>
          <w:p w14:paraId="168E4C7E" w14:textId="77777777" w:rsidR="00234A20" w:rsidRDefault="00234A20" w:rsidP="0019276A">
            <w:pPr>
              <w:rPr>
                <w:color w:val="000000"/>
                <w:sz w:val="18"/>
                <w:szCs w:val="18"/>
                <w:lang w:eastAsia="en-AU"/>
              </w:rPr>
            </w:pPr>
            <w:r>
              <w:rPr>
                <w:color w:val="000000"/>
                <w:sz w:val="18"/>
                <w:szCs w:val="18"/>
                <w:lang w:eastAsia="en-AU"/>
              </w:rPr>
              <w:t>Engineering and related technologies</w:t>
            </w:r>
          </w:p>
        </w:tc>
        <w:tc>
          <w:tcPr>
            <w:tcW w:w="1106" w:type="dxa"/>
            <w:noWrap/>
            <w:tcMar>
              <w:top w:w="0" w:type="dxa"/>
              <w:left w:w="108" w:type="dxa"/>
              <w:bottom w:w="0" w:type="dxa"/>
              <w:right w:w="108" w:type="dxa"/>
            </w:tcMar>
            <w:vAlign w:val="bottom"/>
            <w:hideMark/>
          </w:tcPr>
          <w:p w14:paraId="6C1945B4" w14:textId="77777777" w:rsidR="00234A20" w:rsidRDefault="00234A20" w:rsidP="0019276A">
            <w:pPr>
              <w:rPr>
                <w:color w:val="000000"/>
                <w:sz w:val="18"/>
                <w:szCs w:val="18"/>
                <w:lang w:eastAsia="en-AU"/>
              </w:rPr>
            </w:pPr>
            <w:r>
              <w:rPr>
                <w:color w:val="000000"/>
                <w:sz w:val="18"/>
                <w:szCs w:val="18"/>
                <w:lang w:eastAsia="en-AU"/>
              </w:rPr>
              <w:t>7</w:t>
            </w:r>
          </w:p>
        </w:tc>
      </w:tr>
      <w:tr w:rsidR="00234A20" w14:paraId="1DCA8229" w14:textId="77777777" w:rsidTr="0019276A">
        <w:trPr>
          <w:trHeight w:val="300"/>
        </w:trPr>
        <w:tc>
          <w:tcPr>
            <w:tcW w:w="3544" w:type="dxa"/>
            <w:noWrap/>
            <w:tcMar>
              <w:top w:w="0" w:type="dxa"/>
              <w:left w:w="108" w:type="dxa"/>
              <w:bottom w:w="0" w:type="dxa"/>
              <w:right w:w="108" w:type="dxa"/>
            </w:tcMar>
            <w:vAlign w:val="bottom"/>
            <w:hideMark/>
          </w:tcPr>
          <w:p w14:paraId="6888A089" w14:textId="77777777" w:rsidR="00234A20" w:rsidRDefault="00234A20" w:rsidP="0019276A">
            <w:pPr>
              <w:rPr>
                <w:color w:val="000000"/>
                <w:sz w:val="18"/>
                <w:szCs w:val="18"/>
                <w:lang w:eastAsia="en-AU"/>
              </w:rPr>
            </w:pPr>
            <w:r>
              <w:rPr>
                <w:color w:val="000000"/>
                <w:sz w:val="18"/>
                <w:szCs w:val="18"/>
                <w:lang w:eastAsia="en-AU"/>
              </w:rPr>
              <w:t>Civil engineering</w:t>
            </w:r>
          </w:p>
        </w:tc>
        <w:tc>
          <w:tcPr>
            <w:tcW w:w="3571" w:type="dxa"/>
            <w:noWrap/>
            <w:tcMar>
              <w:top w:w="0" w:type="dxa"/>
              <w:left w:w="108" w:type="dxa"/>
              <w:bottom w:w="0" w:type="dxa"/>
              <w:right w:w="108" w:type="dxa"/>
            </w:tcMar>
            <w:vAlign w:val="bottom"/>
            <w:hideMark/>
          </w:tcPr>
          <w:p w14:paraId="5C83873A" w14:textId="77777777" w:rsidR="00234A20" w:rsidRDefault="00234A20" w:rsidP="0019276A">
            <w:pPr>
              <w:rPr>
                <w:color w:val="000000"/>
                <w:sz w:val="18"/>
                <w:szCs w:val="18"/>
                <w:lang w:eastAsia="en-AU"/>
              </w:rPr>
            </w:pPr>
            <w:r>
              <w:rPr>
                <w:color w:val="000000"/>
                <w:sz w:val="18"/>
                <w:szCs w:val="18"/>
                <w:lang w:eastAsia="en-AU"/>
              </w:rPr>
              <w:t>Engineering and related technologies</w:t>
            </w:r>
          </w:p>
        </w:tc>
        <w:tc>
          <w:tcPr>
            <w:tcW w:w="1106" w:type="dxa"/>
            <w:noWrap/>
            <w:tcMar>
              <w:top w:w="0" w:type="dxa"/>
              <w:left w:w="108" w:type="dxa"/>
              <w:bottom w:w="0" w:type="dxa"/>
              <w:right w:w="108" w:type="dxa"/>
            </w:tcMar>
            <w:vAlign w:val="bottom"/>
            <w:hideMark/>
          </w:tcPr>
          <w:p w14:paraId="3CE7A5A5" w14:textId="77777777" w:rsidR="00234A20" w:rsidRDefault="00234A20" w:rsidP="0019276A">
            <w:pPr>
              <w:rPr>
                <w:color w:val="000000"/>
                <w:sz w:val="18"/>
                <w:szCs w:val="18"/>
                <w:lang w:eastAsia="en-AU"/>
              </w:rPr>
            </w:pPr>
            <w:r>
              <w:rPr>
                <w:color w:val="000000"/>
                <w:sz w:val="18"/>
                <w:szCs w:val="18"/>
                <w:lang w:eastAsia="en-AU"/>
              </w:rPr>
              <w:t>7</w:t>
            </w:r>
          </w:p>
        </w:tc>
      </w:tr>
      <w:tr w:rsidR="00234A20" w14:paraId="431F7BCE" w14:textId="77777777" w:rsidTr="0019276A">
        <w:trPr>
          <w:trHeight w:val="300"/>
        </w:trPr>
        <w:tc>
          <w:tcPr>
            <w:tcW w:w="3544" w:type="dxa"/>
            <w:noWrap/>
            <w:tcMar>
              <w:top w:w="0" w:type="dxa"/>
              <w:left w:w="108" w:type="dxa"/>
              <w:bottom w:w="0" w:type="dxa"/>
              <w:right w:w="108" w:type="dxa"/>
            </w:tcMar>
            <w:vAlign w:val="bottom"/>
            <w:hideMark/>
          </w:tcPr>
          <w:p w14:paraId="7CF022DA" w14:textId="77777777" w:rsidR="00234A20" w:rsidRDefault="00234A20" w:rsidP="0019276A">
            <w:pPr>
              <w:rPr>
                <w:color w:val="000000"/>
                <w:sz w:val="18"/>
                <w:szCs w:val="18"/>
                <w:lang w:eastAsia="en-AU"/>
              </w:rPr>
            </w:pPr>
            <w:r>
              <w:rPr>
                <w:color w:val="000000"/>
                <w:sz w:val="18"/>
                <w:szCs w:val="18"/>
                <w:lang w:eastAsia="en-AU"/>
              </w:rPr>
              <w:t>Electrical, electronic and computer engineering</w:t>
            </w:r>
          </w:p>
        </w:tc>
        <w:tc>
          <w:tcPr>
            <w:tcW w:w="3571" w:type="dxa"/>
            <w:noWrap/>
            <w:tcMar>
              <w:top w:w="0" w:type="dxa"/>
              <w:left w:w="108" w:type="dxa"/>
              <w:bottom w:w="0" w:type="dxa"/>
              <w:right w:w="108" w:type="dxa"/>
            </w:tcMar>
            <w:vAlign w:val="bottom"/>
            <w:hideMark/>
          </w:tcPr>
          <w:p w14:paraId="2375FBBC" w14:textId="77777777" w:rsidR="00234A20" w:rsidRDefault="00234A20" w:rsidP="0019276A">
            <w:pPr>
              <w:rPr>
                <w:color w:val="000000"/>
                <w:sz w:val="18"/>
                <w:szCs w:val="18"/>
                <w:lang w:eastAsia="en-AU"/>
              </w:rPr>
            </w:pPr>
            <w:r>
              <w:rPr>
                <w:color w:val="000000"/>
                <w:sz w:val="18"/>
                <w:szCs w:val="18"/>
                <w:lang w:eastAsia="en-AU"/>
              </w:rPr>
              <w:t>Engineering and related technologies</w:t>
            </w:r>
          </w:p>
        </w:tc>
        <w:tc>
          <w:tcPr>
            <w:tcW w:w="1106" w:type="dxa"/>
            <w:noWrap/>
            <w:tcMar>
              <w:top w:w="0" w:type="dxa"/>
              <w:left w:w="108" w:type="dxa"/>
              <w:bottom w:w="0" w:type="dxa"/>
              <w:right w:w="108" w:type="dxa"/>
            </w:tcMar>
            <w:vAlign w:val="bottom"/>
            <w:hideMark/>
          </w:tcPr>
          <w:p w14:paraId="00471C90" w14:textId="77777777" w:rsidR="00234A20" w:rsidRDefault="00234A20" w:rsidP="0019276A">
            <w:pPr>
              <w:rPr>
                <w:color w:val="000000"/>
                <w:sz w:val="18"/>
                <w:szCs w:val="18"/>
                <w:lang w:eastAsia="en-AU"/>
              </w:rPr>
            </w:pPr>
            <w:r>
              <w:rPr>
                <w:color w:val="000000"/>
                <w:sz w:val="18"/>
                <w:szCs w:val="18"/>
                <w:lang w:eastAsia="en-AU"/>
              </w:rPr>
              <w:t>7</w:t>
            </w:r>
          </w:p>
        </w:tc>
      </w:tr>
      <w:tr w:rsidR="00234A20" w14:paraId="5CE18C1A" w14:textId="77777777" w:rsidTr="0019276A">
        <w:trPr>
          <w:trHeight w:val="300"/>
        </w:trPr>
        <w:tc>
          <w:tcPr>
            <w:tcW w:w="3544" w:type="dxa"/>
            <w:noWrap/>
            <w:tcMar>
              <w:top w:w="0" w:type="dxa"/>
              <w:left w:w="108" w:type="dxa"/>
              <w:bottom w:w="0" w:type="dxa"/>
              <w:right w:w="108" w:type="dxa"/>
            </w:tcMar>
            <w:vAlign w:val="bottom"/>
            <w:hideMark/>
          </w:tcPr>
          <w:p w14:paraId="29DD7038" w14:textId="77777777" w:rsidR="00234A20" w:rsidRDefault="00234A20" w:rsidP="0019276A">
            <w:pPr>
              <w:rPr>
                <w:color w:val="000000"/>
                <w:sz w:val="18"/>
                <w:szCs w:val="18"/>
                <w:lang w:eastAsia="en-AU"/>
              </w:rPr>
            </w:pPr>
            <w:r>
              <w:rPr>
                <w:color w:val="000000"/>
                <w:sz w:val="18"/>
                <w:szCs w:val="18"/>
                <w:lang w:eastAsia="en-AU"/>
              </w:rPr>
              <w:t>Mechanical, aero and production engineering</w:t>
            </w:r>
          </w:p>
        </w:tc>
        <w:tc>
          <w:tcPr>
            <w:tcW w:w="3571" w:type="dxa"/>
            <w:noWrap/>
            <w:tcMar>
              <w:top w:w="0" w:type="dxa"/>
              <w:left w:w="108" w:type="dxa"/>
              <w:bottom w:w="0" w:type="dxa"/>
              <w:right w:w="108" w:type="dxa"/>
            </w:tcMar>
            <w:vAlign w:val="bottom"/>
            <w:hideMark/>
          </w:tcPr>
          <w:p w14:paraId="2F26E92A" w14:textId="77777777" w:rsidR="00234A20" w:rsidRDefault="00234A20" w:rsidP="0019276A">
            <w:pPr>
              <w:rPr>
                <w:color w:val="000000"/>
                <w:sz w:val="18"/>
                <w:szCs w:val="18"/>
                <w:lang w:eastAsia="en-AU"/>
              </w:rPr>
            </w:pPr>
            <w:r>
              <w:rPr>
                <w:color w:val="000000"/>
                <w:sz w:val="18"/>
                <w:szCs w:val="18"/>
                <w:lang w:eastAsia="en-AU"/>
              </w:rPr>
              <w:t>Engineering and related technologies</w:t>
            </w:r>
          </w:p>
        </w:tc>
        <w:tc>
          <w:tcPr>
            <w:tcW w:w="1106" w:type="dxa"/>
            <w:noWrap/>
            <w:tcMar>
              <w:top w:w="0" w:type="dxa"/>
              <w:left w:w="108" w:type="dxa"/>
              <w:bottom w:w="0" w:type="dxa"/>
              <w:right w:w="108" w:type="dxa"/>
            </w:tcMar>
            <w:vAlign w:val="bottom"/>
            <w:hideMark/>
          </w:tcPr>
          <w:p w14:paraId="02CBBB6A" w14:textId="77777777" w:rsidR="00234A20" w:rsidRDefault="00234A20" w:rsidP="0019276A">
            <w:pPr>
              <w:rPr>
                <w:color w:val="000000"/>
                <w:sz w:val="18"/>
                <w:szCs w:val="18"/>
                <w:lang w:eastAsia="en-AU"/>
              </w:rPr>
            </w:pPr>
            <w:r>
              <w:rPr>
                <w:color w:val="000000"/>
                <w:sz w:val="18"/>
                <w:szCs w:val="18"/>
                <w:lang w:eastAsia="en-AU"/>
              </w:rPr>
              <w:t>7</w:t>
            </w:r>
          </w:p>
        </w:tc>
      </w:tr>
      <w:tr w:rsidR="00234A20" w14:paraId="22942CEC" w14:textId="77777777" w:rsidTr="0019276A">
        <w:trPr>
          <w:trHeight w:val="300"/>
        </w:trPr>
        <w:tc>
          <w:tcPr>
            <w:tcW w:w="3544" w:type="dxa"/>
            <w:noWrap/>
            <w:tcMar>
              <w:top w:w="0" w:type="dxa"/>
              <w:left w:w="108" w:type="dxa"/>
              <w:bottom w:w="0" w:type="dxa"/>
              <w:right w:w="108" w:type="dxa"/>
            </w:tcMar>
            <w:vAlign w:val="bottom"/>
            <w:hideMark/>
          </w:tcPr>
          <w:p w14:paraId="53C89CEF" w14:textId="77777777" w:rsidR="00234A20" w:rsidRDefault="00234A20" w:rsidP="0019276A">
            <w:pPr>
              <w:rPr>
                <w:color w:val="000000"/>
                <w:sz w:val="18"/>
                <w:szCs w:val="18"/>
                <w:lang w:eastAsia="en-AU"/>
              </w:rPr>
            </w:pPr>
            <w:r>
              <w:rPr>
                <w:color w:val="000000"/>
                <w:sz w:val="18"/>
                <w:szCs w:val="18"/>
                <w:lang w:eastAsia="en-AU"/>
              </w:rPr>
              <w:t>Information technology, systems sciences and computer software engineering</w:t>
            </w:r>
          </w:p>
        </w:tc>
        <w:tc>
          <w:tcPr>
            <w:tcW w:w="3571" w:type="dxa"/>
            <w:noWrap/>
            <w:tcMar>
              <w:top w:w="0" w:type="dxa"/>
              <w:left w:w="108" w:type="dxa"/>
              <w:bottom w:w="0" w:type="dxa"/>
              <w:right w:w="108" w:type="dxa"/>
            </w:tcMar>
            <w:vAlign w:val="bottom"/>
            <w:hideMark/>
          </w:tcPr>
          <w:p w14:paraId="52396559" w14:textId="77777777" w:rsidR="00234A20" w:rsidRDefault="00234A20" w:rsidP="0019276A">
            <w:pPr>
              <w:rPr>
                <w:color w:val="000000"/>
                <w:sz w:val="18"/>
                <w:szCs w:val="18"/>
                <w:lang w:eastAsia="en-AU"/>
              </w:rPr>
            </w:pPr>
            <w:r>
              <w:rPr>
                <w:color w:val="000000"/>
                <w:sz w:val="18"/>
                <w:szCs w:val="18"/>
                <w:lang w:eastAsia="en-AU"/>
              </w:rPr>
              <w:t>Information technology</w:t>
            </w:r>
          </w:p>
        </w:tc>
        <w:tc>
          <w:tcPr>
            <w:tcW w:w="1106" w:type="dxa"/>
            <w:noWrap/>
            <w:tcMar>
              <w:top w:w="0" w:type="dxa"/>
              <w:left w:w="108" w:type="dxa"/>
              <w:bottom w:w="0" w:type="dxa"/>
              <w:right w:w="108" w:type="dxa"/>
            </w:tcMar>
            <w:vAlign w:val="bottom"/>
            <w:hideMark/>
          </w:tcPr>
          <w:p w14:paraId="7EF1F014" w14:textId="77777777" w:rsidR="00234A20" w:rsidRDefault="00234A20" w:rsidP="0019276A">
            <w:pPr>
              <w:rPr>
                <w:color w:val="000000"/>
                <w:sz w:val="18"/>
                <w:szCs w:val="18"/>
                <w:lang w:eastAsia="en-AU"/>
              </w:rPr>
            </w:pPr>
            <w:r>
              <w:rPr>
                <w:color w:val="000000"/>
                <w:sz w:val="18"/>
                <w:szCs w:val="18"/>
                <w:lang w:eastAsia="en-AU"/>
              </w:rPr>
              <w:t>3a</w:t>
            </w:r>
          </w:p>
        </w:tc>
      </w:tr>
      <w:tr w:rsidR="00234A20" w14:paraId="07580D54" w14:textId="77777777" w:rsidTr="0019276A">
        <w:trPr>
          <w:trHeight w:val="300"/>
        </w:trPr>
        <w:tc>
          <w:tcPr>
            <w:tcW w:w="3544" w:type="dxa"/>
            <w:noWrap/>
            <w:tcMar>
              <w:top w:w="0" w:type="dxa"/>
              <w:left w:w="108" w:type="dxa"/>
              <w:bottom w:w="0" w:type="dxa"/>
              <w:right w:w="108" w:type="dxa"/>
            </w:tcMar>
            <w:vAlign w:val="bottom"/>
            <w:hideMark/>
          </w:tcPr>
          <w:p w14:paraId="298C24BD" w14:textId="77777777" w:rsidR="00234A20" w:rsidRDefault="00234A20" w:rsidP="0019276A">
            <w:pPr>
              <w:rPr>
                <w:color w:val="000000"/>
                <w:sz w:val="18"/>
                <w:szCs w:val="18"/>
                <w:lang w:eastAsia="en-AU"/>
              </w:rPr>
            </w:pPr>
            <w:r>
              <w:rPr>
                <w:color w:val="000000"/>
                <w:sz w:val="18"/>
                <w:szCs w:val="18"/>
                <w:lang w:eastAsia="en-AU"/>
              </w:rPr>
              <w:t>Mathematics</w:t>
            </w:r>
          </w:p>
        </w:tc>
        <w:tc>
          <w:tcPr>
            <w:tcW w:w="3571" w:type="dxa"/>
            <w:noWrap/>
            <w:tcMar>
              <w:top w:w="0" w:type="dxa"/>
              <w:left w:w="108" w:type="dxa"/>
              <w:bottom w:w="0" w:type="dxa"/>
              <w:right w:w="108" w:type="dxa"/>
            </w:tcMar>
            <w:vAlign w:val="bottom"/>
            <w:hideMark/>
          </w:tcPr>
          <w:p w14:paraId="006A39AF" w14:textId="77777777" w:rsidR="00234A20" w:rsidRDefault="00234A20" w:rsidP="0019276A">
            <w:pPr>
              <w:rPr>
                <w:color w:val="000000"/>
                <w:sz w:val="18"/>
                <w:szCs w:val="18"/>
                <w:lang w:eastAsia="en-AU"/>
              </w:rPr>
            </w:pPr>
            <w:r>
              <w:rPr>
                <w:color w:val="000000"/>
                <w:sz w:val="18"/>
                <w:szCs w:val="18"/>
                <w:lang w:eastAsia="en-AU"/>
              </w:rPr>
              <w:t>Natural and physical sciences</w:t>
            </w:r>
          </w:p>
        </w:tc>
        <w:tc>
          <w:tcPr>
            <w:tcW w:w="1106" w:type="dxa"/>
            <w:noWrap/>
            <w:tcMar>
              <w:top w:w="0" w:type="dxa"/>
              <w:left w:w="108" w:type="dxa"/>
              <w:bottom w:w="0" w:type="dxa"/>
              <w:right w:w="108" w:type="dxa"/>
            </w:tcMar>
            <w:vAlign w:val="bottom"/>
            <w:hideMark/>
          </w:tcPr>
          <w:p w14:paraId="0633ABF2" w14:textId="77777777" w:rsidR="00234A20" w:rsidRDefault="00234A20" w:rsidP="0019276A">
            <w:pPr>
              <w:rPr>
                <w:color w:val="000000"/>
                <w:sz w:val="18"/>
                <w:szCs w:val="18"/>
                <w:lang w:eastAsia="en-AU"/>
              </w:rPr>
            </w:pPr>
            <w:r>
              <w:rPr>
                <w:color w:val="000000"/>
                <w:sz w:val="18"/>
                <w:szCs w:val="18"/>
                <w:lang w:eastAsia="en-AU"/>
              </w:rPr>
              <w:t>3a</w:t>
            </w:r>
          </w:p>
        </w:tc>
      </w:tr>
      <w:tr w:rsidR="00234A20" w14:paraId="25AD7764" w14:textId="77777777" w:rsidTr="0019276A">
        <w:trPr>
          <w:trHeight w:val="300"/>
        </w:trPr>
        <w:tc>
          <w:tcPr>
            <w:tcW w:w="3544" w:type="dxa"/>
            <w:noWrap/>
            <w:tcMar>
              <w:top w:w="0" w:type="dxa"/>
              <w:left w:w="108" w:type="dxa"/>
              <w:bottom w:w="0" w:type="dxa"/>
              <w:right w:w="108" w:type="dxa"/>
            </w:tcMar>
            <w:vAlign w:val="bottom"/>
            <w:hideMark/>
          </w:tcPr>
          <w:p w14:paraId="58040725" w14:textId="77777777" w:rsidR="00234A20" w:rsidRDefault="00234A20" w:rsidP="0019276A">
            <w:pPr>
              <w:rPr>
                <w:color w:val="000000"/>
                <w:sz w:val="18"/>
                <w:szCs w:val="18"/>
                <w:lang w:eastAsia="en-AU"/>
              </w:rPr>
            </w:pPr>
            <w:r>
              <w:rPr>
                <w:color w:val="000000"/>
                <w:sz w:val="18"/>
                <w:szCs w:val="18"/>
                <w:lang w:eastAsia="en-AU"/>
              </w:rPr>
              <w:t>Architecture, built environment and planning</w:t>
            </w:r>
          </w:p>
        </w:tc>
        <w:tc>
          <w:tcPr>
            <w:tcW w:w="3571" w:type="dxa"/>
            <w:noWrap/>
            <w:tcMar>
              <w:top w:w="0" w:type="dxa"/>
              <w:left w:w="108" w:type="dxa"/>
              <w:bottom w:w="0" w:type="dxa"/>
              <w:right w:w="108" w:type="dxa"/>
            </w:tcMar>
            <w:vAlign w:val="bottom"/>
            <w:hideMark/>
          </w:tcPr>
          <w:p w14:paraId="2D92F6C8" w14:textId="77777777" w:rsidR="00234A20" w:rsidRDefault="00234A20" w:rsidP="0019276A">
            <w:pPr>
              <w:rPr>
                <w:color w:val="000000"/>
                <w:sz w:val="18"/>
                <w:szCs w:val="18"/>
                <w:lang w:eastAsia="en-AU"/>
              </w:rPr>
            </w:pPr>
            <w:r>
              <w:rPr>
                <w:color w:val="000000"/>
                <w:sz w:val="18"/>
                <w:szCs w:val="18"/>
                <w:lang w:eastAsia="en-AU"/>
              </w:rPr>
              <w:t>Architecture and building</w:t>
            </w:r>
          </w:p>
        </w:tc>
        <w:tc>
          <w:tcPr>
            <w:tcW w:w="1106" w:type="dxa"/>
            <w:noWrap/>
            <w:tcMar>
              <w:top w:w="0" w:type="dxa"/>
              <w:left w:w="108" w:type="dxa"/>
              <w:bottom w:w="0" w:type="dxa"/>
              <w:right w:w="108" w:type="dxa"/>
            </w:tcMar>
            <w:vAlign w:val="bottom"/>
            <w:hideMark/>
          </w:tcPr>
          <w:p w14:paraId="7A1228A0" w14:textId="77777777" w:rsidR="00234A20" w:rsidRDefault="00234A20" w:rsidP="0019276A">
            <w:pPr>
              <w:rPr>
                <w:color w:val="000000"/>
                <w:sz w:val="18"/>
                <w:szCs w:val="18"/>
                <w:lang w:eastAsia="en-AU"/>
              </w:rPr>
            </w:pPr>
            <w:r>
              <w:rPr>
                <w:color w:val="000000"/>
                <w:sz w:val="18"/>
                <w:szCs w:val="18"/>
                <w:lang w:eastAsia="en-AU"/>
              </w:rPr>
              <w:t>3a</w:t>
            </w:r>
          </w:p>
        </w:tc>
      </w:tr>
      <w:tr w:rsidR="00234A20" w14:paraId="427CFD9B" w14:textId="77777777" w:rsidTr="0019276A">
        <w:trPr>
          <w:trHeight w:val="300"/>
        </w:trPr>
        <w:tc>
          <w:tcPr>
            <w:tcW w:w="3544" w:type="dxa"/>
            <w:noWrap/>
            <w:tcMar>
              <w:top w:w="0" w:type="dxa"/>
              <w:left w:w="108" w:type="dxa"/>
              <w:bottom w:w="0" w:type="dxa"/>
              <w:right w:w="108" w:type="dxa"/>
            </w:tcMar>
            <w:vAlign w:val="bottom"/>
            <w:hideMark/>
          </w:tcPr>
          <w:p w14:paraId="0AC9F526" w14:textId="77777777" w:rsidR="00234A20" w:rsidRDefault="00234A20" w:rsidP="0019276A">
            <w:pPr>
              <w:rPr>
                <w:color w:val="000000"/>
                <w:sz w:val="18"/>
                <w:szCs w:val="18"/>
                <w:lang w:eastAsia="en-AU"/>
              </w:rPr>
            </w:pPr>
            <w:r>
              <w:rPr>
                <w:color w:val="000000"/>
                <w:sz w:val="18"/>
                <w:szCs w:val="18"/>
                <w:lang w:eastAsia="en-AU"/>
              </w:rPr>
              <w:t>Geography and environmental studies</w:t>
            </w:r>
          </w:p>
        </w:tc>
        <w:tc>
          <w:tcPr>
            <w:tcW w:w="3571" w:type="dxa"/>
            <w:noWrap/>
            <w:tcMar>
              <w:top w:w="0" w:type="dxa"/>
              <w:left w:w="108" w:type="dxa"/>
              <w:bottom w:w="0" w:type="dxa"/>
              <w:right w:w="108" w:type="dxa"/>
            </w:tcMar>
            <w:vAlign w:val="bottom"/>
            <w:hideMark/>
          </w:tcPr>
          <w:p w14:paraId="00CE60AA" w14:textId="77777777" w:rsidR="00234A20" w:rsidRDefault="00234A20" w:rsidP="0019276A">
            <w:pPr>
              <w:rPr>
                <w:color w:val="000000"/>
                <w:sz w:val="18"/>
                <w:szCs w:val="18"/>
                <w:lang w:eastAsia="en-AU"/>
              </w:rPr>
            </w:pPr>
            <w:r>
              <w:rPr>
                <w:color w:val="000000"/>
                <w:sz w:val="18"/>
                <w:szCs w:val="18"/>
                <w:lang w:eastAsia="en-AU"/>
              </w:rPr>
              <w:t>Agriculture, environmental and related studies</w:t>
            </w:r>
          </w:p>
        </w:tc>
        <w:tc>
          <w:tcPr>
            <w:tcW w:w="1106" w:type="dxa"/>
            <w:noWrap/>
            <w:tcMar>
              <w:top w:w="0" w:type="dxa"/>
              <w:left w:w="108" w:type="dxa"/>
              <w:bottom w:w="0" w:type="dxa"/>
              <w:right w:w="108" w:type="dxa"/>
            </w:tcMar>
            <w:vAlign w:val="bottom"/>
            <w:hideMark/>
          </w:tcPr>
          <w:p w14:paraId="085F1388" w14:textId="77777777" w:rsidR="00234A20" w:rsidRDefault="00234A20" w:rsidP="0019276A">
            <w:pPr>
              <w:rPr>
                <w:color w:val="000000"/>
                <w:sz w:val="18"/>
                <w:szCs w:val="18"/>
                <w:lang w:eastAsia="en-AU"/>
              </w:rPr>
            </w:pPr>
            <w:r>
              <w:rPr>
                <w:color w:val="000000"/>
                <w:sz w:val="18"/>
                <w:szCs w:val="18"/>
                <w:lang w:eastAsia="en-AU"/>
              </w:rPr>
              <w:t>8b</w:t>
            </w:r>
          </w:p>
        </w:tc>
      </w:tr>
      <w:tr w:rsidR="00234A20" w14:paraId="58CE85C3" w14:textId="77777777" w:rsidTr="0019276A">
        <w:trPr>
          <w:trHeight w:val="300"/>
        </w:trPr>
        <w:tc>
          <w:tcPr>
            <w:tcW w:w="3544" w:type="dxa"/>
            <w:noWrap/>
            <w:tcMar>
              <w:top w:w="0" w:type="dxa"/>
              <w:left w:w="108" w:type="dxa"/>
              <w:bottom w:w="0" w:type="dxa"/>
              <w:right w:w="108" w:type="dxa"/>
            </w:tcMar>
            <w:vAlign w:val="bottom"/>
            <w:hideMark/>
          </w:tcPr>
          <w:p w14:paraId="501A074D" w14:textId="77777777" w:rsidR="00234A20" w:rsidRDefault="00234A20" w:rsidP="0019276A">
            <w:pPr>
              <w:rPr>
                <w:color w:val="000000"/>
                <w:sz w:val="18"/>
                <w:szCs w:val="18"/>
                <w:lang w:eastAsia="en-AU"/>
              </w:rPr>
            </w:pPr>
            <w:r>
              <w:rPr>
                <w:color w:val="000000"/>
                <w:sz w:val="18"/>
                <w:szCs w:val="18"/>
                <w:lang w:eastAsia="en-AU"/>
              </w:rPr>
              <w:t>Area studies</w:t>
            </w:r>
          </w:p>
        </w:tc>
        <w:tc>
          <w:tcPr>
            <w:tcW w:w="3571" w:type="dxa"/>
            <w:noWrap/>
            <w:tcMar>
              <w:top w:w="0" w:type="dxa"/>
              <w:left w:w="108" w:type="dxa"/>
              <w:bottom w:w="0" w:type="dxa"/>
              <w:right w:w="108" w:type="dxa"/>
            </w:tcMar>
            <w:vAlign w:val="bottom"/>
            <w:hideMark/>
          </w:tcPr>
          <w:p w14:paraId="1196EAFE" w14:textId="77777777" w:rsidR="00234A20" w:rsidRDefault="00234A20" w:rsidP="0019276A">
            <w:pPr>
              <w:rPr>
                <w:color w:val="000000"/>
                <w:sz w:val="18"/>
                <w:szCs w:val="18"/>
                <w:lang w:eastAsia="en-AU"/>
              </w:rPr>
            </w:pPr>
            <w:r>
              <w:rPr>
                <w:color w:val="000000"/>
                <w:sz w:val="18"/>
                <w:szCs w:val="18"/>
                <w:lang w:eastAsia="en-AU"/>
              </w:rPr>
              <w:t>Society and culture</w:t>
            </w:r>
          </w:p>
        </w:tc>
        <w:tc>
          <w:tcPr>
            <w:tcW w:w="1106" w:type="dxa"/>
            <w:noWrap/>
            <w:tcMar>
              <w:top w:w="0" w:type="dxa"/>
              <w:left w:w="108" w:type="dxa"/>
              <w:bottom w:w="0" w:type="dxa"/>
              <w:right w:w="108" w:type="dxa"/>
            </w:tcMar>
            <w:vAlign w:val="bottom"/>
            <w:hideMark/>
          </w:tcPr>
          <w:p w14:paraId="65C1D9D4" w14:textId="77777777" w:rsidR="00234A20" w:rsidRDefault="00234A20" w:rsidP="0019276A">
            <w:pPr>
              <w:rPr>
                <w:color w:val="000000"/>
                <w:sz w:val="18"/>
                <w:szCs w:val="18"/>
                <w:lang w:eastAsia="en-AU"/>
              </w:rPr>
            </w:pPr>
            <w:r>
              <w:rPr>
                <w:color w:val="000000"/>
                <w:sz w:val="18"/>
                <w:szCs w:val="18"/>
                <w:lang w:eastAsia="en-AU"/>
              </w:rPr>
              <w:t>3b</w:t>
            </w:r>
          </w:p>
        </w:tc>
      </w:tr>
      <w:tr w:rsidR="00234A20" w14:paraId="528712AE" w14:textId="77777777" w:rsidTr="0019276A">
        <w:trPr>
          <w:trHeight w:val="300"/>
        </w:trPr>
        <w:tc>
          <w:tcPr>
            <w:tcW w:w="3544" w:type="dxa"/>
            <w:noWrap/>
            <w:tcMar>
              <w:top w:w="0" w:type="dxa"/>
              <w:left w:w="108" w:type="dxa"/>
              <w:bottom w:w="0" w:type="dxa"/>
              <w:right w:w="108" w:type="dxa"/>
            </w:tcMar>
            <w:vAlign w:val="bottom"/>
            <w:hideMark/>
          </w:tcPr>
          <w:p w14:paraId="05EE6B53" w14:textId="77777777" w:rsidR="00234A20" w:rsidRDefault="00234A20" w:rsidP="0019276A">
            <w:pPr>
              <w:rPr>
                <w:color w:val="000000"/>
                <w:sz w:val="18"/>
                <w:szCs w:val="18"/>
                <w:lang w:eastAsia="en-AU"/>
              </w:rPr>
            </w:pPr>
            <w:r>
              <w:rPr>
                <w:color w:val="000000"/>
                <w:sz w:val="18"/>
                <w:szCs w:val="18"/>
                <w:lang w:eastAsia="en-AU"/>
              </w:rPr>
              <w:t>Archaeology</w:t>
            </w:r>
          </w:p>
        </w:tc>
        <w:tc>
          <w:tcPr>
            <w:tcW w:w="3571" w:type="dxa"/>
            <w:noWrap/>
            <w:tcMar>
              <w:top w:w="0" w:type="dxa"/>
              <w:left w:w="108" w:type="dxa"/>
              <w:bottom w:w="0" w:type="dxa"/>
              <w:right w:w="108" w:type="dxa"/>
            </w:tcMar>
            <w:vAlign w:val="bottom"/>
            <w:hideMark/>
          </w:tcPr>
          <w:p w14:paraId="26980EB2" w14:textId="77777777" w:rsidR="00234A20" w:rsidRDefault="00234A20" w:rsidP="0019276A">
            <w:pPr>
              <w:rPr>
                <w:color w:val="000000"/>
                <w:sz w:val="18"/>
                <w:szCs w:val="18"/>
                <w:lang w:eastAsia="en-AU"/>
              </w:rPr>
            </w:pPr>
            <w:r>
              <w:rPr>
                <w:color w:val="000000"/>
                <w:sz w:val="18"/>
                <w:szCs w:val="18"/>
                <w:lang w:eastAsia="en-AU"/>
              </w:rPr>
              <w:t>Society and culture</w:t>
            </w:r>
          </w:p>
        </w:tc>
        <w:tc>
          <w:tcPr>
            <w:tcW w:w="1106" w:type="dxa"/>
            <w:noWrap/>
            <w:tcMar>
              <w:top w:w="0" w:type="dxa"/>
              <w:left w:w="108" w:type="dxa"/>
              <w:bottom w:w="0" w:type="dxa"/>
              <w:right w:w="108" w:type="dxa"/>
            </w:tcMar>
            <w:vAlign w:val="bottom"/>
            <w:hideMark/>
          </w:tcPr>
          <w:p w14:paraId="32787757" w14:textId="77777777" w:rsidR="00234A20" w:rsidRDefault="00234A20" w:rsidP="0019276A">
            <w:pPr>
              <w:rPr>
                <w:color w:val="000000"/>
                <w:sz w:val="18"/>
                <w:szCs w:val="18"/>
                <w:lang w:eastAsia="en-AU"/>
              </w:rPr>
            </w:pPr>
            <w:r>
              <w:rPr>
                <w:color w:val="000000"/>
                <w:sz w:val="18"/>
                <w:szCs w:val="18"/>
                <w:lang w:eastAsia="en-AU"/>
              </w:rPr>
              <w:t>2</w:t>
            </w:r>
          </w:p>
        </w:tc>
      </w:tr>
      <w:tr w:rsidR="00234A20" w14:paraId="047FF2D7" w14:textId="77777777" w:rsidTr="0019276A">
        <w:trPr>
          <w:trHeight w:val="300"/>
        </w:trPr>
        <w:tc>
          <w:tcPr>
            <w:tcW w:w="3544" w:type="dxa"/>
            <w:noWrap/>
            <w:tcMar>
              <w:top w:w="0" w:type="dxa"/>
              <w:left w:w="108" w:type="dxa"/>
              <w:bottom w:w="0" w:type="dxa"/>
              <w:right w:w="108" w:type="dxa"/>
            </w:tcMar>
            <w:vAlign w:val="bottom"/>
            <w:hideMark/>
          </w:tcPr>
          <w:p w14:paraId="22E48164" w14:textId="77777777" w:rsidR="00234A20" w:rsidRDefault="00234A20" w:rsidP="0019276A">
            <w:pPr>
              <w:rPr>
                <w:color w:val="000000"/>
                <w:sz w:val="18"/>
                <w:szCs w:val="18"/>
                <w:lang w:eastAsia="en-AU"/>
              </w:rPr>
            </w:pPr>
            <w:r>
              <w:rPr>
                <w:color w:val="000000"/>
                <w:sz w:val="18"/>
                <w:szCs w:val="18"/>
                <w:lang w:eastAsia="en-AU"/>
              </w:rPr>
              <w:t>Anthropology and development studies</w:t>
            </w:r>
          </w:p>
        </w:tc>
        <w:tc>
          <w:tcPr>
            <w:tcW w:w="3571" w:type="dxa"/>
            <w:noWrap/>
            <w:tcMar>
              <w:top w:w="0" w:type="dxa"/>
              <w:left w:w="108" w:type="dxa"/>
              <w:bottom w:w="0" w:type="dxa"/>
              <w:right w:w="108" w:type="dxa"/>
            </w:tcMar>
            <w:vAlign w:val="bottom"/>
            <w:hideMark/>
          </w:tcPr>
          <w:p w14:paraId="3344AD8C" w14:textId="77777777" w:rsidR="00234A20" w:rsidRDefault="00234A20" w:rsidP="0019276A">
            <w:pPr>
              <w:rPr>
                <w:color w:val="000000"/>
                <w:sz w:val="18"/>
                <w:szCs w:val="18"/>
                <w:lang w:eastAsia="en-AU"/>
              </w:rPr>
            </w:pPr>
            <w:r>
              <w:rPr>
                <w:color w:val="000000"/>
                <w:sz w:val="18"/>
                <w:szCs w:val="18"/>
                <w:lang w:eastAsia="en-AU"/>
              </w:rPr>
              <w:t>Society and culture</w:t>
            </w:r>
          </w:p>
        </w:tc>
        <w:tc>
          <w:tcPr>
            <w:tcW w:w="1106" w:type="dxa"/>
            <w:noWrap/>
            <w:tcMar>
              <w:top w:w="0" w:type="dxa"/>
              <w:left w:w="108" w:type="dxa"/>
              <w:bottom w:w="0" w:type="dxa"/>
              <w:right w:w="108" w:type="dxa"/>
            </w:tcMar>
            <w:vAlign w:val="bottom"/>
            <w:hideMark/>
          </w:tcPr>
          <w:p w14:paraId="6CC2B3FD" w14:textId="77777777" w:rsidR="00234A20" w:rsidRDefault="00234A20" w:rsidP="0019276A">
            <w:pPr>
              <w:rPr>
                <w:color w:val="000000"/>
                <w:sz w:val="18"/>
                <w:szCs w:val="18"/>
                <w:lang w:eastAsia="en-AU"/>
              </w:rPr>
            </w:pPr>
            <w:r>
              <w:rPr>
                <w:color w:val="000000"/>
                <w:sz w:val="18"/>
                <w:szCs w:val="18"/>
                <w:lang w:eastAsia="en-AU"/>
              </w:rPr>
              <w:t>2</w:t>
            </w:r>
          </w:p>
        </w:tc>
      </w:tr>
      <w:tr w:rsidR="00234A20" w14:paraId="4FF6CC44" w14:textId="77777777" w:rsidTr="0019276A">
        <w:trPr>
          <w:trHeight w:val="300"/>
        </w:trPr>
        <w:tc>
          <w:tcPr>
            <w:tcW w:w="3544" w:type="dxa"/>
            <w:noWrap/>
            <w:tcMar>
              <w:top w:w="0" w:type="dxa"/>
              <w:left w:w="108" w:type="dxa"/>
              <w:bottom w:w="0" w:type="dxa"/>
              <w:right w:w="108" w:type="dxa"/>
            </w:tcMar>
            <w:vAlign w:val="bottom"/>
            <w:hideMark/>
          </w:tcPr>
          <w:p w14:paraId="3B93D462" w14:textId="77777777" w:rsidR="00234A20" w:rsidRDefault="00234A20" w:rsidP="0019276A">
            <w:pPr>
              <w:rPr>
                <w:color w:val="000000"/>
                <w:sz w:val="18"/>
                <w:szCs w:val="18"/>
                <w:lang w:eastAsia="en-AU"/>
              </w:rPr>
            </w:pPr>
            <w:r>
              <w:rPr>
                <w:color w:val="000000"/>
                <w:sz w:val="18"/>
                <w:szCs w:val="18"/>
                <w:lang w:eastAsia="en-AU"/>
              </w:rPr>
              <w:t>Politics and international studies</w:t>
            </w:r>
          </w:p>
        </w:tc>
        <w:tc>
          <w:tcPr>
            <w:tcW w:w="3571" w:type="dxa"/>
            <w:noWrap/>
            <w:tcMar>
              <w:top w:w="0" w:type="dxa"/>
              <w:left w:w="108" w:type="dxa"/>
              <w:bottom w:w="0" w:type="dxa"/>
              <w:right w:w="108" w:type="dxa"/>
            </w:tcMar>
            <w:vAlign w:val="bottom"/>
            <w:hideMark/>
          </w:tcPr>
          <w:p w14:paraId="314788DF" w14:textId="77777777" w:rsidR="00234A20" w:rsidRDefault="00234A20" w:rsidP="0019276A">
            <w:pPr>
              <w:rPr>
                <w:color w:val="000000"/>
                <w:sz w:val="18"/>
                <w:szCs w:val="18"/>
                <w:lang w:eastAsia="en-AU"/>
              </w:rPr>
            </w:pPr>
            <w:r>
              <w:rPr>
                <w:color w:val="000000"/>
                <w:sz w:val="18"/>
                <w:szCs w:val="18"/>
                <w:lang w:eastAsia="en-AU"/>
              </w:rPr>
              <w:t>Society and culture</w:t>
            </w:r>
          </w:p>
        </w:tc>
        <w:tc>
          <w:tcPr>
            <w:tcW w:w="1106" w:type="dxa"/>
            <w:noWrap/>
            <w:tcMar>
              <w:top w:w="0" w:type="dxa"/>
              <w:left w:w="108" w:type="dxa"/>
              <w:bottom w:w="0" w:type="dxa"/>
              <w:right w:w="108" w:type="dxa"/>
            </w:tcMar>
            <w:vAlign w:val="bottom"/>
            <w:hideMark/>
          </w:tcPr>
          <w:p w14:paraId="205AA19D" w14:textId="77777777" w:rsidR="00234A20" w:rsidRDefault="00234A20" w:rsidP="0019276A">
            <w:pPr>
              <w:rPr>
                <w:color w:val="000000"/>
                <w:sz w:val="18"/>
                <w:szCs w:val="18"/>
                <w:lang w:eastAsia="en-AU"/>
              </w:rPr>
            </w:pPr>
            <w:r>
              <w:rPr>
                <w:color w:val="000000"/>
                <w:sz w:val="18"/>
                <w:szCs w:val="18"/>
                <w:lang w:eastAsia="en-AU"/>
              </w:rPr>
              <w:t>3b</w:t>
            </w:r>
          </w:p>
        </w:tc>
      </w:tr>
      <w:tr w:rsidR="00234A20" w14:paraId="527EDEDC" w14:textId="77777777" w:rsidTr="0019276A">
        <w:trPr>
          <w:trHeight w:val="300"/>
        </w:trPr>
        <w:tc>
          <w:tcPr>
            <w:tcW w:w="3544" w:type="dxa"/>
            <w:noWrap/>
            <w:tcMar>
              <w:top w:w="0" w:type="dxa"/>
              <w:left w:w="108" w:type="dxa"/>
              <w:bottom w:w="0" w:type="dxa"/>
              <w:right w:w="108" w:type="dxa"/>
            </w:tcMar>
            <w:vAlign w:val="bottom"/>
            <w:hideMark/>
          </w:tcPr>
          <w:p w14:paraId="4A072A70" w14:textId="77777777" w:rsidR="00234A20" w:rsidRDefault="00234A20" w:rsidP="0019276A">
            <w:pPr>
              <w:rPr>
                <w:color w:val="000000"/>
                <w:sz w:val="18"/>
                <w:szCs w:val="18"/>
                <w:lang w:eastAsia="en-AU"/>
              </w:rPr>
            </w:pPr>
            <w:r>
              <w:rPr>
                <w:color w:val="000000"/>
                <w:sz w:val="18"/>
                <w:szCs w:val="18"/>
                <w:lang w:eastAsia="en-AU"/>
              </w:rPr>
              <w:t>Economics and econometrics</w:t>
            </w:r>
          </w:p>
        </w:tc>
        <w:tc>
          <w:tcPr>
            <w:tcW w:w="3571" w:type="dxa"/>
            <w:noWrap/>
            <w:tcMar>
              <w:top w:w="0" w:type="dxa"/>
              <w:left w:w="108" w:type="dxa"/>
              <w:bottom w:w="0" w:type="dxa"/>
              <w:right w:w="108" w:type="dxa"/>
            </w:tcMar>
            <w:vAlign w:val="bottom"/>
            <w:hideMark/>
          </w:tcPr>
          <w:p w14:paraId="0FF3ED72" w14:textId="77777777" w:rsidR="00234A20" w:rsidRDefault="00234A20" w:rsidP="0019276A">
            <w:pPr>
              <w:rPr>
                <w:color w:val="000000"/>
                <w:sz w:val="18"/>
                <w:szCs w:val="18"/>
                <w:lang w:eastAsia="en-AU"/>
              </w:rPr>
            </w:pPr>
            <w:r>
              <w:rPr>
                <w:color w:val="000000"/>
                <w:sz w:val="18"/>
                <w:szCs w:val="18"/>
                <w:lang w:eastAsia="en-AU"/>
              </w:rPr>
              <w:t>Society and culture</w:t>
            </w:r>
          </w:p>
        </w:tc>
        <w:tc>
          <w:tcPr>
            <w:tcW w:w="1106" w:type="dxa"/>
            <w:noWrap/>
            <w:tcMar>
              <w:top w:w="0" w:type="dxa"/>
              <w:left w:w="108" w:type="dxa"/>
              <w:bottom w:w="0" w:type="dxa"/>
              <w:right w:w="108" w:type="dxa"/>
            </w:tcMar>
            <w:vAlign w:val="bottom"/>
            <w:hideMark/>
          </w:tcPr>
          <w:p w14:paraId="1BE8F154" w14:textId="77777777" w:rsidR="00234A20" w:rsidRDefault="00234A20" w:rsidP="0019276A">
            <w:pPr>
              <w:rPr>
                <w:color w:val="000000"/>
                <w:sz w:val="18"/>
                <w:szCs w:val="18"/>
                <w:lang w:eastAsia="en-AU"/>
              </w:rPr>
            </w:pPr>
            <w:r>
              <w:rPr>
                <w:color w:val="000000"/>
                <w:sz w:val="18"/>
                <w:szCs w:val="18"/>
                <w:lang w:eastAsia="en-AU"/>
              </w:rPr>
              <w:t>1</w:t>
            </w:r>
          </w:p>
        </w:tc>
      </w:tr>
      <w:tr w:rsidR="00234A20" w14:paraId="691A5BCF" w14:textId="77777777" w:rsidTr="0019276A">
        <w:trPr>
          <w:trHeight w:val="300"/>
        </w:trPr>
        <w:tc>
          <w:tcPr>
            <w:tcW w:w="3544" w:type="dxa"/>
            <w:noWrap/>
            <w:tcMar>
              <w:top w:w="0" w:type="dxa"/>
              <w:left w:w="108" w:type="dxa"/>
              <w:bottom w:w="0" w:type="dxa"/>
              <w:right w:w="108" w:type="dxa"/>
            </w:tcMar>
            <w:vAlign w:val="bottom"/>
            <w:hideMark/>
          </w:tcPr>
          <w:p w14:paraId="6838725D" w14:textId="77777777" w:rsidR="00234A20" w:rsidRDefault="00234A20" w:rsidP="0019276A">
            <w:pPr>
              <w:rPr>
                <w:color w:val="000000"/>
                <w:sz w:val="18"/>
                <w:szCs w:val="18"/>
                <w:lang w:eastAsia="en-AU"/>
              </w:rPr>
            </w:pPr>
            <w:r>
              <w:rPr>
                <w:color w:val="000000"/>
                <w:sz w:val="18"/>
                <w:szCs w:val="18"/>
                <w:lang w:eastAsia="en-AU"/>
              </w:rPr>
              <w:t>Law</w:t>
            </w:r>
          </w:p>
        </w:tc>
        <w:tc>
          <w:tcPr>
            <w:tcW w:w="3571" w:type="dxa"/>
            <w:noWrap/>
            <w:tcMar>
              <w:top w:w="0" w:type="dxa"/>
              <w:left w:w="108" w:type="dxa"/>
              <w:bottom w:w="0" w:type="dxa"/>
              <w:right w:w="108" w:type="dxa"/>
            </w:tcMar>
            <w:vAlign w:val="bottom"/>
            <w:hideMark/>
          </w:tcPr>
          <w:p w14:paraId="58884ED2" w14:textId="77777777" w:rsidR="00234A20" w:rsidRDefault="00234A20" w:rsidP="0019276A">
            <w:pPr>
              <w:rPr>
                <w:color w:val="000000"/>
                <w:sz w:val="18"/>
                <w:szCs w:val="18"/>
                <w:lang w:eastAsia="en-AU"/>
              </w:rPr>
            </w:pPr>
            <w:r>
              <w:rPr>
                <w:color w:val="000000"/>
                <w:sz w:val="18"/>
                <w:szCs w:val="18"/>
                <w:lang w:eastAsia="en-AU"/>
              </w:rPr>
              <w:t>Society and culture</w:t>
            </w:r>
          </w:p>
        </w:tc>
        <w:tc>
          <w:tcPr>
            <w:tcW w:w="1106" w:type="dxa"/>
            <w:noWrap/>
            <w:tcMar>
              <w:top w:w="0" w:type="dxa"/>
              <w:left w:w="108" w:type="dxa"/>
              <w:bottom w:w="0" w:type="dxa"/>
              <w:right w:w="108" w:type="dxa"/>
            </w:tcMar>
            <w:vAlign w:val="bottom"/>
            <w:hideMark/>
          </w:tcPr>
          <w:p w14:paraId="0044C3DB" w14:textId="77777777" w:rsidR="00234A20" w:rsidRDefault="00234A20" w:rsidP="0019276A">
            <w:pPr>
              <w:rPr>
                <w:color w:val="000000"/>
                <w:sz w:val="18"/>
                <w:szCs w:val="18"/>
                <w:lang w:eastAsia="en-AU"/>
              </w:rPr>
            </w:pPr>
            <w:r>
              <w:rPr>
                <w:color w:val="000000"/>
                <w:sz w:val="18"/>
                <w:szCs w:val="18"/>
                <w:lang w:eastAsia="en-AU"/>
              </w:rPr>
              <w:t>1</w:t>
            </w:r>
          </w:p>
        </w:tc>
      </w:tr>
      <w:tr w:rsidR="00234A20" w14:paraId="086DF5F3" w14:textId="77777777" w:rsidTr="0019276A">
        <w:trPr>
          <w:trHeight w:val="300"/>
        </w:trPr>
        <w:tc>
          <w:tcPr>
            <w:tcW w:w="3544" w:type="dxa"/>
            <w:noWrap/>
            <w:tcMar>
              <w:top w:w="0" w:type="dxa"/>
              <w:left w:w="108" w:type="dxa"/>
              <w:bottom w:w="0" w:type="dxa"/>
              <w:right w:w="108" w:type="dxa"/>
            </w:tcMar>
            <w:vAlign w:val="bottom"/>
            <w:hideMark/>
          </w:tcPr>
          <w:p w14:paraId="3340F755" w14:textId="77777777" w:rsidR="00234A20" w:rsidRDefault="00234A20" w:rsidP="0019276A">
            <w:pPr>
              <w:rPr>
                <w:color w:val="000000"/>
                <w:sz w:val="18"/>
                <w:szCs w:val="18"/>
                <w:lang w:eastAsia="en-AU"/>
              </w:rPr>
            </w:pPr>
            <w:r>
              <w:rPr>
                <w:color w:val="000000"/>
                <w:sz w:val="18"/>
                <w:szCs w:val="18"/>
                <w:lang w:eastAsia="en-AU"/>
              </w:rPr>
              <w:t>Social work and social policy</w:t>
            </w:r>
          </w:p>
        </w:tc>
        <w:tc>
          <w:tcPr>
            <w:tcW w:w="3571" w:type="dxa"/>
            <w:noWrap/>
            <w:tcMar>
              <w:top w:w="0" w:type="dxa"/>
              <w:left w:w="108" w:type="dxa"/>
              <w:bottom w:w="0" w:type="dxa"/>
              <w:right w:w="108" w:type="dxa"/>
            </w:tcMar>
            <w:vAlign w:val="bottom"/>
            <w:hideMark/>
          </w:tcPr>
          <w:p w14:paraId="5E5D45A7" w14:textId="77777777" w:rsidR="00234A20" w:rsidRDefault="00234A20" w:rsidP="0019276A">
            <w:pPr>
              <w:rPr>
                <w:color w:val="000000"/>
                <w:sz w:val="18"/>
                <w:szCs w:val="18"/>
                <w:lang w:eastAsia="en-AU"/>
              </w:rPr>
            </w:pPr>
            <w:r>
              <w:rPr>
                <w:color w:val="000000"/>
                <w:sz w:val="18"/>
                <w:szCs w:val="18"/>
                <w:lang w:eastAsia="en-AU"/>
              </w:rPr>
              <w:t>Society and culture</w:t>
            </w:r>
          </w:p>
        </w:tc>
        <w:tc>
          <w:tcPr>
            <w:tcW w:w="1106" w:type="dxa"/>
            <w:noWrap/>
            <w:tcMar>
              <w:top w:w="0" w:type="dxa"/>
              <w:left w:w="108" w:type="dxa"/>
              <w:bottom w:w="0" w:type="dxa"/>
              <w:right w:w="108" w:type="dxa"/>
            </w:tcMar>
            <w:vAlign w:val="bottom"/>
            <w:hideMark/>
          </w:tcPr>
          <w:p w14:paraId="3B460656" w14:textId="77777777" w:rsidR="00234A20" w:rsidRDefault="00234A20" w:rsidP="0019276A">
            <w:pPr>
              <w:rPr>
                <w:color w:val="000000"/>
                <w:sz w:val="18"/>
                <w:szCs w:val="18"/>
                <w:lang w:eastAsia="en-AU"/>
              </w:rPr>
            </w:pPr>
            <w:r>
              <w:rPr>
                <w:color w:val="000000"/>
                <w:sz w:val="18"/>
                <w:szCs w:val="18"/>
                <w:lang w:eastAsia="en-AU"/>
              </w:rPr>
              <w:t>3b</w:t>
            </w:r>
          </w:p>
        </w:tc>
      </w:tr>
      <w:tr w:rsidR="00234A20" w14:paraId="61E66A16" w14:textId="77777777" w:rsidTr="0019276A">
        <w:trPr>
          <w:trHeight w:val="300"/>
        </w:trPr>
        <w:tc>
          <w:tcPr>
            <w:tcW w:w="3544" w:type="dxa"/>
            <w:noWrap/>
            <w:tcMar>
              <w:top w:w="0" w:type="dxa"/>
              <w:left w:w="108" w:type="dxa"/>
              <w:bottom w:w="0" w:type="dxa"/>
              <w:right w:w="108" w:type="dxa"/>
            </w:tcMar>
            <w:vAlign w:val="bottom"/>
            <w:hideMark/>
          </w:tcPr>
          <w:p w14:paraId="7D81238C" w14:textId="77777777" w:rsidR="00234A20" w:rsidRDefault="00234A20" w:rsidP="0019276A">
            <w:pPr>
              <w:rPr>
                <w:color w:val="000000"/>
                <w:sz w:val="18"/>
                <w:szCs w:val="18"/>
                <w:lang w:eastAsia="en-AU"/>
              </w:rPr>
            </w:pPr>
            <w:r>
              <w:rPr>
                <w:color w:val="000000"/>
                <w:sz w:val="18"/>
                <w:szCs w:val="18"/>
                <w:lang w:eastAsia="en-AU"/>
              </w:rPr>
              <w:t>Sociology</w:t>
            </w:r>
          </w:p>
        </w:tc>
        <w:tc>
          <w:tcPr>
            <w:tcW w:w="3571" w:type="dxa"/>
            <w:noWrap/>
            <w:tcMar>
              <w:top w:w="0" w:type="dxa"/>
              <w:left w:w="108" w:type="dxa"/>
              <w:bottom w:w="0" w:type="dxa"/>
              <w:right w:w="108" w:type="dxa"/>
            </w:tcMar>
            <w:vAlign w:val="bottom"/>
            <w:hideMark/>
          </w:tcPr>
          <w:p w14:paraId="5E3D9B82" w14:textId="77777777" w:rsidR="00234A20" w:rsidRDefault="00234A20" w:rsidP="0019276A">
            <w:pPr>
              <w:rPr>
                <w:color w:val="000000"/>
                <w:sz w:val="18"/>
                <w:szCs w:val="18"/>
                <w:lang w:eastAsia="en-AU"/>
              </w:rPr>
            </w:pPr>
            <w:r>
              <w:rPr>
                <w:color w:val="000000"/>
                <w:sz w:val="18"/>
                <w:szCs w:val="18"/>
                <w:lang w:eastAsia="en-AU"/>
              </w:rPr>
              <w:t>Society and culture</w:t>
            </w:r>
          </w:p>
        </w:tc>
        <w:tc>
          <w:tcPr>
            <w:tcW w:w="1106" w:type="dxa"/>
            <w:noWrap/>
            <w:tcMar>
              <w:top w:w="0" w:type="dxa"/>
              <w:left w:w="108" w:type="dxa"/>
              <w:bottom w:w="0" w:type="dxa"/>
              <w:right w:w="108" w:type="dxa"/>
            </w:tcMar>
            <w:vAlign w:val="bottom"/>
            <w:hideMark/>
          </w:tcPr>
          <w:p w14:paraId="7C83A88F" w14:textId="77777777" w:rsidR="00234A20" w:rsidRDefault="00234A20" w:rsidP="0019276A">
            <w:pPr>
              <w:rPr>
                <w:color w:val="000000"/>
                <w:sz w:val="18"/>
                <w:szCs w:val="18"/>
                <w:lang w:eastAsia="en-AU"/>
              </w:rPr>
            </w:pPr>
            <w:r>
              <w:rPr>
                <w:color w:val="000000"/>
                <w:sz w:val="18"/>
                <w:szCs w:val="18"/>
                <w:lang w:eastAsia="en-AU"/>
              </w:rPr>
              <w:t>3b</w:t>
            </w:r>
          </w:p>
        </w:tc>
      </w:tr>
      <w:tr w:rsidR="00234A20" w14:paraId="22D5A389" w14:textId="77777777" w:rsidTr="0019276A">
        <w:trPr>
          <w:trHeight w:val="300"/>
        </w:trPr>
        <w:tc>
          <w:tcPr>
            <w:tcW w:w="3544" w:type="dxa"/>
            <w:noWrap/>
            <w:tcMar>
              <w:top w:w="0" w:type="dxa"/>
              <w:left w:w="108" w:type="dxa"/>
              <w:bottom w:w="0" w:type="dxa"/>
              <w:right w:w="108" w:type="dxa"/>
            </w:tcMar>
            <w:vAlign w:val="bottom"/>
            <w:hideMark/>
          </w:tcPr>
          <w:p w14:paraId="5F80BCCF" w14:textId="77777777" w:rsidR="00234A20" w:rsidRDefault="00234A20" w:rsidP="0019276A">
            <w:pPr>
              <w:rPr>
                <w:color w:val="000000"/>
                <w:sz w:val="18"/>
                <w:szCs w:val="18"/>
                <w:lang w:eastAsia="en-AU"/>
              </w:rPr>
            </w:pPr>
            <w:r>
              <w:rPr>
                <w:color w:val="000000"/>
                <w:sz w:val="18"/>
                <w:szCs w:val="18"/>
                <w:lang w:eastAsia="en-AU"/>
              </w:rPr>
              <w:t>Business and management studies</w:t>
            </w:r>
          </w:p>
        </w:tc>
        <w:tc>
          <w:tcPr>
            <w:tcW w:w="3571" w:type="dxa"/>
            <w:noWrap/>
            <w:tcMar>
              <w:top w:w="0" w:type="dxa"/>
              <w:left w:w="108" w:type="dxa"/>
              <w:bottom w:w="0" w:type="dxa"/>
              <w:right w:w="108" w:type="dxa"/>
            </w:tcMar>
            <w:vAlign w:val="bottom"/>
            <w:hideMark/>
          </w:tcPr>
          <w:p w14:paraId="68D843D6" w14:textId="77777777" w:rsidR="00234A20" w:rsidRDefault="00234A20" w:rsidP="0019276A">
            <w:pPr>
              <w:rPr>
                <w:color w:val="000000"/>
                <w:sz w:val="18"/>
                <w:szCs w:val="18"/>
                <w:lang w:eastAsia="en-AU"/>
              </w:rPr>
            </w:pPr>
            <w:r>
              <w:rPr>
                <w:color w:val="000000"/>
                <w:sz w:val="18"/>
                <w:szCs w:val="18"/>
                <w:lang w:eastAsia="en-AU"/>
              </w:rPr>
              <w:t>Management and commerce</w:t>
            </w:r>
          </w:p>
        </w:tc>
        <w:tc>
          <w:tcPr>
            <w:tcW w:w="1106" w:type="dxa"/>
            <w:noWrap/>
            <w:tcMar>
              <w:top w:w="0" w:type="dxa"/>
              <w:left w:w="108" w:type="dxa"/>
              <w:bottom w:w="0" w:type="dxa"/>
              <w:right w:w="108" w:type="dxa"/>
            </w:tcMar>
            <w:vAlign w:val="bottom"/>
            <w:hideMark/>
          </w:tcPr>
          <w:p w14:paraId="4BAF657F" w14:textId="77777777" w:rsidR="00234A20" w:rsidRDefault="00234A20" w:rsidP="0019276A">
            <w:pPr>
              <w:rPr>
                <w:color w:val="000000"/>
                <w:sz w:val="18"/>
                <w:szCs w:val="18"/>
                <w:lang w:eastAsia="en-AU"/>
              </w:rPr>
            </w:pPr>
            <w:r>
              <w:rPr>
                <w:color w:val="000000"/>
                <w:sz w:val="18"/>
                <w:szCs w:val="18"/>
                <w:lang w:eastAsia="en-AU"/>
              </w:rPr>
              <w:t>1</w:t>
            </w:r>
          </w:p>
        </w:tc>
      </w:tr>
      <w:tr w:rsidR="00234A20" w14:paraId="03F38F18" w14:textId="77777777" w:rsidTr="0019276A">
        <w:trPr>
          <w:trHeight w:val="300"/>
        </w:trPr>
        <w:tc>
          <w:tcPr>
            <w:tcW w:w="3544" w:type="dxa"/>
            <w:noWrap/>
            <w:tcMar>
              <w:top w:w="0" w:type="dxa"/>
              <w:left w:w="108" w:type="dxa"/>
              <w:bottom w:w="0" w:type="dxa"/>
              <w:right w:w="108" w:type="dxa"/>
            </w:tcMar>
            <w:vAlign w:val="bottom"/>
            <w:hideMark/>
          </w:tcPr>
          <w:p w14:paraId="78EF95E8" w14:textId="77777777" w:rsidR="00234A20" w:rsidRDefault="00234A20" w:rsidP="0019276A">
            <w:pPr>
              <w:rPr>
                <w:color w:val="000000"/>
                <w:sz w:val="18"/>
                <w:szCs w:val="18"/>
                <w:lang w:eastAsia="en-AU"/>
              </w:rPr>
            </w:pPr>
            <w:r>
              <w:rPr>
                <w:color w:val="000000"/>
                <w:sz w:val="18"/>
                <w:szCs w:val="18"/>
                <w:lang w:eastAsia="en-AU"/>
              </w:rPr>
              <w:t>Catering and hospitality management</w:t>
            </w:r>
          </w:p>
        </w:tc>
        <w:tc>
          <w:tcPr>
            <w:tcW w:w="3571" w:type="dxa"/>
            <w:noWrap/>
            <w:tcMar>
              <w:top w:w="0" w:type="dxa"/>
              <w:left w:w="108" w:type="dxa"/>
              <w:bottom w:w="0" w:type="dxa"/>
              <w:right w:w="108" w:type="dxa"/>
            </w:tcMar>
            <w:vAlign w:val="bottom"/>
            <w:hideMark/>
          </w:tcPr>
          <w:p w14:paraId="1A56EF01" w14:textId="77777777" w:rsidR="00234A20" w:rsidRDefault="00234A20" w:rsidP="0019276A">
            <w:pPr>
              <w:rPr>
                <w:color w:val="000000"/>
                <w:sz w:val="18"/>
                <w:szCs w:val="18"/>
                <w:lang w:eastAsia="en-AU"/>
              </w:rPr>
            </w:pPr>
            <w:r>
              <w:rPr>
                <w:color w:val="000000"/>
                <w:sz w:val="18"/>
                <w:szCs w:val="18"/>
                <w:lang w:eastAsia="en-AU"/>
              </w:rPr>
              <w:t>Management and commerce</w:t>
            </w:r>
          </w:p>
        </w:tc>
        <w:tc>
          <w:tcPr>
            <w:tcW w:w="1106" w:type="dxa"/>
            <w:noWrap/>
            <w:tcMar>
              <w:top w:w="0" w:type="dxa"/>
              <w:left w:w="108" w:type="dxa"/>
              <w:bottom w:w="0" w:type="dxa"/>
              <w:right w:w="108" w:type="dxa"/>
            </w:tcMar>
            <w:vAlign w:val="bottom"/>
            <w:hideMark/>
          </w:tcPr>
          <w:p w14:paraId="141BA772" w14:textId="77777777" w:rsidR="00234A20" w:rsidRDefault="00234A20" w:rsidP="0019276A">
            <w:pPr>
              <w:rPr>
                <w:color w:val="000000"/>
                <w:sz w:val="18"/>
                <w:szCs w:val="18"/>
                <w:lang w:eastAsia="en-AU"/>
              </w:rPr>
            </w:pPr>
            <w:r>
              <w:rPr>
                <w:color w:val="000000"/>
                <w:sz w:val="18"/>
                <w:szCs w:val="18"/>
                <w:lang w:eastAsia="en-AU"/>
              </w:rPr>
              <w:t>1</w:t>
            </w:r>
          </w:p>
        </w:tc>
      </w:tr>
      <w:tr w:rsidR="00234A20" w14:paraId="02480ADD" w14:textId="77777777" w:rsidTr="0019276A">
        <w:trPr>
          <w:trHeight w:val="300"/>
        </w:trPr>
        <w:tc>
          <w:tcPr>
            <w:tcW w:w="3544" w:type="dxa"/>
            <w:noWrap/>
            <w:tcMar>
              <w:top w:w="0" w:type="dxa"/>
              <w:left w:w="108" w:type="dxa"/>
              <w:bottom w:w="0" w:type="dxa"/>
              <w:right w:w="108" w:type="dxa"/>
            </w:tcMar>
            <w:vAlign w:val="bottom"/>
            <w:hideMark/>
          </w:tcPr>
          <w:p w14:paraId="31C5348E" w14:textId="77777777" w:rsidR="00234A20" w:rsidRDefault="00234A20" w:rsidP="0019276A">
            <w:pPr>
              <w:rPr>
                <w:color w:val="000000"/>
                <w:sz w:val="18"/>
                <w:szCs w:val="18"/>
                <w:lang w:eastAsia="en-AU"/>
              </w:rPr>
            </w:pPr>
            <w:r>
              <w:rPr>
                <w:color w:val="000000"/>
                <w:sz w:val="18"/>
                <w:szCs w:val="18"/>
                <w:lang w:eastAsia="en-AU"/>
              </w:rPr>
              <w:t>Education</w:t>
            </w:r>
          </w:p>
        </w:tc>
        <w:tc>
          <w:tcPr>
            <w:tcW w:w="3571" w:type="dxa"/>
            <w:noWrap/>
            <w:tcMar>
              <w:top w:w="0" w:type="dxa"/>
              <w:left w:w="108" w:type="dxa"/>
              <w:bottom w:w="0" w:type="dxa"/>
              <w:right w:w="108" w:type="dxa"/>
            </w:tcMar>
            <w:vAlign w:val="bottom"/>
            <w:hideMark/>
          </w:tcPr>
          <w:p w14:paraId="757E0532" w14:textId="77777777" w:rsidR="00234A20" w:rsidRDefault="00234A20" w:rsidP="0019276A">
            <w:pPr>
              <w:rPr>
                <w:color w:val="000000"/>
                <w:sz w:val="18"/>
                <w:szCs w:val="18"/>
                <w:lang w:eastAsia="en-AU"/>
              </w:rPr>
            </w:pPr>
            <w:r>
              <w:rPr>
                <w:color w:val="000000"/>
                <w:sz w:val="18"/>
                <w:szCs w:val="18"/>
                <w:lang w:eastAsia="en-AU"/>
              </w:rPr>
              <w:t>Education</w:t>
            </w:r>
          </w:p>
        </w:tc>
        <w:tc>
          <w:tcPr>
            <w:tcW w:w="1106" w:type="dxa"/>
            <w:noWrap/>
            <w:tcMar>
              <w:top w:w="0" w:type="dxa"/>
              <w:left w:w="108" w:type="dxa"/>
              <w:bottom w:w="0" w:type="dxa"/>
              <w:right w:w="108" w:type="dxa"/>
            </w:tcMar>
            <w:vAlign w:val="bottom"/>
            <w:hideMark/>
          </w:tcPr>
          <w:p w14:paraId="7E9A58A7" w14:textId="77777777" w:rsidR="00234A20" w:rsidRDefault="00234A20" w:rsidP="0019276A">
            <w:pPr>
              <w:rPr>
                <w:color w:val="000000"/>
                <w:sz w:val="18"/>
                <w:szCs w:val="18"/>
                <w:lang w:eastAsia="en-AU"/>
              </w:rPr>
            </w:pPr>
            <w:r>
              <w:rPr>
                <w:color w:val="000000"/>
                <w:sz w:val="18"/>
                <w:szCs w:val="18"/>
                <w:lang w:eastAsia="en-AU"/>
              </w:rPr>
              <w:t>4</w:t>
            </w:r>
          </w:p>
        </w:tc>
      </w:tr>
      <w:tr w:rsidR="00234A20" w14:paraId="534C7F4B" w14:textId="77777777" w:rsidTr="0019276A">
        <w:trPr>
          <w:trHeight w:val="300"/>
        </w:trPr>
        <w:tc>
          <w:tcPr>
            <w:tcW w:w="3544" w:type="dxa"/>
            <w:noWrap/>
            <w:tcMar>
              <w:top w:w="0" w:type="dxa"/>
              <w:left w:w="108" w:type="dxa"/>
              <w:bottom w:w="0" w:type="dxa"/>
              <w:right w:w="108" w:type="dxa"/>
            </w:tcMar>
            <w:vAlign w:val="bottom"/>
            <w:hideMark/>
          </w:tcPr>
          <w:p w14:paraId="20D56E12" w14:textId="77777777" w:rsidR="00234A20" w:rsidRDefault="00234A20" w:rsidP="0019276A">
            <w:pPr>
              <w:rPr>
                <w:color w:val="000000"/>
                <w:sz w:val="18"/>
                <w:szCs w:val="18"/>
                <w:lang w:eastAsia="en-AU"/>
              </w:rPr>
            </w:pPr>
            <w:r>
              <w:rPr>
                <w:color w:val="000000"/>
                <w:sz w:val="18"/>
                <w:szCs w:val="18"/>
                <w:lang w:eastAsia="en-AU"/>
              </w:rPr>
              <w:lastRenderedPageBreak/>
              <w:t>Continuing education</w:t>
            </w:r>
          </w:p>
        </w:tc>
        <w:tc>
          <w:tcPr>
            <w:tcW w:w="3571" w:type="dxa"/>
            <w:noWrap/>
            <w:tcMar>
              <w:top w:w="0" w:type="dxa"/>
              <w:left w:w="108" w:type="dxa"/>
              <w:bottom w:w="0" w:type="dxa"/>
              <w:right w:w="108" w:type="dxa"/>
            </w:tcMar>
            <w:vAlign w:val="bottom"/>
            <w:hideMark/>
          </w:tcPr>
          <w:p w14:paraId="36EC5B58" w14:textId="77777777" w:rsidR="00234A20" w:rsidRDefault="00234A20" w:rsidP="0019276A">
            <w:pPr>
              <w:rPr>
                <w:color w:val="000000"/>
                <w:sz w:val="18"/>
                <w:szCs w:val="18"/>
                <w:lang w:eastAsia="en-AU"/>
              </w:rPr>
            </w:pPr>
            <w:r>
              <w:rPr>
                <w:color w:val="000000"/>
                <w:sz w:val="18"/>
                <w:szCs w:val="18"/>
                <w:lang w:eastAsia="en-AU"/>
              </w:rPr>
              <w:t>Education</w:t>
            </w:r>
          </w:p>
        </w:tc>
        <w:tc>
          <w:tcPr>
            <w:tcW w:w="1106" w:type="dxa"/>
            <w:noWrap/>
            <w:tcMar>
              <w:top w:w="0" w:type="dxa"/>
              <w:left w:w="108" w:type="dxa"/>
              <w:bottom w:w="0" w:type="dxa"/>
              <w:right w:w="108" w:type="dxa"/>
            </w:tcMar>
            <w:vAlign w:val="bottom"/>
            <w:hideMark/>
          </w:tcPr>
          <w:p w14:paraId="24790F4B" w14:textId="77777777" w:rsidR="00234A20" w:rsidRDefault="00234A20" w:rsidP="0019276A">
            <w:pPr>
              <w:rPr>
                <w:color w:val="000000"/>
                <w:sz w:val="18"/>
                <w:szCs w:val="18"/>
                <w:lang w:eastAsia="en-AU"/>
              </w:rPr>
            </w:pPr>
            <w:r>
              <w:rPr>
                <w:color w:val="000000"/>
                <w:sz w:val="18"/>
                <w:szCs w:val="18"/>
                <w:lang w:eastAsia="en-AU"/>
              </w:rPr>
              <w:t>4</w:t>
            </w:r>
          </w:p>
        </w:tc>
      </w:tr>
      <w:tr w:rsidR="00234A20" w14:paraId="10A6BF87" w14:textId="77777777" w:rsidTr="0019276A">
        <w:trPr>
          <w:trHeight w:val="300"/>
        </w:trPr>
        <w:tc>
          <w:tcPr>
            <w:tcW w:w="3544" w:type="dxa"/>
            <w:noWrap/>
            <w:tcMar>
              <w:top w:w="0" w:type="dxa"/>
              <w:left w:w="108" w:type="dxa"/>
              <w:bottom w:w="0" w:type="dxa"/>
              <w:right w:w="108" w:type="dxa"/>
            </w:tcMar>
            <w:vAlign w:val="bottom"/>
            <w:hideMark/>
          </w:tcPr>
          <w:p w14:paraId="38BC524A" w14:textId="77777777" w:rsidR="00234A20" w:rsidRDefault="00234A20" w:rsidP="0019276A">
            <w:pPr>
              <w:rPr>
                <w:color w:val="000000"/>
                <w:sz w:val="18"/>
                <w:szCs w:val="18"/>
                <w:lang w:eastAsia="en-AU"/>
              </w:rPr>
            </w:pPr>
            <w:r>
              <w:rPr>
                <w:color w:val="000000"/>
                <w:sz w:val="18"/>
                <w:szCs w:val="18"/>
                <w:lang w:eastAsia="en-AU"/>
              </w:rPr>
              <w:t>Modern languages</w:t>
            </w:r>
          </w:p>
        </w:tc>
        <w:tc>
          <w:tcPr>
            <w:tcW w:w="3571" w:type="dxa"/>
            <w:noWrap/>
            <w:tcMar>
              <w:top w:w="0" w:type="dxa"/>
              <w:left w:w="108" w:type="dxa"/>
              <w:bottom w:w="0" w:type="dxa"/>
              <w:right w:w="108" w:type="dxa"/>
            </w:tcMar>
            <w:vAlign w:val="bottom"/>
            <w:hideMark/>
          </w:tcPr>
          <w:p w14:paraId="2BADA5E5" w14:textId="77777777" w:rsidR="00234A20" w:rsidRDefault="00234A20" w:rsidP="0019276A">
            <w:pPr>
              <w:rPr>
                <w:color w:val="000000"/>
                <w:sz w:val="18"/>
                <w:szCs w:val="18"/>
                <w:lang w:eastAsia="en-AU"/>
              </w:rPr>
            </w:pPr>
            <w:r>
              <w:rPr>
                <w:color w:val="000000"/>
                <w:sz w:val="18"/>
                <w:szCs w:val="18"/>
                <w:lang w:eastAsia="en-AU"/>
              </w:rPr>
              <w:t>Society and culture</w:t>
            </w:r>
          </w:p>
        </w:tc>
        <w:tc>
          <w:tcPr>
            <w:tcW w:w="1106" w:type="dxa"/>
            <w:noWrap/>
            <w:tcMar>
              <w:top w:w="0" w:type="dxa"/>
              <w:left w:w="108" w:type="dxa"/>
              <w:bottom w:w="0" w:type="dxa"/>
              <w:right w:w="108" w:type="dxa"/>
            </w:tcMar>
            <w:vAlign w:val="bottom"/>
            <w:hideMark/>
          </w:tcPr>
          <w:p w14:paraId="3FC200D5" w14:textId="77777777" w:rsidR="00234A20" w:rsidRDefault="00234A20" w:rsidP="0019276A">
            <w:pPr>
              <w:rPr>
                <w:color w:val="000000"/>
                <w:sz w:val="18"/>
                <w:szCs w:val="18"/>
                <w:lang w:eastAsia="en-AU"/>
              </w:rPr>
            </w:pPr>
            <w:r>
              <w:rPr>
                <w:color w:val="000000"/>
                <w:sz w:val="18"/>
                <w:szCs w:val="18"/>
                <w:lang w:eastAsia="en-AU"/>
              </w:rPr>
              <w:t>5a</w:t>
            </w:r>
          </w:p>
        </w:tc>
      </w:tr>
      <w:tr w:rsidR="00234A20" w14:paraId="5D14E95F" w14:textId="77777777" w:rsidTr="0019276A">
        <w:trPr>
          <w:trHeight w:val="300"/>
        </w:trPr>
        <w:tc>
          <w:tcPr>
            <w:tcW w:w="3544" w:type="dxa"/>
            <w:noWrap/>
            <w:tcMar>
              <w:top w:w="0" w:type="dxa"/>
              <w:left w:w="108" w:type="dxa"/>
              <w:bottom w:w="0" w:type="dxa"/>
              <w:right w:w="108" w:type="dxa"/>
            </w:tcMar>
            <w:vAlign w:val="bottom"/>
            <w:hideMark/>
          </w:tcPr>
          <w:p w14:paraId="680E50D8" w14:textId="77777777" w:rsidR="00234A20" w:rsidRDefault="00234A20" w:rsidP="0019276A">
            <w:pPr>
              <w:rPr>
                <w:color w:val="000000"/>
                <w:sz w:val="18"/>
                <w:szCs w:val="18"/>
                <w:lang w:eastAsia="en-AU"/>
              </w:rPr>
            </w:pPr>
            <w:r>
              <w:rPr>
                <w:color w:val="000000"/>
                <w:sz w:val="18"/>
                <w:szCs w:val="18"/>
                <w:lang w:eastAsia="en-AU"/>
              </w:rPr>
              <w:t>English language and literature</w:t>
            </w:r>
          </w:p>
        </w:tc>
        <w:tc>
          <w:tcPr>
            <w:tcW w:w="3571" w:type="dxa"/>
            <w:noWrap/>
            <w:tcMar>
              <w:top w:w="0" w:type="dxa"/>
              <w:left w:w="108" w:type="dxa"/>
              <w:bottom w:w="0" w:type="dxa"/>
              <w:right w:w="108" w:type="dxa"/>
            </w:tcMar>
            <w:vAlign w:val="bottom"/>
            <w:hideMark/>
          </w:tcPr>
          <w:p w14:paraId="08404E28" w14:textId="77777777" w:rsidR="00234A20" w:rsidRDefault="00234A20" w:rsidP="0019276A">
            <w:pPr>
              <w:rPr>
                <w:color w:val="000000"/>
                <w:sz w:val="18"/>
                <w:szCs w:val="18"/>
                <w:lang w:eastAsia="en-AU"/>
              </w:rPr>
            </w:pPr>
            <w:r>
              <w:rPr>
                <w:color w:val="000000"/>
                <w:sz w:val="18"/>
                <w:szCs w:val="18"/>
                <w:lang w:eastAsia="en-AU"/>
              </w:rPr>
              <w:t>Society and culture</w:t>
            </w:r>
          </w:p>
        </w:tc>
        <w:tc>
          <w:tcPr>
            <w:tcW w:w="1106" w:type="dxa"/>
            <w:noWrap/>
            <w:tcMar>
              <w:top w:w="0" w:type="dxa"/>
              <w:left w:w="108" w:type="dxa"/>
              <w:bottom w:w="0" w:type="dxa"/>
              <w:right w:w="108" w:type="dxa"/>
            </w:tcMar>
            <w:vAlign w:val="bottom"/>
            <w:hideMark/>
          </w:tcPr>
          <w:p w14:paraId="26030649" w14:textId="77777777" w:rsidR="00234A20" w:rsidRDefault="00234A20" w:rsidP="0019276A">
            <w:pPr>
              <w:rPr>
                <w:color w:val="000000"/>
                <w:sz w:val="18"/>
                <w:szCs w:val="18"/>
                <w:lang w:eastAsia="en-AU"/>
              </w:rPr>
            </w:pPr>
            <w:r>
              <w:rPr>
                <w:color w:val="000000"/>
                <w:sz w:val="18"/>
                <w:szCs w:val="18"/>
                <w:lang w:eastAsia="en-AU"/>
              </w:rPr>
              <w:t>2</w:t>
            </w:r>
          </w:p>
        </w:tc>
      </w:tr>
      <w:tr w:rsidR="00234A20" w14:paraId="3A37D402" w14:textId="77777777" w:rsidTr="0019276A">
        <w:trPr>
          <w:trHeight w:val="300"/>
        </w:trPr>
        <w:tc>
          <w:tcPr>
            <w:tcW w:w="3544" w:type="dxa"/>
            <w:noWrap/>
            <w:tcMar>
              <w:top w:w="0" w:type="dxa"/>
              <w:left w:w="108" w:type="dxa"/>
              <w:bottom w:w="0" w:type="dxa"/>
              <w:right w:w="108" w:type="dxa"/>
            </w:tcMar>
            <w:vAlign w:val="bottom"/>
            <w:hideMark/>
          </w:tcPr>
          <w:p w14:paraId="0649CCF6" w14:textId="77777777" w:rsidR="00234A20" w:rsidRDefault="00234A20" w:rsidP="0019276A">
            <w:pPr>
              <w:rPr>
                <w:color w:val="000000"/>
                <w:sz w:val="18"/>
                <w:szCs w:val="18"/>
                <w:lang w:eastAsia="en-AU"/>
              </w:rPr>
            </w:pPr>
            <w:r>
              <w:rPr>
                <w:color w:val="000000"/>
                <w:sz w:val="18"/>
                <w:szCs w:val="18"/>
                <w:lang w:eastAsia="en-AU"/>
              </w:rPr>
              <w:t>History</w:t>
            </w:r>
          </w:p>
        </w:tc>
        <w:tc>
          <w:tcPr>
            <w:tcW w:w="3571" w:type="dxa"/>
            <w:noWrap/>
            <w:tcMar>
              <w:top w:w="0" w:type="dxa"/>
              <w:left w:w="108" w:type="dxa"/>
              <w:bottom w:w="0" w:type="dxa"/>
              <w:right w:w="108" w:type="dxa"/>
            </w:tcMar>
            <w:vAlign w:val="bottom"/>
            <w:hideMark/>
          </w:tcPr>
          <w:p w14:paraId="5848BEF9" w14:textId="77777777" w:rsidR="00234A20" w:rsidRDefault="00234A20" w:rsidP="0019276A">
            <w:pPr>
              <w:rPr>
                <w:color w:val="000000"/>
                <w:sz w:val="18"/>
                <w:szCs w:val="18"/>
                <w:lang w:eastAsia="en-AU"/>
              </w:rPr>
            </w:pPr>
            <w:r>
              <w:rPr>
                <w:color w:val="000000"/>
                <w:sz w:val="18"/>
                <w:szCs w:val="18"/>
                <w:lang w:eastAsia="en-AU"/>
              </w:rPr>
              <w:t>Society and culture</w:t>
            </w:r>
          </w:p>
        </w:tc>
        <w:tc>
          <w:tcPr>
            <w:tcW w:w="1106" w:type="dxa"/>
            <w:noWrap/>
            <w:tcMar>
              <w:top w:w="0" w:type="dxa"/>
              <w:left w:w="108" w:type="dxa"/>
              <w:bottom w:w="0" w:type="dxa"/>
              <w:right w:w="108" w:type="dxa"/>
            </w:tcMar>
            <w:vAlign w:val="bottom"/>
            <w:hideMark/>
          </w:tcPr>
          <w:p w14:paraId="79D34CD7" w14:textId="77777777" w:rsidR="00234A20" w:rsidRDefault="00234A20" w:rsidP="0019276A">
            <w:pPr>
              <w:rPr>
                <w:color w:val="000000"/>
                <w:sz w:val="18"/>
                <w:szCs w:val="18"/>
                <w:lang w:eastAsia="en-AU"/>
              </w:rPr>
            </w:pPr>
            <w:r>
              <w:rPr>
                <w:color w:val="000000"/>
                <w:sz w:val="18"/>
                <w:szCs w:val="18"/>
                <w:lang w:eastAsia="en-AU"/>
              </w:rPr>
              <w:t>2</w:t>
            </w:r>
          </w:p>
        </w:tc>
      </w:tr>
      <w:tr w:rsidR="00234A20" w14:paraId="207D5EFF" w14:textId="77777777" w:rsidTr="0019276A">
        <w:trPr>
          <w:trHeight w:val="300"/>
        </w:trPr>
        <w:tc>
          <w:tcPr>
            <w:tcW w:w="3544" w:type="dxa"/>
            <w:noWrap/>
            <w:tcMar>
              <w:top w:w="0" w:type="dxa"/>
              <w:left w:w="108" w:type="dxa"/>
              <w:bottom w:w="0" w:type="dxa"/>
              <w:right w:w="108" w:type="dxa"/>
            </w:tcMar>
            <w:vAlign w:val="bottom"/>
            <w:hideMark/>
          </w:tcPr>
          <w:p w14:paraId="0ACD2CF8" w14:textId="77777777" w:rsidR="00234A20" w:rsidRDefault="00234A20" w:rsidP="0019276A">
            <w:pPr>
              <w:rPr>
                <w:color w:val="000000"/>
                <w:sz w:val="18"/>
                <w:szCs w:val="18"/>
                <w:lang w:eastAsia="en-AU"/>
              </w:rPr>
            </w:pPr>
            <w:r>
              <w:rPr>
                <w:color w:val="000000"/>
                <w:sz w:val="18"/>
                <w:szCs w:val="18"/>
                <w:lang w:eastAsia="en-AU"/>
              </w:rPr>
              <w:t>Classics</w:t>
            </w:r>
          </w:p>
        </w:tc>
        <w:tc>
          <w:tcPr>
            <w:tcW w:w="3571" w:type="dxa"/>
            <w:noWrap/>
            <w:tcMar>
              <w:top w:w="0" w:type="dxa"/>
              <w:left w:w="108" w:type="dxa"/>
              <w:bottom w:w="0" w:type="dxa"/>
              <w:right w:w="108" w:type="dxa"/>
            </w:tcMar>
            <w:vAlign w:val="bottom"/>
            <w:hideMark/>
          </w:tcPr>
          <w:p w14:paraId="7C42CA35" w14:textId="77777777" w:rsidR="00234A20" w:rsidRDefault="00234A20" w:rsidP="0019276A">
            <w:pPr>
              <w:rPr>
                <w:color w:val="000000"/>
                <w:sz w:val="18"/>
                <w:szCs w:val="18"/>
                <w:lang w:eastAsia="en-AU"/>
              </w:rPr>
            </w:pPr>
            <w:r>
              <w:rPr>
                <w:color w:val="000000"/>
                <w:sz w:val="18"/>
                <w:szCs w:val="18"/>
                <w:lang w:eastAsia="en-AU"/>
              </w:rPr>
              <w:t>Society and culture</w:t>
            </w:r>
          </w:p>
        </w:tc>
        <w:tc>
          <w:tcPr>
            <w:tcW w:w="1106" w:type="dxa"/>
            <w:noWrap/>
            <w:tcMar>
              <w:top w:w="0" w:type="dxa"/>
              <w:left w:w="108" w:type="dxa"/>
              <w:bottom w:w="0" w:type="dxa"/>
              <w:right w:w="108" w:type="dxa"/>
            </w:tcMar>
            <w:vAlign w:val="bottom"/>
            <w:hideMark/>
          </w:tcPr>
          <w:p w14:paraId="29544239" w14:textId="77777777" w:rsidR="00234A20" w:rsidRDefault="00234A20" w:rsidP="0019276A">
            <w:pPr>
              <w:rPr>
                <w:color w:val="000000"/>
                <w:sz w:val="18"/>
                <w:szCs w:val="18"/>
                <w:lang w:eastAsia="en-AU"/>
              </w:rPr>
            </w:pPr>
            <w:r>
              <w:rPr>
                <w:color w:val="000000"/>
                <w:sz w:val="18"/>
                <w:szCs w:val="18"/>
                <w:lang w:eastAsia="en-AU"/>
              </w:rPr>
              <w:t>2</w:t>
            </w:r>
          </w:p>
        </w:tc>
      </w:tr>
      <w:tr w:rsidR="00234A20" w14:paraId="76FDDF35" w14:textId="77777777" w:rsidTr="0019276A">
        <w:trPr>
          <w:trHeight w:val="300"/>
        </w:trPr>
        <w:tc>
          <w:tcPr>
            <w:tcW w:w="3544" w:type="dxa"/>
            <w:noWrap/>
            <w:tcMar>
              <w:top w:w="0" w:type="dxa"/>
              <w:left w:w="108" w:type="dxa"/>
              <w:bottom w:w="0" w:type="dxa"/>
              <w:right w:w="108" w:type="dxa"/>
            </w:tcMar>
            <w:vAlign w:val="bottom"/>
            <w:hideMark/>
          </w:tcPr>
          <w:p w14:paraId="04B231C2" w14:textId="77777777" w:rsidR="00234A20" w:rsidRDefault="00234A20" w:rsidP="0019276A">
            <w:pPr>
              <w:rPr>
                <w:color w:val="000000"/>
                <w:sz w:val="18"/>
                <w:szCs w:val="18"/>
                <w:lang w:eastAsia="en-AU"/>
              </w:rPr>
            </w:pPr>
            <w:r>
              <w:rPr>
                <w:color w:val="000000"/>
                <w:sz w:val="18"/>
                <w:szCs w:val="18"/>
                <w:lang w:eastAsia="en-AU"/>
              </w:rPr>
              <w:t>Philosophy</w:t>
            </w:r>
          </w:p>
        </w:tc>
        <w:tc>
          <w:tcPr>
            <w:tcW w:w="3571" w:type="dxa"/>
            <w:noWrap/>
            <w:tcMar>
              <w:top w:w="0" w:type="dxa"/>
              <w:left w:w="108" w:type="dxa"/>
              <w:bottom w:w="0" w:type="dxa"/>
              <w:right w:w="108" w:type="dxa"/>
            </w:tcMar>
            <w:vAlign w:val="bottom"/>
            <w:hideMark/>
          </w:tcPr>
          <w:p w14:paraId="432BA024" w14:textId="77777777" w:rsidR="00234A20" w:rsidRDefault="00234A20" w:rsidP="0019276A">
            <w:pPr>
              <w:rPr>
                <w:color w:val="000000"/>
                <w:sz w:val="18"/>
                <w:szCs w:val="18"/>
                <w:lang w:eastAsia="en-AU"/>
              </w:rPr>
            </w:pPr>
            <w:r>
              <w:rPr>
                <w:color w:val="000000"/>
                <w:sz w:val="18"/>
                <w:szCs w:val="18"/>
                <w:lang w:eastAsia="en-AU"/>
              </w:rPr>
              <w:t>Society and culture</w:t>
            </w:r>
          </w:p>
        </w:tc>
        <w:tc>
          <w:tcPr>
            <w:tcW w:w="1106" w:type="dxa"/>
            <w:noWrap/>
            <w:tcMar>
              <w:top w:w="0" w:type="dxa"/>
              <w:left w:w="108" w:type="dxa"/>
              <w:bottom w:w="0" w:type="dxa"/>
              <w:right w:w="108" w:type="dxa"/>
            </w:tcMar>
            <w:vAlign w:val="bottom"/>
            <w:hideMark/>
          </w:tcPr>
          <w:p w14:paraId="7BAB558C" w14:textId="77777777" w:rsidR="00234A20" w:rsidRDefault="00234A20" w:rsidP="0019276A">
            <w:pPr>
              <w:rPr>
                <w:color w:val="000000"/>
                <w:sz w:val="18"/>
                <w:szCs w:val="18"/>
                <w:lang w:eastAsia="en-AU"/>
              </w:rPr>
            </w:pPr>
            <w:r>
              <w:rPr>
                <w:color w:val="000000"/>
                <w:sz w:val="18"/>
                <w:szCs w:val="18"/>
                <w:lang w:eastAsia="en-AU"/>
              </w:rPr>
              <w:t>2</w:t>
            </w:r>
          </w:p>
        </w:tc>
      </w:tr>
      <w:tr w:rsidR="00234A20" w14:paraId="7B157759" w14:textId="77777777" w:rsidTr="0019276A">
        <w:trPr>
          <w:trHeight w:val="300"/>
        </w:trPr>
        <w:tc>
          <w:tcPr>
            <w:tcW w:w="3544" w:type="dxa"/>
            <w:noWrap/>
            <w:tcMar>
              <w:top w:w="0" w:type="dxa"/>
              <w:left w:w="108" w:type="dxa"/>
              <w:bottom w:w="0" w:type="dxa"/>
              <w:right w:w="108" w:type="dxa"/>
            </w:tcMar>
            <w:vAlign w:val="bottom"/>
            <w:hideMark/>
          </w:tcPr>
          <w:p w14:paraId="0468DE22" w14:textId="77777777" w:rsidR="00234A20" w:rsidRDefault="00234A20" w:rsidP="0019276A">
            <w:pPr>
              <w:rPr>
                <w:color w:val="000000"/>
                <w:sz w:val="18"/>
                <w:szCs w:val="18"/>
                <w:lang w:eastAsia="en-AU"/>
              </w:rPr>
            </w:pPr>
            <w:r>
              <w:rPr>
                <w:color w:val="000000"/>
                <w:sz w:val="18"/>
                <w:szCs w:val="18"/>
                <w:lang w:eastAsia="en-AU"/>
              </w:rPr>
              <w:t>Theology and religious studies</w:t>
            </w:r>
          </w:p>
        </w:tc>
        <w:tc>
          <w:tcPr>
            <w:tcW w:w="3571" w:type="dxa"/>
            <w:noWrap/>
            <w:tcMar>
              <w:top w:w="0" w:type="dxa"/>
              <w:left w:w="108" w:type="dxa"/>
              <w:bottom w:w="0" w:type="dxa"/>
              <w:right w:w="108" w:type="dxa"/>
            </w:tcMar>
            <w:vAlign w:val="bottom"/>
            <w:hideMark/>
          </w:tcPr>
          <w:p w14:paraId="461E64CA" w14:textId="77777777" w:rsidR="00234A20" w:rsidRDefault="00234A20" w:rsidP="0019276A">
            <w:pPr>
              <w:rPr>
                <w:color w:val="000000"/>
                <w:sz w:val="18"/>
                <w:szCs w:val="18"/>
                <w:lang w:eastAsia="en-AU"/>
              </w:rPr>
            </w:pPr>
            <w:r>
              <w:rPr>
                <w:color w:val="000000"/>
                <w:sz w:val="18"/>
                <w:szCs w:val="18"/>
                <w:lang w:eastAsia="en-AU"/>
              </w:rPr>
              <w:t>Society and culture</w:t>
            </w:r>
          </w:p>
        </w:tc>
        <w:tc>
          <w:tcPr>
            <w:tcW w:w="1106" w:type="dxa"/>
            <w:noWrap/>
            <w:tcMar>
              <w:top w:w="0" w:type="dxa"/>
              <w:left w:w="108" w:type="dxa"/>
              <w:bottom w:w="0" w:type="dxa"/>
              <w:right w:w="108" w:type="dxa"/>
            </w:tcMar>
            <w:vAlign w:val="bottom"/>
            <w:hideMark/>
          </w:tcPr>
          <w:p w14:paraId="170D7A31" w14:textId="77777777" w:rsidR="00234A20" w:rsidRDefault="00234A20" w:rsidP="0019276A">
            <w:pPr>
              <w:rPr>
                <w:color w:val="000000"/>
                <w:sz w:val="18"/>
                <w:szCs w:val="18"/>
                <w:lang w:eastAsia="en-AU"/>
              </w:rPr>
            </w:pPr>
            <w:r>
              <w:rPr>
                <w:color w:val="000000"/>
                <w:sz w:val="18"/>
                <w:szCs w:val="18"/>
                <w:lang w:eastAsia="en-AU"/>
              </w:rPr>
              <w:t>2</w:t>
            </w:r>
          </w:p>
        </w:tc>
      </w:tr>
      <w:tr w:rsidR="00234A20" w14:paraId="08DEAA5C" w14:textId="77777777" w:rsidTr="0019276A">
        <w:trPr>
          <w:trHeight w:val="300"/>
        </w:trPr>
        <w:tc>
          <w:tcPr>
            <w:tcW w:w="3544" w:type="dxa"/>
            <w:noWrap/>
            <w:tcMar>
              <w:top w:w="0" w:type="dxa"/>
              <w:left w:w="108" w:type="dxa"/>
              <w:bottom w:w="0" w:type="dxa"/>
              <w:right w:w="108" w:type="dxa"/>
            </w:tcMar>
            <w:vAlign w:val="bottom"/>
            <w:hideMark/>
          </w:tcPr>
          <w:p w14:paraId="01909177" w14:textId="77777777" w:rsidR="00234A20" w:rsidRDefault="00234A20" w:rsidP="0019276A">
            <w:pPr>
              <w:rPr>
                <w:color w:val="000000"/>
                <w:sz w:val="18"/>
                <w:szCs w:val="18"/>
                <w:lang w:eastAsia="en-AU"/>
              </w:rPr>
            </w:pPr>
            <w:r>
              <w:rPr>
                <w:color w:val="000000"/>
                <w:sz w:val="18"/>
                <w:szCs w:val="18"/>
                <w:lang w:eastAsia="en-AU"/>
              </w:rPr>
              <w:t>Art and design</w:t>
            </w:r>
          </w:p>
        </w:tc>
        <w:tc>
          <w:tcPr>
            <w:tcW w:w="3571" w:type="dxa"/>
            <w:noWrap/>
            <w:tcMar>
              <w:top w:w="0" w:type="dxa"/>
              <w:left w:w="108" w:type="dxa"/>
              <w:bottom w:w="0" w:type="dxa"/>
              <w:right w:w="108" w:type="dxa"/>
            </w:tcMar>
            <w:vAlign w:val="bottom"/>
            <w:hideMark/>
          </w:tcPr>
          <w:p w14:paraId="222926B9" w14:textId="77777777" w:rsidR="00234A20" w:rsidRDefault="00234A20" w:rsidP="0019276A">
            <w:pPr>
              <w:rPr>
                <w:color w:val="000000"/>
                <w:sz w:val="18"/>
                <w:szCs w:val="18"/>
                <w:lang w:eastAsia="en-AU"/>
              </w:rPr>
            </w:pPr>
            <w:r>
              <w:rPr>
                <w:color w:val="000000"/>
                <w:sz w:val="18"/>
                <w:szCs w:val="18"/>
                <w:lang w:eastAsia="en-AU"/>
              </w:rPr>
              <w:t>Creative arts</w:t>
            </w:r>
          </w:p>
        </w:tc>
        <w:tc>
          <w:tcPr>
            <w:tcW w:w="1106" w:type="dxa"/>
            <w:noWrap/>
            <w:tcMar>
              <w:top w:w="0" w:type="dxa"/>
              <w:left w:w="108" w:type="dxa"/>
              <w:bottom w:w="0" w:type="dxa"/>
              <w:right w:w="108" w:type="dxa"/>
            </w:tcMar>
            <w:vAlign w:val="bottom"/>
            <w:hideMark/>
          </w:tcPr>
          <w:p w14:paraId="1FBF4C4B" w14:textId="77777777" w:rsidR="00234A20" w:rsidRDefault="00234A20" w:rsidP="0019276A">
            <w:pPr>
              <w:rPr>
                <w:color w:val="000000"/>
                <w:sz w:val="18"/>
                <w:szCs w:val="18"/>
                <w:lang w:eastAsia="en-AU"/>
              </w:rPr>
            </w:pPr>
            <w:r>
              <w:rPr>
                <w:color w:val="000000"/>
                <w:sz w:val="18"/>
                <w:szCs w:val="18"/>
                <w:lang w:eastAsia="en-AU"/>
              </w:rPr>
              <w:t>5a</w:t>
            </w:r>
          </w:p>
        </w:tc>
      </w:tr>
      <w:tr w:rsidR="00234A20" w14:paraId="71C1CB1A" w14:textId="77777777" w:rsidTr="0019276A">
        <w:trPr>
          <w:trHeight w:val="300"/>
        </w:trPr>
        <w:tc>
          <w:tcPr>
            <w:tcW w:w="3544" w:type="dxa"/>
            <w:noWrap/>
            <w:tcMar>
              <w:top w:w="0" w:type="dxa"/>
              <w:left w:w="108" w:type="dxa"/>
              <w:bottom w:w="0" w:type="dxa"/>
              <w:right w:w="108" w:type="dxa"/>
            </w:tcMar>
            <w:vAlign w:val="bottom"/>
            <w:hideMark/>
          </w:tcPr>
          <w:p w14:paraId="613A43BB" w14:textId="77777777" w:rsidR="00234A20" w:rsidRDefault="00234A20" w:rsidP="0019276A">
            <w:pPr>
              <w:rPr>
                <w:color w:val="000000"/>
                <w:sz w:val="18"/>
                <w:szCs w:val="18"/>
                <w:lang w:eastAsia="en-AU"/>
              </w:rPr>
            </w:pPr>
            <w:r>
              <w:rPr>
                <w:color w:val="000000"/>
                <w:sz w:val="18"/>
                <w:szCs w:val="18"/>
                <w:lang w:eastAsia="en-AU"/>
              </w:rPr>
              <w:t>Music, drama, dance and performing arts</w:t>
            </w:r>
          </w:p>
        </w:tc>
        <w:tc>
          <w:tcPr>
            <w:tcW w:w="3571" w:type="dxa"/>
            <w:noWrap/>
            <w:tcMar>
              <w:top w:w="0" w:type="dxa"/>
              <w:left w:w="108" w:type="dxa"/>
              <w:bottom w:w="0" w:type="dxa"/>
              <w:right w:w="108" w:type="dxa"/>
            </w:tcMar>
            <w:vAlign w:val="bottom"/>
            <w:hideMark/>
          </w:tcPr>
          <w:p w14:paraId="134536E3" w14:textId="77777777" w:rsidR="00234A20" w:rsidRDefault="00234A20" w:rsidP="0019276A">
            <w:pPr>
              <w:rPr>
                <w:color w:val="000000"/>
                <w:sz w:val="18"/>
                <w:szCs w:val="18"/>
                <w:lang w:eastAsia="en-AU"/>
              </w:rPr>
            </w:pPr>
            <w:r>
              <w:rPr>
                <w:color w:val="000000"/>
                <w:sz w:val="18"/>
                <w:szCs w:val="18"/>
                <w:lang w:eastAsia="en-AU"/>
              </w:rPr>
              <w:t>Creative arts</w:t>
            </w:r>
          </w:p>
        </w:tc>
        <w:tc>
          <w:tcPr>
            <w:tcW w:w="1106" w:type="dxa"/>
            <w:noWrap/>
            <w:tcMar>
              <w:top w:w="0" w:type="dxa"/>
              <w:left w:w="108" w:type="dxa"/>
              <w:bottom w:w="0" w:type="dxa"/>
              <w:right w:w="108" w:type="dxa"/>
            </w:tcMar>
            <w:vAlign w:val="bottom"/>
            <w:hideMark/>
          </w:tcPr>
          <w:p w14:paraId="61576B71" w14:textId="77777777" w:rsidR="00234A20" w:rsidRDefault="00234A20" w:rsidP="0019276A">
            <w:pPr>
              <w:rPr>
                <w:color w:val="000000"/>
                <w:sz w:val="18"/>
                <w:szCs w:val="18"/>
                <w:lang w:eastAsia="en-AU"/>
              </w:rPr>
            </w:pPr>
            <w:r>
              <w:rPr>
                <w:color w:val="000000"/>
                <w:sz w:val="18"/>
                <w:szCs w:val="18"/>
                <w:lang w:eastAsia="en-AU"/>
              </w:rPr>
              <w:t>5a</w:t>
            </w:r>
          </w:p>
        </w:tc>
      </w:tr>
      <w:tr w:rsidR="00234A20" w14:paraId="63C68344" w14:textId="77777777" w:rsidTr="0019276A">
        <w:trPr>
          <w:trHeight w:val="315"/>
        </w:trPr>
        <w:tc>
          <w:tcPr>
            <w:tcW w:w="3544" w:type="dxa"/>
            <w:tcBorders>
              <w:top w:val="nil"/>
              <w:left w:val="nil"/>
              <w:bottom w:val="single" w:sz="12" w:space="0" w:color="002776"/>
              <w:right w:val="nil"/>
            </w:tcBorders>
            <w:noWrap/>
            <w:tcMar>
              <w:top w:w="0" w:type="dxa"/>
              <w:left w:w="108" w:type="dxa"/>
              <w:bottom w:w="0" w:type="dxa"/>
              <w:right w:w="108" w:type="dxa"/>
            </w:tcMar>
            <w:vAlign w:val="bottom"/>
            <w:hideMark/>
          </w:tcPr>
          <w:p w14:paraId="3299AAB8" w14:textId="77777777" w:rsidR="00234A20" w:rsidRDefault="00234A20" w:rsidP="0019276A">
            <w:pPr>
              <w:rPr>
                <w:color w:val="000000"/>
                <w:sz w:val="18"/>
                <w:szCs w:val="18"/>
                <w:lang w:eastAsia="en-AU"/>
              </w:rPr>
            </w:pPr>
            <w:r>
              <w:rPr>
                <w:color w:val="000000"/>
                <w:sz w:val="18"/>
                <w:szCs w:val="18"/>
                <w:lang w:eastAsia="en-AU"/>
              </w:rPr>
              <w:t>Media studies</w:t>
            </w:r>
          </w:p>
        </w:tc>
        <w:tc>
          <w:tcPr>
            <w:tcW w:w="3571" w:type="dxa"/>
            <w:tcBorders>
              <w:top w:val="nil"/>
              <w:left w:val="nil"/>
              <w:bottom w:val="single" w:sz="12" w:space="0" w:color="002776"/>
              <w:right w:val="nil"/>
            </w:tcBorders>
            <w:noWrap/>
            <w:tcMar>
              <w:top w:w="0" w:type="dxa"/>
              <w:left w:w="108" w:type="dxa"/>
              <w:bottom w:w="0" w:type="dxa"/>
              <w:right w:w="108" w:type="dxa"/>
            </w:tcMar>
            <w:vAlign w:val="bottom"/>
            <w:hideMark/>
          </w:tcPr>
          <w:p w14:paraId="4C371B80" w14:textId="77777777" w:rsidR="00234A20" w:rsidRDefault="00234A20" w:rsidP="0019276A">
            <w:pPr>
              <w:rPr>
                <w:color w:val="000000"/>
                <w:sz w:val="18"/>
                <w:szCs w:val="18"/>
                <w:lang w:eastAsia="en-AU"/>
              </w:rPr>
            </w:pPr>
            <w:r>
              <w:rPr>
                <w:color w:val="000000"/>
                <w:sz w:val="18"/>
                <w:szCs w:val="18"/>
                <w:lang w:eastAsia="en-AU"/>
              </w:rPr>
              <w:t>Creative arts</w:t>
            </w:r>
          </w:p>
        </w:tc>
        <w:tc>
          <w:tcPr>
            <w:tcW w:w="1106" w:type="dxa"/>
            <w:tcBorders>
              <w:top w:val="nil"/>
              <w:left w:val="nil"/>
              <w:bottom w:val="single" w:sz="12" w:space="0" w:color="002776"/>
              <w:right w:val="nil"/>
            </w:tcBorders>
            <w:noWrap/>
            <w:tcMar>
              <w:top w:w="0" w:type="dxa"/>
              <w:left w:w="108" w:type="dxa"/>
              <w:bottom w:w="0" w:type="dxa"/>
              <w:right w:w="108" w:type="dxa"/>
            </w:tcMar>
            <w:vAlign w:val="bottom"/>
            <w:hideMark/>
          </w:tcPr>
          <w:p w14:paraId="7926E25A" w14:textId="77777777" w:rsidR="00234A20" w:rsidRDefault="00234A20" w:rsidP="0019276A">
            <w:pPr>
              <w:rPr>
                <w:color w:val="000000"/>
                <w:sz w:val="18"/>
                <w:szCs w:val="18"/>
                <w:lang w:eastAsia="en-AU"/>
              </w:rPr>
            </w:pPr>
            <w:r>
              <w:rPr>
                <w:color w:val="000000"/>
                <w:sz w:val="18"/>
                <w:szCs w:val="18"/>
                <w:lang w:eastAsia="en-AU"/>
              </w:rPr>
              <w:t>5a</w:t>
            </w:r>
          </w:p>
        </w:tc>
      </w:tr>
    </w:tbl>
    <w:p w14:paraId="51A6A92F" w14:textId="77777777" w:rsidR="00234A20" w:rsidRDefault="00234A20" w:rsidP="00234A20">
      <w:pPr>
        <w:pStyle w:val="Source"/>
      </w:pPr>
      <w:r>
        <w:t>Source: Deloitte Access Economics</w:t>
      </w:r>
      <w:r w:rsidR="000075ED">
        <w:t xml:space="preserve"> analysis</w:t>
      </w:r>
      <w:r>
        <w:t>.</w:t>
      </w:r>
    </w:p>
    <w:p w14:paraId="01B555FB" w14:textId="77777777" w:rsidR="00E1434C" w:rsidRDefault="00E1434C" w:rsidP="00E1434C">
      <w:pPr>
        <w:pStyle w:val="BodyText"/>
      </w:pPr>
      <w:r>
        <w:t xml:space="preserve">A similar approach has also been undertaken to benchmark across the 2016 Australian funding clusters. In particular, the average international teaching </w:t>
      </w:r>
      <w:r w:rsidRPr="00A7122C">
        <w:rPr>
          <w:i/>
        </w:rPr>
        <w:t>costs</w:t>
      </w:r>
      <w:r>
        <w:t xml:space="preserve"> have been compared to the </w:t>
      </w:r>
      <w:r w:rsidRPr="00A86B99">
        <w:rPr>
          <w:i/>
        </w:rPr>
        <w:t>total</w:t>
      </w:r>
      <w:r>
        <w:t xml:space="preserve"> </w:t>
      </w:r>
      <w:r w:rsidRPr="00A7122C">
        <w:rPr>
          <w:i/>
        </w:rPr>
        <w:t>maximum</w:t>
      </w:r>
      <w:r>
        <w:t xml:space="preserve"> </w:t>
      </w:r>
      <w:r w:rsidRPr="00A7122C">
        <w:rPr>
          <w:i/>
        </w:rPr>
        <w:t>funding</w:t>
      </w:r>
      <w:r>
        <w:t xml:space="preserve"> received for each cluster in Australia.</w:t>
      </w:r>
      <w:r>
        <w:rPr>
          <w:rStyle w:val="FootnoteReference"/>
        </w:rPr>
        <w:footnoteReference w:id="32"/>
      </w:r>
      <w:r>
        <w:t xml:space="preserve"> This captures cost variations within broad fields of education. For instance, whereas both mathematics and physics fall under Natural and Physical Sciences, mathematics is likely to have lower teaching costs as it is classroom-based. </w:t>
      </w:r>
    </w:p>
    <w:p w14:paraId="24B032DC" w14:textId="2280A4E5" w:rsidR="00E1434C" w:rsidRDefault="00E1434C" w:rsidP="00E1434C">
      <w:pPr>
        <w:pStyle w:val="BodyText"/>
      </w:pPr>
      <w:r>
        <w:t xml:space="preserve">Funding cluster 1, which includes courses in </w:t>
      </w:r>
      <w:r w:rsidRPr="00644719">
        <w:t>law, accounting, administration, economics, commerce,</w:t>
      </w:r>
      <w:r>
        <w:t xml:space="preserve"> is used as the benchmark cluster. </w:t>
      </w:r>
      <w:r>
        <w:fldChar w:fldCharType="begin"/>
      </w:r>
      <w:r>
        <w:instrText xml:space="preserve"> REF _Ref465878666 \r \h </w:instrText>
      </w:r>
      <w:r>
        <w:fldChar w:fldCharType="separate"/>
      </w:r>
      <w:r w:rsidR="00595C6E">
        <w:t>Table 6.3</w:t>
      </w:r>
      <w:r>
        <w:fldChar w:fldCharType="end"/>
      </w:r>
      <w:r w:rsidR="00275B4D">
        <w:t xml:space="preserve"> </w:t>
      </w:r>
      <w:r>
        <w:t xml:space="preserve">lists the full set of funding clusters. Due to limitations in data availability, a one-to-one match from field of education to funding cluster is not always possible. In particular, NZBT data is unable to capture differences between narrow fields of education outside of those in </w:t>
      </w:r>
      <w:r w:rsidR="00FF7656">
        <w:t>H</w:t>
      </w:r>
      <w:r>
        <w:t xml:space="preserve">ealth and </w:t>
      </w:r>
      <w:r w:rsidR="00FF7656">
        <w:t>N</w:t>
      </w:r>
      <w:r>
        <w:t xml:space="preserve">atural and </w:t>
      </w:r>
      <w:r w:rsidR="00FF7656">
        <w:t>P</w:t>
      </w:r>
      <w:r>
        <w:t xml:space="preserve">hysical </w:t>
      </w:r>
      <w:r w:rsidR="00FF7656">
        <w:t>S</w:t>
      </w:r>
      <w:r>
        <w:t xml:space="preserve">ciences. </w:t>
      </w:r>
    </w:p>
    <w:p w14:paraId="169BF001" w14:textId="77777777" w:rsidR="00E1434C" w:rsidRDefault="00E1434C" w:rsidP="00E1434C">
      <w:pPr>
        <w:pStyle w:val="CaptionTable"/>
      </w:pPr>
      <w:bookmarkStart w:id="311" w:name="_Ref465878666"/>
      <w:bookmarkStart w:id="312" w:name="_Toc469927402"/>
      <w:r>
        <w:t>: 2016 Australian funding clusters</w:t>
      </w:r>
      <w:bookmarkEnd w:id="311"/>
      <w:bookmarkEnd w:id="312"/>
    </w:p>
    <w:tbl>
      <w:tblPr>
        <w:tblW w:w="5000" w:type="pct"/>
        <w:tblBorders>
          <w:top w:val="single" w:sz="12" w:space="0" w:color="002776" w:themeColor="text2"/>
          <w:bottom w:val="single" w:sz="12" w:space="0" w:color="002776" w:themeColor="text2"/>
        </w:tblBorders>
        <w:tblLayout w:type="fixed"/>
        <w:tblLook w:val="04A0" w:firstRow="1" w:lastRow="0" w:firstColumn="1" w:lastColumn="0" w:noHBand="0" w:noVBand="1"/>
      </w:tblPr>
      <w:tblGrid>
        <w:gridCol w:w="2036"/>
        <w:gridCol w:w="5093"/>
        <w:gridCol w:w="1308"/>
      </w:tblGrid>
      <w:tr w:rsidR="00E1434C" w:rsidRPr="00A86B99" w14:paraId="5DBB4715" w14:textId="77777777" w:rsidTr="00E1434C">
        <w:trPr>
          <w:trHeight w:val="96"/>
        </w:trPr>
        <w:tc>
          <w:tcPr>
            <w:tcW w:w="1207" w:type="pct"/>
            <w:tcBorders>
              <w:top w:val="single" w:sz="12" w:space="0" w:color="002776" w:themeColor="text2"/>
              <w:bottom w:val="single" w:sz="8" w:space="0" w:color="002776" w:themeColor="text2"/>
            </w:tcBorders>
            <w:shd w:val="clear" w:color="auto" w:fill="auto"/>
            <w:noWrap/>
            <w:vAlign w:val="center"/>
            <w:hideMark/>
          </w:tcPr>
          <w:p w14:paraId="775304D1" w14:textId="77777777" w:rsidR="00E1434C" w:rsidRPr="00A86B99" w:rsidRDefault="00E1434C" w:rsidP="00E1434C">
            <w:pPr>
              <w:contextualSpacing/>
              <w:rPr>
                <w:b/>
                <w:color w:val="002776" w:themeColor="text2"/>
                <w:sz w:val="20"/>
                <w:lang w:eastAsia="en-AU"/>
              </w:rPr>
            </w:pPr>
            <w:r w:rsidRPr="00A86B99">
              <w:rPr>
                <w:b/>
                <w:color w:val="002776" w:themeColor="text2"/>
                <w:sz w:val="20"/>
                <w:lang w:eastAsia="en-AU"/>
              </w:rPr>
              <w:t>Funding Cluster</w:t>
            </w:r>
          </w:p>
        </w:tc>
        <w:tc>
          <w:tcPr>
            <w:tcW w:w="3018" w:type="pct"/>
            <w:tcBorders>
              <w:top w:val="single" w:sz="12" w:space="0" w:color="002776" w:themeColor="text2"/>
              <w:bottom w:val="single" w:sz="8" w:space="0" w:color="002776" w:themeColor="text2"/>
            </w:tcBorders>
            <w:shd w:val="clear" w:color="auto" w:fill="auto"/>
            <w:noWrap/>
            <w:vAlign w:val="center"/>
            <w:hideMark/>
          </w:tcPr>
          <w:p w14:paraId="46ECB771" w14:textId="77777777" w:rsidR="00E1434C" w:rsidRPr="00A86B99" w:rsidRDefault="00E1434C" w:rsidP="00E1434C">
            <w:pPr>
              <w:contextualSpacing/>
              <w:rPr>
                <w:b/>
                <w:color w:val="002776" w:themeColor="text2"/>
                <w:sz w:val="20"/>
                <w:lang w:eastAsia="en-AU"/>
              </w:rPr>
            </w:pPr>
            <w:r w:rsidRPr="00A86B99">
              <w:rPr>
                <w:b/>
                <w:color w:val="002776" w:themeColor="text2"/>
                <w:sz w:val="20"/>
                <w:lang w:eastAsia="en-AU"/>
              </w:rPr>
              <w:t>Description</w:t>
            </w:r>
          </w:p>
        </w:tc>
        <w:tc>
          <w:tcPr>
            <w:tcW w:w="775" w:type="pct"/>
            <w:tcBorders>
              <w:top w:val="single" w:sz="12" w:space="0" w:color="002776" w:themeColor="text2"/>
              <w:bottom w:val="single" w:sz="8" w:space="0" w:color="002776" w:themeColor="text2"/>
            </w:tcBorders>
            <w:shd w:val="clear" w:color="auto" w:fill="auto"/>
            <w:noWrap/>
            <w:vAlign w:val="bottom"/>
            <w:hideMark/>
          </w:tcPr>
          <w:p w14:paraId="02464B16" w14:textId="77777777" w:rsidR="00E1434C" w:rsidRPr="00A86B99" w:rsidRDefault="00E1434C" w:rsidP="00E1434C">
            <w:pPr>
              <w:contextualSpacing/>
              <w:rPr>
                <w:rFonts w:cs="Arial"/>
                <w:b/>
                <w:bCs/>
                <w:color w:val="000000"/>
                <w:sz w:val="20"/>
                <w:lang w:eastAsia="en-AU"/>
              </w:rPr>
            </w:pPr>
            <w:r w:rsidRPr="00A86B99">
              <w:rPr>
                <w:rFonts w:cs="Arial"/>
                <w:b/>
                <w:bCs/>
                <w:color w:val="002776" w:themeColor="text2"/>
                <w:sz w:val="20"/>
                <w:lang w:eastAsia="en-AU"/>
              </w:rPr>
              <w:t>Total funding ($)</w:t>
            </w:r>
          </w:p>
        </w:tc>
      </w:tr>
      <w:tr w:rsidR="00E1434C" w:rsidRPr="00A86B99" w14:paraId="00093269" w14:textId="77777777" w:rsidTr="00E1434C">
        <w:trPr>
          <w:trHeight w:val="285"/>
        </w:trPr>
        <w:tc>
          <w:tcPr>
            <w:tcW w:w="1207" w:type="pct"/>
            <w:tcBorders>
              <w:top w:val="single" w:sz="8" w:space="0" w:color="002776" w:themeColor="text2"/>
            </w:tcBorders>
            <w:shd w:val="clear" w:color="auto" w:fill="auto"/>
            <w:noWrap/>
            <w:vAlign w:val="center"/>
            <w:hideMark/>
          </w:tcPr>
          <w:p w14:paraId="74A2E464" w14:textId="77777777" w:rsidR="00E1434C" w:rsidRPr="00A86B99" w:rsidRDefault="00E1434C" w:rsidP="00E1434C">
            <w:pPr>
              <w:contextualSpacing/>
              <w:rPr>
                <w:rFonts w:cs="Arial"/>
                <w:color w:val="000000"/>
                <w:sz w:val="20"/>
                <w:lang w:eastAsia="en-AU"/>
              </w:rPr>
            </w:pPr>
            <w:r w:rsidRPr="00A86B99">
              <w:rPr>
                <w:rFonts w:cs="Arial"/>
                <w:color w:val="000000"/>
                <w:sz w:val="20"/>
                <w:lang w:eastAsia="en-AU"/>
              </w:rPr>
              <w:t>Funding cluster 1</w:t>
            </w:r>
          </w:p>
        </w:tc>
        <w:tc>
          <w:tcPr>
            <w:tcW w:w="3018" w:type="pct"/>
            <w:tcBorders>
              <w:top w:val="single" w:sz="8" w:space="0" w:color="002776" w:themeColor="text2"/>
            </w:tcBorders>
            <w:shd w:val="clear" w:color="auto" w:fill="auto"/>
            <w:noWrap/>
            <w:vAlign w:val="center"/>
            <w:hideMark/>
          </w:tcPr>
          <w:p w14:paraId="2820D986" w14:textId="77777777" w:rsidR="00E1434C" w:rsidRPr="00A86B99" w:rsidRDefault="00E1434C" w:rsidP="00E1434C">
            <w:pPr>
              <w:contextualSpacing/>
              <w:rPr>
                <w:rFonts w:cs="Arial"/>
                <w:color w:val="000000"/>
                <w:sz w:val="20"/>
                <w:lang w:eastAsia="en-AU"/>
              </w:rPr>
            </w:pPr>
            <w:r w:rsidRPr="00A86B99">
              <w:rPr>
                <w:rFonts w:cs="Arial"/>
                <w:color w:val="000000"/>
                <w:sz w:val="20"/>
                <w:lang w:eastAsia="en-AU"/>
              </w:rPr>
              <w:t>Law, accounting, administration, economics, commerce</w:t>
            </w:r>
          </w:p>
        </w:tc>
        <w:tc>
          <w:tcPr>
            <w:tcW w:w="775" w:type="pct"/>
            <w:tcBorders>
              <w:top w:val="single" w:sz="8" w:space="0" w:color="002776" w:themeColor="text2"/>
            </w:tcBorders>
            <w:shd w:val="clear" w:color="auto" w:fill="auto"/>
            <w:noWrap/>
            <w:vAlign w:val="center"/>
            <w:hideMark/>
          </w:tcPr>
          <w:p w14:paraId="0F45B3A3" w14:textId="77777777" w:rsidR="00E1434C" w:rsidRPr="00A86B99" w:rsidRDefault="00E1434C" w:rsidP="00E1434C">
            <w:pPr>
              <w:contextualSpacing/>
              <w:rPr>
                <w:rFonts w:cs="Arial"/>
                <w:color w:val="000000"/>
                <w:sz w:val="20"/>
                <w:lang w:eastAsia="en-AU"/>
              </w:rPr>
            </w:pPr>
            <w:r w:rsidRPr="00A86B99">
              <w:rPr>
                <w:rFonts w:cs="Arial"/>
                <w:color w:val="000000"/>
                <w:sz w:val="20"/>
                <w:lang w:eastAsia="en-AU"/>
              </w:rPr>
              <w:t>12,499</w:t>
            </w:r>
          </w:p>
        </w:tc>
      </w:tr>
      <w:tr w:rsidR="00E1434C" w:rsidRPr="00A86B99" w14:paraId="734F232B" w14:textId="77777777" w:rsidTr="00E1434C">
        <w:trPr>
          <w:trHeight w:val="285"/>
        </w:trPr>
        <w:tc>
          <w:tcPr>
            <w:tcW w:w="1207" w:type="pct"/>
            <w:shd w:val="clear" w:color="auto" w:fill="auto"/>
            <w:noWrap/>
            <w:vAlign w:val="center"/>
            <w:hideMark/>
          </w:tcPr>
          <w:p w14:paraId="7BDF907A" w14:textId="77777777" w:rsidR="00E1434C" w:rsidRPr="00A86B99" w:rsidRDefault="00E1434C" w:rsidP="00E1434C">
            <w:pPr>
              <w:contextualSpacing/>
              <w:rPr>
                <w:rFonts w:cs="Arial"/>
                <w:color w:val="000000"/>
                <w:sz w:val="20"/>
                <w:lang w:eastAsia="en-AU"/>
              </w:rPr>
            </w:pPr>
            <w:r w:rsidRPr="00A86B99">
              <w:rPr>
                <w:rFonts w:cs="Arial"/>
                <w:color w:val="000000"/>
                <w:sz w:val="20"/>
                <w:lang w:eastAsia="en-AU"/>
              </w:rPr>
              <w:t>Funding cluster 2</w:t>
            </w:r>
          </w:p>
        </w:tc>
        <w:tc>
          <w:tcPr>
            <w:tcW w:w="3018" w:type="pct"/>
            <w:shd w:val="clear" w:color="auto" w:fill="auto"/>
            <w:noWrap/>
            <w:vAlign w:val="center"/>
            <w:hideMark/>
          </w:tcPr>
          <w:p w14:paraId="4AB68A36" w14:textId="77777777" w:rsidR="00E1434C" w:rsidRPr="00A86B99" w:rsidRDefault="00E1434C" w:rsidP="00E1434C">
            <w:pPr>
              <w:contextualSpacing/>
              <w:rPr>
                <w:rFonts w:cs="Arial"/>
                <w:color w:val="000000"/>
                <w:sz w:val="20"/>
                <w:lang w:eastAsia="en-AU"/>
              </w:rPr>
            </w:pPr>
            <w:r w:rsidRPr="00A86B99">
              <w:rPr>
                <w:rFonts w:cs="Arial"/>
                <w:color w:val="000000"/>
                <w:sz w:val="20"/>
                <w:lang w:eastAsia="en-AU"/>
              </w:rPr>
              <w:t>Humanities</w:t>
            </w:r>
          </w:p>
        </w:tc>
        <w:tc>
          <w:tcPr>
            <w:tcW w:w="775" w:type="pct"/>
            <w:shd w:val="clear" w:color="auto" w:fill="auto"/>
            <w:noWrap/>
            <w:vAlign w:val="center"/>
            <w:hideMark/>
          </w:tcPr>
          <w:p w14:paraId="57E124D7" w14:textId="77777777" w:rsidR="00E1434C" w:rsidRPr="00A86B99" w:rsidRDefault="00E1434C" w:rsidP="00E1434C">
            <w:pPr>
              <w:contextualSpacing/>
              <w:rPr>
                <w:rFonts w:cs="Arial"/>
                <w:color w:val="000000"/>
                <w:sz w:val="20"/>
                <w:lang w:eastAsia="en-AU"/>
              </w:rPr>
            </w:pPr>
            <w:r w:rsidRPr="00A86B99">
              <w:rPr>
                <w:rFonts w:cs="Arial"/>
                <w:color w:val="000000"/>
                <w:sz w:val="20"/>
                <w:lang w:eastAsia="en-AU"/>
              </w:rPr>
              <w:t>11,980</w:t>
            </w:r>
          </w:p>
        </w:tc>
      </w:tr>
      <w:tr w:rsidR="00E1434C" w:rsidRPr="00A86B99" w14:paraId="7C7DF081" w14:textId="77777777" w:rsidTr="00E1434C">
        <w:trPr>
          <w:trHeight w:val="285"/>
        </w:trPr>
        <w:tc>
          <w:tcPr>
            <w:tcW w:w="1207" w:type="pct"/>
            <w:shd w:val="clear" w:color="auto" w:fill="auto"/>
            <w:noWrap/>
            <w:vAlign w:val="center"/>
            <w:hideMark/>
          </w:tcPr>
          <w:p w14:paraId="3E052B5F" w14:textId="77777777" w:rsidR="00E1434C" w:rsidRPr="00A86B99" w:rsidRDefault="00E1434C" w:rsidP="00E1434C">
            <w:pPr>
              <w:contextualSpacing/>
              <w:rPr>
                <w:rFonts w:cs="Arial"/>
                <w:color w:val="000000"/>
                <w:sz w:val="20"/>
                <w:lang w:eastAsia="en-AU"/>
              </w:rPr>
            </w:pPr>
            <w:r w:rsidRPr="00A86B99">
              <w:rPr>
                <w:rFonts w:cs="Arial"/>
                <w:color w:val="000000"/>
                <w:sz w:val="20"/>
                <w:lang w:eastAsia="en-AU"/>
              </w:rPr>
              <w:t>Funding cluster 3a</w:t>
            </w:r>
          </w:p>
        </w:tc>
        <w:tc>
          <w:tcPr>
            <w:tcW w:w="3018" w:type="pct"/>
            <w:shd w:val="clear" w:color="auto" w:fill="auto"/>
            <w:noWrap/>
            <w:vAlign w:val="center"/>
            <w:hideMark/>
          </w:tcPr>
          <w:p w14:paraId="675DB400" w14:textId="77777777" w:rsidR="00E1434C" w:rsidRPr="00A86B99" w:rsidRDefault="00E1434C" w:rsidP="00E1434C">
            <w:pPr>
              <w:contextualSpacing/>
              <w:rPr>
                <w:rFonts w:cs="Arial"/>
                <w:color w:val="000000"/>
                <w:sz w:val="20"/>
                <w:lang w:eastAsia="en-AU"/>
              </w:rPr>
            </w:pPr>
            <w:r w:rsidRPr="00A86B99">
              <w:rPr>
                <w:rFonts w:cs="Arial"/>
                <w:color w:val="000000"/>
                <w:sz w:val="20"/>
                <w:lang w:eastAsia="en-AU"/>
              </w:rPr>
              <w:t>Mathematics, statistics, computing, built environment or other health</w:t>
            </w:r>
          </w:p>
        </w:tc>
        <w:tc>
          <w:tcPr>
            <w:tcW w:w="775" w:type="pct"/>
            <w:shd w:val="clear" w:color="auto" w:fill="auto"/>
            <w:noWrap/>
            <w:vAlign w:val="center"/>
            <w:hideMark/>
          </w:tcPr>
          <w:p w14:paraId="10CF51B3" w14:textId="77777777" w:rsidR="00E1434C" w:rsidRPr="00A86B99" w:rsidRDefault="00E1434C" w:rsidP="00E1434C">
            <w:pPr>
              <w:contextualSpacing/>
              <w:rPr>
                <w:rFonts w:cs="Arial"/>
                <w:color w:val="000000"/>
                <w:sz w:val="20"/>
                <w:lang w:eastAsia="en-AU"/>
              </w:rPr>
            </w:pPr>
            <w:r w:rsidRPr="00A86B99">
              <w:rPr>
                <w:rFonts w:cs="Arial"/>
                <w:color w:val="000000"/>
                <w:sz w:val="20"/>
                <w:lang w:eastAsia="en-AU"/>
              </w:rPr>
              <w:t>19,044</w:t>
            </w:r>
          </w:p>
        </w:tc>
      </w:tr>
      <w:tr w:rsidR="00E1434C" w:rsidRPr="00A86B99" w14:paraId="0C2C2F0A" w14:textId="77777777" w:rsidTr="00E1434C">
        <w:trPr>
          <w:trHeight w:val="74"/>
        </w:trPr>
        <w:tc>
          <w:tcPr>
            <w:tcW w:w="1207" w:type="pct"/>
            <w:shd w:val="clear" w:color="auto" w:fill="auto"/>
            <w:noWrap/>
            <w:vAlign w:val="center"/>
            <w:hideMark/>
          </w:tcPr>
          <w:p w14:paraId="068072B6" w14:textId="77777777" w:rsidR="00E1434C" w:rsidRPr="00A86B99" w:rsidRDefault="00E1434C" w:rsidP="00E1434C">
            <w:pPr>
              <w:contextualSpacing/>
              <w:rPr>
                <w:rFonts w:cs="Arial"/>
                <w:color w:val="000000"/>
                <w:sz w:val="20"/>
                <w:lang w:eastAsia="en-AU"/>
              </w:rPr>
            </w:pPr>
            <w:r w:rsidRPr="00A86B99">
              <w:rPr>
                <w:rFonts w:cs="Arial"/>
                <w:color w:val="000000"/>
                <w:sz w:val="20"/>
                <w:lang w:eastAsia="en-AU"/>
              </w:rPr>
              <w:t>Funding cluster 3b</w:t>
            </w:r>
          </w:p>
        </w:tc>
        <w:tc>
          <w:tcPr>
            <w:tcW w:w="3018" w:type="pct"/>
            <w:shd w:val="clear" w:color="auto" w:fill="auto"/>
            <w:noWrap/>
            <w:vAlign w:val="center"/>
            <w:hideMark/>
          </w:tcPr>
          <w:p w14:paraId="08BD6EB0" w14:textId="77777777" w:rsidR="00E1434C" w:rsidRPr="00A86B99" w:rsidRDefault="00E1434C" w:rsidP="00E1434C">
            <w:pPr>
              <w:contextualSpacing/>
              <w:rPr>
                <w:rFonts w:cs="Arial"/>
                <w:color w:val="000000"/>
                <w:sz w:val="20"/>
                <w:lang w:eastAsia="en-AU"/>
              </w:rPr>
            </w:pPr>
            <w:r w:rsidRPr="00A86B99">
              <w:rPr>
                <w:rFonts w:cs="Arial"/>
                <w:color w:val="000000"/>
                <w:sz w:val="20"/>
                <w:lang w:eastAsia="en-AU"/>
              </w:rPr>
              <w:t>Behavioural science or social studies</w:t>
            </w:r>
          </w:p>
        </w:tc>
        <w:tc>
          <w:tcPr>
            <w:tcW w:w="775" w:type="pct"/>
            <w:shd w:val="clear" w:color="auto" w:fill="auto"/>
            <w:noWrap/>
            <w:vAlign w:val="center"/>
            <w:hideMark/>
          </w:tcPr>
          <w:p w14:paraId="664BFCC0" w14:textId="77777777" w:rsidR="00E1434C" w:rsidRPr="00A86B99" w:rsidRDefault="00E1434C" w:rsidP="00E1434C">
            <w:pPr>
              <w:contextualSpacing/>
              <w:rPr>
                <w:rFonts w:cs="Arial"/>
                <w:color w:val="000000"/>
                <w:sz w:val="20"/>
                <w:lang w:eastAsia="en-AU"/>
              </w:rPr>
            </w:pPr>
            <w:r w:rsidRPr="00A86B99">
              <w:rPr>
                <w:rFonts w:cs="Arial"/>
                <w:color w:val="000000"/>
                <w:sz w:val="20"/>
                <w:lang w:eastAsia="en-AU"/>
              </w:rPr>
              <w:t>16,383</w:t>
            </w:r>
          </w:p>
        </w:tc>
      </w:tr>
      <w:tr w:rsidR="00E1434C" w:rsidRPr="00A86B99" w14:paraId="6D3458F2" w14:textId="77777777" w:rsidTr="00E1434C">
        <w:trPr>
          <w:trHeight w:val="205"/>
        </w:trPr>
        <w:tc>
          <w:tcPr>
            <w:tcW w:w="1207" w:type="pct"/>
            <w:shd w:val="clear" w:color="auto" w:fill="auto"/>
            <w:noWrap/>
            <w:vAlign w:val="center"/>
            <w:hideMark/>
          </w:tcPr>
          <w:p w14:paraId="16154B95" w14:textId="77777777" w:rsidR="00E1434C" w:rsidRPr="00A86B99" w:rsidRDefault="00E1434C" w:rsidP="00E1434C">
            <w:pPr>
              <w:contextualSpacing/>
              <w:rPr>
                <w:rFonts w:cs="Arial"/>
                <w:color w:val="000000"/>
                <w:sz w:val="20"/>
                <w:lang w:eastAsia="en-AU"/>
              </w:rPr>
            </w:pPr>
            <w:r w:rsidRPr="00A86B99">
              <w:rPr>
                <w:rFonts w:cs="Arial"/>
                <w:color w:val="000000"/>
                <w:sz w:val="20"/>
                <w:lang w:eastAsia="en-AU"/>
              </w:rPr>
              <w:t>Funding cluster 4</w:t>
            </w:r>
          </w:p>
        </w:tc>
        <w:tc>
          <w:tcPr>
            <w:tcW w:w="3018" w:type="pct"/>
            <w:shd w:val="clear" w:color="auto" w:fill="auto"/>
            <w:noWrap/>
            <w:vAlign w:val="center"/>
            <w:hideMark/>
          </w:tcPr>
          <w:p w14:paraId="4A014867" w14:textId="77777777" w:rsidR="00E1434C" w:rsidRPr="00A86B99" w:rsidRDefault="00E1434C" w:rsidP="00E1434C">
            <w:pPr>
              <w:contextualSpacing/>
              <w:rPr>
                <w:rFonts w:cs="Arial"/>
                <w:color w:val="000000"/>
                <w:sz w:val="20"/>
                <w:lang w:eastAsia="en-AU"/>
              </w:rPr>
            </w:pPr>
            <w:r w:rsidRPr="00A86B99">
              <w:rPr>
                <w:rFonts w:cs="Arial"/>
                <w:color w:val="000000"/>
                <w:sz w:val="20"/>
                <w:lang w:eastAsia="en-AU"/>
              </w:rPr>
              <w:t>Education</w:t>
            </w:r>
          </w:p>
        </w:tc>
        <w:tc>
          <w:tcPr>
            <w:tcW w:w="775" w:type="pct"/>
            <w:shd w:val="clear" w:color="auto" w:fill="auto"/>
            <w:noWrap/>
            <w:vAlign w:val="center"/>
            <w:hideMark/>
          </w:tcPr>
          <w:p w14:paraId="2E4376E1" w14:textId="77777777" w:rsidR="00E1434C" w:rsidRPr="00A86B99" w:rsidRDefault="00E1434C" w:rsidP="00E1434C">
            <w:pPr>
              <w:contextualSpacing/>
              <w:rPr>
                <w:rFonts w:cs="Arial"/>
                <w:color w:val="000000"/>
                <w:sz w:val="20"/>
                <w:lang w:eastAsia="en-AU"/>
              </w:rPr>
            </w:pPr>
            <w:r w:rsidRPr="00A86B99">
              <w:rPr>
                <w:rFonts w:cs="Arial"/>
                <w:color w:val="000000"/>
                <w:sz w:val="20"/>
                <w:lang w:eastAsia="en-AU"/>
              </w:rPr>
              <w:t>16,793</w:t>
            </w:r>
          </w:p>
        </w:tc>
      </w:tr>
      <w:tr w:rsidR="00E1434C" w:rsidRPr="00A86B99" w14:paraId="2BC9E117" w14:textId="77777777" w:rsidTr="00E1434C">
        <w:trPr>
          <w:trHeight w:val="160"/>
        </w:trPr>
        <w:tc>
          <w:tcPr>
            <w:tcW w:w="1207" w:type="pct"/>
            <w:shd w:val="clear" w:color="auto" w:fill="auto"/>
            <w:noWrap/>
            <w:vAlign w:val="center"/>
            <w:hideMark/>
          </w:tcPr>
          <w:p w14:paraId="0C45397F" w14:textId="77777777" w:rsidR="00E1434C" w:rsidRPr="00A86B99" w:rsidRDefault="00E1434C" w:rsidP="00E1434C">
            <w:pPr>
              <w:contextualSpacing/>
              <w:rPr>
                <w:rFonts w:cs="Arial"/>
                <w:color w:val="000000"/>
                <w:sz w:val="20"/>
                <w:lang w:eastAsia="en-AU"/>
              </w:rPr>
            </w:pPr>
            <w:r w:rsidRPr="00A86B99">
              <w:rPr>
                <w:rFonts w:cs="Arial"/>
                <w:color w:val="000000"/>
                <w:sz w:val="20"/>
                <w:lang w:eastAsia="en-AU"/>
              </w:rPr>
              <w:t>Funding cluster 5a</w:t>
            </w:r>
          </w:p>
        </w:tc>
        <w:tc>
          <w:tcPr>
            <w:tcW w:w="3018" w:type="pct"/>
            <w:shd w:val="clear" w:color="auto" w:fill="auto"/>
            <w:noWrap/>
            <w:vAlign w:val="center"/>
            <w:hideMark/>
          </w:tcPr>
          <w:p w14:paraId="56BB8118" w14:textId="77777777" w:rsidR="00E1434C" w:rsidRPr="00A86B99" w:rsidRDefault="00E1434C" w:rsidP="00E1434C">
            <w:pPr>
              <w:contextualSpacing/>
              <w:rPr>
                <w:rFonts w:cs="Arial"/>
                <w:color w:val="000000"/>
                <w:sz w:val="20"/>
                <w:lang w:eastAsia="en-AU"/>
              </w:rPr>
            </w:pPr>
            <w:r w:rsidRPr="00A86B99">
              <w:rPr>
                <w:rFonts w:cs="Arial"/>
                <w:color w:val="000000"/>
                <w:sz w:val="20"/>
                <w:lang w:eastAsia="en-AU"/>
              </w:rPr>
              <w:t>Clinical psychology, foreign languages, or visual and performing arts</w:t>
            </w:r>
          </w:p>
        </w:tc>
        <w:tc>
          <w:tcPr>
            <w:tcW w:w="775" w:type="pct"/>
            <w:shd w:val="clear" w:color="auto" w:fill="auto"/>
            <w:noWrap/>
            <w:vAlign w:val="center"/>
            <w:hideMark/>
          </w:tcPr>
          <w:p w14:paraId="72546C41" w14:textId="77777777" w:rsidR="00E1434C" w:rsidRPr="00A86B99" w:rsidRDefault="00E1434C" w:rsidP="00E1434C">
            <w:pPr>
              <w:contextualSpacing/>
              <w:rPr>
                <w:rFonts w:cs="Arial"/>
                <w:color w:val="000000"/>
                <w:sz w:val="20"/>
                <w:lang w:eastAsia="en-AU"/>
              </w:rPr>
            </w:pPr>
            <w:r w:rsidRPr="00A86B99">
              <w:rPr>
                <w:rFonts w:cs="Arial"/>
                <w:color w:val="000000"/>
                <w:sz w:val="20"/>
                <w:lang w:eastAsia="en-AU"/>
              </w:rPr>
              <w:t>18,711</w:t>
            </w:r>
          </w:p>
        </w:tc>
      </w:tr>
      <w:tr w:rsidR="00E1434C" w:rsidRPr="00A86B99" w14:paraId="565309C3" w14:textId="77777777" w:rsidTr="00E1434C">
        <w:trPr>
          <w:trHeight w:val="238"/>
        </w:trPr>
        <w:tc>
          <w:tcPr>
            <w:tcW w:w="1207" w:type="pct"/>
            <w:shd w:val="clear" w:color="auto" w:fill="auto"/>
            <w:noWrap/>
            <w:vAlign w:val="center"/>
            <w:hideMark/>
          </w:tcPr>
          <w:p w14:paraId="7ACD0359" w14:textId="77777777" w:rsidR="00E1434C" w:rsidRPr="00A86B99" w:rsidRDefault="00E1434C" w:rsidP="00E1434C">
            <w:pPr>
              <w:contextualSpacing/>
              <w:rPr>
                <w:rFonts w:cs="Arial"/>
                <w:color w:val="000000"/>
                <w:sz w:val="20"/>
                <w:lang w:eastAsia="en-AU"/>
              </w:rPr>
            </w:pPr>
            <w:r w:rsidRPr="00A86B99">
              <w:rPr>
                <w:rFonts w:cs="Arial"/>
                <w:color w:val="000000"/>
                <w:sz w:val="20"/>
                <w:lang w:eastAsia="en-AU"/>
              </w:rPr>
              <w:t>Funding cluster 5b</w:t>
            </w:r>
          </w:p>
        </w:tc>
        <w:tc>
          <w:tcPr>
            <w:tcW w:w="3018" w:type="pct"/>
            <w:shd w:val="clear" w:color="auto" w:fill="auto"/>
            <w:noWrap/>
            <w:vAlign w:val="center"/>
            <w:hideMark/>
          </w:tcPr>
          <w:p w14:paraId="26065EED" w14:textId="77777777" w:rsidR="00E1434C" w:rsidRPr="00A86B99" w:rsidRDefault="00E1434C" w:rsidP="00E1434C">
            <w:pPr>
              <w:contextualSpacing/>
              <w:rPr>
                <w:rFonts w:cs="Arial"/>
                <w:color w:val="000000"/>
                <w:sz w:val="20"/>
                <w:lang w:eastAsia="en-AU"/>
              </w:rPr>
            </w:pPr>
            <w:r w:rsidRPr="00A86B99">
              <w:rPr>
                <w:rFonts w:cs="Arial"/>
                <w:color w:val="000000"/>
                <w:sz w:val="20"/>
                <w:lang w:eastAsia="en-AU"/>
              </w:rPr>
              <w:t>Allied health</w:t>
            </w:r>
          </w:p>
        </w:tc>
        <w:tc>
          <w:tcPr>
            <w:tcW w:w="775" w:type="pct"/>
            <w:shd w:val="clear" w:color="auto" w:fill="auto"/>
            <w:noWrap/>
            <w:vAlign w:val="center"/>
            <w:hideMark/>
          </w:tcPr>
          <w:p w14:paraId="5D746BA9" w14:textId="77777777" w:rsidR="00E1434C" w:rsidRPr="00A86B99" w:rsidRDefault="00E1434C" w:rsidP="00E1434C">
            <w:pPr>
              <w:contextualSpacing/>
              <w:rPr>
                <w:rFonts w:cs="Arial"/>
                <w:color w:val="000000"/>
                <w:sz w:val="20"/>
                <w:lang w:eastAsia="en-AU"/>
              </w:rPr>
            </w:pPr>
            <w:r w:rsidRPr="00A86B99">
              <w:rPr>
                <w:rFonts w:cs="Arial"/>
                <w:color w:val="000000"/>
                <w:sz w:val="20"/>
                <w:lang w:eastAsia="en-AU"/>
              </w:rPr>
              <w:t>21,372</w:t>
            </w:r>
          </w:p>
        </w:tc>
      </w:tr>
      <w:tr w:rsidR="00E1434C" w:rsidRPr="00A86B99" w14:paraId="6ED1AC81" w14:textId="77777777" w:rsidTr="00E1434C">
        <w:trPr>
          <w:trHeight w:val="285"/>
        </w:trPr>
        <w:tc>
          <w:tcPr>
            <w:tcW w:w="1207" w:type="pct"/>
            <w:shd w:val="clear" w:color="auto" w:fill="auto"/>
            <w:noWrap/>
            <w:vAlign w:val="center"/>
            <w:hideMark/>
          </w:tcPr>
          <w:p w14:paraId="4AAA4FBC" w14:textId="77777777" w:rsidR="00E1434C" w:rsidRPr="00A86B99" w:rsidRDefault="00E1434C" w:rsidP="00E1434C">
            <w:pPr>
              <w:contextualSpacing/>
              <w:rPr>
                <w:rFonts w:cs="Arial"/>
                <w:color w:val="000000"/>
                <w:sz w:val="20"/>
                <w:lang w:eastAsia="en-AU"/>
              </w:rPr>
            </w:pPr>
            <w:r w:rsidRPr="00A86B99">
              <w:rPr>
                <w:rFonts w:cs="Arial"/>
                <w:color w:val="000000"/>
                <w:sz w:val="20"/>
                <w:lang w:eastAsia="en-AU"/>
              </w:rPr>
              <w:t>Funding cluster 6</w:t>
            </w:r>
          </w:p>
        </w:tc>
        <w:tc>
          <w:tcPr>
            <w:tcW w:w="3018" w:type="pct"/>
            <w:shd w:val="clear" w:color="auto" w:fill="auto"/>
            <w:noWrap/>
            <w:vAlign w:val="center"/>
            <w:hideMark/>
          </w:tcPr>
          <w:p w14:paraId="02C1CD98" w14:textId="77777777" w:rsidR="00E1434C" w:rsidRPr="00A86B99" w:rsidRDefault="00E1434C" w:rsidP="00E1434C">
            <w:pPr>
              <w:contextualSpacing/>
              <w:rPr>
                <w:rFonts w:cs="Arial"/>
                <w:color w:val="000000"/>
                <w:sz w:val="20"/>
                <w:lang w:eastAsia="en-AU"/>
              </w:rPr>
            </w:pPr>
            <w:r w:rsidRPr="00A86B99">
              <w:rPr>
                <w:rFonts w:cs="Arial"/>
                <w:color w:val="000000"/>
                <w:sz w:val="20"/>
                <w:lang w:eastAsia="en-AU"/>
              </w:rPr>
              <w:t>Nursing</w:t>
            </w:r>
          </w:p>
        </w:tc>
        <w:tc>
          <w:tcPr>
            <w:tcW w:w="775" w:type="pct"/>
            <w:shd w:val="clear" w:color="auto" w:fill="auto"/>
            <w:noWrap/>
            <w:vAlign w:val="center"/>
            <w:hideMark/>
          </w:tcPr>
          <w:p w14:paraId="5FF90214" w14:textId="77777777" w:rsidR="00E1434C" w:rsidRPr="00A86B99" w:rsidRDefault="00E1434C" w:rsidP="00E1434C">
            <w:pPr>
              <w:contextualSpacing/>
              <w:rPr>
                <w:rFonts w:cs="Arial"/>
                <w:color w:val="000000"/>
                <w:sz w:val="20"/>
                <w:lang w:eastAsia="en-AU"/>
              </w:rPr>
            </w:pPr>
            <w:r w:rsidRPr="00A86B99">
              <w:rPr>
                <w:rFonts w:cs="Arial"/>
                <w:color w:val="000000"/>
                <w:sz w:val="20"/>
                <w:lang w:eastAsia="en-AU"/>
              </w:rPr>
              <w:t>20,161</w:t>
            </w:r>
          </w:p>
        </w:tc>
      </w:tr>
      <w:tr w:rsidR="00E1434C" w:rsidRPr="00A86B99" w14:paraId="200184F4" w14:textId="77777777" w:rsidTr="00E1434C">
        <w:trPr>
          <w:trHeight w:val="285"/>
        </w:trPr>
        <w:tc>
          <w:tcPr>
            <w:tcW w:w="1207" w:type="pct"/>
            <w:shd w:val="clear" w:color="auto" w:fill="auto"/>
            <w:noWrap/>
            <w:vAlign w:val="center"/>
            <w:hideMark/>
          </w:tcPr>
          <w:p w14:paraId="7CD3CFA3" w14:textId="77777777" w:rsidR="00E1434C" w:rsidRPr="00A86B99" w:rsidRDefault="00E1434C" w:rsidP="00E1434C">
            <w:pPr>
              <w:contextualSpacing/>
              <w:rPr>
                <w:rFonts w:cs="Arial"/>
                <w:color w:val="000000"/>
                <w:sz w:val="20"/>
                <w:lang w:eastAsia="en-AU"/>
              </w:rPr>
            </w:pPr>
            <w:r w:rsidRPr="00A86B99">
              <w:rPr>
                <w:rFonts w:cs="Arial"/>
                <w:color w:val="000000"/>
                <w:sz w:val="20"/>
                <w:lang w:eastAsia="en-AU"/>
              </w:rPr>
              <w:t>Funding cluster 7</w:t>
            </w:r>
          </w:p>
        </w:tc>
        <w:tc>
          <w:tcPr>
            <w:tcW w:w="3018" w:type="pct"/>
            <w:shd w:val="clear" w:color="auto" w:fill="auto"/>
            <w:noWrap/>
            <w:vAlign w:val="center"/>
            <w:hideMark/>
          </w:tcPr>
          <w:p w14:paraId="64D1AD4E" w14:textId="77777777" w:rsidR="00E1434C" w:rsidRPr="00A86B99" w:rsidRDefault="00E1434C" w:rsidP="00E1434C">
            <w:pPr>
              <w:contextualSpacing/>
              <w:rPr>
                <w:rFonts w:cs="Arial"/>
                <w:color w:val="000000"/>
                <w:sz w:val="20"/>
                <w:lang w:eastAsia="en-AU"/>
              </w:rPr>
            </w:pPr>
            <w:r w:rsidRPr="00A86B99">
              <w:rPr>
                <w:rFonts w:cs="Arial"/>
                <w:color w:val="000000"/>
                <w:sz w:val="20"/>
                <w:lang w:eastAsia="en-AU"/>
              </w:rPr>
              <w:t xml:space="preserve">Science, </w:t>
            </w:r>
            <w:r>
              <w:rPr>
                <w:rFonts w:cs="Arial"/>
                <w:color w:val="000000"/>
                <w:sz w:val="20"/>
                <w:lang w:eastAsia="en-AU"/>
              </w:rPr>
              <w:t>e</w:t>
            </w:r>
            <w:r w:rsidRPr="00A86B99">
              <w:rPr>
                <w:rFonts w:cs="Arial"/>
                <w:color w:val="000000"/>
                <w:sz w:val="20"/>
                <w:lang w:eastAsia="en-AU"/>
              </w:rPr>
              <w:t>ngineering or surveying</w:t>
            </w:r>
          </w:p>
        </w:tc>
        <w:tc>
          <w:tcPr>
            <w:tcW w:w="775" w:type="pct"/>
            <w:shd w:val="clear" w:color="auto" w:fill="auto"/>
            <w:noWrap/>
            <w:vAlign w:val="center"/>
            <w:hideMark/>
          </w:tcPr>
          <w:p w14:paraId="5AF2645F" w14:textId="77777777" w:rsidR="00E1434C" w:rsidRPr="00A86B99" w:rsidRDefault="00E1434C" w:rsidP="00E1434C">
            <w:pPr>
              <w:contextualSpacing/>
              <w:rPr>
                <w:rFonts w:cs="Arial"/>
                <w:color w:val="000000"/>
                <w:sz w:val="20"/>
                <w:lang w:eastAsia="en-AU"/>
              </w:rPr>
            </w:pPr>
            <w:r w:rsidRPr="00A86B99">
              <w:rPr>
                <w:rFonts w:cs="Arial"/>
                <w:color w:val="000000"/>
                <w:sz w:val="20"/>
                <w:lang w:eastAsia="en-AU"/>
              </w:rPr>
              <w:t>26,623</w:t>
            </w:r>
          </w:p>
        </w:tc>
      </w:tr>
      <w:tr w:rsidR="00E1434C" w:rsidRPr="00A86B99" w14:paraId="6C91002A" w14:textId="77777777" w:rsidTr="00E1434C">
        <w:trPr>
          <w:trHeight w:val="285"/>
        </w:trPr>
        <w:tc>
          <w:tcPr>
            <w:tcW w:w="1207" w:type="pct"/>
            <w:shd w:val="clear" w:color="auto" w:fill="auto"/>
            <w:noWrap/>
            <w:vAlign w:val="center"/>
            <w:hideMark/>
          </w:tcPr>
          <w:p w14:paraId="75564274" w14:textId="77777777" w:rsidR="00E1434C" w:rsidRPr="00A86B99" w:rsidRDefault="00E1434C" w:rsidP="00E1434C">
            <w:pPr>
              <w:contextualSpacing/>
              <w:rPr>
                <w:rFonts w:cs="Arial"/>
                <w:color w:val="000000"/>
                <w:sz w:val="20"/>
                <w:lang w:eastAsia="en-AU"/>
              </w:rPr>
            </w:pPr>
            <w:r w:rsidRPr="00A86B99">
              <w:rPr>
                <w:rFonts w:cs="Arial"/>
                <w:color w:val="000000"/>
                <w:sz w:val="20"/>
                <w:lang w:eastAsia="en-AU"/>
              </w:rPr>
              <w:t>Funding cluster 8a</w:t>
            </w:r>
          </w:p>
        </w:tc>
        <w:tc>
          <w:tcPr>
            <w:tcW w:w="3018" w:type="pct"/>
            <w:shd w:val="clear" w:color="auto" w:fill="auto"/>
            <w:noWrap/>
            <w:vAlign w:val="center"/>
            <w:hideMark/>
          </w:tcPr>
          <w:p w14:paraId="094056BA" w14:textId="77777777" w:rsidR="00E1434C" w:rsidRPr="00A86B99" w:rsidRDefault="00E1434C" w:rsidP="00E1434C">
            <w:pPr>
              <w:contextualSpacing/>
              <w:rPr>
                <w:rFonts w:cs="Arial"/>
                <w:color w:val="000000"/>
                <w:sz w:val="20"/>
                <w:lang w:eastAsia="en-AU"/>
              </w:rPr>
            </w:pPr>
            <w:r w:rsidRPr="00A86B99">
              <w:rPr>
                <w:rFonts w:cs="Arial"/>
                <w:color w:val="000000"/>
                <w:sz w:val="20"/>
                <w:lang w:eastAsia="en-AU"/>
              </w:rPr>
              <w:t>Dentistry, medicine or veterinary science</w:t>
            </w:r>
          </w:p>
        </w:tc>
        <w:tc>
          <w:tcPr>
            <w:tcW w:w="775" w:type="pct"/>
            <w:shd w:val="clear" w:color="auto" w:fill="auto"/>
            <w:noWrap/>
            <w:vAlign w:val="center"/>
            <w:hideMark/>
          </w:tcPr>
          <w:p w14:paraId="044BD758" w14:textId="77777777" w:rsidR="00E1434C" w:rsidRPr="00A86B99" w:rsidRDefault="00E1434C" w:rsidP="00E1434C">
            <w:pPr>
              <w:contextualSpacing/>
              <w:rPr>
                <w:rFonts w:cs="Arial"/>
                <w:color w:val="000000"/>
                <w:sz w:val="20"/>
                <w:lang w:eastAsia="en-AU"/>
              </w:rPr>
            </w:pPr>
            <w:r w:rsidRPr="00A86B99">
              <w:rPr>
                <w:rFonts w:cs="Arial"/>
                <w:color w:val="000000"/>
                <w:sz w:val="20"/>
                <w:lang w:eastAsia="en-AU"/>
              </w:rPr>
              <w:t>32,912</w:t>
            </w:r>
          </w:p>
        </w:tc>
      </w:tr>
      <w:tr w:rsidR="00E1434C" w:rsidRPr="00A86B99" w14:paraId="570DAB25" w14:textId="77777777" w:rsidTr="00E1434C">
        <w:trPr>
          <w:trHeight w:val="285"/>
        </w:trPr>
        <w:tc>
          <w:tcPr>
            <w:tcW w:w="1207" w:type="pct"/>
            <w:shd w:val="clear" w:color="auto" w:fill="auto"/>
            <w:noWrap/>
            <w:vAlign w:val="center"/>
            <w:hideMark/>
          </w:tcPr>
          <w:p w14:paraId="11C04A1D" w14:textId="77777777" w:rsidR="00E1434C" w:rsidRPr="00A86B99" w:rsidRDefault="00E1434C" w:rsidP="00E1434C">
            <w:pPr>
              <w:contextualSpacing/>
              <w:rPr>
                <w:rFonts w:cs="Arial"/>
                <w:color w:val="000000"/>
                <w:sz w:val="20"/>
                <w:lang w:eastAsia="en-AU"/>
              </w:rPr>
            </w:pPr>
            <w:r w:rsidRPr="00A86B99">
              <w:rPr>
                <w:rFonts w:cs="Arial"/>
                <w:color w:val="000000"/>
                <w:sz w:val="20"/>
                <w:lang w:eastAsia="en-AU"/>
              </w:rPr>
              <w:t>Funding cluster 8b</w:t>
            </w:r>
          </w:p>
        </w:tc>
        <w:tc>
          <w:tcPr>
            <w:tcW w:w="3018" w:type="pct"/>
            <w:shd w:val="clear" w:color="auto" w:fill="auto"/>
            <w:noWrap/>
            <w:vAlign w:val="center"/>
            <w:hideMark/>
          </w:tcPr>
          <w:p w14:paraId="18E801F2" w14:textId="77777777" w:rsidR="00E1434C" w:rsidRPr="00A86B99" w:rsidRDefault="00E1434C" w:rsidP="00E1434C">
            <w:pPr>
              <w:contextualSpacing/>
              <w:rPr>
                <w:rFonts w:cs="Arial"/>
                <w:color w:val="000000"/>
                <w:sz w:val="20"/>
                <w:lang w:eastAsia="en-AU"/>
              </w:rPr>
            </w:pPr>
            <w:r w:rsidRPr="00A86B99">
              <w:rPr>
                <w:rFonts w:cs="Arial"/>
                <w:color w:val="000000"/>
                <w:sz w:val="20"/>
                <w:lang w:eastAsia="en-AU"/>
              </w:rPr>
              <w:t>Agriculture</w:t>
            </w:r>
          </w:p>
        </w:tc>
        <w:tc>
          <w:tcPr>
            <w:tcW w:w="775" w:type="pct"/>
            <w:shd w:val="clear" w:color="auto" w:fill="auto"/>
            <w:noWrap/>
            <w:vAlign w:val="center"/>
            <w:hideMark/>
          </w:tcPr>
          <w:p w14:paraId="179F585D" w14:textId="77777777" w:rsidR="00E1434C" w:rsidRPr="00A86B99" w:rsidRDefault="00E1434C" w:rsidP="00E1434C">
            <w:pPr>
              <w:contextualSpacing/>
              <w:rPr>
                <w:rFonts w:cs="Arial"/>
                <w:color w:val="000000"/>
                <w:sz w:val="20"/>
                <w:lang w:eastAsia="en-AU"/>
              </w:rPr>
            </w:pPr>
            <w:r w:rsidRPr="00A86B99">
              <w:rPr>
                <w:rFonts w:cs="Arial"/>
                <w:color w:val="000000"/>
                <w:sz w:val="20"/>
                <w:lang w:eastAsia="en-AU"/>
              </w:rPr>
              <w:t>31,389</w:t>
            </w:r>
          </w:p>
        </w:tc>
      </w:tr>
    </w:tbl>
    <w:p w14:paraId="426B8F98" w14:textId="77777777" w:rsidR="00C511FA" w:rsidRDefault="00E1434C" w:rsidP="00E1434C">
      <w:pPr>
        <w:pStyle w:val="Source"/>
      </w:pPr>
      <w:r>
        <w:lastRenderedPageBreak/>
        <w:t>Source: Department of Education, 2016.</w:t>
      </w:r>
    </w:p>
    <w:p w14:paraId="33709C4D" w14:textId="77777777" w:rsidR="00E1434C" w:rsidRDefault="00E1434C" w:rsidP="00E1434C">
      <w:pPr>
        <w:pStyle w:val="Heading2"/>
        <w:tabs>
          <w:tab w:val="clear" w:pos="709"/>
        </w:tabs>
        <w:ind w:left="851" w:hanging="851"/>
      </w:pPr>
      <w:bookmarkStart w:id="313" w:name="_Toc465940254"/>
      <w:bookmarkStart w:id="314" w:name="_Toc469927334"/>
      <w:r>
        <w:t>Results</w:t>
      </w:r>
      <w:bookmarkEnd w:id="313"/>
      <w:bookmarkEnd w:id="314"/>
    </w:p>
    <w:p w14:paraId="022906E6" w14:textId="77777777" w:rsidR="00E1434C" w:rsidRPr="00287DAC" w:rsidRDefault="00E1434C" w:rsidP="00E1434C">
      <w:pPr>
        <w:pStyle w:val="HeadingB"/>
      </w:pPr>
      <w:r>
        <w:t>Overall (field of education)</w:t>
      </w:r>
    </w:p>
    <w:p w14:paraId="7AFA5F9F" w14:textId="77777777" w:rsidR="00E1434C" w:rsidRDefault="00E1434C" w:rsidP="00E1434C">
      <w:pPr>
        <w:pStyle w:val="BodyText"/>
      </w:pPr>
      <w:r>
        <w:t>International benchmarking shows that relative teaching costs are ranked similarly across the three countries (</w:t>
      </w:r>
      <w:r>
        <w:fldChar w:fldCharType="begin"/>
      </w:r>
      <w:r>
        <w:instrText xml:space="preserve"> REF _Ref465289952 \r \h </w:instrText>
      </w:r>
      <w:r>
        <w:fldChar w:fldCharType="separate"/>
      </w:r>
      <w:r w:rsidR="00595C6E">
        <w:t>Chart 6.2</w:t>
      </w:r>
      <w:r>
        <w:fldChar w:fldCharType="end"/>
      </w:r>
      <w:r>
        <w:t xml:space="preserve">). </w:t>
      </w:r>
      <w:r w:rsidRPr="00590A46">
        <w:t xml:space="preserve">Management and </w:t>
      </w:r>
      <w:r>
        <w:t>C</w:t>
      </w:r>
      <w:r w:rsidRPr="00590A46">
        <w:t>ommerce</w:t>
      </w:r>
      <w:r>
        <w:t xml:space="preserve"> has the lowest average subject teaching costs in New Zealand and Australia, and the second lowest (9</w:t>
      </w:r>
      <w:r w:rsidRPr="00FF0FA6">
        <w:rPr>
          <w:vertAlign w:val="superscript"/>
        </w:rPr>
        <w:t>th</w:t>
      </w:r>
      <w:r>
        <w:t>) in the UK. Similarly, average teaching costs in S</w:t>
      </w:r>
      <w:r w:rsidRPr="00590A46">
        <w:t xml:space="preserve">ociety and </w:t>
      </w:r>
      <w:r>
        <w:t>C</w:t>
      </w:r>
      <w:r w:rsidRPr="00590A46">
        <w:t>ulture</w:t>
      </w:r>
      <w:r>
        <w:t xml:space="preserve"> are among the lowest, ranked 10</w:t>
      </w:r>
      <w:r w:rsidRPr="00FF0FA6">
        <w:rPr>
          <w:vertAlign w:val="superscript"/>
        </w:rPr>
        <w:t>th</w:t>
      </w:r>
      <w:r>
        <w:t xml:space="preserve"> in the UK</w:t>
      </w:r>
      <w:r w:rsidR="00D11A1B">
        <w:t xml:space="preserve">, </w:t>
      </w:r>
      <w:r>
        <w:t>9</w:t>
      </w:r>
      <w:r w:rsidRPr="00FF0FA6">
        <w:rPr>
          <w:vertAlign w:val="superscript"/>
        </w:rPr>
        <w:t>th</w:t>
      </w:r>
      <w:r>
        <w:t xml:space="preserve"> in New Zealand, and 7</w:t>
      </w:r>
      <w:r>
        <w:rPr>
          <w:vertAlign w:val="superscript"/>
        </w:rPr>
        <w:t xml:space="preserve">th </w:t>
      </w:r>
      <w:r>
        <w:t xml:space="preserve">in Australia. This is followed by </w:t>
      </w:r>
      <w:r w:rsidR="002D54FD">
        <w:t>E</w:t>
      </w:r>
      <w:r w:rsidRPr="00590A46">
        <w:t>ducation</w:t>
      </w:r>
      <w:r>
        <w:t xml:space="preserve">, and </w:t>
      </w:r>
      <w:r w:rsidR="002D54FD">
        <w:t>A</w:t>
      </w:r>
      <w:r w:rsidRPr="00590A46">
        <w:t xml:space="preserve">rchitecture and </w:t>
      </w:r>
      <w:r w:rsidR="002D54FD">
        <w:t>B</w:t>
      </w:r>
      <w:r w:rsidRPr="00590A46">
        <w:t>uilding</w:t>
      </w:r>
      <w:r>
        <w:t xml:space="preserve">. </w:t>
      </w:r>
    </w:p>
    <w:p w14:paraId="72334E32" w14:textId="77777777" w:rsidR="00E1434C" w:rsidRDefault="00E1434C" w:rsidP="00E1434C">
      <w:pPr>
        <w:pStyle w:val="BodyText"/>
      </w:pPr>
      <w:r>
        <w:t>These courses tend to have lower average costs due to:</w:t>
      </w:r>
    </w:p>
    <w:p w14:paraId="354BD99D" w14:textId="77777777" w:rsidR="005F2DE1" w:rsidRDefault="005F2DE1" w:rsidP="00E1434C">
      <w:pPr>
        <w:pStyle w:val="Bullet1"/>
      </w:pPr>
      <w:r>
        <w:rPr>
          <w:b/>
          <w:color w:val="002576"/>
        </w:rPr>
        <w:t>h</w:t>
      </w:r>
      <w:r w:rsidR="00E1434C" w:rsidRPr="00FC6060">
        <w:rPr>
          <w:b/>
          <w:color w:val="002576"/>
        </w:rPr>
        <w:t xml:space="preserve">igh </w:t>
      </w:r>
      <w:r w:rsidR="00941D93">
        <w:rPr>
          <w:b/>
          <w:color w:val="002576"/>
        </w:rPr>
        <w:t>staff to student</w:t>
      </w:r>
      <w:r w:rsidR="00E1434C" w:rsidRPr="00FC6060">
        <w:rPr>
          <w:b/>
          <w:color w:val="002576"/>
        </w:rPr>
        <w:t xml:space="preserve"> ratios:</w:t>
      </w:r>
      <w:r w:rsidR="00E1434C" w:rsidRPr="00FC6060">
        <w:rPr>
          <w:color w:val="002576"/>
        </w:rPr>
        <w:t xml:space="preserve"> </w:t>
      </w:r>
      <w:r w:rsidR="00E1434C">
        <w:t xml:space="preserve">Australian universities have on average 55 EFTSL for every one </w:t>
      </w:r>
      <w:r w:rsidR="00E1434C" w:rsidRPr="000268F1">
        <w:t>full-time equivalent (FTE)</w:t>
      </w:r>
      <w:r w:rsidR="00E1434C">
        <w:t xml:space="preserve"> staff in </w:t>
      </w:r>
      <w:r w:rsidR="002D54FD">
        <w:t>Management</w:t>
      </w:r>
      <w:r w:rsidR="00E1434C">
        <w:t xml:space="preserve"> and </w:t>
      </w:r>
      <w:r w:rsidR="002D54FD">
        <w:t>Commerce</w:t>
      </w:r>
      <w:r w:rsidR="00E1434C">
        <w:t xml:space="preserve">, compared to 35 on average across the full sample of </w:t>
      </w:r>
      <w:r w:rsidR="00E1434C" w:rsidRPr="000268F1">
        <w:t>courses (DET, 2016)</w:t>
      </w:r>
      <w:r>
        <w:t>; and</w:t>
      </w:r>
      <w:r w:rsidR="00E1434C" w:rsidRPr="000268F1">
        <w:t xml:space="preserve"> </w:t>
      </w:r>
    </w:p>
    <w:p w14:paraId="39E822D8" w14:textId="77777777" w:rsidR="00E1434C" w:rsidRDefault="005F2DE1" w:rsidP="00D55F3F">
      <w:pPr>
        <w:pStyle w:val="Bullet2"/>
      </w:pPr>
      <w:r>
        <w:t>s</w:t>
      </w:r>
      <w:r w:rsidR="00E1434C" w:rsidRPr="000268F1">
        <w:t>imilarly</w:t>
      </w:r>
      <w:r w:rsidR="00E1434C">
        <w:t xml:space="preserve">, </w:t>
      </w:r>
      <w:r w:rsidR="002D54FD">
        <w:t>E</w:t>
      </w:r>
      <w:r w:rsidR="00E1434C">
        <w:t xml:space="preserve">ducation and </w:t>
      </w:r>
      <w:r w:rsidR="002D54FD">
        <w:t>Society</w:t>
      </w:r>
      <w:r w:rsidR="00E1434C">
        <w:t xml:space="preserve"> and</w:t>
      </w:r>
      <w:r w:rsidR="002D54FD">
        <w:t xml:space="preserve"> Culture</w:t>
      </w:r>
      <w:r w:rsidR="00E1434C">
        <w:t xml:space="preserve"> also have above average EFTSL to staff ratios</w:t>
      </w:r>
    </w:p>
    <w:p w14:paraId="198D84E6" w14:textId="6357993D" w:rsidR="00E1434C" w:rsidRPr="006514E2" w:rsidRDefault="005F2DE1" w:rsidP="00E1434C">
      <w:pPr>
        <w:pStyle w:val="Bullet1"/>
        <w:rPr>
          <w:color w:val="002776" w:themeColor="text2"/>
        </w:rPr>
      </w:pPr>
      <w:r>
        <w:rPr>
          <w:b/>
          <w:color w:val="002576"/>
        </w:rPr>
        <w:t>c</w:t>
      </w:r>
      <w:r w:rsidR="00E1434C" w:rsidRPr="00FC6060">
        <w:rPr>
          <w:b/>
          <w:color w:val="002576"/>
        </w:rPr>
        <w:t xml:space="preserve">lassroom based subjects </w:t>
      </w:r>
      <w:r>
        <w:t xml:space="preserve">(such as </w:t>
      </w:r>
      <w:r w:rsidR="00FF7656">
        <w:t>M</w:t>
      </w:r>
      <w:r>
        <w:t xml:space="preserve">athematical </w:t>
      </w:r>
      <w:r w:rsidR="00FF7656">
        <w:t>S</w:t>
      </w:r>
      <w:r>
        <w:t>cience) t</w:t>
      </w:r>
      <w:r w:rsidR="00E1434C" w:rsidRPr="005C1E4D">
        <w:t>end to</w:t>
      </w:r>
      <w:r w:rsidR="00E1434C" w:rsidRPr="005C1E4D">
        <w:rPr>
          <w:b/>
        </w:rPr>
        <w:t xml:space="preserve"> </w:t>
      </w:r>
      <w:r w:rsidR="00E1434C" w:rsidRPr="005C1E4D">
        <w:t>have</w:t>
      </w:r>
      <w:r w:rsidR="00E1434C">
        <w:rPr>
          <w:b/>
        </w:rPr>
        <w:t xml:space="preserve"> </w:t>
      </w:r>
      <w:r w:rsidR="00E1434C" w:rsidRPr="005C1E4D">
        <w:t>lower</w:t>
      </w:r>
      <w:r w:rsidR="00E1434C">
        <w:rPr>
          <w:b/>
        </w:rPr>
        <w:t xml:space="preserve"> </w:t>
      </w:r>
      <w:r w:rsidR="00E1434C" w:rsidRPr="005C1E4D">
        <w:t>costs.</w:t>
      </w:r>
    </w:p>
    <w:p w14:paraId="65302985" w14:textId="77777777" w:rsidR="00E1434C" w:rsidRDefault="00E1434C" w:rsidP="00E1434C">
      <w:pPr>
        <w:pStyle w:val="BodyText"/>
      </w:pPr>
      <w:r w:rsidRPr="005C1E4D">
        <w:t>Health</w:t>
      </w:r>
      <w:r>
        <w:t xml:space="preserve"> has the highest average teaching costs </w:t>
      </w:r>
      <w:r w:rsidR="002D23C6">
        <w:t>in the UK and US, and second highest in Australia</w:t>
      </w:r>
      <w:r>
        <w:t xml:space="preserve">. In Australia, it costs </w:t>
      </w:r>
      <w:r w:rsidR="002D23C6">
        <w:t>1.6</w:t>
      </w:r>
      <w:r>
        <w:t xml:space="preserve"> times </w:t>
      </w:r>
      <w:r w:rsidR="002D23C6">
        <w:t xml:space="preserve">as much </w:t>
      </w:r>
      <w:r>
        <w:t xml:space="preserve">to teach an EFTSL in </w:t>
      </w:r>
      <w:r w:rsidR="002D23C6">
        <w:t>H</w:t>
      </w:r>
      <w:r>
        <w:t xml:space="preserve">ealth than </w:t>
      </w:r>
      <w:r w:rsidR="002D23C6">
        <w:t>M</w:t>
      </w:r>
      <w:r>
        <w:t xml:space="preserve">anagement and </w:t>
      </w:r>
      <w:r w:rsidR="002D23C6">
        <w:t>C</w:t>
      </w:r>
      <w:r>
        <w:t xml:space="preserve">ommerce. In New Zealand and UK, it costs 2.8 times and 1.8 times more than teaching </w:t>
      </w:r>
      <w:r w:rsidR="002D23C6">
        <w:t xml:space="preserve">Management </w:t>
      </w:r>
      <w:r>
        <w:t xml:space="preserve">and </w:t>
      </w:r>
      <w:r w:rsidR="002D23C6">
        <w:t>C</w:t>
      </w:r>
      <w:r>
        <w:t xml:space="preserve">ommerce in the respective countries. </w:t>
      </w:r>
    </w:p>
    <w:p w14:paraId="03B5B57A" w14:textId="77777777" w:rsidR="00E1434C" w:rsidRDefault="00E1434C" w:rsidP="00E1434C">
      <w:pPr>
        <w:pStyle w:val="BodyText"/>
      </w:pPr>
      <w:r w:rsidRPr="000E1310">
        <w:t xml:space="preserve">Agriculture, </w:t>
      </w:r>
      <w:r w:rsidR="002D23C6">
        <w:t>E</w:t>
      </w:r>
      <w:r w:rsidRPr="000E1310">
        <w:t>nvi</w:t>
      </w:r>
      <w:r w:rsidRPr="007120D8">
        <w:t xml:space="preserve">ronmental and </w:t>
      </w:r>
      <w:r w:rsidR="002D23C6">
        <w:t>Re</w:t>
      </w:r>
      <w:r w:rsidRPr="007120D8">
        <w:t xml:space="preserve">lated </w:t>
      </w:r>
      <w:r w:rsidR="002D23C6">
        <w:t>S</w:t>
      </w:r>
      <w:r w:rsidRPr="007120D8">
        <w:t xml:space="preserve">tudies, </w:t>
      </w:r>
      <w:r>
        <w:t xml:space="preserve">and </w:t>
      </w:r>
      <w:r w:rsidR="002D23C6">
        <w:t>E</w:t>
      </w:r>
      <w:r w:rsidRPr="000E1310">
        <w:t xml:space="preserve">ngineering and </w:t>
      </w:r>
      <w:r w:rsidR="002D23C6">
        <w:t>R</w:t>
      </w:r>
      <w:r w:rsidRPr="000E1310">
        <w:t xml:space="preserve">elated </w:t>
      </w:r>
      <w:r w:rsidR="002D23C6">
        <w:t>S</w:t>
      </w:r>
      <w:r w:rsidRPr="000E1310">
        <w:t xml:space="preserve">tudies </w:t>
      </w:r>
      <w:r>
        <w:t>also consistent</w:t>
      </w:r>
      <w:r w:rsidR="004D077A">
        <w:t>ly</w:t>
      </w:r>
      <w:r>
        <w:t xml:space="preserve"> round </w:t>
      </w:r>
      <w:r w:rsidRPr="000E1310">
        <w:t>out the top four</w:t>
      </w:r>
      <w:r>
        <w:t xml:space="preserve"> highest cost fields of education across the three countries</w:t>
      </w:r>
      <w:r w:rsidRPr="000E1310">
        <w:t>.</w:t>
      </w:r>
      <w:r>
        <w:t xml:space="preserve"> These courses tend to have high costs as they have low staff to student ratios, requirements for industry placements or clinical training, and laboratory-based learning</w:t>
      </w:r>
      <w:r w:rsidRPr="00943C62">
        <w:t>.</w:t>
      </w:r>
    </w:p>
    <w:p w14:paraId="6CFFBAD8" w14:textId="329E9C24" w:rsidR="00E1434C" w:rsidRDefault="00E1434C" w:rsidP="00E1434C">
      <w:pPr>
        <w:pStyle w:val="BodyText"/>
      </w:pPr>
      <w:r>
        <w:t>The relative costs</w:t>
      </w:r>
      <w:r w:rsidRPr="000C0A66">
        <w:t xml:space="preserve"> </w:t>
      </w:r>
      <w:r>
        <w:t xml:space="preserve">differences between countries can be explained by a number of factors. First, differing focus (quality) of subjects across countries explains variations in cost. Costs of </w:t>
      </w:r>
      <w:r w:rsidR="002D23C6">
        <w:t>A</w:t>
      </w:r>
      <w:r w:rsidRPr="007120D8">
        <w:t xml:space="preserve">griculture, </w:t>
      </w:r>
      <w:r w:rsidR="002D23C6">
        <w:t>E</w:t>
      </w:r>
      <w:r w:rsidRPr="007120D8">
        <w:t xml:space="preserve">nvironmental and </w:t>
      </w:r>
      <w:r w:rsidR="002D23C6">
        <w:t>R</w:t>
      </w:r>
      <w:r w:rsidRPr="007120D8">
        <w:t xml:space="preserve">elated studies in New Zealand and Australia are respectively </w:t>
      </w:r>
      <w:r w:rsidRPr="000E1310">
        <w:t xml:space="preserve">2.5 and </w:t>
      </w:r>
      <w:r w:rsidR="002D23C6">
        <w:t>1.9</w:t>
      </w:r>
      <w:r w:rsidRPr="007120D8">
        <w:t xml:space="preserve"> times that of costs in </w:t>
      </w:r>
      <w:r w:rsidR="00582AE8">
        <w:t>M</w:t>
      </w:r>
      <w:r>
        <w:t xml:space="preserve">anagement and </w:t>
      </w:r>
      <w:r w:rsidR="00582AE8">
        <w:t>C</w:t>
      </w:r>
      <w:r>
        <w:t>ommerce. In comparison,</w:t>
      </w:r>
      <w:r w:rsidR="002D54FD">
        <w:t xml:space="preserve"> Agriculture</w:t>
      </w:r>
      <w:r>
        <w:t xml:space="preserve"> costs in the UK is only 1.2 times higher. This could be because Australia and New Zealand have large agriculture sectors, and </w:t>
      </w:r>
      <w:r w:rsidR="00941D93">
        <w:t xml:space="preserve">so the focus </w:t>
      </w:r>
      <w:r w:rsidR="002E528E">
        <w:t xml:space="preserve">for the curriculum </w:t>
      </w:r>
      <w:r w:rsidR="00941D93">
        <w:t>is on research-related activities using new technologies</w:t>
      </w:r>
      <w:r>
        <w:t>. In contrast,</w:t>
      </w:r>
      <w:r w:rsidR="002D54FD">
        <w:t xml:space="preserve"> Agriculture</w:t>
      </w:r>
      <w:r>
        <w:t xml:space="preserve"> in the UK focusses on business aspects, such as farm business planning that would have lower costs. This difference in focus is reflected in Australia and New Zealand having a higher proportion of universities ranked higher in </w:t>
      </w:r>
      <w:r w:rsidR="00582AE8">
        <w:t>A</w:t>
      </w:r>
      <w:r>
        <w:t xml:space="preserve">griculture, </w:t>
      </w:r>
      <w:r w:rsidR="00582AE8">
        <w:t>E</w:t>
      </w:r>
      <w:r>
        <w:t xml:space="preserve">nvironmental and </w:t>
      </w:r>
      <w:r w:rsidR="00582AE8">
        <w:t>R</w:t>
      </w:r>
      <w:r>
        <w:t xml:space="preserve">elated </w:t>
      </w:r>
      <w:r w:rsidR="00FF7656">
        <w:t>Studies</w:t>
      </w:r>
      <w:r>
        <w:t>.</w:t>
      </w:r>
      <w:r>
        <w:rPr>
          <w:rStyle w:val="FootnoteReference"/>
        </w:rPr>
        <w:footnoteReference w:id="33"/>
      </w:r>
      <w:r>
        <w:t xml:space="preserve"> </w:t>
      </w:r>
    </w:p>
    <w:p w14:paraId="29AFF325" w14:textId="77777777" w:rsidR="00E1434C" w:rsidRDefault="00E1434C" w:rsidP="00E1434C">
      <w:pPr>
        <w:pStyle w:val="BodyText"/>
      </w:pPr>
      <w:r>
        <w:t xml:space="preserve">The variation between countries also likely reflects differences in the measurements. In particular, UK costing only includes the </w:t>
      </w:r>
      <w:r w:rsidR="001578D1">
        <w:t>HEFCE</w:t>
      </w:r>
      <w:r>
        <w:t xml:space="preserve"> funded component. It is likely that this </w:t>
      </w:r>
      <w:r>
        <w:lastRenderedPageBreak/>
        <w:t>underestimates overall costs, particularly in priority areas such as health that receive alternative sources of funding from the Department of Health. If non-</w:t>
      </w:r>
      <w:r w:rsidR="001578D1">
        <w:t>HEFCE</w:t>
      </w:r>
      <w:r>
        <w:t xml:space="preserve"> funding varies between the fields of education, the above results would understate the variability in subject costs in the UK. </w:t>
      </w:r>
    </w:p>
    <w:p w14:paraId="5E0FA3E3" w14:textId="77777777" w:rsidR="00E1434C" w:rsidRDefault="00E1434C" w:rsidP="00E1434C">
      <w:pPr>
        <w:pStyle w:val="BodyText"/>
      </w:pPr>
      <w:r>
        <w:t xml:space="preserve">UK average teaching costs calculated using TRAC(T) data show less variation compared to Australia and New Zealand results. </w:t>
      </w:r>
      <w:r w:rsidR="00374D2C">
        <w:t>B</w:t>
      </w:r>
      <w:r w:rsidR="004D077A">
        <w:t>y</w:t>
      </w:r>
      <w:r>
        <w:t xml:space="preserve"> contrast, average </w:t>
      </w:r>
      <w:r w:rsidRPr="000E1310">
        <w:rPr>
          <w:i/>
        </w:rPr>
        <w:t>department costs</w:t>
      </w:r>
      <w:r>
        <w:t xml:space="preserve"> per EFTSL in the UK displays greater variation.</w:t>
      </w:r>
      <w:r>
        <w:rPr>
          <w:rStyle w:val="FootnoteReference"/>
        </w:rPr>
        <w:footnoteReference w:id="34"/>
      </w:r>
      <w:r>
        <w:t xml:space="preserve"> For instance, average department expenditure in </w:t>
      </w:r>
      <w:r w:rsidR="002D23C6">
        <w:t>H</w:t>
      </w:r>
      <w:r>
        <w:t xml:space="preserve">ealth is 2.0 times higher than the department expenditure in </w:t>
      </w:r>
      <w:r w:rsidR="002D23C6">
        <w:t>M</w:t>
      </w:r>
      <w:r>
        <w:t xml:space="preserve">anagement and </w:t>
      </w:r>
      <w:r w:rsidR="002D23C6">
        <w:t>C</w:t>
      </w:r>
      <w:r>
        <w:t>ommerce, compared to 1.8 times higher under TRAC(T). This suggests that TRAC(T) data has a narrower definition of what types of expenditure are considered under subject costs.</w:t>
      </w:r>
    </w:p>
    <w:p w14:paraId="190F2651" w14:textId="77777777" w:rsidR="000268F1" w:rsidRPr="000268F1" w:rsidRDefault="000268F1" w:rsidP="00E1434C">
      <w:pPr>
        <w:pStyle w:val="BodyText"/>
        <w:rPr>
          <w:szCs w:val="22"/>
        </w:rPr>
      </w:pPr>
      <w:r>
        <w:t>Variability in costs between courses could also reflect student numbers (particular</w:t>
      </w:r>
      <w:r w:rsidR="004D077A">
        <w:t>ly</w:t>
      </w:r>
      <w:r>
        <w:t xml:space="preserve"> at the institution level) and differing economies of scale associated with teaching between countries. For instance, New Zealand, which has the lowest enrolment numbers</w:t>
      </w:r>
      <w:r w:rsidR="004D077A">
        <w:t xml:space="preserve">, </w:t>
      </w:r>
      <w:r>
        <w:t>tend</w:t>
      </w:r>
      <w:r w:rsidR="004D077A">
        <w:t>s</w:t>
      </w:r>
      <w:r>
        <w:t xml:space="preserve"> to display the greatest variability between courses. In contrast, results in the UK tend to be clustered.</w:t>
      </w:r>
    </w:p>
    <w:p w14:paraId="753DA5A6" w14:textId="77777777" w:rsidR="00E1434C" w:rsidRDefault="00E1434C" w:rsidP="00E1434C">
      <w:pPr>
        <w:pStyle w:val="CaptionChart"/>
      </w:pPr>
      <w:bookmarkStart w:id="315" w:name="_Toc467169032"/>
      <w:bookmarkStart w:id="316" w:name="_Toc467176272"/>
      <w:bookmarkStart w:id="317" w:name="_Toc465256003"/>
      <w:bookmarkStart w:id="318" w:name="_Ref465289952"/>
      <w:bookmarkStart w:id="319" w:name="_Ref465292692"/>
      <w:bookmarkStart w:id="320" w:name="_Toc465940286"/>
      <w:bookmarkStart w:id="321" w:name="_Toc469927386"/>
      <w:bookmarkEnd w:id="315"/>
      <w:bookmarkEnd w:id="316"/>
      <w:r>
        <w:t xml:space="preserve">: Average teaching and scholarship costs by field of education (Cost of </w:t>
      </w:r>
      <w:r w:rsidR="002D54FD">
        <w:t>Management</w:t>
      </w:r>
      <w:r>
        <w:t xml:space="preserve"> and </w:t>
      </w:r>
      <w:r w:rsidR="002D54FD">
        <w:t>Commerce</w:t>
      </w:r>
      <w:r>
        <w:t xml:space="preserve"> = 1)</w:t>
      </w:r>
      <w:bookmarkEnd w:id="317"/>
      <w:bookmarkEnd w:id="318"/>
      <w:bookmarkEnd w:id="319"/>
      <w:bookmarkEnd w:id="320"/>
      <w:bookmarkEnd w:id="321"/>
    </w:p>
    <w:p w14:paraId="5908C24C" w14:textId="77777777" w:rsidR="00E1434C" w:rsidRDefault="002D23C6" w:rsidP="00E1434C">
      <w:pPr>
        <w:pStyle w:val="BodyText"/>
        <w:jc w:val="center"/>
      </w:pPr>
      <w:r>
        <w:rPr>
          <w:noProof/>
          <w:lang w:eastAsia="en-AU"/>
        </w:rPr>
        <w:drawing>
          <wp:inline distT="0" distB="0" distL="0" distR="0" wp14:anchorId="6DC92909" wp14:editId="59383495">
            <wp:extent cx="4142519" cy="3665894"/>
            <wp:effectExtent l="0" t="0" r="0" b="0"/>
            <wp:docPr id="453" name="Picture 453" descr="Comparisons between Australia, UK and New Zealand average teaching and scholarship costs, percentage relative to cost of management and commerce, by F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147955" cy="3670704"/>
                    </a:xfrm>
                    <a:prstGeom prst="rect">
                      <a:avLst/>
                    </a:prstGeom>
                    <a:noFill/>
                  </pic:spPr>
                </pic:pic>
              </a:graphicData>
            </a:graphic>
          </wp:inline>
        </w:drawing>
      </w:r>
    </w:p>
    <w:p w14:paraId="4012B427" w14:textId="77777777" w:rsidR="00E1434C" w:rsidRDefault="00E1434C" w:rsidP="00E1434C">
      <w:pPr>
        <w:pStyle w:val="Source"/>
      </w:pPr>
      <w:r w:rsidRPr="007B210F">
        <w:t xml:space="preserve">Source: </w:t>
      </w:r>
      <w:r w:rsidR="007D7A5A">
        <w:t>Deloitte Access Economics analysis</w:t>
      </w:r>
      <w:r w:rsidRPr="007B210F">
        <w:t>; New</w:t>
      </w:r>
      <w:r>
        <w:t xml:space="preserve"> Zealand Ministry of Education, 2015; HEFCE, 2014.</w:t>
      </w:r>
    </w:p>
    <w:p w14:paraId="28960E24" w14:textId="77777777" w:rsidR="00E1434C" w:rsidRDefault="00E1434C" w:rsidP="00E1434C">
      <w:pPr>
        <w:pStyle w:val="HeadingB"/>
      </w:pPr>
      <w:r>
        <w:lastRenderedPageBreak/>
        <w:t>Postgraduate relative to undergraduate (field of education)</w:t>
      </w:r>
    </w:p>
    <w:p w14:paraId="1FA949FB" w14:textId="77777777" w:rsidR="00E1434C" w:rsidRDefault="00E1434C" w:rsidP="00E1434C">
      <w:pPr>
        <w:pStyle w:val="BodyText"/>
      </w:pPr>
      <w:r>
        <w:t>It is also possible that differences in costs are driven by the distribution of postgraduate and undergraduate students within each country. As teaching costs for postgraduate students in each course tend to be higher than their undergraduate counterparts, reflective of smaller class sizes, a higher proportion of postgraduate students in one country would influence the results.</w:t>
      </w:r>
    </w:p>
    <w:p w14:paraId="3C87DFED" w14:textId="77777777" w:rsidR="00E1434C" w:rsidRDefault="00E1434C" w:rsidP="00E1434C">
      <w:pPr>
        <w:pStyle w:val="BodyText"/>
      </w:pPr>
      <w:r>
        <w:t xml:space="preserve">Consequently, the average teaching costs per EFTSL by field of education (relative to costs in undergraduate </w:t>
      </w:r>
      <w:r w:rsidR="0067489B">
        <w:t>M</w:t>
      </w:r>
      <w:r>
        <w:t xml:space="preserve">anagement and </w:t>
      </w:r>
      <w:r w:rsidR="0067489B">
        <w:t>C</w:t>
      </w:r>
      <w:r>
        <w:t xml:space="preserve">ommerce) have been disaggregated for Australia and the UK in </w:t>
      </w:r>
      <w:r>
        <w:fldChar w:fldCharType="begin"/>
      </w:r>
      <w:r>
        <w:instrText xml:space="preserve"> REF _Ref465269134 \r \h </w:instrText>
      </w:r>
      <w:r>
        <w:fldChar w:fldCharType="separate"/>
      </w:r>
      <w:r w:rsidR="00595C6E">
        <w:t>Chart 6.3</w:t>
      </w:r>
      <w:r>
        <w:fldChar w:fldCharType="end"/>
      </w:r>
      <w:r>
        <w:t>. NZBT data from the study cannot be disaggregated by level of study.</w:t>
      </w:r>
    </w:p>
    <w:p w14:paraId="43A65459" w14:textId="77777777" w:rsidR="00234A20" w:rsidRDefault="00234A20" w:rsidP="00234A20">
      <w:pPr>
        <w:pStyle w:val="BodyText"/>
      </w:pPr>
      <w:r>
        <w:t xml:space="preserve">In the UK, the average cost of teaching a </w:t>
      </w:r>
      <w:r w:rsidR="001578D1">
        <w:t>HEFCE</w:t>
      </w:r>
      <w:r>
        <w:t xml:space="preserve"> funded postgraduate student is 47% higher than undergraduate teaching. This ranges from 15% higher in Engineering and </w:t>
      </w:r>
      <w:r w:rsidR="0067489B">
        <w:t>R</w:t>
      </w:r>
      <w:r>
        <w:t>elated technologies to 90% for Management and C</w:t>
      </w:r>
      <w:r w:rsidRPr="00AD5E92">
        <w:t xml:space="preserve">ommerce. </w:t>
      </w:r>
      <w:r w:rsidRPr="000E1310">
        <w:t xml:space="preserve">In Australia, the average cost of teaching postgraduate is 31% higher than teaching for undergraduate. This ranges from </w:t>
      </w:r>
      <w:r w:rsidR="0067489B">
        <w:t>7</w:t>
      </w:r>
      <w:r w:rsidRPr="000E1310">
        <w:t xml:space="preserve">% higher in </w:t>
      </w:r>
      <w:r w:rsidR="0067489B">
        <w:t>I</w:t>
      </w:r>
      <w:r w:rsidRPr="000E1310">
        <w:t xml:space="preserve">nformation </w:t>
      </w:r>
      <w:r w:rsidR="0067489B">
        <w:t>T</w:t>
      </w:r>
      <w:r w:rsidRPr="000E1310">
        <w:t xml:space="preserve">echnology to </w:t>
      </w:r>
      <w:r w:rsidR="0067489B">
        <w:t>90</w:t>
      </w:r>
      <w:r w:rsidRPr="000E1310">
        <w:t xml:space="preserve">% higher in </w:t>
      </w:r>
      <w:r>
        <w:t>N</w:t>
      </w:r>
      <w:r w:rsidRPr="000E1310">
        <w:t xml:space="preserve">atural and </w:t>
      </w:r>
      <w:r>
        <w:t>P</w:t>
      </w:r>
      <w:r w:rsidRPr="000E1310">
        <w:t xml:space="preserve">hysical </w:t>
      </w:r>
      <w:r>
        <w:t>S</w:t>
      </w:r>
      <w:r w:rsidRPr="000E1310">
        <w:t>ciences.</w:t>
      </w:r>
      <w:r>
        <w:t xml:space="preserve">   </w:t>
      </w:r>
    </w:p>
    <w:p w14:paraId="5EFEBE96" w14:textId="4FA3D15F" w:rsidR="00234A20" w:rsidRDefault="00234A20" w:rsidP="00234A20">
      <w:pPr>
        <w:pStyle w:val="BodyText"/>
      </w:pPr>
      <w:r>
        <w:t xml:space="preserve">The ranking of relative costs </w:t>
      </w:r>
      <w:r w:rsidR="00B80952">
        <w:t xml:space="preserve">is </w:t>
      </w:r>
      <w:r>
        <w:t xml:space="preserve">broadly consistent between undergraduate and postgraduate courses. For instance, </w:t>
      </w:r>
      <w:r w:rsidR="0067489B">
        <w:t>Agriculture, Environmental and R</w:t>
      </w:r>
      <w:r w:rsidR="0067489B" w:rsidRPr="0067489B">
        <w:t xml:space="preserve">elated </w:t>
      </w:r>
      <w:r w:rsidR="00FF7656">
        <w:t>Studies</w:t>
      </w:r>
      <w:r w:rsidR="00B80952">
        <w:t>,</w:t>
      </w:r>
      <w:r w:rsidR="0067489B">
        <w:t xml:space="preserve"> and Heath are </w:t>
      </w:r>
      <w:r w:rsidR="00B80952">
        <w:t xml:space="preserve">among </w:t>
      </w:r>
      <w:r w:rsidR="00787233">
        <w:t xml:space="preserve">the </w:t>
      </w:r>
      <w:r>
        <w:t xml:space="preserve">most costly </w:t>
      </w:r>
      <w:r w:rsidR="0067489B">
        <w:t xml:space="preserve">disciplines </w:t>
      </w:r>
      <w:r>
        <w:t>in the UK and Australia</w:t>
      </w:r>
      <w:r w:rsidR="00B80952">
        <w:t>,</w:t>
      </w:r>
      <w:r>
        <w:t xml:space="preserve"> at both the undergraduate and postgraduate levels. </w:t>
      </w:r>
      <w:r w:rsidR="00A94DEF">
        <w:t>P</w:t>
      </w:r>
      <w:r>
        <w:t xml:space="preserve">ostgraduate </w:t>
      </w:r>
      <w:r w:rsidR="009F6F84">
        <w:t>H</w:t>
      </w:r>
      <w:r>
        <w:t xml:space="preserve">ealth is 1.4 times higher than compared to undergraduate </w:t>
      </w:r>
      <w:r w:rsidR="009F6F84">
        <w:t>H</w:t>
      </w:r>
      <w:r>
        <w:t>ealth in Australia, and is broadly consistent with differentials in the UK.</w:t>
      </w:r>
    </w:p>
    <w:p w14:paraId="6DE25BAD" w14:textId="77777777" w:rsidR="00234A20" w:rsidRDefault="00234A20" w:rsidP="00234A20">
      <w:pPr>
        <w:pStyle w:val="BodyText"/>
      </w:pPr>
      <w:r>
        <w:t xml:space="preserve">However, there are some fields of education with notable differences. For instance, in the UK, </w:t>
      </w:r>
      <w:r w:rsidR="002E528E">
        <w:t xml:space="preserve">the cost of </w:t>
      </w:r>
      <w:r>
        <w:t xml:space="preserve">teaching a postgraduate </w:t>
      </w:r>
      <w:r w:rsidR="002E528E">
        <w:t xml:space="preserve">Information Technology </w:t>
      </w:r>
      <w:r>
        <w:t xml:space="preserve">student is 86% higher than teaching an undergraduate student in the same field. This differs to Australia, where there is only a </w:t>
      </w:r>
      <w:r w:rsidR="00A94DEF">
        <w:t>7</w:t>
      </w:r>
      <w:r>
        <w:t xml:space="preserve">% difference. Similarly, postgraduate </w:t>
      </w:r>
      <w:r w:rsidR="002D54FD">
        <w:t>Management</w:t>
      </w:r>
      <w:r>
        <w:t xml:space="preserve"> and </w:t>
      </w:r>
      <w:r w:rsidR="002D54FD">
        <w:t>Commerce</w:t>
      </w:r>
      <w:r>
        <w:t xml:space="preserve"> costs 90% more in the UK, compared to </w:t>
      </w:r>
      <w:r w:rsidR="00A94DEF">
        <w:t>18</w:t>
      </w:r>
      <w:r>
        <w:t>% more in Australia.</w:t>
      </w:r>
    </w:p>
    <w:p w14:paraId="1FE3FE3A" w14:textId="7BA5D5F5" w:rsidR="00E1434C" w:rsidRDefault="00234A20" w:rsidP="00E1434C">
      <w:pPr>
        <w:pStyle w:val="BodyText"/>
      </w:pPr>
      <w:r>
        <w:t xml:space="preserve">Differences such as this could be again due to differences in the scope of costs covered. The UK estimates only cover the costs of taught postgraduate provision and possibly do not incorporate the cost of postgraduate research or other costs such as non-capitalised equipment. Consequently, postgraduate costs in Natural and Physical Sciences are only 40% higher than undergraduate costs – compared to a </w:t>
      </w:r>
      <w:r w:rsidR="00A94DEF">
        <w:t>90</w:t>
      </w:r>
      <w:r>
        <w:t>% difference in Australia.</w:t>
      </w:r>
      <w:r w:rsidR="00E1434C">
        <w:t xml:space="preserve"> </w:t>
      </w:r>
    </w:p>
    <w:p w14:paraId="089CACA6" w14:textId="77777777" w:rsidR="00E1434C" w:rsidRDefault="00E1434C" w:rsidP="00E1434C">
      <w:pPr>
        <w:pStyle w:val="CaptionChart"/>
      </w:pPr>
      <w:bookmarkStart w:id="322" w:name="_Ref465269134"/>
      <w:bookmarkStart w:id="323" w:name="_Toc465940287"/>
      <w:bookmarkStart w:id="324" w:name="_Toc469927387"/>
      <w:r>
        <w:lastRenderedPageBreak/>
        <w:t xml:space="preserve">: Average teaching and scholarship costs by field of education (Cost of </w:t>
      </w:r>
      <w:r w:rsidR="002D54FD">
        <w:t>Management</w:t>
      </w:r>
      <w:r>
        <w:t xml:space="preserve"> and </w:t>
      </w:r>
      <w:r w:rsidR="002D54FD">
        <w:t>Commerce</w:t>
      </w:r>
      <w:r>
        <w:t xml:space="preserve"> </w:t>
      </w:r>
      <w:r w:rsidRPr="00180887">
        <w:rPr>
          <w:i/>
        </w:rPr>
        <w:t>undergraduate</w:t>
      </w:r>
      <w:r>
        <w:t xml:space="preserve"> = 1)</w:t>
      </w:r>
      <w:bookmarkEnd w:id="322"/>
      <w:bookmarkEnd w:id="323"/>
      <w:bookmarkEnd w:id="324"/>
    </w:p>
    <w:p w14:paraId="7D980AE8" w14:textId="77777777" w:rsidR="00E1434C" w:rsidRDefault="0067489B" w:rsidP="00E1434C">
      <w:pPr>
        <w:pStyle w:val="Source"/>
      </w:pPr>
      <w:r>
        <w:rPr>
          <w:noProof/>
          <w:lang w:eastAsia="en-AU"/>
        </w:rPr>
        <w:drawing>
          <wp:inline distT="0" distB="0" distL="0" distR="0" wp14:anchorId="5C460AC6" wp14:editId="0C9BE9DC">
            <wp:extent cx="5424906" cy="3605841"/>
            <wp:effectExtent l="0" t="0" r="4445" b="0"/>
            <wp:docPr id="456" name="Picture 456" descr="Comparisons between bachelor and postrgraduate average teaching and scholarship costs relative to Management and Commerce, by field of education, in Australia and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435207" cy="3612688"/>
                    </a:xfrm>
                    <a:prstGeom prst="rect">
                      <a:avLst/>
                    </a:prstGeom>
                    <a:noFill/>
                  </pic:spPr>
                </pic:pic>
              </a:graphicData>
            </a:graphic>
          </wp:inline>
        </w:drawing>
      </w:r>
      <w:r w:rsidR="00E1434C">
        <w:t>Source</w:t>
      </w:r>
      <w:r w:rsidR="00E1434C" w:rsidRPr="00431A0A">
        <w:t xml:space="preserve">: </w:t>
      </w:r>
      <w:r w:rsidR="007D7A5A">
        <w:t>Deloitte Access Economics analysis</w:t>
      </w:r>
      <w:r w:rsidR="00E1434C" w:rsidRPr="00431A0A">
        <w:t>;</w:t>
      </w:r>
      <w:r w:rsidR="00E1434C">
        <w:t xml:space="preserve"> HEFCE, 2014.</w:t>
      </w:r>
    </w:p>
    <w:p w14:paraId="4CE765BC" w14:textId="77777777" w:rsidR="00E1434C" w:rsidRDefault="00E1434C" w:rsidP="00E1434C">
      <w:pPr>
        <w:pStyle w:val="HeadingB"/>
      </w:pPr>
      <w:r>
        <w:t>Overall (funding cluster)</w:t>
      </w:r>
    </w:p>
    <w:p w14:paraId="6436B616" w14:textId="77777777" w:rsidR="00E1434C" w:rsidRDefault="00234A20" w:rsidP="00E1434C">
      <w:pPr>
        <w:pStyle w:val="BodyText"/>
      </w:pPr>
      <w:r>
        <w:t>T</w:t>
      </w:r>
      <w:r w:rsidR="00E1434C">
        <w:t xml:space="preserve">otal funding per funding cluster is compared in this section to the estimated international costs identified above. </w:t>
      </w:r>
      <w:r w:rsidR="00E1434C">
        <w:fldChar w:fldCharType="begin"/>
      </w:r>
      <w:r w:rsidR="00E1434C">
        <w:instrText xml:space="preserve"> REF _Ref465292113 \r \h </w:instrText>
      </w:r>
      <w:r w:rsidR="00E1434C">
        <w:fldChar w:fldCharType="separate"/>
      </w:r>
      <w:r w:rsidR="00595C6E">
        <w:t>Chart 6.4</w:t>
      </w:r>
      <w:r w:rsidR="00E1434C">
        <w:fldChar w:fldCharType="end"/>
      </w:r>
      <w:r w:rsidR="00E1434C">
        <w:t xml:space="preserve"> presents the relative cost (funding) of the clusters relative to Funding Cluster 1.</w:t>
      </w:r>
    </w:p>
    <w:p w14:paraId="21F44D33" w14:textId="2217636B" w:rsidR="00234A20" w:rsidRDefault="00234A20" w:rsidP="00234A20">
      <w:pPr>
        <w:pStyle w:val="BodyText"/>
      </w:pPr>
      <w:r>
        <w:t>Funding Cluster 8a (</w:t>
      </w:r>
      <w:r w:rsidR="00FF7656">
        <w:t>D</w:t>
      </w:r>
      <w:r>
        <w:t xml:space="preserve">entistry, </w:t>
      </w:r>
      <w:r w:rsidR="00FF7656">
        <w:t>M</w:t>
      </w:r>
      <w:r>
        <w:t xml:space="preserve">edicine or </w:t>
      </w:r>
      <w:r w:rsidR="00FF7656">
        <w:t>V</w:t>
      </w:r>
      <w:r>
        <w:t xml:space="preserve">eterinary </w:t>
      </w:r>
      <w:r w:rsidR="00FF7656">
        <w:t>S</w:t>
      </w:r>
      <w:r>
        <w:t xml:space="preserve">cience) has the highest average costs internationally, and receives the most total funding in Australia. There is variability in relative cost of </w:t>
      </w:r>
      <w:r w:rsidR="00B80952">
        <w:t>Funding Cluster</w:t>
      </w:r>
      <w:r>
        <w:t xml:space="preserve"> 8 relative to cluster 1. The average cost of teaching these courses in Australia is </w:t>
      </w:r>
      <w:r w:rsidR="00C536DA">
        <w:t>2.6</w:t>
      </w:r>
      <w:r>
        <w:t xml:space="preserve"> times higher than cluster 1, compared to 5.3 times higher in New Zealand and 2.0 times higher in UK. </w:t>
      </w:r>
    </w:p>
    <w:p w14:paraId="344263E3" w14:textId="3CD94D2F" w:rsidR="00234A20" w:rsidRDefault="00234A20" w:rsidP="00234A20">
      <w:pPr>
        <w:pStyle w:val="BodyText"/>
      </w:pPr>
      <w:r>
        <w:t xml:space="preserve">This is followed by </w:t>
      </w:r>
      <w:r w:rsidR="00B80952">
        <w:t>Funding Cluster</w:t>
      </w:r>
      <w:r>
        <w:t>s 7 (</w:t>
      </w:r>
      <w:r w:rsidR="00FF7656">
        <w:t>E</w:t>
      </w:r>
      <w:r>
        <w:t xml:space="preserve">ngineering, </w:t>
      </w:r>
      <w:r w:rsidR="00FF7656">
        <w:t>S</w:t>
      </w:r>
      <w:r>
        <w:t xml:space="preserve">cience, </w:t>
      </w:r>
      <w:r w:rsidR="00FF7656">
        <w:t>S</w:t>
      </w:r>
      <w:r>
        <w:t>urveying) and 8b (</w:t>
      </w:r>
      <w:r w:rsidR="00FF7656">
        <w:t>A</w:t>
      </w:r>
      <w:r>
        <w:t>griculture), albeit in different orders between countries. Funding for</w:t>
      </w:r>
      <w:r w:rsidR="002D54FD">
        <w:t xml:space="preserve"> Agriculture</w:t>
      </w:r>
      <w:r>
        <w:t xml:space="preserve"> in Australia is 2.5 times higher than cluster 1. However, teaching costs in Agriculture in Australia among the surveyed </w:t>
      </w:r>
      <w:r w:rsidRPr="00033429">
        <w:t xml:space="preserve">institutions </w:t>
      </w:r>
      <w:r w:rsidRPr="000E1310">
        <w:t xml:space="preserve">are </w:t>
      </w:r>
      <w:r w:rsidR="00C536DA">
        <w:t>1</w:t>
      </w:r>
      <w:r w:rsidRPr="00033429">
        <w:t>.</w:t>
      </w:r>
      <w:r w:rsidR="00C536DA">
        <w:t>9</w:t>
      </w:r>
      <w:r w:rsidRPr="00033429">
        <w:t xml:space="preserve"> times higher than teaching in Management and </w:t>
      </w:r>
      <w:r>
        <w:t>C</w:t>
      </w:r>
      <w:r w:rsidRPr="00033429">
        <w:t>ommerce (which approximately correspond to</w:t>
      </w:r>
      <w:r>
        <w:t xml:space="preserve"> Funding Cluster 1). </w:t>
      </w:r>
    </w:p>
    <w:p w14:paraId="71FEC471" w14:textId="77777777" w:rsidR="00E1434C" w:rsidRDefault="00234A20" w:rsidP="00E1434C">
      <w:pPr>
        <w:pStyle w:val="BodyText"/>
      </w:pPr>
      <w:r>
        <w:t xml:space="preserve">Similarly, average funding received by Engineering and Related </w:t>
      </w:r>
      <w:r w:rsidRPr="00C67859">
        <w:t xml:space="preserve">technologies and Education (2.1 and 1.3 times respectively) is higher than its costs relative to </w:t>
      </w:r>
      <w:r>
        <w:t>M</w:t>
      </w:r>
      <w:r w:rsidRPr="000E1310">
        <w:t xml:space="preserve">anagement and </w:t>
      </w:r>
      <w:r>
        <w:t>C</w:t>
      </w:r>
      <w:r w:rsidRPr="000E1310">
        <w:t>ommerce</w:t>
      </w:r>
      <w:r w:rsidRPr="00C67859">
        <w:t xml:space="preserve"> (1.</w:t>
      </w:r>
      <w:r w:rsidR="009D1693">
        <w:t>5</w:t>
      </w:r>
      <w:r w:rsidRPr="00C67859">
        <w:t xml:space="preserve"> and 1.0 times resp</w:t>
      </w:r>
      <w:r>
        <w:t xml:space="preserve">ectively). </w:t>
      </w:r>
      <w:r w:rsidR="009D1693">
        <w:t xml:space="preserve"> </w:t>
      </w:r>
      <w:r>
        <w:t xml:space="preserve"> </w:t>
      </w:r>
      <w:r w:rsidR="00E1434C">
        <w:t xml:space="preserve"> </w:t>
      </w:r>
    </w:p>
    <w:p w14:paraId="55C3201B" w14:textId="0BC9966B" w:rsidR="00E1434C" w:rsidRDefault="00E1434C" w:rsidP="00E1434C">
      <w:pPr>
        <w:pStyle w:val="CaptionChart"/>
      </w:pPr>
      <w:bookmarkStart w:id="325" w:name="_Ref465292113"/>
      <w:bookmarkStart w:id="326" w:name="_Toc465940288"/>
      <w:bookmarkStart w:id="327" w:name="_Toc469927388"/>
      <w:r>
        <w:lastRenderedPageBreak/>
        <w:t xml:space="preserve">: Average costs by funding cluster (Cost of </w:t>
      </w:r>
      <w:r w:rsidR="00B80952">
        <w:t>F</w:t>
      </w:r>
      <w:r>
        <w:t xml:space="preserve">unding </w:t>
      </w:r>
      <w:r w:rsidR="00B80952">
        <w:t>C</w:t>
      </w:r>
      <w:r>
        <w:t>luster 1 = 1</w:t>
      </w:r>
      <w:r w:rsidR="00B80952">
        <w:t>00%</w:t>
      </w:r>
      <w:r>
        <w:t>)</w:t>
      </w:r>
      <w:bookmarkEnd w:id="325"/>
      <w:bookmarkEnd w:id="326"/>
      <w:bookmarkEnd w:id="327"/>
    </w:p>
    <w:p w14:paraId="39B38BCB" w14:textId="25FC6E16" w:rsidR="00E1434C" w:rsidRDefault="000127EF" w:rsidP="00E1434C">
      <w:pPr>
        <w:pStyle w:val="BodyText"/>
        <w:jc w:val="center"/>
      </w:pPr>
      <w:r>
        <w:rPr>
          <w:noProof/>
          <w:lang w:eastAsia="en-AU"/>
        </w:rPr>
        <w:drawing>
          <wp:inline distT="0" distB="0" distL="0" distR="0" wp14:anchorId="2572FEBF" wp14:editId="35F184A3">
            <wp:extent cx="4005674" cy="4038600"/>
            <wp:effectExtent l="0" t="0" r="0" b="0"/>
            <wp:docPr id="20" name="Picture 20" descr="Comparisons between the average costs by funding cluster in Australia, New Zealand and UK" title="Average costs by funding cluster (Cost of funding cluster 1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011013" cy="4043983"/>
                    </a:xfrm>
                    <a:prstGeom prst="rect">
                      <a:avLst/>
                    </a:prstGeom>
                    <a:noFill/>
                  </pic:spPr>
                </pic:pic>
              </a:graphicData>
            </a:graphic>
          </wp:inline>
        </w:drawing>
      </w:r>
    </w:p>
    <w:p w14:paraId="3806B85F" w14:textId="77777777" w:rsidR="00E1434C" w:rsidRDefault="00E1434C" w:rsidP="00E1434C">
      <w:pPr>
        <w:pStyle w:val="BodyText"/>
        <w:jc w:val="center"/>
        <w:rPr>
          <w:rFonts w:cs="Arial"/>
          <w:sz w:val="18"/>
        </w:rPr>
      </w:pPr>
      <w:r w:rsidRPr="00C67859">
        <w:rPr>
          <w:rFonts w:cs="Arial"/>
          <w:sz w:val="18"/>
        </w:rPr>
        <w:t xml:space="preserve">Source: </w:t>
      </w:r>
      <w:r w:rsidR="007D7A5A">
        <w:rPr>
          <w:rFonts w:cs="Arial"/>
          <w:sz w:val="18"/>
        </w:rPr>
        <w:t>Deloitte Access Economics analysis</w:t>
      </w:r>
      <w:r w:rsidRPr="00C67859">
        <w:rPr>
          <w:rFonts w:cs="Arial"/>
          <w:sz w:val="18"/>
        </w:rPr>
        <w:t>; New</w:t>
      </w:r>
      <w:r w:rsidRPr="00D50C28">
        <w:rPr>
          <w:rFonts w:cs="Arial"/>
          <w:sz w:val="18"/>
        </w:rPr>
        <w:t xml:space="preserve"> Zealand Ministry of Education, 2015</w:t>
      </w:r>
      <w:r>
        <w:rPr>
          <w:rFonts w:cs="Arial"/>
          <w:sz w:val="18"/>
        </w:rPr>
        <w:t>;</w:t>
      </w:r>
      <w:r w:rsidRPr="00D50C28">
        <w:rPr>
          <w:rFonts w:cs="Arial"/>
          <w:sz w:val="18"/>
        </w:rPr>
        <w:t xml:space="preserve"> HEFCE, </w:t>
      </w:r>
      <w:r>
        <w:rPr>
          <w:rFonts w:cs="Arial"/>
          <w:sz w:val="18"/>
        </w:rPr>
        <w:t>2014</w:t>
      </w:r>
      <w:r w:rsidRPr="00D50C28">
        <w:rPr>
          <w:rFonts w:cs="Arial"/>
          <w:sz w:val="18"/>
        </w:rPr>
        <w:t>.</w:t>
      </w:r>
    </w:p>
    <w:p w14:paraId="74DBF53E" w14:textId="77777777" w:rsidR="00F70DD3" w:rsidRPr="00297764" w:rsidRDefault="00E1434C" w:rsidP="00F70DD3">
      <w:pPr>
        <w:pStyle w:val="BodyText"/>
      </w:pPr>
      <w:r>
        <w:t>Benchmarking across international jurisdictions may not be perfectly comparable given differences between funding systems and the scope of measurements between countries. However, evidence suggests that the relative rankings of delivery costs across the fields of education are broadly consistent across countries</w:t>
      </w:r>
      <w:r w:rsidR="002E528E">
        <w:t>. W</w:t>
      </w:r>
      <w:r>
        <w:t>hile this may result from similar funding systems, to the extent that these benchmarks align with an underlying measure of relative reasonable costs</w:t>
      </w:r>
      <w:r w:rsidR="004D077A">
        <w:t>,</w:t>
      </w:r>
      <w:r>
        <w:t xml:space="preserve"> it </w:t>
      </w:r>
      <w:r w:rsidR="002E528E">
        <w:t xml:space="preserve">supports </w:t>
      </w:r>
      <w:r>
        <w:t>the validity of the results of the Australian costing exercise.</w:t>
      </w:r>
    </w:p>
    <w:p w14:paraId="355C3878" w14:textId="77777777" w:rsidR="00452A34" w:rsidRPr="00A65BA3" w:rsidRDefault="00452A34" w:rsidP="00452A34">
      <w:pPr>
        <w:pStyle w:val="Heading1"/>
      </w:pPr>
      <w:bookmarkStart w:id="328" w:name="_Toc469927335"/>
      <w:r w:rsidRPr="00A65BA3">
        <w:lastRenderedPageBreak/>
        <w:t>Findings and conclusion</w:t>
      </w:r>
      <w:r w:rsidR="00506253">
        <w:t>s</w:t>
      </w:r>
      <w:bookmarkEnd w:id="328"/>
    </w:p>
    <w:p w14:paraId="2DEF31A1" w14:textId="645FC9D4" w:rsidR="00297764" w:rsidRDefault="00297764" w:rsidP="00297764">
      <w:pPr>
        <w:pStyle w:val="BodyText"/>
      </w:pPr>
      <w:r>
        <w:t>The evidence developed as part of this study provides a contemporary b</w:t>
      </w:r>
      <w:r w:rsidRPr="003E727C">
        <w:t>asis</w:t>
      </w:r>
      <w:r>
        <w:t xml:space="preserve"> for understanding relativities in costs across fields of education and qualification levels in Australian universities, with possible implications for the recalibrati</w:t>
      </w:r>
      <w:r w:rsidR="00B80952">
        <w:t>on</w:t>
      </w:r>
      <w:r>
        <w:t xml:space="preserve"> of relative base funding. </w:t>
      </w:r>
    </w:p>
    <w:p w14:paraId="4C4FC5C1" w14:textId="49CEBE01" w:rsidR="00297764" w:rsidRDefault="00297764" w:rsidP="00297764">
      <w:pPr>
        <w:pStyle w:val="BodyText"/>
      </w:pPr>
      <w:r>
        <w:t xml:space="preserve">This section reflects on the findings and the analysis that has been conducted, </w:t>
      </w:r>
      <w:r w:rsidR="00B80952">
        <w:t xml:space="preserve">and makes </w:t>
      </w:r>
      <w:r>
        <w:t>some concluding comments regarding the direction of future policy and research</w:t>
      </w:r>
      <w:r w:rsidR="00713FFC">
        <w:t xml:space="preserve"> in this area</w:t>
      </w:r>
      <w:r>
        <w:t>.</w:t>
      </w:r>
    </w:p>
    <w:p w14:paraId="2B6255E8" w14:textId="77777777" w:rsidR="00297764" w:rsidRDefault="00297764" w:rsidP="00297764">
      <w:pPr>
        <w:pStyle w:val="Heading2"/>
      </w:pPr>
      <w:bookmarkStart w:id="329" w:name="_Toc469927336"/>
      <w:r>
        <w:t>Key findings and conclusions</w:t>
      </w:r>
      <w:bookmarkEnd w:id="329"/>
    </w:p>
    <w:p w14:paraId="7686621F" w14:textId="77777777" w:rsidR="00297764" w:rsidRPr="0078411C" w:rsidRDefault="00297764" w:rsidP="00297764">
      <w:pPr>
        <w:pStyle w:val="HeadingC"/>
      </w:pPr>
      <w:r>
        <w:t>A robust and contemporary source of underlying cost data</w:t>
      </w:r>
    </w:p>
    <w:p w14:paraId="1C6F2BFC" w14:textId="77777777" w:rsidR="00297764" w:rsidRDefault="00297764" w:rsidP="00136129">
      <w:pPr>
        <w:spacing w:before="240"/>
        <w:jc w:val="both"/>
      </w:pPr>
      <w:r>
        <w:t>The data collected as part of this study covers around 700,000 university enrolments, or 54% of Table A universities. This cost data is the most detailed and comprehensive set of information on higher education costs that has been made available in Australia and will be a critical source of evidence for policy and analysis purposes into the future.</w:t>
      </w:r>
    </w:p>
    <w:p w14:paraId="6FF72B99" w14:textId="07C3DDA6" w:rsidR="009E1984" w:rsidRDefault="009E1984" w:rsidP="00A93544">
      <w:pPr>
        <w:pStyle w:val="BodyText"/>
      </w:pPr>
      <w:r>
        <w:t>This evidence demonstrates that costs across fields of education remain broadly similar to those estimated as part of the 2011 costing study to inform the Base Funding Review, and that</w:t>
      </w:r>
      <w:r w:rsidR="000F1651">
        <w:t xml:space="preserve"> at a sectoral level</w:t>
      </w:r>
      <w:r>
        <w:t xml:space="preserve"> these costs have remained stable</w:t>
      </w:r>
      <w:r w:rsidR="000F1651">
        <w:t xml:space="preserve"> across the two studies</w:t>
      </w:r>
      <w:r>
        <w:t>. Th</w:t>
      </w:r>
      <w:r w:rsidR="00D11A1B">
        <w:t>e</w:t>
      </w:r>
      <w:r w:rsidR="000F1651">
        <w:t xml:space="preserve"> </w:t>
      </w:r>
      <w:r>
        <w:t xml:space="preserve">data </w:t>
      </w:r>
      <w:r w:rsidR="00D11A1B">
        <w:t xml:space="preserve">also </w:t>
      </w:r>
      <w:r>
        <w:t xml:space="preserve">shows that there is significant cost variation not just across FOEs, but within FOEs across universities, demonstrating that underlying differences in organisational structures and approaches to </w:t>
      </w:r>
      <w:r w:rsidR="00995626">
        <w:t>teaching and scholarship</w:t>
      </w:r>
      <w:r>
        <w:t xml:space="preserve"> for given F</w:t>
      </w:r>
      <w:r w:rsidR="008B6201">
        <w:t>O</w:t>
      </w:r>
      <w:r>
        <w:t xml:space="preserve">Es </w:t>
      </w:r>
      <w:r w:rsidR="008B6201">
        <w:t>result in variations in average teaching and scholarship costs.</w:t>
      </w:r>
    </w:p>
    <w:p w14:paraId="7850909A" w14:textId="77777777" w:rsidR="008B6201" w:rsidRDefault="008B6201" w:rsidP="00A93544">
      <w:pPr>
        <w:pStyle w:val="BodyText"/>
      </w:pPr>
      <w:r>
        <w:t>This evidence also demonstrates important cost variation within the previously analysed 10 broad FOEs. Across the 19 FOEs considered in this study, there is a notable degree of variation in average teaching and scholarship costs. It also reinforces the finding from consultations with universities that the greatest variation of costs occurs at the individual course or unit level, which is the level at which most universities measure the relative cost (and efficiency) of their teaching and scholarship activities.</w:t>
      </w:r>
    </w:p>
    <w:p w14:paraId="45C8663F" w14:textId="77777777" w:rsidR="008B6201" w:rsidRDefault="00713FFC" w:rsidP="00A93544">
      <w:pPr>
        <w:pStyle w:val="BodyText"/>
      </w:pPr>
      <w:r>
        <w:t>T</w:t>
      </w:r>
      <w:r w:rsidR="008B6201">
        <w:t xml:space="preserve">he scale and scope of data </w:t>
      </w:r>
      <w:r w:rsidR="0054396D">
        <w:t xml:space="preserve">made available for this study allows for a deeper analysis of the underlying drivers of cost, and associated analysis with respect </w:t>
      </w:r>
      <w:r>
        <w:t>to</w:t>
      </w:r>
      <w:r w:rsidR="0054396D">
        <w:t xml:space="preserve"> notions of moderated, typical or ‘reasonable’ measures of cost in different contexts, and under different assumptions. This level of analysis has been inaccessible up to th</w:t>
      </w:r>
      <w:r>
        <w:t>is</w:t>
      </w:r>
      <w:r w:rsidR="0054396D">
        <w:t xml:space="preserve"> point due to the small sample sizes of previous data collections.</w:t>
      </w:r>
    </w:p>
    <w:p w14:paraId="340753EE" w14:textId="77777777" w:rsidR="0054396D" w:rsidRDefault="0054396D" w:rsidP="00A93544">
      <w:pPr>
        <w:pStyle w:val="BodyText"/>
      </w:pPr>
      <w:r>
        <w:t xml:space="preserve">Finally, the process of accompanying </w:t>
      </w:r>
      <w:r w:rsidR="004006DF">
        <w:t xml:space="preserve">the collection of data from universities with detailed consultations has allowed for inconsistencies and limitations with respect to this ‘raw’ evidence to be effectively </w:t>
      </w:r>
      <w:r w:rsidR="00C75720">
        <w:t xml:space="preserve">mitigated </w:t>
      </w:r>
      <w:r w:rsidR="004006DF">
        <w:t>and accounted for</w:t>
      </w:r>
      <w:r w:rsidR="00713FFC">
        <w:t xml:space="preserve"> to the </w:t>
      </w:r>
      <w:r w:rsidR="00C75720">
        <w:t xml:space="preserve">greatest </w:t>
      </w:r>
      <w:r w:rsidR="00713FFC">
        <w:t>extent possible</w:t>
      </w:r>
      <w:r w:rsidR="004006DF">
        <w:t xml:space="preserve">. These consultations also provided </w:t>
      </w:r>
      <w:r w:rsidR="00C75720">
        <w:t xml:space="preserve">key </w:t>
      </w:r>
      <w:r w:rsidR="004006DF">
        <w:t xml:space="preserve">insights into the methods and assumptions used to </w:t>
      </w:r>
      <w:r w:rsidR="004006DF">
        <w:lastRenderedPageBreak/>
        <w:t>measure underlying costs which informed the approach to the analysis conducted here and, ultimately, the findings of this study.</w:t>
      </w:r>
    </w:p>
    <w:p w14:paraId="182BB186" w14:textId="77777777" w:rsidR="009E1984" w:rsidRPr="0078411C" w:rsidRDefault="00713FFC" w:rsidP="009E1984">
      <w:pPr>
        <w:pStyle w:val="HeadingC"/>
      </w:pPr>
      <w:r>
        <w:t xml:space="preserve">Key </w:t>
      </w:r>
      <w:r w:rsidR="009E1984">
        <w:t>insights into universities organisational structures and methods for accounting for cost and revenue</w:t>
      </w:r>
    </w:p>
    <w:p w14:paraId="5F460FE9" w14:textId="77777777" w:rsidR="00297764" w:rsidRDefault="00297764" w:rsidP="00297764">
      <w:pPr>
        <w:pStyle w:val="BodyText"/>
      </w:pPr>
      <w:r>
        <w:t xml:space="preserve">The data collection </w:t>
      </w:r>
      <w:r w:rsidR="00713FFC">
        <w:t xml:space="preserve">exercise </w:t>
      </w:r>
      <w:r>
        <w:t xml:space="preserve">has revealed some important insights regarding the underlying cost structures and processes of Australian universities. </w:t>
      </w:r>
    </w:p>
    <w:p w14:paraId="1DDD3A42" w14:textId="77777777" w:rsidR="00ED7043" w:rsidRDefault="00186372" w:rsidP="00186372">
      <w:pPr>
        <w:pStyle w:val="Bullet1"/>
      </w:pPr>
      <w:r>
        <w:t xml:space="preserve">Universities continue to allocate funding resources internally largely on the basis of the activities </w:t>
      </w:r>
      <w:r w:rsidR="00ED7043">
        <w:t>that attract this funding, confirming previous observations that in many cases observations of relative costs are circularly dependent on relative funding levels.</w:t>
      </w:r>
      <w:r>
        <w:t xml:space="preserve"> </w:t>
      </w:r>
    </w:p>
    <w:p w14:paraId="4B10BCEF" w14:textId="77777777" w:rsidR="00186372" w:rsidRDefault="00186372" w:rsidP="00A93544">
      <w:pPr>
        <w:pStyle w:val="Bullet2"/>
      </w:pPr>
      <w:r>
        <w:t>This phenomenon is most pronounced across university faculties, colleges or schools (which vary in form across universities). Outside of funding retained at a central level, there is limited movement of revenue (and associated variations in cost)</w:t>
      </w:r>
      <w:r w:rsidR="00ED7043">
        <w:t xml:space="preserve"> across these organisational structures, which in many cases align approximately with broad fields of education.</w:t>
      </w:r>
    </w:p>
    <w:p w14:paraId="5C2CF730" w14:textId="77777777" w:rsidR="00ED7043" w:rsidRDefault="00ED7043" w:rsidP="00A93544">
      <w:pPr>
        <w:pStyle w:val="Bullet2"/>
      </w:pPr>
      <w:r>
        <w:t xml:space="preserve">Within schools or faculties there is more variation in the notional allocation of revenue towards certain activities, and therefore less apparent presence of circular cost and funding relationships. However, the richness of this evidence is largely only present </w:t>
      </w:r>
      <w:r w:rsidR="00713FFC">
        <w:t xml:space="preserve">at a </w:t>
      </w:r>
      <w:r>
        <w:t>course or degree level, and not readily revealed from the FOE based measures of relative cost used as part of this study.</w:t>
      </w:r>
    </w:p>
    <w:p w14:paraId="4413C886" w14:textId="77777777" w:rsidR="00297764" w:rsidRDefault="00297764" w:rsidP="00297764">
      <w:pPr>
        <w:pStyle w:val="Bullet1"/>
      </w:pPr>
      <w:r>
        <w:t>Universities measure costs at an activity level with varying degrees of sophistication. Varying assumptions are used when determining drivers of cost at a budgetary unit or central cost level, with the most mature approaches relying on assumptions that have been developed in collaboration with relevant faculties and business units throughout the organisation.</w:t>
      </w:r>
    </w:p>
    <w:p w14:paraId="46009F96" w14:textId="77777777" w:rsidR="00297764" w:rsidRDefault="008E40C5" w:rsidP="00297764">
      <w:pPr>
        <w:pStyle w:val="Bullet1"/>
      </w:pPr>
      <w:r>
        <w:t>The most challenging aspect of collecting underlying data on teaching and scholarship cost is separating the time (and therefore cost) of staff between teaching and scholarship and research activities. This complication has two central components:</w:t>
      </w:r>
    </w:p>
    <w:p w14:paraId="20F70E58" w14:textId="77777777" w:rsidR="008E40C5" w:rsidRDefault="008E40C5" w:rsidP="00CC6FFC">
      <w:pPr>
        <w:pStyle w:val="NumberedList"/>
        <w:numPr>
          <w:ilvl w:val="1"/>
          <w:numId w:val="11"/>
        </w:numPr>
      </w:pPr>
      <w:r>
        <w:t xml:space="preserve">There is no universally accepted definition of what constitutes time that can be notionally considered as contributing towards teaching and scholarship, as opposed to research. The interpretations of this dichotomy vary across and within universities. In some instances general rules are applied based on notional allocations in staff contracts or EBAs, in other cases time-use surveys are used </w:t>
      </w:r>
      <w:r w:rsidR="00186372">
        <w:t>and subjective views of academics relied upon.</w:t>
      </w:r>
    </w:p>
    <w:p w14:paraId="40EDF912" w14:textId="77777777" w:rsidR="008E40C5" w:rsidRDefault="008E40C5" w:rsidP="00CC6FFC">
      <w:pPr>
        <w:pStyle w:val="NumberedList"/>
        <w:numPr>
          <w:ilvl w:val="1"/>
          <w:numId w:val="11"/>
        </w:numPr>
      </w:pPr>
      <w:r>
        <w:t>In practical terms, few universities seek to systematically collect evidence</w:t>
      </w:r>
      <w:r w:rsidR="00186372">
        <w:t xml:space="preserve"> of time use at an individual staff level. The use of time-sheets to account for staff time on component activities is not a widely accepted practice in Australian universities and few if </w:t>
      </w:r>
      <w:r w:rsidR="00713FFC">
        <w:t xml:space="preserve">any </w:t>
      </w:r>
      <w:r w:rsidR="00186372">
        <w:t>universities are understood to be in a position to implement such processes in the near future.</w:t>
      </w:r>
    </w:p>
    <w:p w14:paraId="0478FCBD" w14:textId="001ACD46" w:rsidR="00ED7043" w:rsidRDefault="00ED7043" w:rsidP="00A93544">
      <w:pPr>
        <w:pStyle w:val="BodyText"/>
      </w:pPr>
      <w:r>
        <w:t xml:space="preserve">These observations have </w:t>
      </w:r>
      <w:r w:rsidR="008E40C5">
        <w:t>important implications for the interpretations of the results from this study. In particular,</w:t>
      </w:r>
      <w:r>
        <w:t xml:space="preserve"> </w:t>
      </w:r>
      <w:r w:rsidR="008E40C5">
        <w:t xml:space="preserve">it may be the case that measures of efficiency derived </w:t>
      </w:r>
      <w:r w:rsidR="00186372">
        <w:t>as part of this study</w:t>
      </w:r>
      <w:r w:rsidR="008E40C5">
        <w:t xml:space="preserve"> are in fact revealing the frontier of reported costs associated </w:t>
      </w:r>
      <w:r w:rsidR="008E40C5" w:rsidRPr="00136129">
        <w:t xml:space="preserve">with assumptions that relate to the </w:t>
      </w:r>
      <w:r w:rsidR="00186372" w:rsidRPr="00136129">
        <w:t>narrowest</w:t>
      </w:r>
      <w:r w:rsidR="009E1984" w:rsidRPr="00136129">
        <w:t xml:space="preserve"> co</w:t>
      </w:r>
      <w:r w:rsidR="00186372" w:rsidRPr="00136129">
        <w:t>nceptions</w:t>
      </w:r>
      <w:r w:rsidR="009E1984" w:rsidRPr="00136129">
        <w:t xml:space="preserve"> of </w:t>
      </w:r>
      <w:r w:rsidR="00995626">
        <w:t>teaching and scholarship</w:t>
      </w:r>
      <w:r w:rsidR="009E1984" w:rsidRPr="00136129">
        <w:t xml:space="preserve"> costs</w:t>
      </w:r>
      <w:r w:rsidR="00186372">
        <w:t xml:space="preserve">, rather than actual efficient costs on a ‘like-for-like’ basis. </w:t>
      </w:r>
    </w:p>
    <w:p w14:paraId="30847FEE" w14:textId="77777777" w:rsidR="00186372" w:rsidRPr="00CC5A61" w:rsidRDefault="00186372" w:rsidP="00A93544">
      <w:pPr>
        <w:pStyle w:val="BodyText"/>
      </w:pPr>
      <w:r>
        <w:lastRenderedPageBreak/>
        <w:t xml:space="preserve">Similarly, the notion of the </w:t>
      </w:r>
      <w:r>
        <w:rPr>
          <w:i/>
        </w:rPr>
        <w:t>intent</w:t>
      </w:r>
      <w:r>
        <w:t xml:space="preserve"> of funding towards teaching and scholarship </w:t>
      </w:r>
      <w:r w:rsidR="001E19C4">
        <w:t>relative to</w:t>
      </w:r>
      <w:r>
        <w:t xml:space="preserve"> research costs plays an important role in guiding the allocations of time spent on each of these activities. To the extent that universities or faculties use notional drivers to apportion staff time between teachi</w:t>
      </w:r>
      <w:r w:rsidR="00ED7043">
        <w:t>ng and scholarship and research, these drivers may be determined on the basis of assumptions relating to the allocations of funding between teaching and scholarship and research activities, which are known to vary across and within universities</w:t>
      </w:r>
      <w:r>
        <w:t xml:space="preserve">. This observation has implications for the interpretation of the results of this study, as it is not generally possible to account for these </w:t>
      </w:r>
      <w:r w:rsidR="00ED7043">
        <w:t>underlying premises</w:t>
      </w:r>
      <w:r>
        <w:t xml:space="preserve"> in </w:t>
      </w:r>
      <w:r w:rsidR="00ED7043">
        <w:t xml:space="preserve">the determination of cost drivers in a </w:t>
      </w:r>
      <w:r>
        <w:t>systematic fashion.</w:t>
      </w:r>
    </w:p>
    <w:p w14:paraId="662C99D0" w14:textId="77777777" w:rsidR="00297764" w:rsidRDefault="00297764" w:rsidP="00A93544">
      <w:pPr>
        <w:pStyle w:val="HeadingC"/>
      </w:pPr>
      <w:r>
        <w:t>Critical analysis and evidence on the underlying drivers of cost</w:t>
      </w:r>
    </w:p>
    <w:p w14:paraId="58159DEC" w14:textId="77777777" w:rsidR="00297764" w:rsidRDefault="00297764" w:rsidP="00297764">
      <w:pPr>
        <w:pStyle w:val="BodyText"/>
      </w:pPr>
      <w:r>
        <w:t xml:space="preserve">Empirical analysis of the cost information provided as part of this study has revealed the underlying drivers of cost across universities and fields of education. These drivers provide key insights into the determination of reasonable cost measures across disciplines and fields of education. </w:t>
      </w:r>
    </w:p>
    <w:p w14:paraId="50584D03" w14:textId="77777777" w:rsidR="008A67A1" w:rsidRDefault="008A67A1" w:rsidP="00297764">
      <w:pPr>
        <w:pStyle w:val="BodyText"/>
      </w:pPr>
      <w:r>
        <w:t xml:space="preserve">Simple regression-based models with a number of contextual variables explain a high degree of variation in observed costs across universities, fields of education and qualification levels. This suggests that observed costs can be described well using a simple underlying, and universal, relationship between key drivers and cost per EFTSL. </w:t>
      </w:r>
      <w:r w:rsidR="007B6BF8">
        <w:t>In particular:</w:t>
      </w:r>
    </w:p>
    <w:p w14:paraId="668F439B" w14:textId="1F41B11A" w:rsidR="008A67A1" w:rsidRDefault="007B6BF8" w:rsidP="00A93544">
      <w:pPr>
        <w:pStyle w:val="Bullet1"/>
      </w:pPr>
      <w:r>
        <w:t xml:space="preserve">Teaching staff to student ratios explain a significant degree of variation in average costs, suggesting that scale is a key factor in determining costs across universities and FOEs. Importantly, staff to student ratios are also considered to be an input-based measure of quality in </w:t>
      </w:r>
      <w:r w:rsidR="00995626">
        <w:t>teaching and scholarship</w:t>
      </w:r>
      <w:r>
        <w:t xml:space="preserve"> programs, implying that notions of typical or ‘reasonable’ costs must account for both the scale efficiency, and strategic quality nature of this core cost driver.</w:t>
      </w:r>
    </w:p>
    <w:p w14:paraId="21217125" w14:textId="6830C7C4" w:rsidR="0064667F" w:rsidRDefault="001E19C4" w:rsidP="00A93544">
      <w:pPr>
        <w:pStyle w:val="Bullet1"/>
      </w:pPr>
      <w:r>
        <w:t>A g</w:t>
      </w:r>
      <w:r w:rsidR="0064667F">
        <w:t xml:space="preserve">reater share of students from regional areas is associated with higher costs, suggesting that universities that serve rural and remote student communities face higher costs for delivering teaching and scholarship than </w:t>
      </w:r>
      <w:r w:rsidR="00AF15ED">
        <w:t>universities</w:t>
      </w:r>
      <w:r w:rsidR="0064667F">
        <w:t xml:space="preserve"> </w:t>
      </w:r>
      <w:r w:rsidR="00AF15ED">
        <w:t xml:space="preserve">with a </w:t>
      </w:r>
      <w:r>
        <w:t xml:space="preserve">mainly </w:t>
      </w:r>
      <w:r w:rsidR="0064667F">
        <w:t>metro</w:t>
      </w:r>
      <w:r>
        <w:t>-</w:t>
      </w:r>
      <w:r w:rsidR="0064667F">
        <w:t>based</w:t>
      </w:r>
      <w:r w:rsidR="00AF15ED">
        <w:t xml:space="preserve"> student intake</w:t>
      </w:r>
      <w:r w:rsidR="0064667F">
        <w:t>.</w:t>
      </w:r>
    </w:p>
    <w:p w14:paraId="1AFE5822" w14:textId="77777777" w:rsidR="007B6BF8" w:rsidRDefault="007B6BF8" w:rsidP="00A93544">
      <w:pPr>
        <w:pStyle w:val="Bullet1"/>
      </w:pPr>
      <w:r>
        <w:t>FOE specific effects are significant for several FOEs even after controlling for other factors (including staff to student ratios). This suggests that there are specific associated non-staff (volume) related costs that are universal across certain FOEs.</w:t>
      </w:r>
    </w:p>
    <w:p w14:paraId="2A87D2F7" w14:textId="0931EA34" w:rsidR="007B6BF8" w:rsidRDefault="007B6BF8" w:rsidP="00A93544">
      <w:pPr>
        <w:pStyle w:val="Bullet1"/>
      </w:pPr>
      <w:r>
        <w:t>The level of HDR research in a</w:t>
      </w:r>
      <w:r w:rsidR="001E19C4">
        <w:t>n</w:t>
      </w:r>
      <w:r>
        <w:t xml:space="preserve"> FOE, as a proxy measure of associated research intensity, </w:t>
      </w:r>
      <w:r w:rsidR="001143BD">
        <w:t xml:space="preserve">is positively associated with higher levels of average cost. While it is difficult to ascertain the causal nature of this observation, a possible interpretation is that some degree of co-produced research costs is being captured in </w:t>
      </w:r>
      <w:r w:rsidR="00995626">
        <w:t>teaching and scholarship</w:t>
      </w:r>
      <w:r w:rsidR="001143BD">
        <w:t xml:space="preserve"> costs reported by universities, possibly as a result of higher average staff salaries in these instances. </w:t>
      </w:r>
    </w:p>
    <w:p w14:paraId="37B51391" w14:textId="77777777" w:rsidR="001143BD" w:rsidRDefault="001143BD" w:rsidP="00A93544">
      <w:pPr>
        <w:pStyle w:val="Bullet2"/>
      </w:pPr>
      <w:r>
        <w:t>Importantly</w:t>
      </w:r>
      <w:r w:rsidR="001E19C4">
        <w:t>,</w:t>
      </w:r>
      <w:r>
        <w:t xml:space="preserve"> however, this associated research intensity may also imply a higher degree of quality in the teaching and scholarship in these instances, particularly in the case of postgraduate coursework. Given that universities are not required to undertake research in every area that they undertake teaching and scholarship, this may result in structural differences in costs that are (at least in part) captured as part of this analysis.</w:t>
      </w:r>
    </w:p>
    <w:p w14:paraId="38BC603E" w14:textId="77777777" w:rsidR="007B6BF8" w:rsidRDefault="003D68A4" w:rsidP="00A93544">
      <w:pPr>
        <w:pStyle w:val="Bullet1"/>
      </w:pPr>
      <w:r>
        <w:lastRenderedPageBreak/>
        <w:t>Student outcome</w:t>
      </w:r>
      <w:r w:rsidR="001E19C4">
        <w:t>-</w:t>
      </w:r>
      <w:r>
        <w:t>based measures (including graduate employment and student experience measures) do not predict variations in cost between universities or FOEs. This may suggest a degree of uniformity in the outcomes being generated across institutions and FOEs, but is also likely due to significant limitations in the outcome measures available for this study.</w:t>
      </w:r>
    </w:p>
    <w:p w14:paraId="2DC4F7B3" w14:textId="77777777" w:rsidR="007B6BF8" w:rsidRPr="007B6BF8" w:rsidRDefault="003D68A4" w:rsidP="00297764">
      <w:pPr>
        <w:pStyle w:val="BodyText"/>
      </w:pPr>
      <w:r>
        <w:t>In conclusion, t</w:t>
      </w:r>
      <w:r w:rsidR="007B6BF8">
        <w:t xml:space="preserve">his structural </w:t>
      </w:r>
      <w:r w:rsidR="007B6BF8" w:rsidRPr="00136129">
        <w:t>model</w:t>
      </w:r>
      <w:r w:rsidR="007B6BF8">
        <w:t xml:space="preserve"> of underlying cost in Australia’s higher education system is critical for understanding notions of typical or ‘reasonable’ cost, particularly for the purposes of designing system wide funding arrangements.</w:t>
      </w:r>
    </w:p>
    <w:p w14:paraId="785F6B4F" w14:textId="77777777" w:rsidR="008A67A1" w:rsidRDefault="003D68A4" w:rsidP="00297764">
      <w:pPr>
        <w:pStyle w:val="BodyText"/>
      </w:pPr>
      <w:r>
        <w:t xml:space="preserve">The </w:t>
      </w:r>
      <w:r w:rsidR="008A67A1">
        <w:t xml:space="preserve">unexplained variation </w:t>
      </w:r>
      <w:r>
        <w:t xml:space="preserve">that remains after the application of the estimated model can be considered as </w:t>
      </w:r>
      <w:r w:rsidR="008A67A1">
        <w:rPr>
          <w:i/>
        </w:rPr>
        <w:t>prima facie</w:t>
      </w:r>
      <w:r w:rsidR="008A67A1">
        <w:t xml:space="preserve"> evidence of variations in the </w:t>
      </w:r>
      <w:r w:rsidR="008A67A1" w:rsidRPr="00136129">
        <w:t>efficiency</w:t>
      </w:r>
      <w:r>
        <w:t xml:space="preserve"> by which universities produce teaching and scholarship, relative to the underlying structural model estimated here. The application of methods that seek to estimate the frontier of this efficiency demonstrates that an underlying efficient cost structure may be revealed from the reported cost data, with implications for understanding ‘reasonable’ cost as it relates to possible funding arrangements.</w:t>
      </w:r>
    </w:p>
    <w:p w14:paraId="7FA4BB5E" w14:textId="77777777" w:rsidR="008A67A1" w:rsidRPr="00520AA3" w:rsidRDefault="008A67A1" w:rsidP="00297764">
      <w:pPr>
        <w:pStyle w:val="BodyText"/>
      </w:pPr>
      <w:r>
        <w:t xml:space="preserve">However, this unexplained variation may be explained by otherwise unaccounted for differences in the </w:t>
      </w:r>
      <w:r w:rsidRPr="005F2DE1">
        <w:t>method of data collection</w:t>
      </w:r>
      <w:r w:rsidR="003D68A4" w:rsidRPr="005F2DE1">
        <w:t xml:space="preserve"> (as discussed above)</w:t>
      </w:r>
      <w:r w:rsidRPr="005F2DE1">
        <w:t xml:space="preserve">, or omitted quality or outcome-based variables, and so </w:t>
      </w:r>
      <w:r w:rsidRPr="00327AA3">
        <w:rPr>
          <w:rStyle w:val="Boldword"/>
          <w:b w:val="0"/>
          <w:color w:val="auto"/>
        </w:rPr>
        <w:t>judgements with respect to relative efficiency based on these findings should be mad</w:t>
      </w:r>
      <w:r w:rsidRPr="00520AA3">
        <w:rPr>
          <w:rStyle w:val="Boldword"/>
          <w:b w:val="0"/>
          <w:color w:val="auto"/>
        </w:rPr>
        <w:t>e with a significant degree of caution</w:t>
      </w:r>
      <w:r w:rsidRPr="00520AA3">
        <w:t>.</w:t>
      </w:r>
    </w:p>
    <w:p w14:paraId="6DB50726" w14:textId="77777777" w:rsidR="00297764" w:rsidRDefault="00297764" w:rsidP="00297764">
      <w:pPr>
        <w:pStyle w:val="HeadingC"/>
      </w:pPr>
      <w:r>
        <w:t xml:space="preserve">Instrumental </w:t>
      </w:r>
      <w:r w:rsidR="009E1984">
        <w:t xml:space="preserve">investigation </w:t>
      </w:r>
      <w:r>
        <w:t>into measures of reasonable cost across fields of education, qualification levels and university contexts</w:t>
      </w:r>
    </w:p>
    <w:p w14:paraId="54E01C56" w14:textId="5AF281CA" w:rsidR="003D68A4" w:rsidRDefault="003D68A4" w:rsidP="00136129">
      <w:pPr>
        <w:pStyle w:val="BodyText"/>
        <w:keepNext/>
        <w:keepLines/>
      </w:pPr>
      <w:r>
        <w:t xml:space="preserve">Universities operate in a constrained funding and regulatory environment. In particular, while CSPs for bachelor degrees are </w:t>
      </w:r>
      <w:r w:rsidR="00F3616B">
        <w:t>uncapped,</w:t>
      </w:r>
      <w:r>
        <w:t xml:space="preserve"> </w:t>
      </w:r>
      <w:r w:rsidR="00F3616B">
        <w:t xml:space="preserve">Commonwealth supported </w:t>
      </w:r>
      <w:r>
        <w:t xml:space="preserve">sub-bachelor and </w:t>
      </w:r>
      <w:r w:rsidR="00593960">
        <w:t>postgraduate</w:t>
      </w:r>
      <w:r>
        <w:t xml:space="preserve"> places are restricted by </w:t>
      </w:r>
      <w:r w:rsidR="001E19C4">
        <w:t xml:space="preserve">the </w:t>
      </w:r>
      <w:r>
        <w:t xml:space="preserve">Government. Similarly, total contributions (by students and government) towards CSPs are constrained through Government funding regulation. These funding constraints, as well as quality standards established as part of the TEQSA Act and accompanying legislation and regulation (such as the Standards Framework), play an important role in influencing the costs universities incur towards different teaching, research and broader engagement activities. </w:t>
      </w:r>
    </w:p>
    <w:p w14:paraId="34ABFFDC" w14:textId="77777777" w:rsidR="003D68A4" w:rsidRDefault="003D68A4" w:rsidP="003D68A4">
      <w:pPr>
        <w:pStyle w:val="BodyText"/>
      </w:pPr>
      <w:r>
        <w:t xml:space="preserve">Acknowledging this regulatory context, it is also important to recognise that Australian universities are </w:t>
      </w:r>
      <w:r w:rsidR="00B80952">
        <w:t xml:space="preserve">predominantly </w:t>
      </w:r>
      <w:r>
        <w:t xml:space="preserve">autonomous, self-accrediting, public institutions that serve a diverse range of communities and have unique founding charters and missions. These varying contexts and areas of strategic focus result in a natural degree of variation in cost structures, from a given base of (largely) regulated inputs. </w:t>
      </w:r>
    </w:p>
    <w:p w14:paraId="458374FC" w14:textId="125C989B" w:rsidR="003D68A4" w:rsidRPr="005F2DE1" w:rsidRDefault="003D68A4" w:rsidP="003D68A4">
      <w:pPr>
        <w:pStyle w:val="BodyText"/>
      </w:pPr>
      <w:r>
        <w:t>In general, this envelope of variation in activities and costs is in line with the broad intent of public funding, which (</w:t>
      </w:r>
      <w:r w:rsidRPr="005F2DE1">
        <w:t xml:space="preserve">for a given threshold standard of quality in the activities that are undertaken) does not prescribe specific patterns of expenditure for given </w:t>
      </w:r>
      <w:r w:rsidR="00995626">
        <w:t>teaching and scholarship</w:t>
      </w:r>
      <w:r w:rsidRPr="005F2DE1">
        <w:t xml:space="preserve">, or research activities. </w:t>
      </w:r>
      <w:r w:rsidRPr="00D55F3F">
        <w:t>Funding arrangements based on a notion of reasonable cost of delivery would appropriately recognise this inherent value of autonomy, along with the varying contexts and social missions of Australian universities</w:t>
      </w:r>
      <w:r w:rsidRPr="005F2DE1">
        <w:t>.</w:t>
      </w:r>
    </w:p>
    <w:p w14:paraId="5F2BCE1F" w14:textId="0557214B" w:rsidR="003D68A4" w:rsidRDefault="003D68A4" w:rsidP="003D68A4">
      <w:pPr>
        <w:pStyle w:val="BodyText"/>
        <w:keepNext/>
      </w:pPr>
      <w:r w:rsidRPr="00327AA3">
        <w:lastRenderedPageBreak/>
        <w:t>In line with thi</w:t>
      </w:r>
      <w:r w:rsidRPr="00520AA3">
        <w:t>s motivation, and its inherent complexities</w:t>
      </w:r>
      <w:r>
        <w:t>, t</w:t>
      </w:r>
      <w:r w:rsidRPr="002722A0">
        <w:t>he goa</w:t>
      </w:r>
      <w:r>
        <w:t>l of this</w:t>
      </w:r>
      <w:r w:rsidRPr="002722A0">
        <w:t xml:space="preserve"> analysis is to identify a </w:t>
      </w:r>
      <w:r w:rsidRPr="00136129">
        <w:t>reasonable cost</w:t>
      </w:r>
      <w:r w:rsidRPr="00A224CF">
        <w:rPr>
          <w:color w:val="002060"/>
        </w:rPr>
        <w:t xml:space="preserve"> </w:t>
      </w:r>
      <w:r>
        <w:t xml:space="preserve">for </w:t>
      </w:r>
      <w:r w:rsidR="00995626">
        <w:t>teaching and scholarship</w:t>
      </w:r>
      <w:r>
        <w:t xml:space="preserve"> which:</w:t>
      </w:r>
    </w:p>
    <w:p w14:paraId="2E8F6EA7" w14:textId="77777777" w:rsidR="003D68A4" w:rsidRPr="00F75A34" w:rsidRDefault="005F2DE1" w:rsidP="00CC6FFC">
      <w:pPr>
        <w:pStyle w:val="Bullet1"/>
        <w:numPr>
          <w:ilvl w:val="0"/>
          <w:numId w:val="17"/>
        </w:numPr>
      </w:pPr>
      <w:r>
        <w:t>r</w:t>
      </w:r>
      <w:r w:rsidR="003D68A4" w:rsidRPr="00F75A34">
        <w:t>eflects</w:t>
      </w:r>
      <w:r w:rsidR="003D68A4">
        <w:t xml:space="preserve"> </w:t>
      </w:r>
      <w:r w:rsidR="003D68A4" w:rsidRPr="00F75A34">
        <w:t xml:space="preserve">typical </w:t>
      </w:r>
      <w:r w:rsidR="003D68A4" w:rsidRPr="00136129">
        <w:t xml:space="preserve">contextual factors </w:t>
      </w:r>
      <w:r w:rsidR="003D68A4" w:rsidRPr="00F75A34">
        <w:t>faced by universities (such as size and location);</w:t>
      </w:r>
    </w:p>
    <w:p w14:paraId="4F94CC04" w14:textId="77777777" w:rsidR="003D68A4" w:rsidRPr="00F75A34" w:rsidRDefault="005F2DE1" w:rsidP="003D68A4">
      <w:pPr>
        <w:pStyle w:val="Bullet1"/>
      </w:pPr>
      <w:r>
        <w:t>i</w:t>
      </w:r>
      <w:r w:rsidR="003D68A4" w:rsidRPr="00F75A34">
        <w:t xml:space="preserve">s sufficient to provide a typical, contemporary, level of </w:t>
      </w:r>
      <w:r w:rsidR="003D68A4" w:rsidRPr="00136129">
        <w:t xml:space="preserve">quality </w:t>
      </w:r>
      <w:r w:rsidR="003D68A4" w:rsidRPr="00F75A34">
        <w:t xml:space="preserve">in teaching and scholarship (as defined by government policy, including </w:t>
      </w:r>
      <w:r w:rsidR="003D68A4">
        <w:t xml:space="preserve">the </w:t>
      </w:r>
      <w:r w:rsidR="003D68A4" w:rsidRPr="00F75A34">
        <w:t>Threshold Standards</w:t>
      </w:r>
      <w:r w:rsidR="003D68A4">
        <w:t xml:space="preserve"> regulated by TEQSA</w:t>
      </w:r>
      <w:r w:rsidR="003D68A4" w:rsidRPr="00F75A34">
        <w:t>); and</w:t>
      </w:r>
    </w:p>
    <w:p w14:paraId="1A639D02" w14:textId="77777777" w:rsidR="003D68A4" w:rsidRPr="00F75A34" w:rsidRDefault="005F2DE1" w:rsidP="003D68A4">
      <w:pPr>
        <w:pStyle w:val="Bullet1"/>
      </w:pPr>
      <w:r>
        <w:t>w</w:t>
      </w:r>
      <w:r w:rsidR="001E19C4">
        <w:t xml:space="preserve">hile acknowledging </w:t>
      </w:r>
      <w:r w:rsidR="003D68A4" w:rsidRPr="00F75A34">
        <w:t xml:space="preserve">the varying strategic goals and missions of universities, reflects a level of </w:t>
      </w:r>
      <w:r w:rsidR="003D68A4" w:rsidRPr="00136129">
        <w:t>efficiency</w:t>
      </w:r>
      <w:r w:rsidR="003D68A4" w:rsidRPr="00D579FE">
        <w:rPr>
          <w:color w:val="002060"/>
        </w:rPr>
        <w:t xml:space="preserve"> </w:t>
      </w:r>
      <w:r w:rsidR="003D68A4" w:rsidRPr="00F75A34">
        <w:t>in achieving benchmark quality standards.</w:t>
      </w:r>
    </w:p>
    <w:p w14:paraId="7A8B0A40" w14:textId="77777777" w:rsidR="003D68A4" w:rsidRDefault="0064667F" w:rsidP="00297764">
      <w:pPr>
        <w:pStyle w:val="BodyText"/>
      </w:pPr>
      <w:r>
        <w:t>The underlying cost model developed as part of this study provides</w:t>
      </w:r>
      <w:r w:rsidR="001E19C4">
        <w:t xml:space="preserve"> a</w:t>
      </w:r>
      <w:r>
        <w:t xml:space="preserve"> robust basis upon which reasonable cost may be determined on the basis of this definition. In particular, applying the definition of reasonable cost to the parameters of this model, reasonable cost may be expected to:</w:t>
      </w:r>
    </w:p>
    <w:p w14:paraId="43151FC1" w14:textId="77777777" w:rsidR="0064667F" w:rsidRDefault="005F2DE1" w:rsidP="00A93544">
      <w:pPr>
        <w:pStyle w:val="Bullet1"/>
      </w:pPr>
      <w:r>
        <w:t>a</w:t>
      </w:r>
      <w:r w:rsidR="0064667F">
        <w:t xml:space="preserve">ccount </w:t>
      </w:r>
      <w:r w:rsidR="001E19C4">
        <w:t xml:space="preserve">for </w:t>
      </w:r>
      <w:r w:rsidR="0064667F">
        <w:t>variations in scale and regional student populations, recognising the effects these contextual factors on efficient costs;</w:t>
      </w:r>
    </w:p>
    <w:p w14:paraId="1C6FF52C" w14:textId="77777777" w:rsidR="0064667F" w:rsidRDefault="005F2DE1" w:rsidP="00A93544">
      <w:pPr>
        <w:pStyle w:val="Bullet1"/>
      </w:pPr>
      <w:r>
        <w:t>b</w:t>
      </w:r>
      <w:r w:rsidR="0064667F">
        <w:t>e determined by an explicit benchmark measure</w:t>
      </w:r>
      <w:r w:rsidR="001E19C4">
        <w:t>(</w:t>
      </w:r>
      <w:r w:rsidR="0064667F">
        <w:t>s</w:t>
      </w:r>
      <w:r w:rsidR="001E19C4">
        <w:t>)</w:t>
      </w:r>
      <w:r w:rsidR="0064667F">
        <w:t xml:space="preserve"> of quality across FOEs, particularly with respect to input-based measures such as </w:t>
      </w:r>
      <w:r w:rsidR="00941D93">
        <w:t>staff to student</w:t>
      </w:r>
      <w:r w:rsidR="0064667F">
        <w:t xml:space="preserve"> ratios (noting their co-related relationship with scale efficiencies);</w:t>
      </w:r>
    </w:p>
    <w:p w14:paraId="0E1D6C75" w14:textId="77777777" w:rsidR="0064667F" w:rsidRDefault="005F2DE1" w:rsidP="00A93544">
      <w:pPr>
        <w:pStyle w:val="Bullet1"/>
      </w:pPr>
      <w:r>
        <w:t>p</w:t>
      </w:r>
      <w:r w:rsidR="000C6FE2">
        <w:t>otentially reflect variations in research intensity in some instances, depending upon related principals or notions of any funding arrangements this measure is intended to support; and</w:t>
      </w:r>
    </w:p>
    <w:p w14:paraId="19D68552" w14:textId="77777777" w:rsidR="000C6FE2" w:rsidRDefault="005F2DE1" w:rsidP="00A93544">
      <w:pPr>
        <w:pStyle w:val="Bullet1"/>
      </w:pPr>
      <w:r>
        <w:t>r</w:t>
      </w:r>
      <w:r w:rsidR="001E19C4">
        <w:t xml:space="preserve">eflect </w:t>
      </w:r>
      <w:r w:rsidR="000C6FE2">
        <w:t>a level of underlying efficiency in the average cost of delivery that has been revealed by the envelope of observed operating costs.</w:t>
      </w:r>
    </w:p>
    <w:p w14:paraId="55C552D6" w14:textId="7AA4E973" w:rsidR="00297764" w:rsidRDefault="00297764" w:rsidP="00297764">
      <w:pPr>
        <w:pStyle w:val="BodyText"/>
      </w:pPr>
      <w:r>
        <w:t xml:space="preserve">Importantly, while this study gives some insight into reasonable relative costs of higher education </w:t>
      </w:r>
      <w:r w:rsidR="00995626">
        <w:t>teaching and scholarship</w:t>
      </w:r>
      <w:r>
        <w:t xml:space="preserve"> on </w:t>
      </w:r>
      <w:r w:rsidRPr="005F2DE1">
        <w:t xml:space="preserve">the basis of observable characteristics, a robust (absolute) measure of reasonable cost </w:t>
      </w:r>
      <w:r w:rsidRPr="00327AA3">
        <w:rPr>
          <w:rStyle w:val="Boldword"/>
          <w:b w:val="0"/>
          <w:color w:val="auto"/>
        </w:rPr>
        <w:t>relies on specific and measurable benchmark par</w:t>
      </w:r>
      <w:r w:rsidRPr="008A079E">
        <w:rPr>
          <w:rStyle w:val="Boldword"/>
          <w:b w:val="0"/>
          <w:color w:val="auto"/>
        </w:rPr>
        <w:t>ameters relating to quality</w:t>
      </w:r>
      <w:r w:rsidR="000C6FE2" w:rsidRPr="008A079E">
        <w:rPr>
          <w:rStyle w:val="Boldword"/>
          <w:b w:val="0"/>
          <w:color w:val="auto"/>
        </w:rPr>
        <w:t>, and clear statements of intent regarding the use of government funding for specific purposes related to teaching and scholarship, and research.</w:t>
      </w:r>
      <w:r w:rsidRPr="00520AA3">
        <w:t xml:space="preserve"> </w:t>
      </w:r>
      <w:r w:rsidR="000C6FE2" w:rsidRPr="008A079E">
        <w:t xml:space="preserve">These notions are </w:t>
      </w:r>
      <w:r w:rsidRPr="008A079E">
        <w:t xml:space="preserve">to be defined by policymakers </w:t>
      </w:r>
      <w:r w:rsidR="000C6FE2" w:rsidRPr="004E7CC3">
        <w:t xml:space="preserve">through funding and quality regulation, including relevant standards put </w:t>
      </w:r>
      <w:r w:rsidR="000C6FE2">
        <w:t xml:space="preserve">in place as part of the TEQSA Act, and associated legislation </w:t>
      </w:r>
      <w:r>
        <w:t>(a point emphasised by previous reviews of cost and funding in higher education, such as the 2003 Nelson review).</w:t>
      </w:r>
      <w:r w:rsidR="000C6FE2">
        <w:t xml:space="preserve"> </w:t>
      </w:r>
    </w:p>
    <w:p w14:paraId="0E07B07D" w14:textId="77777777" w:rsidR="00297764" w:rsidRDefault="00297764" w:rsidP="00297764">
      <w:pPr>
        <w:pStyle w:val="HeadingC"/>
      </w:pPr>
      <w:r>
        <w:t>Important limitations of this study</w:t>
      </w:r>
      <w:r w:rsidR="008A67A1">
        <w:t xml:space="preserve"> and implications for funding policy</w:t>
      </w:r>
    </w:p>
    <w:p w14:paraId="580A6F98" w14:textId="239CCB41" w:rsidR="0025593E" w:rsidRDefault="000C6FE2" w:rsidP="00297764">
      <w:pPr>
        <w:pStyle w:val="BodyText"/>
      </w:pPr>
      <w:r>
        <w:t>T</w:t>
      </w:r>
      <w:r w:rsidR="00297764">
        <w:t xml:space="preserve">he empirical analysis presented here is not without its limitations. Most notably, the possibility of omitted variables related to quality or other important contextual factors may mean that estimated underlying costs are subject to bias, with implications for interpretation for the purposes of funding calibration. </w:t>
      </w:r>
      <w:r w:rsidR="0025593E">
        <w:t xml:space="preserve">Further, notwithstanding the rigorous data collection processes utilised in this study, </w:t>
      </w:r>
      <w:r w:rsidR="00D11A1B">
        <w:t>inconsistencies</w:t>
      </w:r>
      <w:r w:rsidR="0025593E">
        <w:t xml:space="preserve"> in the methods for providing the data </w:t>
      </w:r>
      <w:r w:rsidR="0074172B">
        <w:t xml:space="preserve">used </w:t>
      </w:r>
      <w:r w:rsidR="0025593E">
        <w:t>as part of this study limit its accuracy</w:t>
      </w:r>
      <w:r w:rsidR="0074172B">
        <w:t>, as outlined in detail above</w:t>
      </w:r>
      <w:r w:rsidR="0025593E">
        <w:t xml:space="preserve">. </w:t>
      </w:r>
    </w:p>
    <w:p w14:paraId="2367FF4D" w14:textId="77777777" w:rsidR="001814ED" w:rsidRDefault="0074172B" w:rsidP="001814ED">
      <w:pPr>
        <w:pStyle w:val="BodyText"/>
      </w:pPr>
      <w:r>
        <w:t xml:space="preserve">It is not also not necessarily straightforward to apply measures of reasonable cost, as outlined here, to relative funding rates of teaching and scholarship at Australian universities. </w:t>
      </w:r>
      <w:r w:rsidR="0025593E">
        <w:t>In particular, f</w:t>
      </w:r>
      <w:r w:rsidR="00297764">
        <w:t>unding calibration must also pay due regard to the benefits</w:t>
      </w:r>
      <w:r w:rsidR="0025593E">
        <w:t xml:space="preserve"> (especially the ‘external’ or ‘public’ benefits)</w:t>
      </w:r>
      <w:r w:rsidR="00297764">
        <w:t xml:space="preserve"> </w:t>
      </w:r>
      <w:r w:rsidR="0025593E">
        <w:t xml:space="preserve">associated with higher education teaching and scholarship, and the incentives established by funding arrangements with respect to the </w:t>
      </w:r>
      <w:r w:rsidR="0025593E">
        <w:lastRenderedPageBreak/>
        <w:t>production of higher education in different fields and disciplines.</w:t>
      </w:r>
      <w:r>
        <w:t xml:space="preserve"> </w:t>
      </w:r>
      <w:r w:rsidR="001814ED">
        <w:t xml:space="preserve">Further funding considerations would also likely include the regulatory and funding relationship between vocational education and higher education, and neutrality in operating positions between university and non-university higher education providers. </w:t>
      </w:r>
    </w:p>
    <w:p w14:paraId="67B9E1B8" w14:textId="512E346F" w:rsidR="00851582" w:rsidRDefault="00851582" w:rsidP="00297764">
      <w:pPr>
        <w:pStyle w:val="BodyText"/>
      </w:pPr>
      <w:r>
        <w:t xml:space="preserve">Consideration should also be given to how the cost evidence provided here is likely to change over time, in both relative and absolute terms. Underlying trends in the costs of higher education staff, and changing models and structures to the delivery of teaching and scholarship imply that these costs are likely to change over time. In particular, consideration should be given to fields of education that are most likely to be disrupted by changes to technology and pedagogical approaches to </w:t>
      </w:r>
      <w:r w:rsidR="00995626">
        <w:t>teaching and scholarship</w:t>
      </w:r>
      <w:r>
        <w:t xml:space="preserve"> (including more traditional lecture and tutorial based fields). </w:t>
      </w:r>
      <w:r w:rsidR="001E19C4">
        <w:t>N</w:t>
      </w:r>
      <w:r>
        <w:t xml:space="preserve">otions of reasonable cost should explicitly consider these underlying changes to approaches to course delivery, particularly as they relate to standards and notions of quality </w:t>
      </w:r>
      <w:r w:rsidR="001E19C4">
        <w:t xml:space="preserve">that </w:t>
      </w:r>
      <w:r>
        <w:t xml:space="preserve">define measures of reasonable cost. </w:t>
      </w:r>
    </w:p>
    <w:p w14:paraId="61154B40" w14:textId="77777777" w:rsidR="00297764" w:rsidRDefault="0074172B" w:rsidP="00297764">
      <w:pPr>
        <w:pStyle w:val="BodyText"/>
      </w:pPr>
      <w:r>
        <w:t>In conclusion, the evidence and analysis provided here will be a crucial element of a larger set of information that must be considered by policy maker and government in making changes to base funding arrangements for the Australian higher education sector, with the intent of driving improvements in overall system outcomes and enhancing the efficiency and effectiveness of public funding.</w:t>
      </w:r>
    </w:p>
    <w:p w14:paraId="08F4B650" w14:textId="77777777" w:rsidR="00297764" w:rsidRDefault="00297764" w:rsidP="00297764">
      <w:pPr>
        <w:pStyle w:val="Heading2"/>
      </w:pPr>
      <w:bookmarkStart w:id="330" w:name="_Toc469927337"/>
      <w:r>
        <w:t>Directions for further work</w:t>
      </w:r>
      <w:bookmarkEnd w:id="330"/>
    </w:p>
    <w:p w14:paraId="2F02C94B" w14:textId="77777777" w:rsidR="00297764" w:rsidRDefault="00297764" w:rsidP="00297764">
      <w:pPr>
        <w:pStyle w:val="BodyText"/>
      </w:pPr>
      <w:r>
        <w:t>Looking forward, ongoing updates and refinement of the underlying data set used for this analysis may play an important role in improving the robustness of the evidence used for policy purposes, and the quality of insights available from research and analysis such as that presented here. Notable areas for further improvement include:</w:t>
      </w:r>
    </w:p>
    <w:p w14:paraId="18F11EDC" w14:textId="77777777" w:rsidR="00297764" w:rsidRDefault="001814ED" w:rsidP="00CC6FFC">
      <w:pPr>
        <w:pStyle w:val="BodyText"/>
        <w:numPr>
          <w:ilvl w:val="0"/>
          <w:numId w:val="19"/>
        </w:numPr>
        <w:spacing w:before="120"/>
        <w:ind w:left="426" w:hanging="357"/>
      </w:pPr>
      <w:r>
        <w:t xml:space="preserve">Development of a robust consensus </w:t>
      </w:r>
      <w:r w:rsidR="00297764">
        <w:t>definition of research costs (as distinct from teaching costs)</w:t>
      </w:r>
      <w:r>
        <w:t xml:space="preserve"> to inform future collections of relative cost data and </w:t>
      </w:r>
      <w:r w:rsidR="006437AC">
        <w:t>any associated changes to funding arrangements.</w:t>
      </w:r>
    </w:p>
    <w:p w14:paraId="7539A4E0" w14:textId="77777777" w:rsidR="00CC5A61" w:rsidRDefault="00297764" w:rsidP="00CC6FFC">
      <w:pPr>
        <w:pStyle w:val="BodyText"/>
        <w:numPr>
          <w:ilvl w:val="0"/>
          <w:numId w:val="19"/>
        </w:numPr>
        <w:spacing w:before="120"/>
        <w:ind w:left="426" w:hanging="357"/>
      </w:pPr>
      <w:r>
        <w:t xml:space="preserve">A more formalised </w:t>
      </w:r>
      <w:r w:rsidR="006437AC">
        <w:t xml:space="preserve">and ongoing process of data collection between government and universities, potentially linking in with existing statutory reporting arrangements. </w:t>
      </w:r>
      <w:r w:rsidR="001F57C4">
        <w:t>This process would</w:t>
      </w:r>
      <w:r w:rsidR="00506253">
        <w:t>:</w:t>
      </w:r>
    </w:p>
    <w:p w14:paraId="3F77261A" w14:textId="77777777" w:rsidR="00CC5A61" w:rsidRDefault="006437AC" w:rsidP="00A93544">
      <w:pPr>
        <w:pStyle w:val="Bullet2"/>
      </w:pPr>
      <w:r>
        <w:t>provide more time for universities to develop the method and processes to collect accurate data, and introduce</w:t>
      </w:r>
      <w:r w:rsidR="006B6289">
        <w:t xml:space="preserve"> a</w:t>
      </w:r>
      <w:r>
        <w:t xml:space="preserve"> </w:t>
      </w:r>
      <w:r w:rsidR="00CC5A61">
        <w:t>standardised</w:t>
      </w:r>
      <w:r w:rsidR="00297764">
        <w:t xml:space="preserve"> </w:t>
      </w:r>
      <w:r>
        <w:t>approa</w:t>
      </w:r>
      <w:r w:rsidR="006B6289">
        <w:t>ch</w:t>
      </w:r>
      <w:r>
        <w:t xml:space="preserve"> </w:t>
      </w:r>
      <w:r w:rsidR="00297764">
        <w:t>for measuring costs across the sector</w:t>
      </w:r>
      <w:r w:rsidR="001F57C4">
        <w:t xml:space="preserve"> to ensure its consistency;</w:t>
      </w:r>
    </w:p>
    <w:p w14:paraId="58FD8FAE" w14:textId="77777777" w:rsidR="00297764" w:rsidRPr="004034D7" w:rsidRDefault="006437AC" w:rsidP="00A93544">
      <w:pPr>
        <w:pStyle w:val="Bullet2"/>
      </w:pPr>
      <w:r>
        <w:t xml:space="preserve">build </w:t>
      </w:r>
      <w:r w:rsidR="00297764">
        <w:t xml:space="preserve">on </w:t>
      </w:r>
      <w:r>
        <w:t xml:space="preserve">existing </w:t>
      </w:r>
      <w:r w:rsidR="00297764">
        <w:t xml:space="preserve">approaches </w:t>
      </w:r>
      <w:r>
        <w:t xml:space="preserve">used overseas, such </w:t>
      </w:r>
      <w:r w:rsidR="00297764">
        <w:t xml:space="preserve">as </w:t>
      </w:r>
      <w:r>
        <w:t xml:space="preserve">the </w:t>
      </w:r>
      <w:r w:rsidR="00297764">
        <w:t>TRAC in the UK</w:t>
      </w:r>
      <w:r w:rsidR="00CC5A61">
        <w:t xml:space="preserve"> and activity based costing methods currently establi</w:t>
      </w:r>
      <w:r w:rsidR="001F57C4">
        <w:t>shed by Australian universities; and</w:t>
      </w:r>
    </w:p>
    <w:p w14:paraId="127DF70E" w14:textId="77777777" w:rsidR="00297764" w:rsidRPr="004034D7" w:rsidRDefault="00CC5A61" w:rsidP="00F3616B">
      <w:pPr>
        <w:pStyle w:val="Bullet2"/>
      </w:pPr>
      <w:r>
        <w:t xml:space="preserve">ensure a </w:t>
      </w:r>
      <w:r w:rsidR="00297764">
        <w:t>more comprehensive time series measurement to the analysis to ensure that estimates more fully capture cost dynamics</w:t>
      </w:r>
      <w:r>
        <w:t xml:space="preserve"> that eventuate over time.</w:t>
      </w:r>
    </w:p>
    <w:p w14:paraId="057B9CB2" w14:textId="77777777" w:rsidR="00297764" w:rsidRDefault="00297764" w:rsidP="00CC6FFC">
      <w:pPr>
        <w:pStyle w:val="BodyText"/>
        <w:numPr>
          <w:ilvl w:val="0"/>
          <w:numId w:val="19"/>
        </w:numPr>
        <w:spacing w:before="120"/>
        <w:ind w:left="426" w:hanging="357"/>
      </w:pPr>
      <w:r>
        <w:t>Expanding the approach to data collection to incorporate a broader range of disciplines in order to reveal more meaningful clusters of like courses on the basis of unit level cost relativities.</w:t>
      </w:r>
    </w:p>
    <w:p w14:paraId="72370C83" w14:textId="77777777" w:rsidR="00CC5A61" w:rsidRDefault="005F2DE1" w:rsidP="00A93544">
      <w:pPr>
        <w:pStyle w:val="Bullet2"/>
      </w:pPr>
      <w:r>
        <w:lastRenderedPageBreak/>
        <w:t>t</w:t>
      </w:r>
      <w:r w:rsidR="00CC5A61">
        <w:t>his process may leverage the richness of evidence available from course level cost estimates developed by universities across their full range of activities</w:t>
      </w:r>
      <w:r w:rsidR="001F57C4">
        <w:t xml:space="preserve"> to isolate common course characteristics that are associated with variations in reasonable cost, and thereby define a robust set of course clusters that may inform future funding arrangements.</w:t>
      </w:r>
    </w:p>
    <w:p w14:paraId="44E7F21A" w14:textId="749E6C86" w:rsidR="000E2ACB" w:rsidRDefault="000E2ACB" w:rsidP="00A93544">
      <w:pPr>
        <w:pStyle w:val="Bullet1"/>
      </w:pPr>
      <w:r>
        <w:t xml:space="preserve">Enhancing available outcome measures for the purposes of measuring the quality of </w:t>
      </w:r>
      <w:r w:rsidR="00995626">
        <w:t>teaching and scholarship</w:t>
      </w:r>
      <w:r>
        <w:t>.</w:t>
      </w:r>
    </w:p>
    <w:p w14:paraId="113FBAAC" w14:textId="7CB64796" w:rsidR="000E2ACB" w:rsidRDefault="005F2DE1" w:rsidP="00A93544">
      <w:pPr>
        <w:pStyle w:val="Bullet2"/>
      </w:pPr>
      <w:r>
        <w:t>a</w:t>
      </w:r>
      <w:r w:rsidR="000E2ACB">
        <w:t xml:space="preserve">s part of a robust measure of reasonable cost, carefully developed measures of student outcomes will play a critical role in assessing the effectiveness and efficiency of existing university </w:t>
      </w:r>
      <w:r w:rsidR="00995626">
        <w:t>teaching and scholarship</w:t>
      </w:r>
      <w:r w:rsidR="000E2ACB">
        <w:t xml:space="preserve"> programs into the future</w:t>
      </w:r>
      <w:r>
        <w:t>; and</w:t>
      </w:r>
    </w:p>
    <w:p w14:paraId="54E90930" w14:textId="77777777" w:rsidR="00F90DC9" w:rsidRPr="00FA7BA9" w:rsidRDefault="005F2DE1" w:rsidP="00A93544">
      <w:pPr>
        <w:pStyle w:val="Bullet2"/>
      </w:pPr>
      <w:r>
        <w:t>t</w:t>
      </w:r>
      <w:r w:rsidR="000E2ACB">
        <w:t xml:space="preserve">hese measures would appropriately be adjusted for contextual university characteristics, and the effects </w:t>
      </w:r>
      <w:r w:rsidR="00F90DC9">
        <w:t xml:space="preserve">of </w:t>
      </w:r>
      <w:r w:rsidR="000E2ACB">
        <w:t>variations in cohort intake</w:t>
      </w:r>
      <w:r w:rsidR="00F90DC9">
        <w:t xml:space="preserve"> accounted for in assessments of relative quality.</w:t>
      </w:r>
    </w:p>
    <w:p w14:paraId="0B1252D4" w14:textId="77777777" w:rsidR="003465A5" w:rsidRPr="0045469A" w:rsidRDefault="00F90DC9" w:rsidP="00A93544">
      <w:pPr>
        <w:pStyle w:val="Bullet1"/>
      </w:pPr>
      <w:r>
        <w:t>The application of robust outcome measures to define benchmark standards of quality when measuring relative efficiency, to ultimately ensure an accurately estimated efficiency frontier is revealed.</w:t>
      </w:r>
    </w:p>
    <w:p w14:paraId="59004111" w14:textId="77777777" w:rsidR="0082152B" w:rsidRDefault="003465A5" w:rsidP="003465A5">
      <w:pPr>
        <w:pStyle w:val="MajorHeading"/>
        <w:rPr>
          <w:lang w:eastAsia="en-AU"/>
        </w:rPr>
      </w:pPr>
      <w:bookmarkStart w:id="331" w:name="_Toc469927338"/>
      <w:r w:rsidRPr="00A65BA3">
        <w:rPr>
          <w:lang w:eastAsia="en-AU"/>
        </w:rPr>
        <w:lastRenderedPageBreak/>
        <w:t>References</w:t>
      </w:r>
      <w:bookmarkEnd w:id="331"/>
    </w:p>
    <w:p w14:paraId="79CD0FE6" w14:textId="2A9E3500" w:rsidR="00B80F34" w:rsidRPr="006E2C30" w:rsidRDefault="00B80F34" w:rsidP="004818D6">
      <w:pPr>
        <w:spacing w:before="240"/>
        <w:ind w:left="567" w:hanging="567"/>
        <w:jc w:val="both"/>
      </w:pPr>
      <w:r w:rsidRPr="006E2C30">
        <w:t xml:space="preserve">Abbott M and Doucouliagos C 2003, </w:t>
      </w:r>
      <w:r w:rsidR="00BC5CE6">
        <w:t>‘</w:t>
      </w:r>
      <w:r w:rsidRPr="006E2C30">
        <w:t>The efficiency of Australian universities: A data envelopment analysis</w:t>
      </w:r>
      <w:r w:rsidR="00BC5CE6">
        <w:t>’</w:t>
      </w:r>
      <w:r w:rsidRPr="006E2C30">
        <w:t xml:space="preserve">, </w:t>
      </w:r>
      <w:r w:rsidRPr="006E2C30">
        <w:rPr>
          <w:i/>
        </w:rPr>
        <w:t>Economics of Education Review</w:t>
      </w:r>
      <w:r w:rsidRPr="006E2C30">
        <w:t>, 22(1) 89-97</w:t>
      </w:r>
    </w:p>
    <w:p w14:paraId="4AE7EBE1" w14:textId="21A3B311" w:rsidR="00B80F34" w:rsidRPr="006E2C30" w:rsidRDefault="00B80F34" w:rsidP="004818D6">
      <w:pPr>
        <w:spacing w:before="240"/>
        <w:ind w:left="567" w:hanging="567"/>
        <w:jc w:val="both"/>
      </w:pPr>
      <w:r w:rsidRPr="006E2C30">
        <w:t xml:space="preserve">Athanassopoulos AD and Shale E 1997, </w:t>
      </w:r>
      <w:r w:rsidR="00BC5CE6">
        <w:t>‘</w:t>
      </w:r>
      <w:r w:rsidRPr="006E2C30">
        <w:t>Assessing the comparative efficiency of higher education institutions</w:t>
      </w:r>
      <w:r w:rsidR="00BC5CE6">
        <w:t>’</w:t>
      </w:r>
      <w:r w:rsidRPr="006E2C30">
        <w:t xml:space="preserve">, </w:t>
      </w:r>
      <w:r w:rsidRPr="006E2C30">
        <w:rPr>
          <w:i/>
        </w:rPr>
        <w:t>Education Economics</w:t>
      </w:r>
      <w:r w:rsidRPr="006E2C30">
        <w:t>, 5(2), 117-134</w:t>
      </w:r>
    </w:p>
    <w:p w14:paraId="3E51045C" w14:textId="77777777" w:rsidR="00B80F34" w:rsidRDefault="00B80F34" w:rsidP="00D8727B">
      <w:pPr>
        <w:spacing w:before="240"/>
        <w:ind w:left="567" w:hanging="567"/>
        <w:jc w:val="both"/>
      </w:pPr>
      <w:r>
        <w:t xml:space="preserve">Austin J 2015, ‘Shared services in Australian higher education’, </w:t>
      </w:r>
      <w:hyperlink r:id="rId78" w:history="1">
        <w:r w:rsidRPr="00C112BB">
          <w:rPr>
            <w:rStyle w:val="Hyperlink"/>
          </w:rPr>
          <w:t>http://www.highered-servicestransformation.com.au/media/1003888/73200.pdf</w:t>
        </w:r>
      </w:hyperlink>
      <w:r>
        <w:t>, accessed October 2016.</w:t>
      </w:r>
    </w:p>
    <w:p w14:paraId="45210D4C" w14:textId="77E54FE2" w:rsidR="00B80F34" w:rsidRDefault="00B80F34" w:rsidP="00D8727B">
      <w:pPr>
        <w:spacing w:before="240"/>
        <w:ind w:left="567" w:hanging="567"/>
        <w:jc w:val="both"/>
      </w:pPr>
      <w:r>
        <w:t xml:space="preserve">Australian Government 2016, ‘Redesigning VET FEE-HELP: Discussion Paper’, </w:t>
      </w:r>
      <w:hyperlink r:id="rId79" w:history="1">
        <w:r w:rsidRPr="00347247">
          <w:rPr>
            <w:rStyle w:val="Hyperlink"/>
          </w:rPr>
          <w:t>https://docs.education.gov.au/system/files/doc/other/redesigning_vet_fee-help_-_discussion_paper_0_0.pdf</w:t>
        </w:r>
      </w:hyperlink>
      <w:r>
        <w:t xml:space="preserve">, accessed </w:t>
      </w:r>
      <w:r w:rsidR="00AD7717">
        <w:t xml:space="preserve">October </w:t>
      </w:r>
      <w:r w:rsidR="00BC5CE6">
        <w:t>2016</w:t>
      </w:r>
    </w:p>
    <w:p w14:paraId="2007E837" w14:textId="77777777" w:rsidR="00B80F34" w:rsidRDefault="00B80F34" w:rsidP="00D8727B">
      <w:pPr>
        <w:spacing w:before="240"/>
        <w:ind w:left="567" w:hanging="567"/>
        <w:jc w:val="both"/>
      </w:pPr>
      <w:r>
        <w:t xml:space="preserve">Australian Government, Department of Education and Training 2016, ‘VET FEE-HELP Reform Factsheet’, </w:t>
      </w:r>
      <w:hyperlink r:id="rId80" w:history="1">
        <w:r w:rsidRPr="00347247">
          <w:rPr>
            <w:rStyle w:val="Hyperlink"/>
          </w:rPr>
          <w:t>https://docs.education.gov.au/system/files/doc/other/160901_vet_fee-help_reform_factsheet.pdf</w:t>
        </w:r>
      </w:hyperlink>
      <w:r>
        <w:t>, accessed November 2016</w:t>
      </w:r>
    </w:p>
    <w:p w14:paraId="6A644405" w14:textId="0EF53E72" w:rsidR="00B80F34" w:rsidRDefault="00B80F34" w:rsidP="00D8727B">
      <w:pPr>
        <w:spacing w:before="240"/>
        <w:ind w:left="567" w:hanging="567"/>
        <w:jc w:val="both"/>
      </w:pPr>
      <w:r>
        <w:t xml:space="preserve">Baxter, B., 2012, ‘Sharing the Private and Public costs of Tertiary Education’, </w:t>
      </w:r>
      <w:hyperlink r:id="rId81" w:history="1">
        <w:r w:rsidR="00BC5CE6" w:rsidRPr="00BB6FFD">
          <w:rPr>
            <w:rStyle w:val="Hyperlink"/>
          </w:rPr>
          <w:t>http://ips.ac.nz/publications/files/4295b3c417c.pdf</w:t>
        </w:r>
      </w:hyperlink>
      <w:r w:rsidR="00BC5CE6">
        <w:t xml:space="preserve">, accessed </w:t>
      </w:r>
      <w:r w:rsidR="00AD7717">
        <w:t>October 2016</w:t>
      </w:r>
    </w:p>
    <w:p w14:paraId="23925CF1" w14:textId="39C87629" w:rsidR="00B80F34" w:rsidRDefault="00B80F34" w:rsidP="00D8727B">
      <w:pPr>
        <w:spacing w:before="240"/>
        <w:ind w:left="567" w:hanging="567"/>
        <w:jc w:val="both"/>
      </w:pPr>
      <w:r>
        <w:t xml:space="preserve">Bowles K, Haines T, Molloy E, Maloney S, Kent F, Sevenhuysen S, Tai J 2014, ‘The costs and benefits of providing undergraduate student clinical placements for a health service organisation: A rapid review’, </w:t>
      </w:r>
      <w:hyperlink r:id="rId82" w:history="1">
        <w:r w:rsidR="00AD7717" w:rsidRPr="00BB6FFD">
          <w:rPr>
            <w:rStyle w:val="Hyperlink"/>
          </w:rPr>
          <w:t>http://www.heti.nsw.gov.au/Global/ICTN/Hunter%20and%20Coast%20ICTN/The%20Cost%20and%20Benefits%20of%20CP%20for%20HSP.pdf</w:t>
        </w:r>
      </w:hyperlink>
      <w:r w:rsidR="00AD7717">
        <w:t>, Accessed October 2016</w:t>
      </w:r>
    </w:p>
    <w:p w14:paraId="41045D52" w14:textId="08CADCE7" w:rsidR="00B80F34" w:rsidRPr="006E2C30" w:rsidRDefault="00B80F34" w:rsidP="004818D6">
      <w:pPr>
        <w:spacing w:before="240"/>
        <w:ind w:left="567" w:hanging="567"/>
        <w:jc w:val="both"/>
      </w:pPr>
      <w:r w:rsidRPr="006E2C30">
        <w:t>Bradley D, Noonan P, Nugent H and Scales B 2008, Review of Australian higher education: Final report, Department of Education, Employment and Workplace Relations</w:t>
      </w:r>
      <w:r w:rsidR="00AD7717">
        <w:t>,</w:t>
      </w:r>
      <w:r w:rsidR="00AD7717" w:rsidRPr="00AD7717">
        <w:t xml:space="preserve"> </w:t>
      </w:r>
      <w:r w:rsidR="00AD7717">
        <w:t>Accessed October 2016</w:t>
      </w:r>
      <w:r w:rsidRPr="006E2C30">
        <w:t xml:space="preserve">  </w:t>
      </w:r>
    </w:p>
    <w:p w14:paraId="5F7CEF79" w14:textId="2E53149C" w:rsidR="00B80F34" w:rsidRPr="006E2C30" w:rsidRDefault="00B80F34" w:rsidP="004818D6">
      <w:pPr>
        <w:spacing w:before="240"/>
        <w:ind w:left="567" w:hanging="567"/>
        <w:jc w:val="both"/>
      </w:pPr>
      <w:r w:rsidRPr="006E2C30">
        <w:t xml:space="preserve">Cave MH, Henkel S and Kogan M 1991, </w:t>
      </w:r>
      <w:r w:rsidR="00AD7717">
        <w:t>‘</w:t>
      </w:r>
      <w:r w:rsidRPr="006E2C30">
        <w:t>The use of performance indicators in higher education</w:t>
      </w:r>
      <w:r w:rsidR="00AD7717">
        <w:t>’</w:t>
      </w:r>
      <w:r w:rsidR="00AD7717" w:rsidRPr="00AD7717">
        <w:t xml:space="preserve"> </w:t>
      </w:r>
    </w:p>
    <w:p w14:paraId="56FBE93F" w14:textId="1260899A" w:rsidR="00B80F34" w:rsidRPr="006E2C30" w:rsidRDefault="00B80F34" w:rsidP="004818D6">
      <w:pPr>
        <w:spacing w:before="240"/>
        <w:ind w:left="567" w:hanging="567"/>
        <w:jc w:val="both"/>
      </w:pPr>
      <w:r w:rsidRPr="006E2C30">
        <w:t xml:space="preserve">Charnes A, Cooper WW and Rhodes E 1981, </w:t>
      </w:r>
      <w:r w:rsidR="00AD7717">
        <w:t>‘</w:t>
      </w:r>
      <w:r w:rsidRPr="006E2C30">
        <w:t>Evaluating program and managerial efficiency: an application of data envelopment analysis to program follow through</w:t>
      </w:r>
      <w:r w:rsidR="00AD7717">
        <w:t>’</w:t>
      </w:r>
      <w:r w:rsidRPr="006E2C30">
        <w:t xml:space="preserve">, </w:t>
      </w:r>
      <w:r w:rsidRPr="006E2C30">
        <w:rPr>
          <w:i/>
        </w:rPr>
        <w:t>Management science</w:t>
      </w:r>
      <w:r w:rsidRPr="006E2C30">
        <w:t>, 27(6), 668-697</w:t>
      </w:r>
    </w:p>
    <w:p w14:paraId="192FEC22" w14:textId="74FA9EAD" w:rsidR="00B80F34" w:rsidRPr="006E2C30" w:rsidRDefault="00B80F34" w:rsidP="004818D6">
      <w:pPr>
        <w:spacing w:before="240"/>
        <w:ind w:left="567" w:hanging="567"/>
        <w:jc w:val="both"/>
      </w:pPr>
      <w:r w:rsidRPr="006E2C30">
        <w:t xml:space="preserve">Deloitte Access Economics 2011a, </w:t>
      </w:r>
      <w:r w:rsidR="00AD7717">
        <w:t>‘</w:t>
      </w:r>
      <w:r w:rsidRPr="006E2C30">
        <w:t>Examining the full cost of research training</w:t>
      </w:r>
      <w:r w:rsidR="00AD7717">
        <w:t>’</w:t>
      </w:r>
      <w:r w:rsidRPr="006E2C30">
        <w:t xml:space="preserve">, Department of Innovation, Industry, Science and Research </w:t>
      </w:r>
    </w:p>
    <w:p w14:paraId="5E828A73" w14:textId="1A358DB1" w:rsidR="00B80F34" w:rsidRPr="006E2C30" w:rsidRDefault="00B80F34" w:rsidP="004818D6">
      <w:pPr>
        <w:spacing w:before="240"/>
        <w:ind w:left="567" w:hanging="567"/>
        <w:jc w:val="both"/>
      </w:pPr>
      <w:r w:rsidRPr="006E2C30">
        <w:t xml:space="preserve">Deloitte Access Economics 2011b, </w:t>
      </w:r>
      <w:r w:rsidR="00AD7717">
        <w:t>‘</w:t>
      </w:r>
      <w:r w:rsidRPr="006E2C30">
        <w:t>Higher education teaching and learning costs</w:t>
      </w:r>
      <w:r w:rsidR="00AD7717">
        <w:t>’</w:t>
      </w:r>
      <w:r w:rsidRPr="006E2C30">
        <w:t>, Department of Education, Employment and Workplace Relations</w:t>
      </w:r>
    </w:p>
    <w:p w14:paraId="51063D29" w14:textId="33367DD3" w:rsidR="00B80F34" w:rsidRPr="006E2C30" w:rsidRDefault="00B80F34" w:rsidP="004818D6">
      <w:pPr>
        <w:spacing w:before="240"/>
        <w:ind w:left="567" w:hanging="567"/>
        <w:jc w:val="both"/>
      </w:pPr>
      <w:r w:rsidRPr="006E2C30">
        <w:t xml:space="preserve">Deloitte Access Economics 2014, </w:t>
      </w:r>
      <w:r w:rsidR="00AD7717">
        <w:t>‘</w:t>
      </w:r>
      <w:r w:rsidRPr="006E2C30">
        <w:t>Funding implications in expanding access to Commonwealth supported Higher Education places</w:t>
      </w:r>
      <w:r w:rsidR="00AD7717">
        <w:t>’</w:t>
      </w:r>
      <w:r w:rsidRPr="006E2C30">
        <w:t xml:space="preserve">, </w:t>
      </w:r>
      <w:r w:rsidR="002402C7">
        <w:t>Australian</w:t>
      </w:r>
      <w:r w:rsidR="002402C7" w:rsidRPr="006E2C30">
        <w:t xml:space="preserve"> </w:t>
      </w:r>
      <w:r w:rsidRPr="006E2C30">
        <w:t xml:space="preserve">Department of Education </w:t>
      </w:r>
    </w:p>
    <w:p w14:paraId="7765307F" w14:textId="26BE64A3" w:rsidR="00B80F34" w:rsidRPr="006E2C30" w:rsidRDefault="00B80F34" w:rsidP="004818D6">
      <w:pPr>
        <w:spacing w:before="240"/>
        <w:ind w:left="567" w:hanging="567"/>
        <w:jc w:val="both"/>
      </w:pPr>
      <w:r w:rsidRPr="006E2C30">
        <w:lastRenderedPageBreak/>
        <w:t xml:space="preserve">Deloitte Access Economics 2015, </w:t>
      </w:r>
      <w:r w:rsidR="00AD7717">
        <w:t>‘</w:t>
      </w:r>
      <w:r w:rsidRPr="006E2C30">
        <w:t>The importance of universities to Australia’s Prosperity</w:t>
      </w:r>
      <w:r w:rsidR="00AD7717">
        <w:t>’</w:t>
      </w:r>
      <w:r w:rsidRPr="006E2C30">
        <w:t>, Universities Australia</w:t>
      </w:r>
    </w:p>
    <w:p w14:paraId="000279D8" w14:textId="44A24AF8" w:rsidR="00B80F34" w:rsidRDefault="00B80F34" w:rsidP="004818D6">
      <w:pPr>
        <w:pStyle w:val="NormalWeb"/>
        <w:ind w:left="480" w:hanging="480"/>
        <w:rPr>
          <w:rFonts w:asciiTheme="minorHAnsi" w:hAnsiTheme="minorHAnsi"/>
          <w:sz w:val="22"/>
        </w:rPr>
      </w:pPr>
      <w:r>
        <w:rPr>
          <w:rFonts w:asciiTheme="minorHAnsi" w:hAnsiTheme="minorHAnsi"/>
          <w:sz w:val="22"/>
        </w:rPr>
        <w:t xml:space="preserve">Department of Education and Training 2015a, </w:t>
      </w:r>
      <w:r w:rsidR="00AD7717">
        <w:rPr>
          <w:rFonts w:asciiTheme="minorHAnsi" w:hAnsiTheme="minorHAnsi"/>
          <w:sz w:val="22"/>
        </w:rPr>
        <w:t>‘</w:t>
      </w:r>
      <w:r w:rsidRPr="00AD7717">
        <w:rPr>
          <w:rFonts w:asciiTheme="minorHAnsi" w:hAnsiTheme="minorHAnsi"/>
          <w:sz w:val="22"/>
        </w:rPr>
        <w:t>Higher Education in Australia: A review of reviews from Dawkins to today</w:t>
      </w:r>
      <w:r w:rsidR="00AD7717">
        <w:rPr>
          <w:rFonts w:asciiTheme="minorHAnsi" w:hAnsiTheme="minorHAnsi"/>
          <w:sz w:val="22"/>
        </w:rPr>
        <w:t>’</w:t>
      </w:r>
      <w:r>
        <w:rPr>
          <w:rFonts w:asciiTheme="minorHAnsi" w:hAnsiTheme="minorHAnsi"/>
          <w:i/>
          <w:sz w:val="22"/>
        </w:rPr>
        <w:t xml:space="preserve">, </w:t>
      </w:r>
      <w:r w:rsidRPr="00490ACA">
        <w:rPr>
          <w:rFonts w:asciiTheme="minorHAnsi" w:hAnsiTheme="minorHAnsi"/>
          <w:sz w:val="22"/>
        </w:rPr>
        <w:t>Department of Education and Training</w:t>
      </w:r>
      <w:r w:rsidRPr="00490ACA">
        <w:rPr>
          <w:rFonts w:asciiTheme="minorHAnsi" w:hAnsiTheme="minorHAnsi"/>
          <w:i/>
          <w:sz w:val="22"/>
        </w:rPr>
        <w:t xml:space="preserve">, </w:t>
      </w:r>
      <w:r w:rsidRPr="00490ACA">
        <w:rPr>
          <w:rFonts w:asciiTheme="minorHAnsi" w:hAnsiTheme="minorHAnsi"/>
          <w:sz w:val="22"/>
        </w:rPr>
        <w:t>Canberra 2015</w:t>
      </w:r>
    </w:p>
    <w:p w14:paraId="7A08F0C3" w14:textId="44A48D6A" w:rsidR="00B80F34" w:rsidRDefault="00B80F34" w:rsidP="004818D6">
      <w:pPr>
        <w:pStyle w:val="NormalWeb"/>
        <w:ind w:left="480" w:hanging="480"/>
        <w:rPr>
          <w:rFonts w:asciiTheme="minorHAnsi" w:hAnsiTheme="minorHAnsi"/>
          <w:sz w:val="22"/>
        </w:rPr>
      </w:pPr>
      <w:r>
        <w:rPr>
          <w:rFonts w:asciiTheme="minorHAnsi" w:hAnsiTheme="minorHAnsi"/>
          <w:sz w:val="22"/>
        </w:rPr>
        <w:t xml:space="preserve">Department of Education and Training 2015b, 2014 </w:t>
      </w:r>
      <w:r w:rsidR="00AD7717">
        <w:rPr>
          <w:rFonts w:asciiTheme="minorHAnsi" w:hAnsiTheme="minorHAnsi"/>
          <w:sz w:val="22"/>
        </w:rPr>
        <w:t>‘</w:t>
      </w:r>
      <w:r w:rsidRPr="00AD7717">
        <w:rPr>
          <w:rFonts w:asciiTheme="minorHAnsi" w:hAnsiTheme="minorHAnsi"/>
          <w:sz w:val="22"/>
        </w:rPr>
        <w:t>Finance Publication</w:t>
      </w:r>
      <w:r w:rsidR="00AD7717">
        <w:rPr>
          <w:rFonts w:asciiTheme="minorHAnsi" w:hAnsiTheme="minorHAnsi"/>
          <w:sz w:val="22"/>
        </w:rPr>
        <w:t>’</w:t>
      </w:r>
      <w:r>
        <w:rPr>
          <w:rFonts w:asciiTheme="minorHAnsi" w:hAnsiTheme="minorHAnsi"/>
          <w:sz w:val="22"/>
        </w:rPr>
        <w:t xml:space="preserve">, </w:t>
      </w:r>
      <w:hyperlink r:id="rId83" w:history="1">
        <w:r w:rsidRPr="00DC044E">
          <w:rPr>
            <w:rStyle w:val="Hyperlink"/>
            <w:rFonts w:asciiTheme="minorHAnsi" w:hAnsiTheme="minorHAnsi"/>
            <w:sz w:val="22"/>
          </w:rPr>
          <w:t>https://docs.education.gov.au/node/38416</w:t>
        </w:r>
      </w:hyperlink>
      <w:r w:rsidR="00192AFC">
        <w:rPr>
          <w:rStyle w:val="Hyperlink"/>
          <w:rFonts w:asciiTheme="minorHAnsi" w:hAnsiTheme="minorHAnsi"/>
          <w:sz w:val="22"/>
        </w:rPr>
        <w:t>,</w:t>
      </w:r>
      <w:r>
        <w:rPr>
          <w:rFonts w:asciiTheme="minorHAnsi" w:hAnsiTheme="minorHAnsi"/>
          <w:sz w:val="22"/>
        </w:rPr>
        <w:t xml:space="preserve"> </w:t>
      </w:r>
      <w:r w:rsidR="00AD7717">
        <w:rPr>
          <w:rFonts w:asciiTheme="minorHAnsi" w:hAnsiTheme="minorHAnsi"/>
          <w:sz w:val="22"/>
        </w:rPr>
        <w:t xml:space="preserve">Accessed October </w:t>
      </w:r>
      <w:r>
        <w:rPr>
          <w:rFonts w:asciiTheme="minorHAnsi" w:hAnsiTheme="minorHAnsi"/>
          <w:sz w:val="22"/>
        </w:rPr>
        <w:t xml:space="preserve">2016 </w:t>
      </w:r>
    </w:p>
    <w:p w14:paraId="440969DE" w14:textId="463B7FB6" w:rsidR="000268F1" w:rsidRPr="000268F1" w:rsidRDefault="000268F1" w:rsidP="00192AFC">
      <w:pPr>
        <w:ind w:left="567" w:hanging="567"/>
        <w:rPr>
          <w:rFonts w:asciiTheme="minorHAnsi" w:eastAsiaTheme="minorEastAsia" w:hAnsiTheme="minorHAnsi"/>
          <w:szCs w:val="24"/>
          <w:lang w:eastAsia="en-AU"/>
        </w:rPr>
      </w:pPr>
      <w:r>
        <w:rPr>
          <w:rFonts w:asciiTheme="minorHAnsi" w:hAnsiTheme="minorHAnsi"/>
        </w:rPr>
        <w:t xml:space="preserve">Department of Education and Training 2016, </w:t>
      </w:r>
      <w:r w:rsidR="00AD7717" w:rsidRPr="00AD7717">
        <w:rPr>
          <w:rFonts w:asciiTheme="minorHAnsi" w:hAnsiTheme="minorHAnsi"/>
        </w:rPr>
        <w:t>‘</w:t>
      </w:r>
      <w:r w:rsidRPr="00AD7717">
        <w:rPr>
          <w:rFonts w:asciiTheme="minorHAnsi" w:hAnsiTheme="minorHAnsi"/>
        </w:rPr>
        <w:t>Staff data</w:t>
      </w:r>
      <w:r w:rsidR="00AD7717" w:rsidRPr="00AD7717">
        <w:rPr>
          <w:rFonts w:asciiTheme="minorHAnsi" w:hAnsiTheme="minorHAnsi"/>
        </w:rPr>
        <w:t>’</w:t>
      </w:r>
      <w:r>
        <w:rPr>
          <w:rFonts w:asciiTheme="minorHAnsi" w:hAnsiTheme="minorHAnsi"/>
          <w:i/>
        </w:rPr>
        <w:t>,</w:t>
      </w:r>
      <w:r w:rsidRPr="000268F1">
        <w:rPr>
          <w:rFonts w:asciiTheme="minorHAnsi" w:eastAsiaTheme="minorEastAsia" w:hAnsiTheme="minorHAnsi"/>
          <w:szCs w:val="24"/>
          <w:lang w:eastAsia="en-AU"/>
        </w:rPr>
        <w:t xml:space="preserve"> https://www.education.gov.au/selected-higher-education-statistics-2015-staff-data</w:t>
      </w:r>
      <w:r w:rsidR="00192AFC">
        <w:rPr>
          <w:rStyle w:val="Hyperlink"/>
          <w:rFonts w:asciiTheme="minorHAnsi" w:hAnsiTheme="minorHAnsi"/>
        </w:rPr>
        <w:t>,</w:t>
      </w:r>
      <w:r w:rsidR="00192AFC">
        <w:rPr>
          <w:rFonts w:asciiTheme="minorHAnsi" w:hAnsiTheme="minorHAnsi"/>
        </w:rPr>
        <w:t xml:space="preserve"> Accessed October 2016</w:t>
      </w:r>
    </w:p>
    <w:p w14:paraId="382F492F" w14:textId="77777777" w:rsidR="00B80F34" w:rsidRPr="00FE5AF6" w:rsidRDefault="00B80F34" w:rsidP="00D8727B">
      <w:pPr>
        <w:spacing w:before="240"/>
        <w:ind w:left="567" w:hanging="567"/>
        <w:jc w:val="both"/>
      </w:pPr>
      <w:r>
        <w:t xml:space="preserve">Fersht P, Filippone T, Aird C, Sappenfield D 2011, ‘The evolution of global business services: Enhancing the benefits of shared services and outsourcing’, </w:t>
      </w:r>
      <w:hyperlink r:id="rId84" w:history="1">
        <w:r w:rsidRPr="00C112BB">
          <w:rPr>
            <w:rStyle w:val="Hyperlink"/>
          </w:rPr>
          <w:t>https://www.pwc.com/us/en/outsourcing-shared-services-centers/assets/hfs-report-pwc-developing-framework-global-services.pdf</w:t>
        </w:r>
      </w:hyperlink>
      <w:r>
        <w:t>, accessed October 2016</w:t>
      </w:r>
    </w:p>
    <w:p w14:paraId="09175A42" w14:textId="6E67C5E2" w:rsidR="00B80F34" w:rsidRDefault="00B80F34" w:rsidP="00D8727B">
      <w:pPr>
        <w:spacing w:before="240"/>
        <w:ind w:left="567" w:hanging="567"/>
        <w:jc w:val="both"/>
      </w:pPr>
      <w:r>
        <w:t>HEFCE</w:t>
      </w:r>
      <w:r w:rsidR="00AD7717">
        <w:t>,</w:t>
      </w:r>
      <w:r>
        <w:t xml:space="preserve"> 2015</w:t>
      </w:r>
      <w:r w:rsidR="00AD7717">
        <w:t>,</w:t>
      </w:r>
      <w:r>
        <w:t xml:space="preserve"> ‘</w:t>
      </w:r>
      <w:r w:rsidRPr="0045469A">
        <w:t>Guide to funding 2015-16: How HEFCE allocates its funds</w:t>
      </w:r>
      <w:r>
        <w:t xml:space="preserve">’, </w:t>
      </w:r>
      <w:hyperlink r:id="rId85" w:history="1">
        <w:r w:rsidRPr="00E4435C">
          <w:rPr>
            <w:rStyle w:val="Hyperlink"/>
          </w:rPr>
          <w:t>http://www.hefce.ac.uk/media/HEFCE,2014/Content/Pubs/2015/201504/2015_04.pdf</w:t>
        </w:r>
      </w:hyperlink>
      <w:r w:rsidR="00192AFC">
        <w:rPr>
          <w:rStyle w:val="Hyperlink"/>
          <w:rFonts w:asciiTheme="minorHAnsi" w:hAnsiTheme="minorHAnsi"/>
        </w:rPr>
        <w:t>,</w:t>
      </w:r>
      <w:r w:rsidR="00192AFC">
        <w:rPr>
          <w:rFonts w:asciiTheme="minorHAnsi" w:hAnsiTheme="minorHAnsi"/>
        </w:rPr>
        <w:t xml:space="preserve"> Accessed October 2016</w:t>
      </w:r>
    </w:p>
    <w:p w14:paraId="5FEE42B5" w14:textId="1E1F63D8" w:rsidR="00B80F34" w:rsidRPr="0045469A" w:rsidRDefault="00B80F34" w:rsidP="00D8727B">
      <w:pPr>
        <w:spacing w:before="240"/>
        <w:ind w:left="567" w:hanging="567"/>
        <w:jc w:val="both"/>
      </w:pPr>
      <w:r>
        <w:t>HEFCE, 2012, ‘</w:t>
      </w:r>
      <w:r w:rsidRPr="00B80F34">
        <w:t>High cost subjects analysis using TRAC(T) data: detailed commentary</w:t>
      </w:r>
      <w:r>
        <w:t xml:space="preserve">’ </w:t>
      </w:r>
      <w:r w:rsidRPr="00B80F34">
        <w:t>http://www.hefce.ac.uk/data/Year/2012/High,cost,subjects,analysis,using,TRACT,data,detailed,commentary/Title,93106,en.html</w:t>
      </w:r>
      <w:r w:rsidR="00192AFC">
        <w:rPr>
          <w:rStyle w:val="Hyperlink"/>
          <w:rFonts w:asciiTheme="minorHAnsi" w:hAnsiTheme="minorHAnsi"/>
        </w:rPr>
        <w:t>,</w:t>
      </w:r>
      <w:r w:rsidR="00192AFC">
        <w:rPr>
          <w:rFonts w:asciiTheme="minorHAnsi" w:hAnsiTheme="minorHAnsi"/>
        </w:rPr>
        <w:t xml:space="preserve"> Accessed October 2016</w:t>
      </w:r>
    </w:p>
    <w:p w14:paraId="52820473" w14:textId="18D5143F" w:rsidR="00B80F34" w:rsidRDefault="00B80F34" w:rsidP="00D8727B">
      <w:pPr>
        <w:spacing w:before="240"/>
        <w:ind w:left="567" w:hanging="567"/>
        <w:jc w:val="both"/>
      </w:pPr>
      <w:r>
        <w:t>Higher Education Services Transformation</w:t>
      </w:r>
      <w:r w:rsidR="00AD7717">
        <w:t>,</w:t>
      </w:r>
      <w:r>
        <w:t xml:space="preserve"> 2016, </w:t>
      </w:r>
      <w:hyperlink r:id="rId86" w:history="1">
        <w:r w:rsidRPr="00C112BB">
          <w:rPr>
            <w:rStyle w:val="Hyperlink"/>
          </w:rPr>
          <w:t>http://www.highered-servicestransformation.com.au/mediacenter</w:t>
        </w:r>
      </w:hyperlink>
      <w:r>
        <w:t>, accessed October 2016</w:t>
      </w:r>
    </w:p>
    <w:p w14:paraId="60F1A2CA" w14:textId="506384B6" w:rsidR="00B80F34" w:rsidRDefault="00B80F34" w:rsidP="00B80F34">
      <w:pPr>
        <w:spacing w:before="240"/>
        <w:ind w:left="567" w:hanging="567"/>
        <w:jc w:val="both"/>
      </w:pPr>
      <w:r w:rsidRPr="00B80F34">
        <w:t>Higher Education Statistics Agency</w:t>
      </w:r>
      <w:r>
        <w:t xml:space="preserve"> (HESA), 2016, ‘TEI financial performance’, </w:t>
      </w:r>
      <w:hyperlink r:id="rId87" w:history="1">
        <w:r w:rsidR="00494353" w:rsidRPr="00B96A19">
          <w:rPr>
            <w:rStyle w:val="Hyperlink"/>
          </w:rPr>
          <w:t>http://www.tec.govt.nz/Tertiary-Sector/Performance-information/TEI-financial-performance/</w:t>
        </w:r>
      </w:hyperlink>
      <w:r w:rsidR="00AD7717">
        <w:t>, accessed September 2016</w:t>
      </w:r>
    </w:p>
    <w:p w14:paraId="14E71588" w14:textId="77777777" w:rsidR="00AD7717" w:rsidRDefault="00494353" w:rsidP="00D8727B">
      <w:pPr>
        <w:spacing w:before="240"/>
        <w:ind w:left="567" w:hanging="567"/>
        <w:jc w:val="both"/>
        <w:rPr>
          <w:shd w:val="clear" w:color="auto" w:fill="FFFFFF"/>
        </w:rPr>
      </w:pPr>
      <w:r>
        <w:rPr>
          <w:shd w:val="clear" w:color="auto" w:fill="FFFFFF"/>
        </w:rPr>
        <w:t>Horne, Jocelyn and Hu, Baiding, (2008), Estimation of cost efficiency of Australian universities,</w:t>
      </w:r>
      <w:r>
        <w:rPr>
          <w:rStyle w:val="apple-converted-space"/>
          <w:rFonts w:ascii="Courier New" w:hAnsi="Courier New" w:cs="Courier New"/>
          <w:color w:val="000000"/>
          <w:sz w:val="19"/>
          <w:szCs w:val="19"/>
          <w:shd w:val="clear" w:color="auto" w:fill="FFFFFF"/>
        </w:rPr>
        <w:t> </w:t>
      </w:r>
      <w:r>
        <w:rPr>
          <w:i/>
          <w:iCs/>
          <w:shd w:val="clear" w:color="auto" w:fill="FFFFFF"/>
        </w:rPr>
        <w:t>Mathematics and Computers in Simulation (MATCOM)</w:t>
      </w:r>
      <w:r>
        <w:rPr>
          <w:shd w:val="clear" w:color="auto" w:fill="FFFFFF"/>
        </w:rPr>
        <w:t>, 78, issue 2, p. 266-275.</w:t>
      </w:r>
    </w:p>
    <w:p w14:paraId="30FF189E" w14:textId="0031CCF7" w:rsidR="00B80F34" w:rsidRDefault="00B80F34" w:rsidP="00D8727B">
      <w:pPr>
        <w:spacing w:before="240"/>
        <w:ind w:left="567" w:hanging="567"/>
        <w:jc w:val="both"/>
      </w:pPr>
      <w:r>
        <w:t>IBISWorld 2016, ‘IBISWorld Industry Report P8101: Technical and vocational education and training in Australia’</w:t>
      </w:r>
    </w:p>
    <w:p w14:paraId="45603B31" w14:textId="28FEB412" w:rsidR="00B80F34" w:rsidRPr="006E2C30" w:rsidRDefault="00B80F34" w:rsidP="004818D6">
      <w:pPr>
        <w:spacing w:before="240"/>
        <w:ind w:left="567" w:hanging="567"/>
        <w:jc w:val="both"/>
      </w:pPr>
      <w:r w:rsidRPr="006E2C30">
        <w:t xml:space="preserve">Johnes G and Johnes J 1993, </w:t>
      </w:r>
      <w:r w:rsidR="00192AFC">
        <w:t>‘</w:t>
      </w:r>
      <w:r w:rsidRPr="006E2C30">
        <w:t>Measuring the research performance of UK economics departments: an application of data envelopment analysis</w:t>
      </w:r>
      <w:r w:rsidR="00192AFC">
        <w:t>’</w:t>
      </w:r>
      <w:r w:rsidRPr="006E2C30">
        <w:t xml:space="preserve">, </w:t>
      </w:r>
      <w:r w:rsidRPr="006E2C30">
        <w:rPr>
          <w:i/>
        </w:rPr>
        <w:t>Oxford Economics papers</w:t>
      </w:r>
      <w:r w:rsidRPr="006E2C30">
        <w:t xml:space="preserve">, 332-347 </w:t>
      </w:r>
    </w:p>
    <w:p w14:paraId="17CB9FD2" w14:textId="77777777" w:rsidR="00B80F34" w:rsidRPr="006E2C30" w:rsidRDefault="00B80F34" w:rsidP="004818D6">
      <w:pPr>
        <w:spacing w:before="240"/>
        <w:ind w:left="567" w:hanging="567"/>
        <w:jc w:val="both"/>
      </w:pPr>
      <w:r w:rsidRPr="006E2C30">
        <w:t xml:space="preserve">Johnes G, Johnes J, and Thanassoulis E 2008, An analysis of cost in institutions of higher education in England, </w:t>
      </w:r>
      <w:r w:rsidRPr="006E2C30">
        <w:rPr>
          <w:i/>
        </w:rPr>
        <w:t>Studies in Higher Education</w:t>
      </w:r>
      <w:r w:rsidRPr="006E2C30">
        <w:t>, 33(5), 527-549</w:t>
      </w:r>
    </w:p>
    <w:p w14:paraId="79BEE6AB" w14:textId="243FF50C" w:rsidR="00B80F34" w:rsidRPr="006E2C30" w:rsidRDefault="00B80F34" w:rsidP="004818D6">
      <w:pPr>
        <w:spacing w:before="240"/>
        <w:ind w:left="567" w:hanging="567"/>
        <w:jc w:val="both"/>
      </w:pPr>
      <w:r w:rsidRPr="006E2C30">
        <w:t xml:space="preserve">Johnes J 2006, </w:t>
      </w:r>
      <w:r w:rsidR="00192AFC">
        <w:t>‘</w:t>
      </w:r>
      <w:r w:rsidRPr="006E2C30">
        <w:t>Data envelopment analysis and its application to the measurement of efficiency in higher education</w:t>
      </w:r>
      <w:r w:rsidR="00192AFC">
        <w:t>’</w:t>
      </w:r>
      <w:r w:rsidRPr="006E2C30">
        <w:t>, Economics of Education Review, 25(3), 273-288</w:t>
      </w:r>
    </w:p>
    <w:p w14:paraId="2BA434D8" w14:textId="7E6B2FC2" w:rsidR="00B80F34" w:rsidRPr="006E2C30" w:rsidRDefault="00B80F34" w:rsidP="004818D6">
      <w:pPr>
        <w:spacing w:before="240"/>
        <w:ind w:left="567" w:hanging="567"/>
        <w:jc w:val="both"/>
      </w:pPr>
      <w:r w:rsidRPr="006E2C30">
        <w:lastRenderedPageBreak/>
        <w:t xml:space="preserve">Johnes J and Johnes G 2013, </w:t>
      </w:r>
      <w:r w:rsidR="00192AFC">
        <w:t>‘</w:t>
      </w:r>
      <w:r w:rsidRPr="006E2C30">
        <w:t>Efficiency in the higher education sector: A technical exploration</w:t>
      </w:r>
      <w:r w:rsidR="00192AFC">
        <w:t>’</w:t>
      </w:r>
      <w:r w:rsidRPr="006E2C30">
        <w:t>, BIS Research Paper No. 113, Department for Business Innovation and Skills</w:t>
      </w:r>
    </w:p>
    <w:p w14:paraId="558C0CB9" w14:textId="4F34B4E0" w:rsidR="00B80F34" w:rsidRPr="006E2C30" w:rsidRDefault="00B80F34" w:rsidP="004818D6">
      <w:pPr>
        <w:spacing w:before="240"/>
        <w:ind w:left="567" w:hanging="567"/>
        <w:jc w:val="both"/>
        <w:rPr>
          <w:i/>
        </w:rPr>
      </w:pPr>
      <w:r w:rsidRPr="006E2C30">
        <w:t xml:space="preserve">Johnes J and Taylor J 1991,  </w:t>
      </w:r>
      <w:r w:rsidR="00192AFC">
        <w:t>‘</w:t>
      </w:r>
      <w:r w:rsidRPr="006E2C30">
        <w:t>Non-completion of a degree course and its effect on the subsequent experience of non-completers in the labour market</w:t>
      </w:r>
      <w:r w:rsidR="00192AFC">
        <w:t>’</w:t>
      </w:r>
      <w:r w:rsidRPr="006E2C30">
        <w:t xml:space="preserve">, </w:t>
      </w:r>
      <w:r w:rsidRPr="006E2C30">
        <w:rPr>
          <w:i/>
        </w:rPr>
        <w:t>Studies in Higher Education</w:t>
      </w:r>
      <w:r w:rsidRPr="006E2C30">
        <w:t>, 16(1), 73-81</w:t>
      </w:r>
    </w:p>
    <w:p w14:paraId="78D0EF45" w14:textId="1AF3BAB3" w:rsidR="00B80F34" w:rsidRPr="006E2C30" w:rsidRDefault="00B80F34" w:rsidP="004818D6">
      <w:pPr>
        <w:spacing w:before="240"/>
        <w:ind w:left="567" w:hanging="567"/>
        <w:jc w:val="both"/>
      </w:pPr>
      <w:r w:rsidRPr="006E2C30">
        <w:t xml:space="preserve">Lomax-Smith J, Watson L and Webster B 2011, </w:t>
      </w:r>
      <w:r w:rsidR="00192AFC">
        <w:t>‘</w:t>
      </w:r>
      <w:r w:rsidRPr="006E2C30">
        <w:t>Higher Education Base Funding Review: Final Report</w:t>
      </w:r>
      <w:r w:rsidR="00192AFC">
        <w:t>’</w:t>
      </w:r>
      <w:r w:rsidRPr="006E2C30">
        <w:t>, Department of Education, Employment and Workplace Relations</w:t>
      </w:r>
    </w:p>
    <w:p w14:paraId="027810A6" w14:textId="53279F8E" w:rsidR="00870DFD" w:rsidRDefault="00870DFD" w:rsidP="00870DFD">
      <w:pPr>
        <w:spacing w:before="240"/>
        <w:ind w:left="567" w:hanging="567"/>
        <w:jc w:val="both"/>
      </w:pPr>
      <w:r>
        <w:t xml:space="preserve">Marshman I, Larkins F 2016, </w:t>
      </w:r>
      <w:r w:rsidR="00192AFC">
        <w:t>‘</w:t>
      </w:r>
      <w:r>
        <w:t xml:space="preserve">Financial Health of Australian Universities, </w:t>
      </w:r>
      <w:r w:rsidR="00192AFC">
        <w:t>‘</w:t>
      </w:r>
      <w:r>
        <w:t>LH Martin Institute for Tertiary Education Leadership and Management</w:t>
      </w:r>
    </w:p>
    <w:p w14:paraId="5323570B" w14:textId="77777777" w:rsidR="00B80F34" w:rsidRPr="00B673FC" w:rsidRDefault="00B80F34" w:rsidP="00D8727B">
      <w:pPr>
        <w:spacing w:before="240"/>
        <w:ind w:left="567" w:hanging="567"/>
        <w:jc w:val="both"/>
        <w:rPr>
          <w:i/>
        </w:rPr>
      </w:pPr>
      <w:r>
        <w:t xml:space="preserve">McBride L, Fitzgerald C, Morrison L, Hulcombe J 2015, ‘Pre-entry student clinical placement demand: can it be met?’ </w:t>
      </w:r>
      <w:r w:rsidRPr="00B673FC">
        <w:rPr>
          <w:i/>
        </w:rPr>
        <w:t>Australian Health Review 39(5) 577-581</w:t>
      </w:r>
    </w:p>
    <w:p w14:paraId="0DCF1752" w14:textId="595D4AB2" w:rsidR="00B80F34" w:rsidRPr="006E2C30" w:rsidRDefault="00B80F34" w:rsidP="004818D6">
      <w:pPr>
        <w:spacing w:before="240"/>
        <w:ind w:left="567" w:hanging="567"/>
        <w:jc w:val="both"/>
      </w:pPr>
      <w:r w:rsidRPr="006E2C30">
        <w:t xml:space="preserve">Norton A and Cherastidtham I 2015, </w:t>
      </w:r>
      <w:r w:rsidR="00192AFC">
        <w:t>‘</w:t>
      </w:r>
      <w:r w:rsidRPr="006E2C30">
        <w:t>The cash nexus: How teaching funds research in Australian universities</w:t>
      </w:r>
      <w:r w:rsidR="00192AFC">
        <w:t>’</w:t>
      </w:r>
      <w:r w:rsidRPr="006E2C30">
        <w:t>, Grattan Institute</w:t>
      </w:r>
    </w:p>
    <w:p w14:paraId="5CBE527E" w14:textId="77777777" w:rsidR="00B80F34" w:rsidRDefault="00B80F34" w:rsidP="00D8727B">
      <w:pPr>
        <w:spacing w:before="240"/>
        <w:ind w:left="567" w:hanging="567"/>
        <w:jc w:val="both"/>
      </w:pPr>
      <w:r>
        <w:t>Norton A, Cakitaki B 2016, ‘ Mapping Australian higher education 2016’, Grattan Institute</w:t>
      </w:r>
    </w:p>
    <w:p w14:paraId="0C6FA456" w14:textId="237025F4" w:rsidR="00B80F34" w:rsidRPr="006E2C30" w:rsidRDefault="00B80F34" w:rsidP="004818D6">
      <w:pPr>
        <w:spacing w:before="240"/>
        <w:ind w:left="567" w:hanging="567"/>
        <w:jc w:val="both"/>
      </w:pPr>
      <w:r w:rsidRPr="006E2C30">
        <w:t xml:space="preserve">Pastor JT, Ruiz JL and Sirvent I 2002, </w:t>
      </w:r>
      <w:r w:rsidR="00192AFC">
        <w:t>‘</w:t>
      </w:r>
      <w:r w:rsidRPr="006E2C30">
        <w:t>A statistical test for nested radial DEA models</w:t>
      </w:r>
      <w:r w:rsidR="00192AFC">
        <w:t>’</w:t>
      </w:r>
      <w:r w:rsidRPr="006E2C30">
        <w:t xml:space="preserve">, </w:t>
      </w:r>
      <w:r w:rsidRPr="006E2C30">
        <w:rPr>
          <w:i/>
        </w:rPr>
        <w:t>Operations Research</w:t>
      </w:r>
      <w:r w:rsidRPr="006E2C30">
        <w:t>, 50(4), 728-735</w:t>
      </w:r>
    </w:p>
    <w:p w14:paraId="320034AF" w14:textId="77777777" w:rsidR="00B80F34" w:rsidRPr="00B80F34" w:rsidRDefault="00B80F34" w:rsidP="00B80F34">
      <w:pPr>
        <w:spacing w:before="240"/>
        <w:ind w:left="567" w:hanging="567"/>
        <w:jc w:val="both"/>
      </w:pPr>
      <w:r w:rsidRPr="00B80F34">
        <w:t>Tertiary Education Commission</w:t>
      </w:r>
      <w:r>
        <w:t xml:space="preserve"> (TEC)</w:t>
      </w:r>
      <w:r w:rsidRPr="00B80F34">
        <w:t xml:space="preserve">, </w:t>
      </w:r>
      <w:r>
        <w:t xml:space="preserve">2016, ‘Finance data’, </w:t>
      </w:r>
      <w:r w:rsidRPr="00B80F34">
        <w:t>https://www.hesa.ac.uk/data-and-analysis/publications/finances-2014-15/introduction</w:t>
      </w:r>
    </w:p>
    <w:p w14:paraId="4CF1F551" w14:textId="50E8866F" w:rsidR="00B80F34" w:rsidRPr="006E2C30" w:rsidRDefault="00B80F34" w:rsidP="004818D6">
      <w:pPr>
        <w:spacing w:before="240"/>
        <w:ind w:left="567" w:hanging="567"/>
        <w:jc w:val="both"/>
      </w:pPr>
      <w:r w:rsidRPr="006E2C30">
        <w:t xml:space="preserve">Thanassoulis E, Kortelainen M, Johnes G, Johnes J 2011, </w:t>
      </w:r>
      <w:r w:rsidR="00192AFC">
        <w:t>‘</w:t>
      </w:r>
      <w:r w:rsidRPr="006E2C30">
        <w:t>Costs and efficiency of higher education institutions in England: A DEA analysis</w:t>
      </w:r>
      <w:r w:rsidR="00192AFC">
        <w:t>’</w:t>
      </w:r>
      <w:r w:rsidRPr="006E2C30">
        <w:t xml:space="preserve">, </w:t>
      </w:r>
      <w:r w:rsidRPr="006E2C30">
        <w:rPr>
          <w:i/>
        </w:rPr>
        <w:t>Journal of the Operational Research Society</w:t>
      </w:r>
      <w:r w:rsidRPr="006E2C30">
        <w:t>, 62(7), 1282-1297</w:t>
      </w:r>
    </w:p>
    <w:p w14:paraId="795CF2CC" w14:textId="77777777" w:rsidR="00B80F34" w:rsidRDefault="00B80F34" w:rsidP="00D8727B">
      <w:pPr>
        <w:spacing w:before="240"/>
        <w:ind w:left="567" w:hanging="567"/>
        <w:jc w:val="both"/>
      </w:pPr>
      <w:r>
        <w:t xml:space="preserve">The Australian 2016, ‘Activity-based costing could solve uni funding conundrum’, </w:t>
      </w:r>
      <w:hyperlink r:id="rId88" w:history="1">
        <w:r w:rsidRPr="00114853">
          <w:rPr>
            <w:rStyle w:val="Hyperlink"/>
          </w:rPr>
          <w:t>http://www.theaustralian.com.au/higher-education/activitybased-costing-could-solve-uni-funding-conundrum/news-story/49997e000a5c90b6b32a3d9cbbd15064</w:t>
        </w:r>
      </w:hyperlink>
      <w:r>
        <w:t>, accessed October 2016.</w:t>
      </w:r>
    </w:p>
    <w:p w14:paraId="7DDB7C29" w14:textId="77777777" w:rsidR="00B80F34" w:rsidRPr="006E2C30" w:rsidRDefault="00B80F34" w:rsidP="004818D6">
      <w:pPr>
        <w:spacing w:before="240"/>
        <w:ind w:left="567" w:hanging="567"/>
        <w:jc w:val="both"/>
      </w:pPr>
      <w:r w:rsidRPr="006E2C30">
        <w:t xml:space="preserve">Tomkins C and Green R 1988, An Experiment in the use of data envelopment analysis for evaluating the efficiency of UK university departments of accounting, </w:t>
      </w:r>
      <w:r w:rsidRPr="006E2C30">
        <w:rPr>
          <w:i/>
        </w:rPr>
        <w:t>Financial Accountability &amp; Management</w:t>
      </w:r>
      <w:r w:rsidRPr="006E2C30">
        <w:t xml:space="preserve">, 4(2), 147-164 </w:t>
      </w:r>
    </w:p>
    <w:p w14:paraId="68371B11" w14:textId="77777777" w:rsidR="00B80F34" w:rsidRDefault="00B80F34" w:rsidP="00D8727B">
      <w:pPr>
        <w:spacing w:before="240"/>
        <w:ind w:left="567" w:hanging="567"/>
        <w:jc w:val="both"/>
      </w:pPr>
      <w:r>
        <w:t>Victorian Clinical Training Council 2013, ‘Standardised schedule of fees for clinical placement of students in Victorian Public Health Services’</w:t>
      </w:r>
    </w:p>
    <w:p w14:paraId="251643DA" w14:textId="77777777" w:rsidR="00B80F34" w:rsidRDefault="00B80F34" w:rsidP="00D8727B">
      <w:pPr>
        <w:spacing w:before="240"/>
        <w:ind w:left="567" w:hanging="567"/>
        <w:jc w:val="both"/>
        <w:rPr>
          <w:rStyle w:val="Hyperlink"/>
        </w:rPr>
      </w:pPr>
      <w:r>
        <w:t xml:space="preserve">Victorian Public Sector Commission 2015, ‘Organisational design’, </w:t>
      </w:r>
      <w:r w:rsidRPr="00114853">
        <w:rPr>
          <w:rStyle w:val="Hyperlink"/>
        </w:rPr>
        <w:t>http://vpsc.vic.gov.au/html-resources/organisational-design/centralisation-versus-decentralisation/</w:t>
      </w:r>
      <w:r>
        <w:rPr>
          <w:rStyle w:val="Hyperlink"/>
        </w:rPr>
        <w:t>, accessed October 2016</w:t>
      </w:r>
    </w:p>
    <w:p w14:paraId="45DA075E" w14:textId="77D1F74B" w:rsidR="00B80F34" w:rsidRDefault="00B80F34" w:rsidP="0089263F">
      <w:pPr>
        <w:spacing w:before="240"/>
        <w:ind w:left="567" w:hanging="567"/>
        <w:jc w:val="both"/>
      </w:pPr>
      <w:r w:rsidRPr="006E2C30">
        <w:t xml:space="preserve">Worthington AC and Higgs H 2011, Economies of scale and scope in Australian higher education 1998-2006, </w:t>
      </w:r>
      <w:r w:rsidRPr="006E2C30">
        <w:rPr>
          <w:i/>
        </w:rPr>
        <w:t>Higher Education</w:t>
      </w:r>
      <w:r w:rsidRPr="006E2C30">
        <w:t>, 61(4), 387-414</w:t>
      </w:r>
    </w:p>
    <w:p w14:paraId="58596CD3" w14:textId="77777777" w:rsidR="00BB3CC5" w:rsidRDefault="00BB3CC5" w:rsidP="00F7176E">
      <w:pPr>
        <w:pStyle w:val="Appendix"/>
      </w:pPr>
      <w:bookmarkStart w:id="332" w:name="_Toc215906321"/>
      <w:bookmarkStart w:id="333" w:name="_Toc227746678"/>
      <w:bookmarkStart w:id="334" w:name="_Toc227746682"/>
      <w:bookmarkStart w:id="335" w:name="_Toc227746686"/>
      <w:bookmarkStart w:id="336" w:name="_Toc227746690"/>
      <w:bookmarkStart w:id="337" w:name="_Toc227748312"/>
      <w:bookmarkStart w:id="338" w:name="_Toc227748330"/>
      <w:bookmarkStart w:id="339" w:name="_Toc227748334"/>
      <w:bookmarkStart w:id="340" w:name="_Toc227748338"/>
      <w:bookmarkStart w:id="341" w:name="_Toc227748377"/>
      <w:bookmarkStart w:id="342" w:name="_Toc227748381"/>
      <w:bookmarkStart w:id="343" w:name="_Toc227748385"/>
      <w:bookmarkStart w:id="344" w:name="_Toc227748497"/>
      <w:bookmarkStart w:id="345" w:name="_Toc227748501"/>
      <w:bookmarkStart w:id="346" w:name="_Toc228005208"/>
      <w:bookmarkStart w:id="347" w:name="_Toc228092499"/>
      <w:bookmarkStart w:id="348" w:name="_Toc228264954"/>
      <w:bookmarkStart w:id="349" w:name="_Toc228264976"/>
      <w:bookmarkStart w:id="350" w:name="_Toc228264980"/>
      <w:bookmarkStart w:id="351" w:name="_Toc228264984"/>
      <w:bookmarkStart w:id="352" w:name="_Toc228264988"/>
      <w:bookmarkStart w:id="353" w:name="_Toc228265218"/>
      <w:bookmarkStart w:id="354" w:name="_Toc288198027"/>
      <w:bookmarkStart w:id="355" w:name="_Ref466492607"/>
      <w:bookmarkStart w:id="356" w:name="_Toc469927339"/>
      <w:bookmarkStart w:id="357" w:name="_Toc288029464"/>
      <w:bookmarkStart w:id="358" w:name="_Toc288198028"/>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r>
        <w:lastRenderedPageBreak/>
        <w:t>: Approaches to analysing reasonable costs</w:t>
      </w:r>
      <w:bookmarkEnd w:id="355"/>
      <w:bookmarkEnd w:id="356"/>
    </w:p>
    <w:p w14:paraId="79B0C605" w14:textId="77777777" w:rsidR="00BB3CC5" w:rsidRDefault="00BB3CC5" w:rsidP="00BB3CC5">
      <w:pPr>
        <w:pStyle w:val="HeadingA"/>
      </w:pPr>
      <w:bookmarkStart w:id="359" w:name="_Toc469927340"/>
      <w:r>
        <w:t>Previous approaches in the literature</w:t>
      </w:r>
      <w:bookmarkEnd w:id="359"/>
    </w:p>
    <w:p w14:paraId="0DA9B930" w14:textId="77777777" w:rsidR="00155487" w:rsidRDefault="00155487" w:rsidP="00155487">
      <w:pPr>
        <w:pStyle w:val="BodyText"/>
      </w:pPr>
      <w:r>
        <w:t xml:space="preserve">An extensive body of empirical academic literature has sought to estimate the underlying costs and efficiencies of universities, recognising the varying complexities of funding inputs, institutional characteristics and measures of outcomes that are present. </w:t>
      </w:r>
    </w:p>
    <w:p w14:paraId="43321438" w14:textId="77777777" w:rsidR="00155487" w:rsidRDefault="00155487" w:rsidP="00155487">
      <w:pPr>
        <w:pStyle w:val="BodyText"/>
      </w:pPr>
      <w:r>
        <w:t xml:space="preserve">The methodologies in the literature typically involve either (1) estimating parametric cost functions using standard econometric methods that focus on economies of scale and scope, and the fixed effects of other observable characteristics; or (2) using parametric or </w:t>
      </w:r>
      <w:r w:rsidR="00B80952">
        <w:br/>
      </w:r>
      <w:r>
        <w:t xml:space="preserve">non-parametric efficiency benchmarking methods (i.e. productive frontier analysis), such as data envelopment analysis (DEA) or stochastic frontier analysis (SFA), to reveal the frontier of efficient costs. </w:t>
      </w:r>
    </w:p>
    <w:p w14:paraId="733E8181" w14:textId="77777777" w:rsidR="009B2DA7" w:rsidRDefault="009B2DA7" w:rsidP="00155487">
      <w:pPr>
        <w:pStyle w:val="BodyText"/>
      </w:pPr>
      <w:r>
        <w:t xml:space="preserve">Most existing studies of the relative efficiency of the university sector have used either SFA or DEA methods depending on the available data </w:t>
      </w:r>
      <w:r w:rsidR="008423C8">
        <w:t>and</w:t>
      </w:r>
      <w:r>
        <w:t xml:space="preserve"> the research question of interest. </w:t>
      </w:r>
    </w:p>
    <w:p w14:paraId="3FFB37E9" w14:textId="4D08E5A4" w:rsidR="00155487" w:rsidRDefault="00155487" w:rsidP="00155487">
      <w:pPr>
        <w:pStyle w:val="BodyText"/>
      </w:pPr>
      <w:r>
        <w:t xml:space="preserve">DEA is a non-parametric non-statistical method for assessing the efficiency of decision making units – universities in this case. The method involves the use of linear programming methods to construct a surface (or frontier) over the data.  It can be used to construct either a production possibility frontier, showing the maximum that can be produced for given inputs; or a cost frontier, showing the minimum inputs used to produce a given amount of the outputs.  The method is non-parametric – it does not require assumptions about the functional form of the production function for </w:t>
      </w:r>
      <w:r w:rsidR="00995626">
        <w:t>teaching and scholarship</w:t>
      </w:r>
      <w:r>
        <w:t xml:space="preserve"> at universities.  The extent to which a university is not on the frontier is represented by an efficiency score.</w:t>
      </w:r>
    </w:p>
    <w:p w14:paraId="239CBDD6" w14:textId="77777777" w:rsidR="00155487" w:rsidRDefault="00155487" w:rsidP="00155487">
      <w:pPr>
        <w:pStyle w:val="BodyText"/>
      </w:pPr>
      <w:r>
        <w:t xml:space="preserve">DEA models are used extensively in the academic literature to account for the significant strategic heterogeneity across university institutions. These methods capture multiple inputs and (importantly) multiple outputs to moderate and account for the different institutional missions, strategic decisions and comparative strengths of university institutions. Notable international studies that utilise these methods include Johnes (2006), Pastor et al. (2002) and Charnes et al. (1981). It also does not require specific assumptions about the behaviour of universities, such as cost minimisation or profit maximisation – it simply finds the best performing of the universities in the sample and compares other universities to those. </w:t>
      </w:r>
    </w:p>
    <w:p w14:paraId="4F2B8C90" w14:textId="6F0FB39C" w:rsidR="00155487" w:rsidRDefault="00155487" w:rsidP="00155487">
      <w:pPr>
        <w:pStyle w:val="BodyText"/>
      </w:pPr>
      <w:r>
        <w:t xml:space="preserve">By comparing inputs and outputs across universities, DEA can reveal cases where, based on the performance of other universities, a university could potentially achieve the same outcomes with fewer inputs or better outcomes with existing inputs. This can provide a measure of the efficient costs of achieving specified </w:t>
      </w:r>
      <w:r w:rsidR="00995626">
        <w:t>teaching and scholarship</w:t>
      </w:r>
      <w:r>
        <w:t xml:space="preserve"> quality targets.</w:t>
      </w:r>
    </w:p>
    <w:p w14:paraId="54BC57A3" w14:textId="77777777" w:rsidR="00494353" w:rsidRDefault="00155487" w:rsidP="00155487">
      <w:pPr>
        <w:pStyle w:val="BodyText"/>
      </w:pPr>
      <w:r>
        <w:lastRenderedPageBreak/>
        <w:t xml:space="preserve">The main disadvantage of DEA, and where it differs from other approaches such as SFA or the quantile regression, is that it does not allow for noise (randomness) in the data – so any randomness in the behaviour of universities may be assigned to the efficiency score – and </w:t>
      </w:r>
      <w:r w:rsidR="00494353">
        <w:t xml:space="preserve">it does not allow for </w:t>
      </w:r>
      <w:r>
        <w:t>straightforward statistical inferences.</w:t>
      </w:r>
      <w:r w:rsidR="008423C8">
        <w:rPr>
          <w:rStyle w:val="FootnoteReference"/>
        </w:rPr>
        <w:footnoteReference w:id="35"/>
      </w:r>
      <w:r w:rsidR="00494353">
        <w:t xml:space="preserve"> </w:t>
      </w:r>
    </w:p>
    <w:p w14:paraId="587AF48F" w14:textId="77777777" w:rsidR="009B2DA7" w:rsidRDefault="008423C8" w:rsidP="00155487">
      <w:pPr>
        <w:pStyle w:val="BodyText"/>
      </w:pPr>
      <w:r>
        <w:t xml:space="preserve">While the analysis in this report is based on OLS, quantile regressions and SFA; the following section provides some results based on some exploratory analysis using DEA on the data collected for this study. </w:t>
      </w:r>
    </w:p>
    <w:p w14:paraId="5B968ADC" w14:textId="77777777" w:rsidR="00BB3CC5" w:rsidRDefault="008723A0" w:rsidP="00BB3CC5">
      <w:pPr>
        <w:pStyle w:val="HeadingA"/>
      </w:pPr>
      <w:bookmarkStart w:id="360" w:name="_Toc469927341"/>
      <w:r>
        <w:t xml:space="preserve">Exploratory analysis </w:t>
      </w:r>
      <w:r w:rsidR="00BB3CC5">
        <w:t>using DEA</w:t>
      </w:r>
      <w:bookmarkEnd w:id="360"/>
    </w:p>
    <w:p w14:paraId="3959F7F6" w14:textId="1C1E32FD" w:rsidR="008723A0" w:rsidRPr="004E467C" w:rsidRDefault="009B2DA7" w:rsidP="009B2DA7">
      <w:pPr>
        <w:pStyle w:val="BodyText"/>
      </w:pPr>
      <w:r w:rsidRPr="008723A0">
        <w:t>Unlike in many other production settings, the outputs from higher education institutions are not explicitly defined – outputs include student numbers</w:t>
      </w:r>
      <w:r w:rsidR="008723A0" w:rsidRPr="004E467C">
        <w:t>, learning outcomes</w:t>
      </w:r>
      <w:r w:rsidRPr="00E410D2">
        <w:t xml:space="preserve"> and research output, but how these are defined and how quality is taken into account </w:t>
      </w:r>
      <w:r w:rsidRPr="008723A0">
        <w:t>is</w:t>
      </w:r>
      <w:r w:rsidR="003A3FBC">
        <w:t xml:space="preserve"> subject to debate.  See Thanass</w:t>
      </w:r>
      <w:bookmarkStart w:id="361" w:name="_GoBack"/>
      <w:bookmarkEnd w:id="361"/>
      <w:r w:rsidRPr="008723A0">
        <w:t>oulis et al. (2011) for discussion.</w:t>
      </w:r>
    </w:p>
    <w:p w14:paraId="4B8A5821" w14:textId="77777777" w:rsidR="009B2DA7" w:rsidRPr="00E410D2" w:rsidRDefault="008723A0" w:rsidP="009B2DA7">
      <w:pPr>
        <w:pStyle w:val="BodyText"/>
      </w:pPr>
      <w:r w:rsidRPr="004E467C">
        <w:t xml:space="preserve">Some exploratory analysis using DEA was undertaken for this project </w:t>
      </w:r>
      <w:r w:rsidR="009B2DA7" w:rsidRPr="00E410D2">
        <w:t xml:space="preserve">using total EFTSL and the </w:t>
      </w:r>
      <w:r w:rsidR="009B2DA7" w:rsidRPr="008723A0">
        <w:t>Student Experience Survey Course Experience Questionnaire (SESCEQ) score as proxies of outputs in visualising our DEA analysis.</w:t>
      </w:r>
      <w:r w:rsidR="00955080">
        <w:t xml:space="preserve"> The objective of this exploratory analysis is not to provide any definitive results to inform reasonable cost but rather to demonstrate the potential applicability to considering issues of reasonable cost for universities. </w:t>
      </w:r>
    </w:p>
    <w:p w14:paraId="1563D9EF" w14:textId="30CA400B" w:rsidR="009B2DA7" w:rsidRPr="008723A0" w:rsidRDefault="008723A0" w:rsidP="009B2DA7">
      <w:pPr>
        <w:pStyle w:val="BodyText"/>
      </w:pPr>
      <w:r>
        <w:t xml:space="preserve">Using results for students studying at the </w:t>
      </w:r>
      <w:r w:rsidR="009F6F84">
        <w:t>b</w:t>
      </w:r>
      <w:r w:rsidR="009B2DA7" w:rsidRPr="00E410D2">
        <w:t xml:space="preserve">achelor level, </w:t>
      </w:r>
      <w:r w:rsidRPr="004E467C">
        <w:t>the</w:t>
      </w:r>
      <w:r w:rsidR="009B2DA7" w:rsidRPr="00E410D2">
        <w:t xml:space="preserve"> initial</w:t>
      </w:r>
      <w:r w:rsidR="009B2DA7" w:rsidRPr="008723A0">
        <w:t xml:space="preserve"> DEA model uses log of Total Cost as the single input and log of total EFTSL as the single output.  The input variables in the analysis should be discretionary variable</w:t>
      </w:r>
      <w:r w:rsidR="00B80952">
        <w:t>s</w:t>
      </w:r>
      <w:r w:rsidR="009B2DA7" w:rsidRPr="008723A0">
        <w:t xml:space="preserve"> for the university, so separate DEAs are run for each field.  The DEAs allow variable returns to scale.</w:t>
      </w:r>
      <w:r w:rsidR="001151D4">
        <w:t xml:space="preserve"> </w:t>
      </w:r>
      <w:r w:rsidR="001F1C46">
        <w:fldChar w:fldCharType="begin"/>
      </w:r>
      <w:r w:rsidR="001F1C46">
        <w:instrText xml:space="preserve"> REF _Ref467082117 \r \h </w:instrText>
      </w:r>
      <w:r w:rsidR="001F1C46">
        <w:fldChar w:fldCharType="separate"/>
      </w:r>
      <w:r w:rsidR="00595C6E">
        <w:t>Chart A.1</w:t>
      </w:r>
      <w:r w:rsidR="001F1C46">
        <w:fldChar w:fldCharType="end"/>
      </w:r>
      <w:r w:rsidR="002C497A">
        <w:t xml:space="preserve"> </w:t>
      </w:r>
      <w:r w:rsidR="009B2DA7" w:rsidRPr="008723A0">
        <w:t xml:space="preserve">below shows the fitted frontier for each FOE along with the scatter points for each university. It can be seen that most observations are relatively close to the frontier – all of the DEA efficiency scores, which reflect the distance between the points and the frontier, exceed 0.9. </w:t>
      </w:r>
    </w:p>
    <w:p w14:paraId="32AC678A" w14:textId="77777777" w:rsidR="009B2DA7" w:rsidRPr="001151D4" w:rsidRDefault="009B2DA7" w:rsidP="004E467C">
      <w:pPr>
        <w:pStyle w:val="AppendixChartCaption"/>
      </w:pPr>
      <w:bookmarkStart w:id="362" w:name="_Ref467082117"/>
      <w:bookmarkStart w:id="363" w:name="_Toc469927389"/>
      <w:r w:rsidRPr="001151D4">
        <w:lastRenderedPageBreak/>
        <w:t>: DEA result visualisation by field, benchmark model</w:t>
      </w:r>
      <w:bookmarkEnd w:id="362"/>
      <w:bookmarkEnd w:id="363"/>
    </w:p>
    <w:p w14:paraId="1B0CD813" w14:textId="77777777" w:rsidR="009B2DA7" w:rsidRPr="004E467C" w:rsidRDefault="00A34C16" w:rsidP="009B2DA7">
      <w:pPr>
        <w:pStyle w:val="BodyText"/>
        <w:rPr>
          <w:highlight w:val="yellow"/>
        </w:rPr>
      </w:pPr>
      <w:r>
        <w:rPr>
          <w:noProof/>
          <w:lang w:eastAsia="en-AU"/>
        </w:rPr>
        <w:drawing>
          <wp:inline distT="0" distB="0" distL="0" distR="0" wp14:anchorId="6B543AA2" wp14:editId="27E34B4E">
            <wp:extent cx="5220335" cy="6965315"/>
            <wp:effectExtent l="0" t="0" r="0" b="6985"/>
            <wp:docPr id="391" name="Picture 391" descr="Set of DEA results, by F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220335" cy="6965315"/>
                    </a:xfrm>
                    <a:prstGeom prst="rect">
                      <a:avLst/>
                    </a:prstGeom>
                  </pic:spPr>
                </pic:pic>
              </a:graphicData>
            </a:graphic>
          </wp:inline>
        </w:drawing>
      </w:r>
    </w:p>
    <w:p w14:paraId="56CA1A8E" w14:textId="62D69503" w:rsidR="00A6192C" w:rsidRDefault="009B2DA7" w:rsidP="009B2DA7">
      <w:pPr>
        <w:pStyle w:val="BodyText"/>
      </w:pPr>
      <w:r w:rsidRPr="00E410D2">
        <w:t xml:space="preserve">Next, SESCEQ </w:t>
      </w:r>
      <w:r w:rsidRPr="001151D4">
        <w:t xml:space="preserve">is included as </w:t>
      </w:r>
      <w:r w:rsidR="001151D4">
        <w:t>the</w:t>
      </w:r>
      <w:r w:rsidRPr="00E410D2">
        <w:t xml:space="preserve"> output variable</w:t>
      </w:r>
      <w:r w:rsidRPr="001151D4">
        <w:t>.  To be consistent with the OLS, quantile and SFA models, the input variable is log of total cost per EFTSL.</w:t>
      </w:r>
      <w:r w:rsidRPr="001151D4">
        <w:rPr>
          <w:rStyle w:val="FootnoteReference"/>
        </w:rPr>
        <w:footnoteReference w:id="36"/>
      </w:r>
      <w:r w:rsidR="001151D4">
        <w:t xml:space="preserve"> </w:t>
      </w:r>
      <w:r w:rsidR="001F1C46">
        <w:fldChar w:fldCharType="begin"/>
      </w:r>
      <w:r w:rsidR="001F1C46">
        <w:instrText xml:space="preserve"> REF _Ref466892679 \r \h </w:instrText>
      </w:r>
      <w:r w:rsidR="001F1C46">
        <w:fldChar w:fldCharType="separate"/>
      </w:r>
      <w:r w:rsidR="00595C6E">
        <w:t>Chart A.2</w:t>
      </w:r>
      <w:r w:rsidR="001F1C46">
        <w:fldChar w:fldCharType="end"/>
      </w:r>
      <w:r w:rsidRPr="001151D4">
        <w:t xml:space="preserve"> </w:t>
      </w:r>
      <w:r w:rsidR="001151D4">
        <w:t xml:space="preserve">provides a </w:t>
      </w:r>
      <w:r w:rsidR="001151D4">
        <w:lastRenderedPageBreak/>
        <w:t>scatter plot of cost per EFTSL and SESCEQ by FOEs</w:t>
      </w:r>
      <w:r w:rsidR="00A6192C">
        <w:t xml:space="preserve">. While in some FOEs, higher costs per EFTSL is associated with higher student experience scores, this is not the case in all FOEs. For example, this relationship is not clearly apparent in fields of education such as Agriculture and </w:t>
      </w:r>
      <w:r w:rsidR="00FF7656">
        <w:t>R</w:t>
      </w:r>
      <w:r w:rsidR="00A6192C">
        <w:t xml:space="preserve">elated </w:t>
      </w:r>
      <w:r w:rsidR="00FF7656">
        <w:t>S</w:t>
      </w:r>
      <w:r w:rsidR="00A6192C">
        <w:t xml:space="preserve">tudies, Architecture, </w:t>
      </w:r>
      <w:r w:rsidRPr="00E410D2">
        <w:t xml:space="preserve">Engineering, Environmental Science, Information Technology, Languages, Medical </w:t>
      </w:r>
      <w:r w:rsidR="00FF7656">
        <w:t>Studies</w:t>
      </w:r>
      <w:r w:rsidRPr="00E410D2">
        <w:t xml:space="preserve">, Other Creative Arts and Veterinary </w:t>
      </w:r>
      <w:r w:rsidR="00FF7656">
        <w:t>Studies</w:t>
      </w:r>
      <w:r w:rsidRPr="00E410D2">
        <w:t xml:space="preserve">. This </w:t>
      </w:r>
      <w:r w:rsidRPr="001151D4">
        <w:t xml:space="preserve">suggests that there is scope for some of the universities to improve their student experience (to the extent that SESCEQ is a good measure of that) without increasing cost per EFTSL. </w:t>
      </w:r>
    </w:p>
    <w:p w14:paraId="2269A8A2" w14:textId="77777777" w:rsidR="009B2DA7" w:rsidRPr="00E410D2" w:rsidRDefault="009B2DA7" w:rsidP="009B2DA7">
      <w:pPr>
        <w:pStyle w:val="BodyText"/>
      </w:pPr>
      <w:r w:rsidRPr="00E410D2">
        <w:t xml:space="preserve">This is also consistent with the observation from </w:t>
      </w:r>
      <w:r w:rsidR="001F1C46">
        <w:fldChar w:fldCharType="begin"/>
      </w:r>
      <w:r w:rsidR="001F1C46">
        <w:instrText xml:space="preserve"> REF _Ref467082168 \r \h </w:instrText>
      </w:r>
      <w:r w:rsidR="001F1C46">
        <w:fldChar w:fldCharType="separate"/>
      </w:r>
      <w:r w:rsidR="00595C6E">
        <w:t>Chart A.3</w:t>
      </w:r>
      <w:r w:rsidR="001F1C46">
        <w:fldChar w:fldCharType="end"/>
      </w:r>
      <w:r w:rsidR="002C497A">
        <w:t xml:space="preserve"> </w:t>
      </w:r>
      <w:r w:rsidRPr="00E410D2">
        <w:t>below which shows a weak relationship between SESCEQ and cost per EF</w:t>
      </w:r>
      <w:r w:rsidR="00A6192C" w:rsidRPr="00E410D2">
        <w:t>TSL in the aforementioned FOEs</w:t>
      </w:r>
      <w:r w:rsidR="00A6192C">
        <w:t>, with many observations sitting below the efficiency frontier.</w:t>
      </w:r>
    </w:p>
    <w:p w14:paraId="4A7709AC" w14:textId="77777777" w:rsidR="009B2DA7" w:rsidRPr="001151D4" w:rsidRDefault="009B2DA7" w:rsidP="004E467C">
      <w:pPr>
        <w:pStyle w:val="AppendixChartCaption"/>
      </w:pPr>
      <w:bookmarkStart w:id="364" w:name="_Ref466892679"/>
      <w:bookmarkStart w:id="365" w:name="_Toc469927390"/>
      <w:r w:rsidRPr="00E410D2">
        <w:t xml:space="preserve">: Scatter plot of </w:t>
      </w:r>
      <w:r w:rsidRPr="001151D4">
        <w:t>Cost per EFTSL and SESCEQ by FOEs</w:t>
      </w:r>
      <w:bookmarkEnd w:id="364"/>
      <w:bookmarkEnd w:id="365"/>
    </w:p>
    <w:p w14:paraId="53BAD583" w14:textId="77777777" w:rsidR="009B2DA7" w:rsidRPr="004E467C" w:rsidRDefault="004441BF" w:rsidP="009B2DA7">
      <w:pPr>
        <w:pStyle w:val="BodyText"/>
        <w:rPr>
          <w:b/>
          <w:highlight w:val="yellow"/>
        </w:rPr>
      </w:pPr>
      <w:r>
        <w:rPr>
          <w:noProof/>
          <w:lang w:eastAsia="en-AU"/>
        </w:rPr>
        <w:drawing>
          <wp:inline distT="0" distB="0" distL="0" distR="0" wp14:anchorId="39A724CD" wp14:editId="5C3BAD21">
            <wp:extent cx="5220335" cy="4085590"/>
            <wp:effectExtent l="0" t="0" r="0"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220335" cy="4085590"/>
                    </a:xfrm>
                    <a:prstGeom prst="rect">
                      <a:avLst/>
                    </a:prstGeom>
                  </pic:spPr>
                </pic:pic>
              </a:graphicData>
            </a:graphic>
          </wp:inline>
        </w:drawing>
      </w:r>
    </w:p>
    <w:p w14:paraId="419DEE1D" w14:textId="77777777" w:rsidR="009B2DA7" w:rsidRPr="00A6192C" w:rsidRDefault="009B2DA7" w:rsidP="009B2DA7">
      <w:pPr>
        <w:pStyle w:val="BodyText"/>
        <w:jc w:val="center"/>
        <w:rPr>
          <w:rFonts w:cs="Arial"/>
          <w:sz w:val="18"/>
        </w:rPr>
      </w:pPr>
      <w:r w:rsidRPr="00E410D2">
        <w:rPr>
          <w:rFonts w:cs="Arial"/>
          <w:sz w:val="18"/>
        </w:rPr>
        <w:t>Source:  Deloitte Access Economics analysis</w:t>
      </w:r>
    </w:p>
    <w:p w14:paraId="62C49B1C" w14:textId="77777777" w:rsidR="009B2DA7" w:rsidRPr="004E467C" w:rsidRDefault="009B2DA7" w:rsidP="009B2DA7">
      <w:pPr>
        <w:pStyle w:val="BodyText"/>
        <w:rPr>
          <w:highlight w:val="yellow"/>
        </w:rPr>
      </w:pPr>
    </w:p>
    <w:p w14:paraId="2B7F7370" w14:textId="77777777" w:rsidR="009B2DA7" w:rsidRPr="004E467C" w:rsidRDefault="009B2DA7" w:rsidP="009B2DA7">
      <w:pPr>
        <w:pStyle w:val="BodyText"/>
        <w:rPr>
          <w:rFonts w:cs="Arial"/>
          <w:sz w:val="18"/>
          <w:highlight w:val="yellow"/>
        </w:rPr>
      </w:pPr>
    </w:p>
    <w:p w14:paraId="537C699A" w14:textId="77777777" w:rsidR="009B2DA7" w:rsidRPr="00E410D2" w:rsidRDefault="009B2DA7" w:rsidP="004E467C">
      <w:pPr>
        <w:pStyle w:val="AppendixChartCaption"/>
      </w:pPr>
      <w:bookmarkStart w:id="366" w:name="_Ref467082168"/>
      <w:bookmarkStart w:id="367" w:name="_Toc469927391"/>
      <w:r w:rsidRPr="00E410D2">
        <w:lastRenderedPageBreak/>
        <w:t>: DEA result visualisation by field using SESCEQ as output</w:t>
      </w:r>
      <w:bookmarkEnd w:id="366"/>
      <w:bookmarkEnd w:id="367"/>
      <w:r w:rsidRPr="00E410D2">
        <w:t xml:space="preserve"> </w:t>
      </w:r>
    </w:p>
    <w:p w14:paraId="66EC1195" w14:textId="77777777" w:rsidR="009B2DA7" w:rsidRPr="004E467C" w:rsidRDefault="004441BF" w:rsidP="009B2DA7">
      <w:pPr>
        <w:pStyle w:val="BodyText"/>
        <w:rPr>
          <w:highlight w:val="yellow"/>
        </w:rPr>
      </w:pPr>
      <w:r>
        <w:rPr>
          <w:noProof/>
          <w:lang w:eastAsia="en-AU"/>
        </w:rPr>
        <w:drawing>
          <wp:inline distT="0" distB="0" distL="0" distR="0" wp14:anchorId="786DB0F6" wp14:editId="232AD5BD">
            <wp:extent cx="5220335" cy="6875780"/>
            <wp:effectExtent l="0" t="0" r="0" b="127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220335" cy="6875780"/>
                    </a:xfrm>
                    <a:prstGeom prst="rect">
                      <a:avLst/>
                    </a:prstGeom>
                  </pic:spPr>
                </pic:pic>
              </a:graphicData>
            </a:graphic>
          </wp:inline>
        </w:drawing>
      </w:r>
    </w:p>
    <w:p w14:paraId="096B7CC4" w14:textId="77777777" w:rsidR="009B2DA7" w:rsidRPr="00A6192C" w:rsidRDefault="009B2DA7" w:rsidP="00FC3C09">
      <w:pPr>
        <w:pStyle w:val="BodyText"/>
        <w:jc w:val="left"/>
        <w:rPr>
          <w:rFonts w:cs="Arial"/>
          <w:sz w:val="18"/>
        </w:rPr>
      </w:pPr>
      <w:r w:rsidRPr="00E410D2">
        <w:rPr>
          <w:rFonts w:cs="Arial"/>
          <w:sz w:val="18"/>
        </w:rPr>
        <w:t xml:space="preserve">Source:  Deloitte Access </w:t>
      </w:r>
      <w:r w:rsidRPr="00A6192C">
        <w:rPr>
          <w:rFonts w:cs="Arial"/>
          <w:sz w:val="18"/>
        </w:rPr>
        <w:t>Economics analysis</w:t>
      </w:r>
    </w:p>
    <w:p w14:paraId="7B9E1370" w14:textId="77777777" w:rsidR="009B2DA7" w:rsidRPr="004E467C" w:rsidRDefault="009B2DA7" w:rsidP="009B2DA7">
      <w:pPr>
        <w:pStyle w:val="BodyText"/>
        <w:rPr>
          <w:highlight w:val="yellow"/>
        </w:rPr>
      </w:pPr>
    </w:p>
    <w:p w14:paraId="7A5C9E47" w14:textId="77777777" w:rsidR="009B2DA7" w:rsidRPr="00A6192C" w:rsidRDefault="009B2DA7" w:rsidP="009B2DA7">
      <w:pPr>
        <w:pStyle w:val="HeadingA"/>
      </w:pPr>
      <w:bookmarkStart w:id="368" w:name="_Toc469927342"/>
      <w:r w:rsidRPr="00E410D2">
        <w:lastRenderedPageBreak/>
        <w:t>Limitations</w:t>
      </w:r>
      <w:r w:rsidRPr="00A6192C">
        <w:t xml:space="preserve"> of the analysis</w:t>
      </w:r>
      <w:bookmarkEnd w:id="368"/>
    </w:p>
    <w:p w14:paraId="4E310DE4" w14:textId="5D1F7439" w:rsidR="00A6192C" w:rsidRDefault="009B2DA7" w:rsidP="009B2DA7">
      <w:pPr>
        <w:pStyle w:val="BodyText"/>
      </w:pPr>
      <w:r w:rsidRPr="00A6192C">
        <w:t>The result</w:t>
      </w:r>
      <w:r w:rsidR="00A6192C">
        <w:t>s</w:t>
      </w:r>
      <w:r w:rsidRPr="00E410D2">
        <w:t xml:space="preserve"> from our DEA models </w:t>
      </w:r>
      <w:r w:rsidR="00A6192C">
        <w:t xml:space="preserve">are exploratory in nature and need to be interpreted with caution. In particular, there are a number of limitations associated with the measure of teaching quality used here. </w:t>
      </w:r>
      <w:r w:rsidR="002C497A">
        <w:t>Most notably</w:t>
      </w:r>
      <w:r w:rsidR="00A6192C">
        <w:t xml:space="preserve">: </w:t>
      </w:r>
    </w:p>
    <w:p w14:paraId="4AEEC6A8" w14:textId="77777777" w:rsidR="009B2DA7" w:rsidRPr="00A6192C" w:rsidRDefault="009B2DA7" w:rsidP="0089263F">
      <w:pPr>
        <w:pStyle w:val="Bullet1"/>
      </w:pPr>
      <w:r w:rsidRPr="00E410D2">
        <w:t>SESCEQ is an imperfect measure of teaching quality;</w:t>
      </w:r>
    </w:p>
    <w:p w14:paraId="45480B46" w14:textId="77777777" w:rsidR="009B2DA7" w:rsidRPr="00E410D2" w:rsidRDefault="009B2DA7" w:rsidP="0089263F">
      <w:pPr>
        <w:pStyle w:val="Bullet1"/>
      </w:pPr>
      <w:r w:rsidRPr="00A6192C">
        <w:t>SESCEQ respondents may be a small and self-selected proportion of the student population;</w:t>
      </w:r>
      <w:r w:rsidR="00A6192C">
        <w:t xml:space="preserve"> </w:t>
      </w:r>
    </w:p>
    <w:p w14:paraId="77E55A03" w14:textId="77777777" w:rsidR="009B2DA7" w:rsidRPr="00E410D2" w:rsidRDefault="009B2DA7" w:rsidP="0089263F">
      <w:pPr>
        <w:pStyle w:val="Bullet1"/>
      </w:pPr>
      <w:r w:rsidRPr="00E410D2">
        <w:t xml:space="preserve">The extent to which SESCEQ scores can be compared across universities is questionable (each student respondent </w:t>
      </w:r>
      <w:r w:rsidRPr="00A6192C">
        <w:t>would have not experienced the teaching quality other than the university/FOE they have enrolled; thus, the scores only reflects their experience with respect to their expectation);</w:t>
      </w:r>
      <w:r w:rsidR="00A6192C">
        <w:t xml:space="preserve"> and</w:t>
      </w:r>
    </w:p>
    <w:p w14:paraId="34BB2046" w14:textId="77777777" w:rsidR="009B2DA7" w:rsidRDefault="00A6192C" w:rsidP="0089263F">
      <w:pPr>
        <w:pStyle w:val="Bullet1"/>
      </w:pPr>
      <w:r w:rsidRPr="00E410D2">
        <w:t>t</w:t>
      </w:r>
      <w:r w:rsidR="009B2DA7" w:rsidRPr="00A6192C">
        <w:t xml:space="preserve">he long-term relationship between cost input and quality output cannot be reflected in a </w:t>
      </w:r>
      <w:r>
        <w:t xml:space="preserve">snapshot from an arbitrary year. </w:t>
      </w:r>
    </w:p>
    <w:p w14:paraId="09D1E896" w14:textId="1ABA8A46" w:rsidR="00955080" w:rsidRDefault="00A6192C" w:rsidP="004E467C">
      <w:pPr>
        <w:pStyle w:val="BodyText"/>
      </w:pPr>
      <w:r>
        <w:t xml:space="preserve">To the extent that measures of </w:t>
      </w:r>
      <w:r w:rsidR="00995626">
        <w:t>teaching and scholarship</w:t>
      </w:r>
      <w:r>
        <w:t xml:space="preserve"> quality are subject to measurement error, this will impact the extent to which DEA can be used to measure relative efficiency across universities. </w:t>
      </w:r>
    </w:p>
    <w:p w14:paraId="54D47D16" w14:textId="0DE0A249" w:rsidR="00A6192C" w:rsidRDefault="00955080" w:rsidP="004E467C">
      <w:pPr>
        <w:pStyle w:val="BodyText"/>
      </w:pPr>
      <w:r>
        <w:t xml:space="preserve">While there are some limitations associated with the interpretation of results from DEA using data available for the present study, DEA does offer an alternative method of assessing reasonable costs which could potentially be used in future research. </w:t>
      </w:r>
      <w:r w:rsidR="00A6192C">
        <w:t xml:space="preserve">Ideally such analysis would </w:t>
      </w:r>
      <w:r>
        <w:t xml:space="preserve">draw on time series data and a number of robust measures of </w:t>
      </w:r>
      <w:r w:rsidR="00995626">
        <w:t>teaching and scholarship</w:t>
      </w:r>
      <w:r>
        <w:t xml:space="preserve"> outcomes to help inform an assessment of the efficient cost of meeting specified </w:t>
      </w:r>
      <w:r w:rsidR="00995626">
        <w:t>teaching and scholarship</w:t>
      </w:r>
      <w:r>
        <w:t xml:space="preserve"> benchmarks. </w:t>
      </w:r>
    </w:p>
    <w:p w14:paraId="13E69035" w14:textId="77777777" w:rsidR="00E410D2" w:rsidRDefault="00E410D2" w:rsidP="004E467C">
      <w:pPr>
        <w:pStyle w:val="HeadingB"/>
      </w:pPr>
      <w:r>
        <w:t xml:space="preserve">Additional analysis and results </w:t>
      </w:r>
    </w:p>
    <w:p w14:paraId="0F370CB6" w14:textId="77777777" w:rsidR="00E410D2" w:rsidRDefault="00E410D2" w:rsidP="00E410D2">
      <w:pPr>
        <w:pStyle w:val="BodyText"/>
        <w:sectPr w:rsidR="00E410D2" w:rsidSect="009722F8">
          <w:headerReference w:type="even" r:id="rId92"/>
          <w:pgSz w:w="11907" w:h="16840" w:code="9"/>
          <w:pgMar w:top="2268" w:right="1134" w:bottom="1134" w:left="2552" w:header="567" w:footer="567" w:gutter="0"/>
          <w:cols w:space="708"/>
          <w:titlePg/>
          <w:docGrid w:linePitch="360"/>
        </w:sectPr>
      </w:pPr>
    </w:p>
    <w:p w14:paraId="4DEF5238" w14:textId="7DBE7AFF" w:rsidR="00E410D2" w:rsidRDefault="00E410D2" w:rsidP="00FC6060">
      <w:pPr>
        <w:pStyle w:val="AppendixTableCaption"/>
        <w:numPr>
          <w:ilvl w:val="1"/>
          <w:numId w:val="30"/>
        </w:numPr>
      </w:pPr>
      <w:bookmarkStart w:id="369" w:name="_Toc469927403"/>
      <w:r>
        <w:lastRenderedPageBreak/>
        <w:t>: Descriptive statistics: Cost drivers by field (</w:t>
      </w:r>
      <w:r w:rsidR="009F6F84">
        <w:t>b</w:t>
      </w:r>
      <w:r>
        <w:t>achelor</w:t>
      </w:r>
      <w:r w:rsidR="009F6F84">
        <w:t xml:space="preserve"> level</w:t>
      </w:r>
      <w:r>
        <w:t>)</w:t>
      </w:r>
      <w:bookmarkEnd w:id="369"/>
      <w:r>
        <w:t xml:space="preserve"> </w:t>
      </w:r>
    </w:p>
    <w:tbl>
      <w:tblPr>
        <w:tblW w:w="14523" w:type="dxa"/>
        <w:tblLook w:val="04A0" w:firstRow="1" w:lastRow="0" w:firstColumn="1" w:lastColumn="0" w:noHBand="0" w:noVBand="1"/>
      </w:tblPr>
      <w:tblGrid>
        <w:gridCol w:w="2268"/>
        <w:gridCol w:w="1418"/>
        <w:gridCol w:w="1088"/>
        <w:gridCol w:w="1276"/>
        <w:gridCol w:w="1417"/>
        <w:gridCol w:w="1276"/>
        <w:gridCol w:w="1093"/>
        <w:gridCol w:w="1221"/>
        <w:gridCol w:w="1139"/>
        <w:gridCol w:w="1193"/>
        <w:gridCol w:w="1134"/>
      </w:tblGrid>
      <w:tr w:rsidR="005A04A5" w:rsidRPr="00D605E1" w14:paraId="5A60269C" w14:textId="77777777" w:rsidTr="00FC3C09">
        <w:trPr>
          <w:trHeight w:val="300"/>
        </w:trPr>
        <w:tc>
          <w:tcPr>
            <w:tcW w:w="2268" w:type="dxa"/>
            <w:tcBorders>
              <w:top w:val="single" w:sz="8" w:space="0" w:color="002776"/>
              <w:left w:val="nil"/>
              <w:bottom w:val="single" w:sz="8" w:space="0" w:color="002776"/>
              <w:right w:val="nil"/>
            </w:tcBorders>
            <w:shd w:val="clear" w:color="auto" w:fill="auto"/>
            <w:noWrap/>
            <w:vAlign w:val="center"/>
            <w:hideMark/>
          </w:tcPr>
          <w:p w14:paraId="71321FB5" w14:textId="77777777" w:rsidR="005A04A5" w:rsidRPr="00EF2309" w:rsidRDefault="005A04A5" w:rsidP="00E410D2">
            <w:pPr>
              <w:rPr>
                <w:rFonts w:asciiTheme="minorHAnsi" w:hAnsiTheme="minorHAnsi"/>
                <w:b/>
                <w:color w:val="002776"/>
                <w:sz w:val="18"/>
                <w:szCs w:val="18"/>
                <w:lang w:eastAsia="en-AU"/>
              </w:rPr>
            </w:pPr>
            <w:r w:rsidRPr="00EF2309">
              <w:rPr>
                <w:rFonts w:asciiTheme="minorHAnsi" w:hAnsiTheme="minorHAnsi"/>
                <w:b/>
                <w:color w:val="002776"/>
                <w:sz w:val="18"/>
                <w:szCs w:val="18"/>
                <w:lang w:eastAsia="en-AU"/>
              </w:rPr>
              <w:t>Field</w:t>
            </w:r>
            <w:r>
              <w:rPr>
                <w:rFonts w:asciiTheme="minorHAnsi" w:hAnsiTheme="minorHAnsi"/>
                <w:b/>
                <w:color w:val="002776"/>
                <w:sz w:val="18"/>
                <w:szCs w:val="18"/>
                <w:lang w:eastAsia="en-AU"/>
              </w:rPr>
              <w:t xml:space="preserve"> (median)</w:t>
            </w:r>
          </w:p>
        </w:tc>
        <w:tc>
          <w:tcPr>
            <w:tcW w:w="1418" w:type="dxa"/>
            <w:tcBorders>
              <w:top w:val="single" w:sz="8" w:space="0" w:color="002776"/>
              <w:left w:val="nil"/>
              <w:bottom w:val="single" w:sz="8" w:space="0" w:color="002776"/>
              <w:right w:val="nil"/>
            </w:tcBorders>
            <w:shd w:val="clear" w:color="auto" w:fill="auto"/>
            <w:noWrap/>
            <w:vAlign w:val="center"/>
          </w:tcPr>
          <w:p w14:paraId="2AF75C24" w14:textId="77777777" w:rsidR="005A04A5" w:rsidRPr="00EF2309" w:rsidRDefault="005A04A5" w:rsidP="00E410D2">
            <w:pPr>
              <w:jc w:val="center"/>
              <w:rPr>
                <w:rFonts w:asciiTheme="minorHAnsi" w:hAnsiTheme="minorHAnsi"/>
                <w:b/>
                <w:color w:val="002776"/>
                <w:sz w:val="18"/>
                <w:szCs w:val="18"/>
                <w:lang w:eastAsia="en-AU"/>
              </w:rPr>
            </w:pPr>
            <w:r w:rsidRPr="00EF2309">
              <w:rPr>
                <w:rFonts w:asciiTheme="minorHAnsi" w:hAnsiTheme="minorHAnsi"/>
                <w:b/>
                <w:color w:val="002776"/>
                <w:sz w:val="18"/>
                <w:szCs w:val="18"/>
              </w:rPr>
              <w:t>Average student experience survey score (SES, CEQ)</w:t>
            </w:r>
          </w:p>
        </w:tc>
        <w:tc>
          <w:tcPr>
            <w:tcW w:w="1088" w:type="dxa"/>
            <w:tcBorders>
              <w:top w:val="single" w:sz="8" w:space="0" w:color="002776"/>
              <w:left w:val="nil"/>
              <w:bottom w:val="single" w:sz="8" w:space="0" w:color="002776"/>
              <w:right w:val="nil"/>
            </w:tcBorders>
            <w:shd w:val="clear" w:color="auto" w:fill="auto"/>
            <w:noWrap/>
            <w:vAlign w:val="center"/>
          </w:tcPr>
          <w:p w14:paraId="6E968E71" w14:textId="77777777" w:rsidR="005A04A5" w:rsidRPr="00EF2309" w:rsidRDefault="005A04A5" w:rsidP="00E410D2">
            <w:pPr>
              <w:jc w:val="center"/>
              <w:rPr>
                <w:rFonts w:asciiTheme="minorHAnsi" w:hAnsiTheme="minorHAnsi"/>
                <w:b/>
                <w:color w:val="002776"/>
                <w:sz w:val="18"/>
                <w:szCs w:val="18"/>
                <w:lang w:eastAsia="en-AU"/>
              </w:rPr>
            </w:pPr>
            <w:r w:rsidRPr="00EF2309">
              <w:rPr>
                <w:rFonts w:asciiTheme="minorHAnsi" w:hAnsiTheme="minorHAnsi"/>
                <w:b/>
                <w:color w:val="002776"/>
                <w:sz w:val="18"/>
                <w:szCs w:val="18"/>
              </w:rPr>
              <w:t>Indicator for HDR EFTSL</w:t>
            </w:r>
          </w:p>
        </w:tc>
        <w:tc>
          <w:tcPr>
            <w:tcW w:w="1276" w:type="dxa"/>
            <w:tcBorders>
              <w:top w:val="single" w:sz="8" w:space="0" w:color="002776"/>
              <w:left w:val="nil"/>
              <w:bottom w:val="single" w:sz="8" w:space="0" w:color="002776"/>
              <w:right w:val="nil"/>
            </w:tcBorders>
            <w:shd w:val="clear" w:color="auto" w:fill="auto"/>
            <w:noWrap/>
            <w:vAlign w:val="center"/>
          </w:tcPr>
          <w:p w14:paraId="20E37C30" w14:textId="77777777" w:rsidR="005A04A5" w:rsidRPr="00EF2309" w:rsidRDefault="005A04A5" w:rsidP="00E410D2">
            <w:pPr>
              <w:jc w:val="center"/>
              <w:rPr>
                <w:rFonts w:asciiTheme="minorHAnsi" w:hAnsiTheme="minorHAnsi"/>
                <w:b/>
                <w:color w:val="002776"/>
                <w:sz w:val="18"/>
                <w:szCs w:val="18"/>
                <w:lang w:eastAsia="en-AU"/>
              </w:rPr>
            </w:pPr>
            <w:r w:rsidRPr="00EF2309">
              <w:rPr>
                <w:rFonts w:asciiTheme="minorHAnsi" w:hAnsiTheme="minorHAnsi"/>
                <w:b/>
                <w:color w:val="002776"/>
                <w:sz w:val="18"/>
                <w:szCs w:val="18"/>
              </w:rPr>
              <w:t>Proportion of graduates in fulltime employment</w:t>
            </w:r>
          </w:p>
        </w:tc>
        <w:tc>
          <w:tcPr>
            <w:tcW w:w="1417" w:type="dxa"/>
            <w:tcBorders>
              <w:top w:val="single" w:sz="8" w:space="0" w:color="002776"/>
              <w:left w:val="nil"/>
              <w:bottom w:val="single" w:sz="8" w:space="0" w:color="002776"/>
              <w:right w:val="nil"/>
            </w:tcBorders>
            <w:shd w:val="clear" w:color="auto" w:fill="auto"/>
            <w:noWrap/>
            <w:vAlign w:val="center"/>
          </w:tcPr>
          <w:p w14:paraId="52201015" w14:textId="77777777" w:rsidR="005A04A5" w:rsidRPr="00EF2309" w:rsidRDefault="005A04A5" w:rsidP="00E410D2">
            <w:pPr>
              <w:jc w:val="center"/>
              <w:rPr>
                <w:rFonts w:asciiTheme="minorHAnsi" w:hAnsiTheme="minorHAnsi"/>
                <w:b/>
                <w:color w:val="002776"/>
                <w:sz w:val="18"/>
                <w:szCs w:val="18"/>
                <w:lang w:eastAsia="en-AU"/>
              </w:rPr>
            </w:pPr>
            <w:r w:rsidRPr="00EF2309">
              <w:rPr>
                <w:rFonts w:asciiTheme="minorHAnsi" w:hAnsiTheme="minorHAnsi"/>
                <w:b/>
                <w:color w:val="002776"/>
                <w:sz w:val="18"/>
                <w:szCs w:val="18"/>
              </w:rPr>
              <w:t>Proportion of HDR EFTSL to total field EFTSL (university level)</w:t>
            </w:r>
          </w:p>
        </w:tc>
        <w:tc>
          <w:tcPr>
            <w:tcW w:w="1276" w:type="dxa"/>
            <w:tcBorders>
              <w:top w:val="single" w:sz="8" w:space="0" w:color="002776"/>
              <w:left w:val="nil"/>
              <w:bottom w:val="single" w:sz="8" w:space="0" w:color="002776"/>
              <w:right w:val="nil"/>
            </w:tcBorders>
            <w:shd w:val="clear" w:color="auto" w:fill="auto"/>
            <w:noWrap/>
            <w:vAlign w:val="center"/>
          </w:tcPr>
          <w:p w14:paraId="3315DCE2" w14:textId="77777777" w:rsidR="005A04A5" w:rsidRPr="00EF2309" w:rsidRDefault="005A04A5" w:rsidP="00E410D2">
            <w:pPr>
              <w:jc w:val="center"/>
              <w:rPr>
                <w:rFonts w:asciiTheme="minorHAnsi" w:hAnsiTheme="minorHAnsi"/>
                <w:b/>
                <w:color w:val="002776"/>
                <w:sz w:val="18"/>
                <w:szCs w:val="18"/>
                <w:lang w:eastAsia="en-AU"/>
              </w:rPr>
            </w:pPr>
            <w:r w:rsidRPr="00EF2309">
              <w:rPr>
                <w:rFonts w:asciiTheme="minorHAnsi" w:hAnsiTheme="minorHAnsi"/>
                <w:b/>
                <w:color w:val="002776"/>
                <w:sz w:val="18"/>
                <w:szCs w:val="18"/>
              </w:rPr>
              <w:t>Log staff-student ratio (Teaching staff FTE / total EFTSL)</w:t>
            </w:r>
          </w:p>
        </w:tc>
        <w:tc>
          <w:tcPr>
            <w:tcW w:w="1093" w:type="dxa"/>
            <w:tcBorders>
              <w:top w:val="single" w:sz="8" w:space="0" w:color="002776"/>
              <w:left w:val="nil"/>
              <w:bottom w:val="single" w:sz="8" w:space="0" w:color="002776"/>
              <w:right w:val="nil"/>
            </w:tcBorders>
            <w:shd w:val="clear" w:color="auto" w:fill="auto"/>
            <w:noWrap/>
            <w:vAlign w:val="center"/>
          </w:tcPr>
          <w:p w14:paraId="68C7891D" w14:textId="77777777" w:rsidR="005A04A5" w:rsidRPr="00EF2309" w:rsidRDefault="005A04A5" w:rsidP="00E410D2">
            <w:pPr>
              <w:jc w:val="center"/>
              <w:rPr>
                <w:rFonts w:asciiTheme="minorHAnsi" w:hAnsiTheme="minorHAnsi"/>
                <w:b/>
                <w:color w:val="002776"/>
                <w:sz w:val="18"/>
                <w:szCs w:val="18"/>
                <w:lang w:eastAsia="en-AU"/>
              </w:rPr>
            </w:pPr>
            <w:r w:rsidRPr="00EF2309">
              <w:rPr>
                <w:rFonts w:asciiTheme="minorHAnsi" w:hAnsiTheme="minorHAnsi"/>
                <w:b/>
                <w:color w:val="002776"/>
                <w:sz w:val="18"/>
                <w:szCs w:val="18"/>
              </w:rPr>
              <w:t>Median salary of graduates</w:t>
            </w:r>
          </w:p>
        </w:tc>
        <w:tc>
          <w:tcPr>
            <w:tcW w:w="1221" w:type="dxa"/>
            <w:tcBorders>
              <w:top w:val="single" w:sz="8" w:space="0" w:color="002776"/>
              <w:left w:val="nil"/>
              <w:bottom w:val="single" w:sz="8" w:space="0" w:color="002776"/>
              <w:right w:val="nil"/>
            </w:tcBorders>
            <w:shd w:val="clear" w:color="auto" w:fill="auto"/>
            <w:noWrap/>
            <w:vAlign w:val="center"/>
          </w:tcPr>
          <w:p w14:paraId="49E41485" w14:textId="77777777" w:rsidR="005A04A5" w:rsidRPr="00EF2309" w:rsidRDefault="005A04A5" w:rsidP="00E410D2">
            <w:pPr>
              <w:jc w:val="center"/>
              <w:rPr>
                <w:rFonts w:asciiTheme="minorHAnsi" w:hAnsiTheme="minorHAnsi"/>
                <w:b/>
                <w:color w:val="002776"/>
                <w:sz w:val="18"/>
                <w:szCs w:val="18"/>
                <w:lang w:eastAsia="en-AU"/>
              </w:rPr>
            </w:pPr>
            <w:r w:rsidRPr="00EF2309">
              <w:rPr>
                <w:rFonts w:asciiTheme="minorHAnsi" w:hAnsiTheme="minorHAnsi"/>
                <w:b/>
                <w:color w:val="002776"/>
                <w:sz w:val="18"/>
                <w:szCs w:val="18"/>
              </w:rPr>
              <w:t>Proportion of casual teaching staff</w:t>
            </w:r>
          </w:p>
        </w:tc>
        <w:tc>
          <w:tcPr>
            <w:tcW w:w="1139" w:type="dxa"/>
            <w:tcBorders>
              <w:top w:val="single" w:sz="8" w:space="0" w:color="002776"/>
              <w:left w:val="nil"/>
              <w:bottom w:val="single" w:sz="8" w:space="0" w:color="002776"/>
              <w:right w:val="nil"/>
            </w:tcBorders>
            <w:shd w:val="clear" w:color="auto" w:fill="auto"/>
            <w:noWrap/>
            <w:vAlign w:val="center"/>
          </w:tcPr>
          <w:p w14:paraId="4DF41D3D" w14:textId="77777777" w:rsidR="005A04A5" w:rsidRPr="00EF2309" w:rsidRDefault="005A04A5" w:rsidP="00E410D2">
            <w:pPr>
              <w:jc w:val="center"/>
              <w:rPr>
                <w:rFonts w:asciiTheme="minorHAnsi" w:hAnsiTheme="minorHAnsi"/>
                <w:b/>
                <w:color w:val="002776"/>
                <w:sz w:val="18"/>
                <w:szCs w:val="18"/>
                <w:lang w:eastAsia="en-AU"/>
              </w:rPr>
            </w:pPr>
            <w:r w:rsidRPr="00EF2309">
              <w:rPr>
                <w:rFonts w:asciiTheme="minorHAnsi" w:hAnsiTheme="minorHAnsi"/>
                <w:b/>
                <w:color w:val="002776"/>
                <w:sz w:val="18"/>
                <w:szCs w:val="18"/>
              </w:rPr>
              <w:t>Proportion of external (including multimodal) EFTSL</w:t>
            </w:r>
          </w:p>
        </w:tc>
        <w:tc>
          <w:tcPr>
            <w:tcW w:w="1193" w:type="dxa"/>
            <w:tcBorders>
              <w:top w:val="single" w:sz="8" w:space="0" w:color="002776"/>
              <w:left w:val="nil"/>
              <w:bottom w:val="single" w:sz="8" w:space="0" w:color="002776"/>
              <w:right w:val="nil"/>
            </w:tcBorders>
            <w:shd w:val="clear" w:color="auto" w:fill="auto"/>
            <w:noWrap/>
            <w:vAlign w:val="center"/>
          </w:tcPr>
          <w:p w14:paraId="29128EB8" w14:textId="77777777" w:rsidR="005A04A5" w:rsidRPr="00EF2309" w:rsidRDefault="005A04A5" w:rsidP="00E410D2">
            <w:pPr>
              <w:jc w:val="center"/>
              <w:rPr>
                <w:rFonts w:asciiTheme="minorHAnsi" w:hAnsiTheme="minorHAnsi"/>
                <w:b/>
                <w:color w:val="002776"/>
                <w:sz w:val="18"/>
                <w:szCs w:val="18"/>
                <w:lang w:eastAsia="en-AU"/>
              </w:rPr>
            </w:pPr>
            <w:r w:rsidRPr="00EF2309">
              <w:rPr>
                <w:rFonts w:asciiTheme="minorHAnsi" w:hAnsiTheme="minorHAnsi"/>
                <w:b/>
                <w:color w:val="002776"/>
                <w:sz w:val="18"/>
                <w:szCs w:val="18"/>
              </w:rPr>
              <w:t>Proportion of international EFTSL</w:t>
            </w:r>
          </w:p>
        </w:tc>
        <w:tc>
          <w:tcPr>
            <w:tcW w:w="1134" w:type="dxa"/>
            <w:tcBorders>
              <w:top w:val="single" w:sz="8" w:space="0" w:color="002776"/>
              <w:left w:val="nil"/>
              <w:bottom w:val="single" w:sz="8" w:space="0" w:color="002776"/>
              <w:right w:val="nil"/>
            </w:tcBorders>
            <w:shd w:val="clear" w:color="auto" w:fill="auto"/>
            <w:noWrap/>
            <w:vAlign w:val="center"/>
          </w:tcPr>
          <w:p w14:paraId="47F9EF5A" w14:textId="77777777" w:rsidR="005A04A5" w:rsidRPr="00EF2309" w:rsidRDefault="005A04A5" w:rsidP="00E410D2">
            <w:pPr>
              <w:jc w:val="center"/>
              <w:rPr>
                <w:rFonts w:asciiTheme="minorHAnsi" w:hAnsiTheme="minorHAnsi"/>
                <w:b/>
                <w:color w:val="002776"/>
                <w:sz w:val="18"/>
                <w:szCs w:val="18"/>
                <w:lang w:eastAsia="en-AU"/>
              </w:rPr>
            </w:pPr>
            <w:r w:rsidRPr="00EF2309">
              <w:rPr>
                <w:rFonts w:asciiTheme="minorHAnsi" w:hAnsiTheme="minorHAnsi"/>
                <w:b/>
                <w:color w:val="002776"/>
                <w:sz w:val="18"/>
                <w:szCs w:val="18"/>
              </w:rPr>
              <w:t>Proportion of regional EFTSL</w:t>
            </w:r>
          </w:p>
        </w:tc>
      </w:tr>
      <w:tr w:rsidR="005A04A5" w:rsidRPr="00D605E1" w14:paraId="198DF181" w14:textId="77777777" w:rsidTr="00FC3C09">
        <w:trPr>
          <w:trHeight w:val="300"/>
        </w:trPr>
        <w:tc>
          <w:tcPr>
            <w:tcW w:w="2268" w:type="dxa"/>
            <w:tcBorders>
              <w:top w:val="single" w:sz="8" w:space="0" w:color="002776"/>
              <w:left w:val="nil"/>
              <w:bottom w:val="nil"/>
              <w:right w:val="nil"/>
            </w:tcBorders>
            <w:shd w:val="clear" w:color="auto" w:fill="auto"/>
            <w:noWrap/>
            <w:vAlign w:val="bottom"/>
            <w:hideMark/>
          </w:tcPr>
          <w:p w14:paraId="35B6237C" w14:textId="77777777" w:rsidR="005A04A5" w:rsidRPr="00EF2309" w:rsidRDefault="005A04A5" w:rsidP="005A04A5">
            <w:pPr>
              <w:rPr>
                <w:rFonts w:asciiTheme="minorHAnsi" w:hAnsiTheme="minorHAnsi"/>
                <w:sz w:val="18"/>
                <w:szCs w:val="18"/>
                <w:lang w:eastAsia="en-AU"/>
              </w:rPr>
            </w:pPr>
            <w:r w:rsidRPr="00EF2309">
              <w:rPr>
                <w:rFonts w:asciiTheme="minorHAnsi" w:hAnsiTheme="minorHAnsi"/>
                <w:sz w:val="18"/>
                <w:szCs w:val="18"/>
                <w:lang w:eastAsia="en-AU"/>
              </w:rPr>
              <w:t>Mathematical science</w:t>
            </w:r>
          </w:p>
        </w:tc>
        <w:tc>
          <w:tcPr>
            <w:tcW w:w="1418" w:type="dxa"/>
            <w:tcBorders>
              <w:top w:val="single" w:sz="8" w:space="0" w:color="002776"/>
              <w:left w:val="nil"/>
              <w:bottom w:val="nil"/>
              <w:right w:val="nil"/>
            </w:tcBorders>
            <w:shd w:val="clear" w:color="auto" w:fill="auto"/>
            <w:noWrap/>
            <w:vAlign w:val="bottom"/>
            <w:hideMark/>
          </w:tcPr>
          <w:p w14:paraId="277C2CB5"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85.9</w:t>
            </w:r>
          </w:p>
        </w:tc>
        <w:tc>
          <w:tcPr>
            <w:tcW w:w="1088" w:type="dxa"/>
            <w:tcBorders>
              <w:top w:val="single" w:sz="8" w:space="0" w:color="002776"/>
              <w:left w:val="nil"/>
              <w:bottom w:val="nil"/>
              <w:right w:val="nil"/>
            </w:tcBorders>
            <w:shd w:val="clear" w:color="auto" w:fill="auto"/>
            <w:noWrap/>
            <w:vAlign w:val="bottom"/>
            <w:hideMark/>
          </w:tcPr>
          <w:p w14:paraId="61CBDB5E"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1</w:t>
            </w:r>
          </w:p>
        </w:tc>
        <w:tc>
          <w:tcPr>
            <w:tcW w:w="1276" w:type="dxa"/>
            <w:tcBorders>
              <w:top w:val="single" w:sz="8" w:space="0" w:color="002776"/>
              <w:left w:val="nil"/>
              <w:bottom w:val="nil"/>
              <w:right w:val="nil"/>
            </w:tcBorders>
            <w:shd w:val="clear" w:color="auto" w:fill="auto"/>
            <w:noWrap/>
            <w:vAlign w:val="bottom"/>
            <w:hideMark/>
          </w:tcPr>
          <w:p w14:paraId="64AB8727"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50</w:t>
            </w:r>
          </w:p>
        </w:tc>
        <w:tc>
          <w:tcPr>
            <w:tcW w:w="1417" w:type="dxa"/>
            <w:tcBorders>
              <w:top w:val="single" w:sz="8" w:space="0" w:color="002776"/>
              <w:left w:val="nil"/>
              <w:bottom w:val="nil"/>
              <w:right w:val="nil"/>
            </w:tcBorders>
            <w:shd w:val="clear" w:color="auto" w:fill="auto"/>
            <w:noWrap/>
            <w:vAlign w:val="bottom"/>
          </w:tcPr>
          <w:p w14:paraId="236CD37D"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0.012</w:t>
            </w:r>
          </w:p>
        </w:tc>
        <w:tc>
          <w:tcPr>
            <w:tcW w:w="1276" w:type="dxa"/>
            <w:tcBorders>
              <w:top w:val="single" w:sz="8" w:space="0" w:color="002776"/>
              <w:left w:val="nil"/>
              <w:bottom w:val="nil"/>
              <w:right w:val="nil"/>
            </w:tcBorders>
            <w:shd w:val="clear" w:color="auto" w:fill="auto"/>
            <w:noWrap/>
            <w:vAlign w:val="bottom"/>
          </w:tcPr>
          <w:p w14:paraId="20FA209A"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-3.580</w:t>
            </w:r>
          </w:p>
        </w:tc>
        <w:tc>
          <w:tcPr>
            <w:tcW w:w="1093" w:type="dxa"/>
            <w:tcBorders>
              <w:top w:val="single" w:sz="8" w:space="0" w:color="002776"/>
              <w:left w:val="nil"/>
              <w:bottom w:val="nil"/>
              <w:right w:val="nil"/>
            </w:tcBorders>
            <w:shd w:val="clear" w:color="auto" w:fill="auto"/>
            <w:noWrap/>
            <w:vAlign w:val="bottom"/>
            <w:hideMark/>
          </w:tcPr>
          <w:p w14:paraId="36C184A5"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55000</w:t>
            </w:r>
          </w:p>
        </w:tc>
        <w:tc>
          <w:tcPr>
            <w:tcW w:w="1221" w:type="dxa"/>
            <w:tcBorders>
              <w:top w:val="single" w:sz="8" w:space="0" w:color="002776"/>
              <w:left w:val="nil"/>
              <w:bottom w:val="nil"/>
              <w:right w:val="nil"/>
            </w:tcBorders>
            <w:shd w:val="clear" w:color="auto" w:fill="auto"/>
            <w:noWrap/>
            <w:vAlign w:val="bottom"/>
          </w:tcPr>
          <w:p w14:paraId="390A7978"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0.291</w:t>
            </w:r>
          </w:p>
        </w:tc>
        <w:tc>
          <w:tcPr>
            <w:tcW w:w="1139" w:type="dxa"/>
            <w:tcBorders>
              <w:top w:val="single" w:sz="8" w:space="0" w:color="002776"/>
              <w:left w:val="nil"/>
              <w:bottom w:val="nil"/>
              <w:right w:val="nil"/>
            </w:tcBorders>
            <w:shd w:val="clear" w:color="auto" w:fill="auto"/>
            <w:noWrap/>
            <w:vAlign w:val="bottom"/>
          </w:tcPr>
          <w:p w14:paraId="61E2CE07"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0.010</w:t>
            </w:r>
          </w:p>
        </w:tc>
        <w:tc>
          <w:tcPr>
            <w:tcW w:w="1193" w:type="dxa"/>
            <w:tcBorders>
              <w:top w:val="single" w:sz="8" w:space="0" w:color="002776"/>
              <w:left w:val="nil"/>
              <w:bottom w:val="nil"/>
              <w:right w:val="nil"/>
            </w:tcBorders>
            <w:shd w:val="clear" w:color="auto" w:fill="auto"/>
            <w:noWrap/>
            <w:vAlign w:val="bottom"/>
          </w:tcPr>
          <w:p w14:paraId="5506CFCA"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0.113</w:t>
            </w:r>
          </w:p>
        </w:tc>
        <w:tc>
          <w:tcPr>
            <w:tcW w:w="1134" w:type="dxa"/>
            <w:tcBorders>
              <w:top w:val="single" w:sz="8" w:space="0" w:color="002776"/>
              <w:left w:val="nil"/>
              <w:bottom w:val="nil"/>
              <w:right w:val="nil"/>
            </w:tcBorders>
            <w:shd w:val="clear" w:color="auto" w:fill="auto"/>
            <w:noWrap/>
            <w:vAlign w:val="bottom"/>
          </w:tcPr>
          <w:p w14:paraId="015E4BC8"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0.177</w:t>
            </w:r>
          </w:p>
        </w:tc>
      </w:tr>
      <w:tr w:rsidR="005A04A5" w:rsidRPr="00D605E1" w14:paraId="457A0B7C" w14:textId="77777777" w:rsidTr="00FC3C09">
        <w:trPr>
          <w:trHeight w:val="300"/>
        </w:trPr>
        <w:tc>
          <w:tcPr>
            <w:tcW w:w="2268" w:type="dxa"/>
            <w:tcBorders>
              <w:top w:val="nil"/>
              <w:left w:val="nil"/>
              <w:bottom w:val="nil"/>
              <w:right w:val="nil"/>
            </w:tcBorders>
            <w:shd w:val="clear" w:color="auto" w:fill="auto"/>
            <w:noWrap/>
            <w:vAlign w:val="bottom"/>
            <w:hideMark/>
          </w:tcPr>
          <w:p w14:paraId="75769E07" w14:textId="77777777" w:rsidR="005A04A5" w:rsidRPr="00EF2309" w:rsidRDefault="005A04A5" w:rsidP="005A04A5">
            <w:pPr>
              <w:rPr>
                <w:rFonts w:asciiTheme="minorHAnsi" w:hAnsiTheme="minorHAnsi"/>
                <w:sz w:val="18"/>
                <w:szCs w:val="18"/>
                <w:lang w:eastAsia="en-AU"/>
              </w:rPr>
            </w:pPr>
            <w:r w:rsidRPr="00EF2309">
              <w:rPr>
                <w:rFonts w:asciiTheme="minorHAnsi" w:hAnsiTheme="minorHAnsi"/>
                <w:sz w:val="18"/>
                <w:szCs w:val="18"/>
                <w:lang w:eastAsia="en-AU"/>
              </w:rPr>
              <w:t>Medical science</w:t>
            </w:r>
          </w:p>
        </w:tc>
        <w:tc>
          <w:tcPr>
            <w:tcW w:w="1418" w:type="dxa"/>
            <w:tcBorders>
              <w:top w:val="nil"/>
              <w:left w:val="nil"/>
              <w:bottom w:val="nil"/>
              <w:right w:val="nil"/>
            </w:tcBorders>
            <w:shd w:val="clear" w:color="auto" w:fill="auto"/>
            <w:noWrap/>
            <w:vAlign w:val="bottom"/>
            <w:hideMark/>
          </w:tcPr>
          <w:p w14:paraId="629978C6"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85.825</w:t>
            </w:r>
          </w:p>
        </w:tc>
        <w:tc>
          <w:tcPr>
            <w:tcW w:w="1088" w:type="dxa"/>
            <w:tcBorders>
              <w:top w:val="nil"/>
              <w:left w:val="nil"/>
              <w:bottom w:val="nil"/>
              <w:right w:val="nil"/>
            </w:tcBorders>
            <w:shd w:val="clear" w:color="auto" w:fill="auto"/>
            <w:noWrap/>
            <w:vAlign w:val="bottom"/>
            <w:hideMark/>
          </w:tcPr>
          <w:p w14:paraId="34BB40B0"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1</w:t>
            </w:r>
          </w:p>
        </w:tc>
        <w:tc>
          <w:tcPr>
            <w:tcW w:w="1276" w:type="dxa"/>
            <w:tcBorders>
              <w:top w:val="nil"/>
              <w:left w:val="nil"/>
              <w:bottom w:val="nil"/>
              <w:right w:val="nil"/>
            </w:tcBorders>
            <w:shd w:val="clear" w:color="auto" w:fill="auto"/>
            <w:noWrap/>
            <w:vAlign w:val="bottom"/>
            <w:hideMark/>
          </w:tcPr>
          <w:p w14:paraId="0EAD63FA"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47.7</w:t>
            </w:r>
          </w:p>
        </w:tc>
        <w:tc>
          <w:tcPr>
            <w:tcW w:w="1417" w:type="dxa"/>
            <w:tcBorders>
              <w:top w:val="nil"/>
              <w:left w:val="nil"/>
              <w:bottom w:val="nil"/>
              <w:right w:val="nil"/>
            </w:tcBorders>
            <w:shd w:val="clear" w:color="auto" w:fill="auto"/>
            <w:noWrap/>
            <w:vAlign w:val="bottom"/>
          </w:tcPr>
          <w:p w14:paraId="2CE11E9A"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0.032</w:t>
            </w:r>
          </w:p>
        </w:tc>
        <w:tc>
          <w:tcPr>
            <w:tcW w:w="1276" w:type="dxa"/>
            <w:tcBorders>
              <w:top w:val="nil"/>
              <w:left w:val="nil"/>
              <w:bottom w:val="nil"/>
              <w:right w:val="nil"/>
            </w:tcBorders>
            <w:shd w:val="clear" w:color="auto" w:fill="auto"/>
            <w:noWrap/>
            <w:vAlign w:val="bottom"/>
          </w:tcPr>
          <w:p w14:paraId="535FB6F0"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-3.137</w:t>
            </w:r>
          </w:p>
        </w:tc>
        <w:tc>
          <w:tcPr>
            <w:tcW w:w="1093" w:type="dxa"/>
            <w:tcBorders>
              <w:top w:val="nil"/>
              <w:left w:val="nil"/>
              <w:bottom w:val="nil"/>
              <w:right w:val="nil"/>
            </w:tcBorders>
            <w:shd w:val="clear" w:color="auto" w:fill="auto"/>
            <w:noWrap/>
            <w:vAlign w:val="bottom"/>
            <w:hideMark/>
          </w:tcPr>
          <w:p w14:paraId="19F9E97C"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53000</w:t>
            </w:r>
          </w:p>
        </w:tc>
        <w:tc>
          <w:tcPr>
            <w:tcW w:w="1221" w:type="dxa"/>
            <w:tcBorders>
              <w:top w:val="nil"/>
              <w:left w:val="nil"/>
              <w:bottom w:val="nil"/>
              <w:right w:val="nil"/>
            </w:tcBorders>
            <w:shd w:val="clear" w:color="auto" w:fill="auto"/>
            <w:noWrap/>
            <w:vAlign w:val="bottom"/>
          </w:tcPr>
          <w:p w14:paraId="237EFAC9"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0.168</w:t>
            </w:r>
          </w:p>
        </w:tc>
        <w:tc>
          <w:tcPr>
            <w:tcW w:w="1139" w:type="dxa"/>
            <w:tcBorders>
              <w:top w:val="nil"/>
              <w:left w:val="nil"/>
              <w:bottom w:val="nil"/>
              <w:right w:val="nil"/>
            </w:tcBorders>
            <w:shd w:val="clear" w:color="auto" w:fill="auto"/>
            <w:noWrap/>
            <w:vAlign w:val="bottom"/>
          </w:tcPr>
          <w:p w14:paraId="5967C876"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0.000</w:t>
            </w:r>
          </w:p>
        </w:tc>
        <w:tc>
          <w:tcPr>
            <w:tcW w:w="1193" w:type="dxa"/>
            <w:tcBorders>
              <w:top w:val="nil"/>
              <w:left w:val="nil"/>
              <w:bottom w:val="nil"/>
              <w:right w:val="nil"/>
            </w:tcBorders>
            <w:shd w:val="clear" w:color="auto" w:fill="auto"/>
            <w:noWrap/>
            <w:vAlign w:val="bottom"/>
          </w:tcPr>
          <w:p w14:paraId="7D822FBB"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0.067</w:t>
            </w:r>
          </w:p>
        </w:tc>
        <w:tc>
          <w:tcPr>
            <w:tcW w:w="1134" w:type="dxa"/>
            <w:tcBorders>
              <w:top w:val="nil"/>
              <w:left w:val="nil"/>
              <w:bottom w:val="nil"/>
              <w:right w:val="nil"/>
            </w:tcBorders>
            <w:shd w:val="clear" w:color="auto" w:fill="auto"/>
            <w:noWrap/>
            <w:vAlign w:val="bottom"/>
          </w:tcPr>
          <w:p w14:paraId="066E031C"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0.157</w:t>
            </w:r>
          </w:p>
        </w:tc>
      </w:tr>
      <w:tr w:rsidR="005A04A5" w:rsidRPr="00D605E1" w14:paraId="5B4AF923" w14:textId="77777777" w:rsidTr="00FC3C09">
        <w:trPr>
          <w:trHeight w:val="300"/>
        </w:trPr>
        <w:tc>
          <w:tcPr>
            <w:tcW w:w="2268" w:type="dxa"/>
            <w:tcBorders>
              <w:top w:val="nil"/>
              <w:left w:val="nil"/>
              <w:bottom w:val="nil"/>
              <w:right w:val="nil"/>
            </w:tcBorders>
            <w:shd w:val="clear" w:color="auto" w:fill="auto"/>
            <w:noWrap/>
            <w:vAlign w:val="bottom"/>
            <w:hideMark/>
          </w:tcPr>
          <w:p w14:paraId="7617645E" w14:textId="77777777" w:rsidR="005A04A5" w:rsidRPr="00EF2309" w:rsidRDefault="005A04A5" w:rsidP="005A04A5">
            <w:pPr>
              <w:rPr>
                <w:rFonts w:asciiTheme="minorHAnsi" w:hAnsiTheme="minorHAnsi"/>
                <w:sz w:val="18"/>
                <w:szCs w:val="18"/>
                <w:lang w:eastAsia="en-AU"/>
              </w:rPr>
            </w:pPr>
            <w:r w:rsidRPr="00EF2309">
              <w:rPr>
                <w:rFonts w:asciiTheme="minorHAnsi" w:hAnsiTheme="minorHAnsi"/>
                <w:sz w:val="18"/>
                <w:szCs w:val="18"/>
                <w:lang w:eastAsia="en-AU"/>
              </w:rPr>
              <w:t>Other sciences</w:t>
            </w:r>
          </w:p>
        </w:tc>
        <w:tc>
          <w:tcPr>
            <w:tcW w:w="1418" w:type="dxa"/>
            <w:tcBorders>
              <w:top w:val="nil"/>
              <w:left w:val="nil"/>
              <w:bottom w:val="nil"/>
              <w:right w:val="nil"/>
            </w:tcBorders>
            <w:shd w:val="clear" w:color="auto" w:fill="auto"/>
            <w:noWrap/>
            <w:vAlign w:val="bottom"/>
            <w:hideMark/>
          </w:tcPr>
          <w:p w14:paraId="7A725F8F"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85.9</w:t>
            </w:r>
          </w:p>
        </w:tc>
        <w:tc>
          <w:tcPr>
            <w:tcW w:w="1088" w:type="dxa"/>
            <w:tcBorders>
              <w:top w:val="nil"/>
              <w:left w:val="nil"/>
              <w:bottom w:val="nil"/>
              <w:right w:val="nil"/>
            </w:tcBorders>
            <w:shd w:val="clear" w:color="auto" w:fill="auto"/>
            <w:noWrap/>
            <w:vAlign w:val="bottom"/>
            <w:hideMark/>
          </w:tcPr>
          <w:p w14:paraId="10C8E311"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1</w:t>
            </w:r>
          </w:p>
        </w:tc>
        <w:tc>
          <w:tcPr>
            <w:tcW w:w="1276" w:type="dxa"/>
            <w:tcBorders>
              <w:top w:val="nil"/>
              <w:left w:val="nil"/>
              <w:bottom w:val="nil"/>
              <w:right w:val="nil"/>
            </w:tcBorders>
            <w:shd w:val="clear" w:color="auto" w:fill="auto"/>
            <w:noWrap/>
            <w:vAlign w:val="bottom"/>
            <w:hideMark/>
          </w:tcPr>
          <w:p w14:paraId="05BBCF3B"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50</w:t>
            </w:r>
          </w:p>
        </w:tc>
        <w:tc>
          <w:tcPr>
            <w:tcW w:w="1417" w:type="dxa"/>
            <w:tcBorders>
              <w:top w:val="nil"/>
              <w:left w:val="nil"/>
              <w:bottom w:val="nil"/>
              <w:right w:val="nil"/>
            </w:tcBorders>
            <w:shd w:val="clear" w:color="auto" w:fill="auto"/>
            <w:noWrap/>
            <w:vAlign w:val="bottom"/>
          </w:tcPr>
          <w:p w14:paraId="1109CBED"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0.039</w:t>
            </w:r>
          </w:p>
        </w:tc>
        <w:tc>
          <w:tcPr>
            <w:tcW w:w="1276" w:type="dxa"/>
            <w:tcBorders>
              <w:top w:val="nil"/>
              <w:left w:val="nil"/>
              <w:bottom w:val="nil"/>
              <w:right w:val="nil"/>
            </w:tcBorders>
            <w:shd w:val="clear" w:color="auto" w:fill="auto"/>
            <w:noWrap/>
            <w:vAlign w:val="bottom"/>
          </w:tcPr>
          <w:p w14:paraId="3FE0ED22"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-3.405</w:t>
            </w:r>
          </w:p>
        </w:tc>
        <w:tc>
          <w:tcPr>
            <w:tcW w:w="1093" w:type="dxa"/>
            <w:tcBorders>
              <w:top w:val="nil"/>
              <w:left w:val="nil"/>
              <w:bottom w:val="nil"/>
              <w:right w:val="nil"/>
            </w:tcBorders>
            <w:shd w:val="clear" w:color="auto" w:fill="auto"/>
            <w:noWrap/>
            <w:vAlign w:val="bottom"/>
            <w:hideMark/>
          </w:tcPr>
          <w:p w14:paraId="32F6075F"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55000</w:t>
            </w:r>
          </w:p>
        </w:tc>
        <w:tc>
          <w:tcPr>
            <w:tcW w:w="1221" w:type="dxa"/>
            <w:tcBorders>
              <w:top w:val="nil"/>
              <w:left w:val="nil"/>
              <w:bottom w:val="nil"/>
              <w:right w:val="nil"/>
            </w:tcBorders>
            <w:shd w:val="clear" w:color="auto" w:fill="auto"/>
            <w:noWrap/>
            <w:vAlign w:val="bottom"/>
          </w:tcPr>
          <w:p w14:paraId="23858F12"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0.265</w:t>
            </w:r>
          </w:p>
        </w:tc>
        <w:tc>
          <w:tcPr>
            <w:tcW w:w="1139" w:type="dxa"/>
            <w:tcBorders>
              <w:top w:val="nil"/>
              <w:left w:val="nil"/>
              <w:bottom w:val="nil"/>
              <w:right w:val="nil"/>
            </w:tcBorders>
            <w:shd w:val="clear" w:color="auto" w:fill="auto"/>
            <w:noWrap/>
            <w:vAlign w:val="bottom"/>
          </w:tcPr>
          <w:p w14:paraId="55CE6AEC"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0.020</w:t>
            </w:r>
          </w:p>
        </w:tc>
        <w:tc>
          <w:tcPr>
            <w:tcW w:w="1193" w:type="dxa"/>
            <w:tcBorders>
              <w:top w:val="nil"/>
              <w:left w:val="nil"/>
              <w:bottom w:val="nil"/>
              <w:right w:val="nil"/>
            </w:tcBorders>
            <w:shd w:val="clear" w:color="auto" w:fill="auto"/>
            <w:noWrap/>
            <w:vAlign w:val="bottom"/>
          </w:tcPr>
          <w:p w14:paraId="6AE8C137"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0.063</w:t>
            </w:r>
          </w:p>
        </w:tc>
        <w:tc>
          <w:tcPr>
            <w:tcW w:w="1134" w:type="dxa"/>
            <w:tcBorders>
              <w:top w:val="nil"/>
              <w:left w:val="nil"/>
              <w:bottom w:val="nil"/>
              <w:right w:val="nil"/>
            </w:tcBorders>
            <w:shd w:val="clear" w:color="auto" w:fill="auto"/>
            <w:noWrap/>
            <w:vAlign w:val="bottom"/>
          </w:tcPr>
          <w:p w14:paraId="7E4940E1"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0.187</w:t>
            </w:r>
          </w:p>
        </w:tc>
      </w:tr>
      <w:tr w:rsidR="005A04A5" w:rsidRPr="00D605E1" w14:paraId="1D529A8C" w14:textId="77777777" w:rsidTr="00FC3C09">
        <w:trPr>
          <w:trHeight w:val="300"/>
        </w:trPr>
        <w:tc>
          <w:tcPr>
            <w:tcW w:w="2268" w:type="dxa"/>
            <w:tcBorders>
              <w:top w:val="nil"/>
              <w:left w:val="nil"/>
              <w:bottom w:val="nil"/>
              <w:right w:val="nil"/>
            </w:tcBorders>
            <w:shd w:val="clear" w:color="auto" w:fill="auto"/>
            <w:noWrap/>
            <w:vAlign w:val="bottom"/>
            <w:hideMark/>
          </w:tcPr>
          <w:p w14:paraId="6644A83A" w14:textId="77777777" w:rsidR="005A04A5" w:rsidRPr="00EF2309" w:rsidRDefault="005A04A5" w:rsidP="005A04A5">
            <w:pPr>
              <w:rPr>
                <w:rFonts w:asciiTheme="minorHAnsi" w:hAnsiTheme="minorHAnsi"/>
                <w:sz w:val="18"/>
                <w:szCs w:val="18"/>
                <w:lang w:eastAsia="en-AU"/>
              </w:rPr>
            </w:pPr>
            <w:r w:rsidRPr="00EF2309">
              <w:rPr>
                <w:rFonts w:asciiTheme="minorHAnsi" w:hAnsiTheme="minorHAnsi"/>
                <w:sz w:val="18"/>
                <w:szCs w:val="18"/>
                <w:lang w:eastAsia="en-AU"/>
              </w:rPr>
              <w:t>Information technology</w:t>
            </w:r>
          </w:p>
        </w:tc>
        <w:tc>
          <w:tcPr>
            <w:tcW w:w="1418" w:type="dxa"/>
            <w:tcBorders>
              <w:top w:val="nil"/>
              <w:left w:val="nil"/>
              <w:bottom w:val="nil"/>
              <w:right w:val="nil"/>
            </w:tcBorders>
            <w:shd w:val="clear" w:color="auto" w:fill="auto"/>
            <w:noWrap/>
            <w:vAlign w:val="bottom"/>
            <w:hideMark/>
          </w:tcPr>
          <w:p w14:paraId="72F6A437"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77.45</w:t>
            </w:r>
          </w:p>
        </w:tc>
        <w:tc>
          <w:tcPr>
            <w:tcW w:w="1088" w:type="dxa"/>
            <w:tcBorders>
              <w:top w:val="nil"/>
              <w:left w:val="nil"/>
              <w:bottom w:val="nil"/>
              <w:right w:val="nil"/>
            </w:tcBorders>
            <w:shd w:val="clear" w:color="auto" w:fill="auto"/>
            <w:noWrap/>
            <w:vAlign w:val="bottom"/>
            <w:hideMark/>
          </w:tcPr>
          <w:p w14:paraId="7B06C870"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1</w:t>
            </w:r>
          </w:p>
        </w:tc>
        <w:tc>
          <w:tcPr>
            <w:tcW w:w="1276" w:type="dxa"/>
            <w:tcBorders>
              <w:top w:val="nil"/>
              <w:left w:val="nil"/>
              <w:bottom w:val="nil"/>
              <w:right w:val="nil"/>
            </w:tcBorders>
            <w:shd w:val="clear" w:color="auto" w:fill="auto"/>
            <w:noWrap/>
            <w:vAlign w:val="bottom"/>
            <w:hideMark/>
          </w:tcPr>
          <w:p w14:paraId="4E4477A2"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67</w:t>
            </w:r>
          </w:p>
        </w:tc>
        <w:tc>
          <w:tcPr>
            <w:tcW w:w="1417" w:type="dxa"/>
            <w:tcBorders>
              <w:top w:val="nil"/>
              <w:left w:val="nil"/>
              <w:bottom w:val="nil"/>
              <w:right w:val="nil"/>
            </w:tcBorders>
            <w:shd w:val="clear" w:color="auto" w:fill="auto"/>
            <w:noWrap/>
            <w:vAlign w:val="bottom"/>
          </w:tcPr>
          <w:p w14:paraId="33AE60F0"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0.024</w:t>
            </w:r>
          </w:p>
        </w:tc>
        <w:tc>
          <w:tcPr>
            <w:tcW w:w="1276" w:type="dxa"/>
            <w:tcBorders>
              <w:top w:val="nil"/>
              <w:left w:val="nil"/>
              <w:bottom w:val="nil"/>
              <w:right w:val="nil"/>
            </w:tcBorders>
            <w:shd w:val="clear" w:color="auto" w:fill="auto"/>
            <w:noWrap/>
            <w:vAlign w:val="bottom"/>
          </w:tcPr>
          <w:p w14:paraId="43C99DEB"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-3.642</w:t>
            </w:r>
          </w:p>
        </w:tc>
        <w:tc>
          <w:tcPr>
            <w:tcW w:w="1093" w:type="dxa"/>
            <w:tcBorders>
              <w:top w:val="nil"/>
              <w:left w:val="nil"/>
              <w:bottom w:val="nil"/>
              <w:right w:val="nil"/>
            </w:tcBorders>
            <w:shd w:val="clear" w:color="auto" w:fill="auto"/>
            <w:noWrap/>
            <w:vAlign w:val="bottom"/>
            <w:hideMark/>
          </w:tcPr>
          <w:p w14:paraId="28BC2C32"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58000</w:t>
            </w:r>
          </w:p>
        </w:tc>
        <w:tc>
          <w:tcPr>
            <w:tcW w:w="1221" w:type="dxa"/>
            <w:tcBorders>
              <w:top w:val="nil"/>
              <w:left w:val="nil"/>
              <w:bottom w:val="nil"/>
              <w:right w:val="nil"/>
            </w:tcBorders>
            <w:shd w:val="clear" w:color="auto" w:fill="auto"/>
            <w:noWrap/>
            <w:vAlign w:val="bottom"/>
          </w:tcPr>
          <w:p w14:paraId="55F83C40"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0.297</w:t>
            </w:r>
          </w:p>
        </w:tc>
        <w:tc>
          <w:tcPr>
            <w:tcW w:w="1139" w:type="dxa"/>
            <w:tcBorders>
              <w:top w:val="nil"/>
              <w:left w:val="nil"/>
              <w:bottom w:val="nil"/>
              <w:right w:val="nil"/>
            </w:tcBorders>
            <w:shd w:val="clear" w:color="auto" w:fill="auto"/>
            <w:noWrap/>
            <w:vAlign w:val="bottom"/>
          </w:tcPr>
          <w:p w14:paraId="2F2C4508"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0.008</w:t>
            </w:r>
          </w:p>
        </w:tc>
        <w:tc>
          <w:tcPr>
            <w:tcW w:w="1193" w:type="dxa"/>
            <w:tcBorders>
              <w:top w:val="nil"/>
              <w:left w:val="nil"/>
              <w:bottom w:val="nil"/>
              <w:right w:val="nil"/>
            </w:tcBorders>
            <w:shd w:val="clear" w:color="auto" w:fill="auto"/>
            <w:noWrap/>
            <w:vAlign w:val="bottom"/>
          </w:tcPr>
          <w:p w14:paraId="50611F51"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0.217</w:t>
            </w:r>
          </w:p>
        </w:tc>
        <w:tc>
          <w:tcPr>
            <w:tcW w:w="1134" w:type="dxa"/>
            <w:tcBorders>
              <w:top w:val="nil"/>
              <w:left w:val="nil"/>
              <w:bottom w:val="nil"/>
              <w:right w:val="nil"/>
            </w:tcBorders>
            <w:shd w:val="clear" w:color="auto" w:fill="auto"/>
            <w:noWrap/>
            <w:vAlign w:val="bottom"/>
          </w:tcPr>
          <w:p w14:paraId="38FB5758"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0.132</w:t>
            </w:r>
          </w:p>
        </w:tc>
      </w:tr>
      <w:tr w:rsidR="005A04A5" w:rsidRPr="00D605E1" w14:paraId="421A09CF" w14:textId="77777777" w:rsidTr="00FC3C09">
        <w:trPr>
          <w:trHeight w:val="300"/>
        </w:trPr>
        <w:tc>
          <w:tcPr>
            <w:tcW w:w="2268" w:type="dxa"/>
            <w:tcBorders>
              <w:top w:val="nil"/>
              <w:left w:val="nil"/>
              <w:bottom w:val="nil"/>
              <w:right w:val="nil"/>
            </w:tcBorders>
            <w:shd w:val="clear" w:color="auto" w:fill="auto"/>
            <w:noWrap/>
            <w:vAlign w:val="bottom"/>
            <w:hideMark/>
          </w:tcPr>
          <w:p w14:paraId="04FF9C98" w14:textId="77777777" w:rsidR="005A04A5" w:rsidRPr="00EF2309" w:rsidRDefault="005A04A5" w:rsidP="005A04A5">
            <w:pPr>
              <w:rPr>
                <w:rFonts w:asciiTheme="minorHAnsi" w:hAnsiTheme="minorHAnsi"/>
                <w:sz w:val="18"/>
                <w:szCs w:val="18"/>
                <w:lang w:eastAsia="en-AU"/>
              </w:rPr>
            </w:pPr>
            <w:r w:rsidRPr="00EF2309">
              <w:rPr>
                <w:rFonts w:asciiTheme="minorHAnsi" w:hAnsiTheme="minorHAnsi"/>
                <w:sz w:val="18"/>
                <w:szCs w:val="18"/>
                <w:lang w:eastAsia="en-AU"/>
              </w:rPr>
              <w:t>Engineering</w:t>
            </w:r>
          </w:p>
        </w:tc>
        <w:tc>
          <w:tcPr>
            <w:tcW w:w="1418" w:type="dxa"/>
            <w:tcBorders>
              <w:top w:val="nil"/>
              <w:left w:val="nil"/>
              <w:bottom w:val="nil"/>
              <w:right w:val="nil"/>
            </w:tcBorders>
            <w:shd w:val="clear" w:color="auto" w:fill="auto"/>
            <w:noWrap/>
            <w:vAlign w:val="bottom"/>
            <w:hideMark/>
          </w:tcPr>
          <w:p w14:paraId="5D271B61"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78.65</w:t>
            </w:r>
          </w:p>
        </w:tc>
        <w:tc>
          <w:tcPr>
            <w:tcW w:w="1088" w:type="dxa"/>
            <w:tcBorders>
              <w:top w:val="nil"/>
              <w:left w:val="nil"/>
              <w:bottom w:val="nil"/>
              <w:right w:val="nil"/>
            </w:tcBorders>
            <w:shd w:val="clear" w:color="auto" w:fill="auto"/>
            <w:noWrap/>
            <w:vAlign w:val="bottom"/>
            <w:hideMark/>
          </w:tcPr>
          <w:p w14:paraId="40523FDD"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1</w:t>
            </w:r>
          </w:p>
        </w:tc>
        <w:tc>
          <w:tcPr>
            <w:tcW w:w="1276" w:type="dxa"/>
            <w:tcBorders>
              <w:top w:val="nil"/>
              <w:left w:val="nil"/>
              <w:bottom w:val="nil"/>
              <w:right w:val="nil"/>
            </w:tcBorders>
            <w:shd w:val="clear" w:color="auto" w:fill="auto"/>
            <w:noWrap/>
            <w:vAlign w:val="bottom"/>
            <w:hideMark/>
          </w:tcPr>
          <w:p w14:paraId="2E68E325"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76.5</w:t>
            </w:r>
          </w:p>
        </w:tc>
        <w:tc>
          <w:tcPr>
            <w:tcW w:w="1417" w:type="dxa"/>
            <w:tcBorders>
              <w:top w:val="nil"/>
              <w:left w:val="nil"/>
              <w:bottom w:val="nil"/>
              <w:right w:val="nil"/>
            </w:tcBorders>
            <w:shd w:val="clear" w:color="auto" w:fill="auto"/>
            <w:noWrap/>
            <w:vAlign w:val="bottom"/>
          </w:tcPr>
          <w:p w14:paraId="08DEBE76"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0.048</w:t>
            </w:r>
          </w:p>
        </w:tc>
        <w:tc>
          <w:tcPr>
            <w:tcW w:w="1276" w:type="dxa"/>
            <w:tcBorders>
              <w:top w:val="nil"/>
              <w:left w:val="nil"/>
              <w:bottom w:val="nil"/>
              <w:right w:val="nil"/>
            </w:tcBorders>
            <w:shd w:val="clear" w:color="auto" w:fill="auto"/>
            <w:noWrap/>
            <w:vAlign w:val="bottom"/>
          </w:tcPr>
          <w:p w14:paraId="643D7B4C"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-3.318</w:t>
            </w:r>
          </w:p>
        </w:tc>
        <w:tc>
          <w:tcPr>
            <w:tcW w:w="1093" w:type="dxa"/>
            <w:tcBorders>
              <w:top w:val="nil"/>
              <w:left w:val="nil"/>
              <w:bottom w:val="nil"/>
              <w:right w:val="nil"/>
            </w:tcBorders>
            <w:shd w:val="clear" w:color="auto" w:fill="auto"/>
            <w:noWrap/>
            <w:vAlign w:val="bottom"/>
            <w:hideMark/>
          </w:tcPr>
          <w:p w14:paraId="25B008EC"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63600</w:t>
            </w:r>
          </w:p>
        </w:tc>
        <w:tc>
          <w:tcPr>
            <w:tcW w:w="1221" w:type="dxa"/>
            <w:tcBorders>
              <w:top w:val="nil"/>
              <w:left w:val="nil"/>
              <w:bottom w:val="nil"/>
              <w:right w:val="nil"/>
            </w:tcBorders>
            <w:shd w:val="clear" w:color="auto" w:fill="auto"/>
            <w:noWrap/>
            <w:vAlign w:val="bottom"/>
          </w:tcPr>
          <w:p w14:paraId="6D53184E"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0.277</w:t>
            </w:r>
          </w:p>
        </w:tc>
        <w:tc>
          <w:tcPr>
            <w:tcW w:w="1139" w:type="dxa"/>
            <w:tcBorders>
              <w:top w:val="nil"/>
              <w:left w:val="nil"/>
              <w:bottom w:val="nil"/>
              <w:right w:val="nil"/>
            </w:tcBorders>
            <w:shd w:val="clear" w:color="auto" w:fill="auto"/>
            <w:noWrap/>
            <w:vAlign w:val="bottom"/>
          </w:tcPr>
          <w:p w14:paraId="27D8489F"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0.000</w:t>
            </w:r>
          </w:p>
        </w:tc>
        <w:tc>
          <w:tcPr>
            <w:tcW w:w="1193" w:type="dxa"/>
            <w:tcBorders>
              <w:top w:val="nil"/>
              <w:left w:val="nil"/>
              <w:bottom w:val="nil"/>
              <w:right w:val="nil"/>
            </w:tcBorders>
            <w:shd w:val="clear" w:color="auto" w:fill="auto"/>
            <w:noWrap/>
            <w:vAlign w:val="bottom"/>
          </w:tcPr>
          <w:p w14:paraId="2F66BEF9"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0.151</w:t>
            </w:r>
          </w:p>
        </w:tc>
        <w:tc>
          <w:tcPr>
            <w:tcW w:w="1134" w:type="dxa"/>
            <w:tcBorders>
              <w:top w:val="nil"/>
              <w:left w:val="nil"/>
              <w:bottom w:val="nil"/>
              <w:right w:val="nil"/>
            </w:tcBorders>
            <w:shd w:val="clear" w:color="auto" w:fill="auto"/>
            <w:noWrap/>
            <w:vAlign w:val="bottom"/>
          </w:tcPr>
          <w:p w14:paraId="13B92DAD"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0.189</w:t>
            </w:r>
          </w:p>
        </w:tc>
      </w:tr>
      <w:tr w:rsidR="005A04A5" w:rsidRPr="00D605E1" w14:paraId="32C8B96B" w14:textId="77777777" w:rsidTr="00FC3C09">
        <w:trPr>
          <w:trHeight w:val="300"/>
        </w:trPr>
        <w:tc>
          <w:tcPr>
            <w:tcW w:w="2268" w:type="dxa"/>
            <w:tcBorders>
              <w:top w:val="nil"/>
              <w:left w:val="nil"/>
              <w:bottom w:val="nil"/>
              <w:right w:val="nil"/>
            </w:tcBorders>
            <w:shd w:val="clear" w:color="auto" w:fill="auto"/>
            <w:noWrap/>
            <w:vAlign w:val="bottom"/>
            <w:hideMark/>
          </w:tcPr>
          <w:p w14:paraId="7BF71A5F" w14:textId="77777777" w:rsidR="005A04A5" w:rsidRPr="00EF2309" w:rsidRDefault="005A04A5" w:rsidP="005A04A5">
            <w:pPr>
              <w:rPr>
                <w:rFonts w:asciiTheme="minorHAnsi" w:hAnsiTheme="minorHAnsi"/>
                <w:sz w:val="18"/>
                <w:szCs w:val="18"/>
                <w:lang w:eastAsia="en-AU"/>
              </w:rPr>
            </w:pPr>
            <w:r w:rsidRPr="00EF2309">
              <w:rPr>
                <w:rFonts w:asciiTheme="minorHAnsi" w:hAnsiTheme="minorHAnsi"/>
                <w:sz w:val="18"/>
                <w:szCs w:val="18"/>
                <w:lang w:eastAsia="en-AU"/>
              </w:rPr>
              <w:t>Architecture</w:t>
            </w:r>
          </w:p>
        </w:tc>
        <w:tc>
          <w:tcPr>
            <w:tcW w:w="1418" w:type="dxa"/>
            <w:tcBorders>
              <w:top w:val="nil"/>
              <w:left w:val="nil"/>
              <w:bottom w:val="nil"/>
              <w:right w:val="nil"/>
            </w:tcBorders>
            <w:shd w:val="clear" w:color="auto" w:fill="auto"/>
            <w:noWrap/>
            <w:vAlign w:val="bottom"/>
            <w:hideMark/>
          </w:tcPr>
          <w:p w14:paraId="51BB95FD"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76.95</w:t>
            </w:r>
          </w:p>
        </w:tc>
        <w:tc>
          <w:tcPr>
            <w:tcW w:w="1088" w:type="dxa"/>
            <w:tcBorders>
              <w:top w:val="nil"/>
              <w:left w:val="nil"/>
              <w:bottom w:val="nil"/>
              <w:right w:val="nil"/>
            </w:tcBorders>
            <w:shd w:val="clear" w:color="auto" w:fill="auto"/>
            <w:noWrap/>
            <w:vAlign w:val="bottom"/>
            <w:hideMark/>
          </w:tcPr>
          <w:p w14:paraId="2475DEE8"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1</w:t>
            </w:r>
          </w:p>
        </w:tc>
        <w:tc>
          <w:tcPr>
            <w:tcW w:w="1276" w:type="dxa"/>
            <w:tcBorders>
              <w:top w:val="nil"/>
              <w:left w:val="nil"/>
              <w:bottom w:val="nil"/>
              <w:right w:val="nil"/>
            </w:tcBorders>
            <w:shd w:val="clear" w:color="auto" w:fill="auto"/>
            <w:noWrap/>
            <w:vAlign w:val="bottom"/>
            <w:hideMark/>
          </w:tcPr>
          <w:p w14:paraId="58F53582"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65.8</w:t>
            </w:r>
          </w:p>
        </w:tc>
        <w:tc>
          <w:tcPr>
            <w:tcW w:w="1417" w:type="dxa"/>
            <w:tcBorders>
              <w:top w:val="nil"/>
              <w:left w:val="nil"/>
              <w:bottom w:val="nil"/>
              <w:right w:val="nil"/>
            </w:tcBorders>
            <w:shd w:val="clear" w:color="auto" w:fill="auto"/>
            <w:noWrap/>
            <w:vAlign w:val="bottom"/>
          </w:tcPr>
          <w:p w14:paraId="5212A427"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0.014</w:t>
            </w:r>
          </w:p>
        </w:tc>
        <w:tc>
          <w:tcPr>
            <w:tcW w:w="1276" w:type="dxa"/>
            <w:tcBorders>
              <w:top w:val="nil"/>
              <w:left w:val="nil"/>
              <w:bottom w:val="nil"/>
              <w:right w:val="nil"/>
            </w:tcBorders>
            <w:shd w:val="clear" w:color="auto" w:fill="auto"/>
            <w:noWrap/>
            <w:vAlign w:val="bottom"/>
          </w:tcPr>
          <w:p w14:paraId="30304389"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-3.286</w:t>
            </w:r>
          </w:p>
        </w:tc>
        <w:tc>
          <w:tcPr>
            <w:tcW w:w="1093" w:type="dxa"/>
            <w:tcBorders>
              <w:top w:val="nil"/>
              <w:left w:val="nil"/>
              <w:bottom w:val="nil"/>
              <w:right w:val="nil"/>
            </w:tcBorders>
            <w:shd w:val="clear" w:color="auto" w:fill="auto"/>
            <w:noWrap/>
            <w:vAlign w:val="bottom"/>
            <w:hideMark/>
          </w:tcPr>
          <w:p w14:paraId="469BB0AB"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50000</w:t>
            </w:r>
          </w:p>
        </w:tc>
        <w:tc>
          <w:tcPr>
            <w:tcW w:w="1221" w:type="dxa"/>
            <w:tcBorders>
              <w:top w:val="nil"/>
              <w:left w:val="nil"/>
              <w:bottom w:val="nil"/>
              <w:right w:val="nil"/>
            </w:tcBorders>
            <w:shd w:val="clear" w:color="auto" w:fill="auto"/>
            <w:noWrap/>
            <w:vAlign w:val="bottom"/>
          </w:tcPr>
          <w:p w14:paraId="5DD5580D"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0.390</w:t>
            </w:r>
          </w:p>
        </w:tc>
        <w:tc>
          <w:tcPr>
            <w:tcW w:w="1139" w:type="dxa"/>
            <w:tcBorders>
              <w:top w:val="nil"/>
              <w:left w:val="nil"/>
              <w:bottom w:val="nil"/>
              <w:right w:val="nil"/>
            </w:tcBorders>
            <w:shd w:val="clear" w:color="auto" w:fill="auto"/>
            <w:noWrap/>
            <w:vAlign w:val="bottom"/>
          </w:tcPr>
          <w:p w14:paraId="5C9FD2F2"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0.140</w:t>
            </w:r>
          </w:p>
        </w:tc>
        <w:tc>
          <w:tcPr>
            <w:tcW w:w="1193" w:type="dxa"/>
            <w:tcBorders>
              <w:top w:val="nil"/>
              <w:left w:val="nil"/>
              <w:bottom w:val="nil"/>
              <w:right w:val="nil"/>
            </w:tcBorders>
            <w:shd w:val="clear" w:color="auto" w:fill="auto"/>
            <w:noWrap/>
            <w:vAlign w:val="bottom"/>
          </w:tcPr>
          <w:p w14:paraId="7A6C8127"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0.083</w:t>
            </w:r>
          </w:p>
        </w:tc>
        <w:tc>
          <w:tcPr>
            <w:tcW w:w="1134" w:type="dxa"/>
            <w:tcBorders>
              <w:top w:val="nil"/>
              <w:left w:val="nil"/>
              <w:bottom w:val="nil"/>
              <w:right w:val="nil"/>
            </w:tcBorders>
            <w:shd w:val="clear" w:color="auto" w:fill="auto"/>
            <w:noWrap/>
            <w:vAlign w:val="bottom"/>
          </w:tcPr>
          <w:p w14:paraId="2FA39CF2"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0.175</w:t>
            </w:r>
          </w:p>
        </w:tc>
      </w:tr>
      <w:tr w:rsidR="005A04A5" w:rsidRPr="00D605E1" w14:paraId="197B726F" w14:textId="77777777" w:rsidTr="00FC3C09">
        <w:trPr>
          <w:trHeight w:val="300"/>
        </w:trPr>
        <w:tc>
          <w:tcPr>
            <w:tcW w:w="2268" w:type="dxa"/>
            <w:tcBorders>
              <w:top w:val="nil"/>
              <w:left w:val="nil"/>
              <w:bottom w:val="nil"/>
              <w:right w:val="nil"/>
            </w:tcBorders>
            <w:shd w:val="clear" w:color="auto" w:fill="auto"/>
            <w:noWrap/>
            <w:vAlign w:val="bottom"/>
            <w:hideMark/>
          </w:tcPr>
          <w:p w14:paraId="597E1EFA" w14:textId="77777777" w:rsidR="005A04A5" w:rsidRPr="00EF2309" w:rsidRDefault="005A04A5" w:rsidP="005A04A5">
            <w:pPr>
              <w:rPr>
                <w:rFonts w:asciiTheme="minorHAnsi" w:hAnsiTheme="minorHAnsi"/>
                <w:sz w:val="18"/>
                <w:szCs w:val="18"/>
                <w:lang w:eastAsia="en-AU"/>
              </w:rPr>
            </w:pPr>
            <w:r w:rsidRPr="00EF2309">
              <w:rPr>
                <w:rFonts w:asciiTheme="minorHAnsi" w:hAnsiTheme="minorHAnsi"/>
                <w:sz w:val="18"/>
                <w:szCs w:val="18"/>
                <w:lang w:eastAsia="en-AU"/>
              </w:rPr>
              <w:t>Environmental science</w:t>
            </w:r>
          </w:p>
        </w:tc>
        <w:tc>
          <w:tcPr>
            <w:tcW w:w="1418" w:type="dxa"/>
            <w:tcBorders>
              <w:top w:val="nil"/>
              <w:left w:val="nil"/>
              <w:bottom w:val="nil"/>
              <w:right w:val="nil"/>
            </w:tcBorders>
            <w:shd w:val="clear" w:color="auto" w:fill="auto"/>
            <w:noWrap/>
            <w:vAlign w:val="bottom"/>
            <w:hideMark/>
          </w:tcPr>
          <w:p w14:paraId="5677463E"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86.97501</w:t>
            </w:r>
          </w:p>
        </w:tc>
        <w:tc>
          <w:tcPr>
            <w:tcW w:w="1088" w:type="dxa"/>
            <w:tcBorders>
              <w:top w:val="nil"/>
              <w:left w:val="nil"/>
              <w:bottom w:val="nil"/>
              <w:right w:val="nil"/>
            </w:tcBorders>
            <w:shd w:val="clear" w:color="auto" w:fill="auto"/>
            <w:noWrap/>
            <w:vAlign w:val="bottom"/>
            <w:hideMark/>
          </w:tcPr>
          <w:p w14:paraId="38CEA82B"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1</w:t>
            </w:r>
          </w:p>
        </w:tc>
        <w:tc>
          <w:tcPr>
            <w:tcW w:w="1276" w:type="dxa"/>
            <w:tcBorders>
              <w:top w:val="nil"/>
              <w:left w:val="nil"/>
              <w:bottom w:val="nil"/>
              <w:right w:val="nil"/>
            </w:tcBorders>
            <w:shd w:val="clear" w:color="auto" w:fill="auto"/>
            <w:noWrap/>
            <w:vAlign w:val="bottom"/>
            <w:hideMark/>
          </w:tcPr>
          <w:p w14:paraId="6B1645D2"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57.4</w:t>
            </w:r>
          </w:p>
        </w:tc>
        <w:tc>
          <w:tcPr>
            <w:tcW w:w="1417" w:type="dxa"/>
            <w:tcBorders>
              <w:top w:val="nil"/>
              <w:left w:val="nil"/>
              <w:bottom w:val="nil"/>
              <w:right w:val="nil"/>
            </w:tcBorders>
            <w:shd w:val="clear" w:color="auto" w:fill="auto"/>
            <w:noWrap/>
            <w:vAlign w:val="bottom"/>
          </w:tcPr>
          <w:p w14:paraId="50817F13"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0.011</w:t>
            </w:r>
          </w:p>
        </w:tc>
        <w:tc>
          <w:tcPr>
            <w:tcW w:w="1276" w:type="dxa"/>
            <w:tcBorders>
              <w:top w:val="nil"/>
              <w:left w:val="nil"/>
              <w:bottom w:val="nil"/>
              <w:right w:val="nil"/>
            </w:tcBorders>
            <w:shd w:val="clear" w:color="auto" w:fill="auto"/>
            <w:noWrap/>
            <w:vAlign w:val="bottom"/>
          </w:tcPr>
          <w:p w14:paraId="12F4EA6D"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-3.231</w:t>
            </w:r>
          </w:p>
        </w:tc>
        <w:tc>
          <w:tcPr>
            <w:tcW w:w="1093" w:type="dxa"/>
            <w:tcBorders>
              <w:top w:val="nil"/>
              <w:left w:val="nil"/>
              <w:bottom w:val="nil"/>
              <w:right w:val="nil"/>
            </w:tcBorders>
            <w:shd w:val="clear" w:color="auto" w:fill="auto"/>
            <w:noWrap/>
            <w:vAlign w:val="bottom"/>
            <w:hideMark/>
          </w:tcPr>
          <w:p w14:paraId="58D20800"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53000</w:t>
            </w:r>
          </w:p>
        </w:tc>
        <w:tc>
          <w:tcPr>
            <w:tcW w:w="1221" w:type="dxa"/>
            <w:tcBorders>
              <w:top w:val="nil"/>
              <w:left w:val="nil"/>
              <w:bottom w:val="nil"/>
              <w:right w:val="nil"/>
            </w:tcBorders>
            <w:shd w:val="clear" w:color="auto" w:fill="auto"/>
            <w:noWrap/>
            <w:vAlign w:val="bottom"/>
          </w:tcPr>
          <w:p w14:paraId="0C89CEE1"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0.279</w:t>
            </w:r>
          </w:p>
        </w:tc>
        <w:tc>
          <w:tcPr>
            <w:tcW w:w="1139" w:type="dxa"/>
            <w:tcBorders>
              <w:top w:val="nil"/>
              <w:left w:val="nil"/>
              <w:bottom w:val="nil"/>
              <w:right w:val="nil"/>
            </w:tcBorders>
            <w:shd w:val="clear" w:color="auto" w:fill="auto"/>
            <w:noWrap/>
            <w:vAlign w:val="bottom"/>
          </w:tcPr>
          <w:p w14:paraId="1DD25047"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0.048</w:t>
            </w:r>
          </w:p>
        </w:tc>
        <w:tc>
          <w:tcPr>
            <w:tcW w:w="1193" w:type="dxa"/>
            <w:tcBorders>
              <w:top w:val="nil"/>
              <w:left w:val="nil"/>
              <w:bottom w:val="nil"/>
              <w:right w:val="nil"/>
            </w:tcBorders>
            <w:shd w:val="clear" w:color="auto" w:fill="auto"/>
            <w:noWrap/>
            <w:vAlign w:val="bottom"/>
          </w:tcPr>
          <w:p w14:paraId="285E72A9"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0.081</w:t>
            </w:r>
          </w:p>
        </w:tc>
        <w:tc>
          <w:tcPr>
            <w:tcW w:w="1134" w:type="dxa"/>
            <w:tcBorders>
              <w:top w:val="nil"/>
              <w:left w:val="nil"/>
              <w:bottom w:val="nil"/>
              <w:right w:val="nil"/>
            </w:tcBorders>
            <w:shd w:val="clear" w:color="auto" w:fill="auto"/>
            <w:noWrap/>
            <w:vAlign w:val="bottom"/>
          </w:tcPr>
          <w:p w14:paraId="4A618015"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0.167</w:t>
            </w:r>
          </w:p>
        </w:tc>
      </w:tr>
      <w:tr w:rsidR="005A04A5" w:rsidRPr="00D605E1" w14:paraId="48F57794" w14:textId="77777777" w:rsidTr="00FC3C09">
        <w:trPr>
          <w:trHeight w:val="300"/>
        </w:trPr>
        <w:tc>
          <w:tcPr>
            <w:tcW w:w="2268" w:type="dxa"/>
            <w:tcBorders>
              <w:top w:val="nil"/>
              <w:left w:val="nil"/>
              <w:bottom w:val="nil"/>
              <w:right w:val="nil"/>
            </w:tcBorders>
            <w:shd w:val="clear" w:color="auto" w:fill="auto"/>
            <w:noWrap/>
            <w:vAlign w:val="bottom"/>
            <w:hideMark/>
          </w:tcPr>
          <w:p w14:paraId="2FE1C6C5" w14:textId="77777777" w:rsidR="005A04A5" w:rsidRPr="00EF2309" w:rsidRDefault="005A04A5" w:rsidP="005A04A5">
            <w:pPr>
              <w:rPr>
                <w:rFonts w:asciiTheme="minorHAnsi" w:hAnsiTheme="minorHAnsi"/>
                <w:sz w:val="18"/>
                <w:szCs w:val="18"/>
                <w:lang w:eastAsia="en-AU"/>
              </w:rPr>
            </w:pPr>
            <w:r w:rsidRPr="00EF2309">
              <w:rPr>
                <w:rFonts w:asciiTheme="minorHAnsi" w:hAnsiTheme="minorHAnsi"/>
                <w:sz w:val="18"/>
                <w:szCs w:val="18"/>
                <w:lang w:eastAsia="en-AU"/>
              </w:rPr>
              <w:t>Agriculture and related studies</w:t>
            </w:r>
          </w:p>
        </w:tc>
        <w:tc>
          <w:tcPr>
            <w:tcW w:w="1418" w:type="dxa"/>
            <w:tcBorders>
              <w:top w:val="nil"/>
              <w:left w:val="nil"/>
              <w:bottom w:val="nil"/>
              <w:right w:val="nil"/>
            </w:tcBorders>
            <w:shd w:val="clear" w:color="auto" w:fill="auto"/>
            <w:noWrap/>
            <w:vAlign w:val="bottom"/>
            <w:hideMark/>
          </w:tcPr>
          <w:p w14:paraId="0393411F"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85.375</w:t>
            </w:r>
          </w:p>
        </w:tc>
        <w:tc>
          <w:tcPr>
            <w:tcW w:w="1088" w:type="dxa"/>
            <w:tcBorders>
              <w:top w:val="nil"/>
              <w:left w:val="nil"/>
              <w:bottom w:val="nil"/>
              <w:right w:val="nil"/>
            </w:tcBorders>
            <w:shd w:val="clear" w:color="auto" w:fill="auto"/>
            <w:noWrap/>
            <w:vAlign w:val="bottom"/>
            <w:hideMark/>
          </w:tcPr>
          <w:p w14:paraId="4335F5AA"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1</w:t>
            </w:r>
          </w:p>
        </w:tc>
        <w:tc>
          <w:tcPr>
            <w:tcW w:w="1276" w:type="dxa"/>
            <w:tcBorders>
              <w:top w:val="nil"/>
              <w:left w:val="nil"/>
              <w:bottom w:val="nil"/>
              <w:right w:val="nil"/>
            </w:tcBorders>
            <w:shd w:val="clear" w:color="auto" w:fill="auto"/>
            <w:noWrap/>
            <w:vAlign w:val="bottom"/>
            <w:hideMark/>
          </w:tcPr>
          <w:p w14:paraId="081E4577"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61.5</w:t>
            </w:r>
          </w:p>
        </w:tc>
        <w:tc>
          <w:tcPr>
            <w:tcW w:w="1417" w:type="dxa"/>
            <w:tcBorders>
              <w:top w:val="nil"/>
              <w:left w:val="nil"/>
              <w:bottom w:val="nil"/>
              <w:right w:val="nil"/>
            </w:tcBorders>
            <w:shd w:val="clear" w:color="auto" w:fill="auto"/>
            <w:noWrap/>
            <w:vAlign w:val="bottom"/>
          </w:tcPr>
          <w:p w14:paraId="0C5B9D62"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0.077</w:t>
            </w:r>
          </w:p>
        </w:tc>
        <w:tc>
          <w:tcPr>
            <w:tcW w:w="1276" w:type="dxa"/>
            <w:tcBorders>
              <w:top w:val="nil"/>
              <w:left w:val="nil"/>
              <w:bottom w:val="nil"/>
              <w:right w:val="nil"/>
            </w:tcBorders>
            <w:shd w:val="clear" w:color="auto" w:fill="auto"/>
            <w:noWrap/>
            <w:vAlign w:val="bottom"/>
          </w:tcPr>
          <w:p w14:paraId="31B16017"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-2.893</w:t>
            </w:r>
          </w:p>
        </w:tc>
        <w:tc>
          <w:tcPr>
            <w:tcW w:w="1093" w:type="dxa"/>
            <w:tcBorders>
              <w:top w:val="nil"/>
              <w:left w:val="nil"/>
              <w:bottom w:val="nil"/>
              <w:right w:val="nil"/>
            </w:tcBorders>
            <w:shd w:val="clear" w:color="auto" w:fill="auto"/>
            <w:noWrap/>
            <w:vAlign w:val="bottom"/>
            <w:hideMark/>
          </w:tcPr>
          <w:p w14:paraId="7CC021A0"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54000</w:t>
            </w:r>
          </w:p>
        </w:tc>
        <w:tc>
          <w:tcPr>
            <w:tcW w:w="1221" w:type="dxa"/>
            <w:tcBorders>
              <w:top w:val="nil"/>
              <w:left w:val="nil"/>
              <w:bottom w:val="nil"/>
              <w:right w:val="nil"/>
            </w:tcBorders>
            <w:shd w:val="clear" w:color="auto" w:fill="auto"/>
            <w:noWrap/>
            <w:vAlign w:val="bottom"/>
          </w:tcPr>
          <w:p w14:paraId="71D6FE11"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0.207</w:t>
            </w:r>
          </w:p>
        </w:tc>
        <w:tc>
          <w:tcPr>
            <w:tcW w:w="1139" w:type="dxa"/>
            <w:tcBorders>
              <w:top w:val="nil"/>
              <w:left w:val="nil"/>
              <w:bottom w:val="nil"/>
              <w:right w:val="nil"/>
            </w:tcBorders>
            <w:shd w:val="clear" w:color="auto" w:fill="auto"/>
            <w:noWrap/>
            <w:vAlign w:val="bottom"/>
          </w:tcPr>
          <w:p w14:paraId="5FDDD79F"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0.089</w:t>
            </w:r>
          </w:p>
        </w:tc>
        <w:tc>
          <w:tcPr>
            <w:tcW w:w="1193" w:type="dxa"/>
            <w:tcBorders>
              <w:top w:val="nil"/>
              <w:left w:val="nil"/>
              <w:bottom w:val="nil"/>
              <w:right w:val="nil"/>
            </w:tcBorders>
            <w:shd w:val="clear" w:color="auto" w:fill="auto"/>
            <w:noWrap/>
            <w:vAlign w:val="bottom"/>
          </w:tcPr>
          <w:p w14:paraId="5CA5DBEE"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0.045</w:t>
            </w:r>
          </w:p>
        </w:tc>
        <w:tc>
          <w:tcPr>
            <w:tcW w:w="1134" w:type="dxa"/>
            <w:tcBorders>
              <w:top w:val="nil"/>
              <w:left w:val="nil"/>
              <w:bottom w:val="nil"/>
              <w:right w:val="nil"/>
            </w:tcBorders>
            <w:shd w:val="clear" w:color="auto" w:fill="auto"/>
            <w:noWrap/>
            <w:vAlign w:val="bottom"/>
          </w:tcPr>
          <w:p w14:paraId="61F32C40"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0.384</w:t>
            </w:r>
          </w:p>
        </w:tc>
      </w:tr>
      <w:tr w:rsidR="005A04A5" w:rsidRPr="00D605E1" w14:paraId="58AE1AC0" w14:textId="77777777" w:rsidTr="00FC3C09">
        <w:trPr>
          <w:trHeight w:val="300"/>
        </w:trPr>
        <w:tc>
          <w:tcPr>
            <w:tcW w:w="2268" w:type="dxa"/>
            <w:tcBorders>
              <w:top w:val="nil"/>
              <w:left w:val="nil"/>
              <w:bottom w:val="nil"/>
              <w:right w:val="nil"/>
            </w:tcBorders>
            <w:shd w:val="clear" w:color="auto" w:fill="auto"/>
            <w:noWrap/>
            <w:vAlign w:val="bottom"/>
            <w:hideMark/>
          </w:tcPr>
          <w:p w14:paraId="0BF94AED" w14:textId="77777777" w:rsidR="005A04A5" w:rsidRPr="00EF2309" w:rsidRDefault="005A04A5" w:rsidP="005A04A5">
            <w:pPr>
              <w:rPr>
                <w:rFonts w:asciiTheme="minorHAnsi" w:hAnsiTheme="minorHAnsi"/>
                <w:sz w:val="18"/>
                <w:szCs w:val="18"/>
                <w:lang w:eastAsia="en-AU"/>
              </w:rPr>
            </w:pPr>
            <w:r w:rsidRPr="00EF2309">
              <w:rPr>
                <w:rFonts w:asciiTheme="minorHAnsi" w:hAnsiTheme="minorHAnsi"/>
                <w:sz w:val="18"/>
                <w:szCs w:val="18"/>
                <w:lang w:eastAsia="en-AU"/>
              </w:rPr>
              <w:t>Medical studies</w:t>
            </w:r>
          </w:p>
        </w:tc>
        <w:tc>
          <w:tcPr>
            <w:tcW w:w="1418" w:type="dxa"/>
            <w:tcBorders>
              <w:top w:val="nil"/>
              <w:left w:val="nil"/>
              <w:bottom w:val="nil"/>
              <w:right w:val="nil"/>
            </w:tcBorders>
            <w:shd w:val="clear" w:color="auto" w:fill="auto"/>
            <w:noWrap/>
            <w:vAlign w:val="bottom"/>
            <w:hideMark/>
          </w:tcPr>
          <w:p w14:paraId="75BC179F"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81.9</w:t>
            </w:r>
          </w:p>
        </w:tc>
        <w:tc>
          <w:tcPr>
            <w:tcW w:w="1088" w:type="dxa"/>
            <w:tcBorders>
              <w:top w:val="nil"/>
              <w:left w:val="nil"/>
              <w:bottom w:val="nil"/>
              <w:right w:val="nil"/>
            </w:tcBorders>
            <w:shd w:val="clear" w:color="auto" w:fill="auto"/>
            <w:noWrap/>
            <w:vAlign w:val="bottom"/>
            <w:hideMark/>
          </w:tcPr>
          <w:p w14:paraId="4BE33170"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1</w:t>
            </w:r>
          </w:p>
        </w:tc>
        <w:tc>
          <w:tcPr>
            <w:tcW w:w="1276" w:type="dxa"/>
            <w:tcBorders>
              <w:top w:val="nil"/>
              <w:left w:val="nil"/>
              <w:bottom w:val="nil"/>
              <w:right w:val="nil"/>
            </w:tcBorders>
            <w:shd w:val="clear" w:color="auto" w:fill="auto"/>
            <w:noWrap/>
            <w:vAlign w:val="bottom"/>
            <w:hideMark/>
          </w:tcPr>
          <w:p w14:paraId="65EC6722"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98.9</w:t>
            </w:r>
          </w:p>
        </w:tc>
        <w:tc>
          <w:tcPr>
            <w:tcW w:w="1417" w:type="dxa"/>
            <w:tcBorders>
              <w:top w:val="nil"/>
              <w:left w:val="nil"/>
              <w:bottom w:val="nil"/>
              <w:right w:val="nil"/>
            </w:tcBorders>
            <w:shd w:val="clear" w:color="auto" w:fill="auto"/>
            <w:noWrap/>
            <w:vAlign w:val="bottom"/>
          </w:tcPr>
          <w:p w14:paraId="393D6E33"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0.037</w:t>
            </w:r>
          </w:p>
        </w:tc>
        <w:tc>
          <w:tcPr>
            <w:tcW w:w="1276" w:type="dxa"/>
            <w:tcBorders>
              <w:top w:val="nil"/>
              <w:left w:val="nil"/>
              <w:bottom w:val="nil"/>
              <w:right w:val="nil"/>
            </w:tcBorders>
            <w:shd w:val="clear" w:color="auto" w:fill="auto"/>
            <w:noWrap/>
            <w:vAlign w:val="bottom"/>
          </w:tcPr>
          <w:p w14:paraId="04B9751F"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-3.015</w:t>
            </w:r>
          </w:p>
        </w:tc>
        <w:tc>
          <w:tcPr>
            <w:tcW w:w="1093" w:type="dxa"/>
            <w:tcBorders>
              <w:top w:val="nil"/>
              <w:left w:val="nil"/>
              <w:bottom w:val="nil"/>
              <w:right w:val="nil"/>
            </w:tcBorders>
            <w:shd w:val="clear" w:color="auto" w:fill="auto"/>
            <w:noWrap/>
            <w:vAlign w:val="bottom"/>
            <w:hideMark/>
          </w:tcPr>
          <w:p w14:paraId="59CECA87"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60000</w:t>
            </w:r>
          </w:p>
        </w:tc>
        <w:tc>
          <w:tcPr>
            <w:tcW w:w="1221" w:type="dxa"/>
            <w:tcBorders>
              <w:top w:val="nil"/>
              <w:left w:val="nil"/>
              <w:bottom w:val="nil"/>
              <w:right w:val="nil"/>
            </w:tcBorders>
            <w:shd w:val="clear" w:color="auto" w:fill="auto"/>
            <w:noWrap/>
            <w:vAlign w:val="bottom"/>
          </w:tcPr>
          <w:p w14:paraId="6D3C7395"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0.188</w:t>
            </w:r>
          </w:p>
        </w:tc>
        <w:tc>
          <w:tcPr>
            <w:tcW w:w="1139" w:type="dxa"/>
            <w:tcBorders>
              <w:top w:val="nil"/>
              <w:left w:val="nil"/>
              <w:bottom w:val="nil"/>
              <w:right w:val="nil"/>
            </w:tcBorders>
            <w:shd w:val="clear" w:color="auto" w:fill="auto"/>
            <w:noWrap/>
            <w:vAlign w:val="bottom"/>
          </w:tcPr>
          <w:p w14:paraId="432B1377"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0.000</w:t>
            </w:r>
          </w:p>
        </w:tc>
        <w:tc>
          <w:tcPr>
            <w:tcW w:w="1193" w:type="dxa"/>
            <w:tcBorders>
              <w:top w:val="nil"/>
              <w:left w:val="nil"/>
              <w:bottom w:val="nil"/>
              <w:right w:val="nil"/>
            </w:tcBorders>
            <w:shd w:val="clear" w:color="auto" w:fill="auto"/>
            <w:noWrap/>
            <w:vAlign w:val="bottom"/>
          </w:tcPr>
          <w:p w14:paraId="66968B47"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0.108</w:t>
            </w:r>
          </w:p>
        </w:tc>
        <w:tc>
          <w:tcPr>
            <w:tcW w:w="1134" w:type="dxa"/>
            <w:tcBorders>
              <w:top w:val="nil"/>
              <w:left w:val="nil"/>
              <w:bottom w:val="nil"/>
              <w:right w:val="nil"/>
            </w:tcBorders>
            <w:shd w:val="clear" w:color="auto" w:fill="auto"/>
            <w:noWrap/>
            <w:vAlign w:val="bottom"/>
          </w:tcPr>
          <w:p w14:paraId="386A14D6"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0.171</w:t>
            </w:r>
          </w:p>
        </w:tc>
      </w:tr>
      <w:tr w:rsidR="005A04A5" w:rsidRPr="00D605E1" w14:paraId="2504FA5B" w14:textId="77777777" w:rsidTr="00FC3C09">
        <w:trPr>
          <w:trHeight w:val="300"/>
        </w:trPr>
        <w:tc>
          <w:tcPr>
            <w:tcW w:w="2268" w:type="dxa"/>
            <w:tcBorders>
              <w:top w:val="nil"/>
              <w:left w:val="nil"/>
              <w:bottom w:val="nil"/>
              <w:right w:val="nil"/>
            </w:tcBorders>
            <w:shd w:val="clear" w:color="auto" w:fill="auto"/>
            <w:noWrap/>
            <w:vAlign w:val="bottom"/>
            <w:hideMark/>
          </w:tcPr>
          <w:p w14:paraId="2A451CC1" w14:textId="77777777" w:rsidR="005A04A5" w:rsidRPr="00EF2309" w:rsidRDefault="005A04A5" w:rsidP="005A04A5">
            <w:pPr>
              <w:rPr>
                <w:rFonts w:asciiTheme="minorHAnsi" w:hAnsiTheme="minorHAnsi"/>
                <w:sz w:val="18"/>
                <w:szCs w:val="18"/>
                <w:lang w:eastAsia="en-AU"/>
              </w:rPr>
            </w:pPr>
            <w:r w:rsidRPr="00EF2309">
              <w:rPr>
                <w:rFonts w:asciiTheme="minorHAnsi" w:hAnsiTheme="minorHAnsi"/>
                <w:sz w:val="18"/>
                <w:szCs w:val="18"/>
                <w:lang w:eastAsia="en-AU"/>
              </w:rPr>
              <w:t>Dental studies</w:t>
            </w:r>
          </w:p>
        </w:tc>
        <w:tc>
          <w:tcPr>
            <w:tcW w:w="1418" w:type="dxa"/>
            <w:tcBorders>
              <w:top w:val="nil"/>
              <w:left w:val="nil"/>
              <w:bottom w:val="nil"/>
              <w:right w:val="nil"/>
            </w:tcBorders>
            <w:shd w:val="clear" w:color="auto" w:fill="auto"/>
            <w:noWrap/>
            <w:vAlign w:val="bottom"/>
            <w:hideMark/>
          </w:tcPr>
          <w:p w14:paraId="386CEC42"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76.8</w:t>
            </w:r>
          </w:p>
        </w:tc>
        <w:tc>
          <w:tcPr>
            <w:tcW w:w="1088" w:type="dxa"/>
            <w:tcBorders>
              <w:top w:val="nil"/>
              <w:left w:val="nil"/>
              <w:bottom w:val="nil"/>
              <w:right w:val="nil"/>
            </w:tcBorders>
            <w:shd w:val="clear" w:color="auto" w:fill="auto"/>
            <w:noWrap/>
            <w:vAlign w:val="bottom"/>
            <w:hideMark/>
          </w:tcPr>
          <w:p w14:paraId="45B07924"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1</w:t>
            </w:r>
          </w:p>
        </w:tc>
        <w:tc>
          <w:tcPr>
            <w:tcW w:w="1276" w:type="dxa"/>
            <w:tcBorders>
              <w:top w:val="nil"/>
              <w:left w:val="nil"/>
              <w:bottom w:val="nil"/>
              <w:right w:val="nil"/>
            </w:tcBorders>
            <w:shd w:val="clear" w:color="auto" w:fill="auto"/>
            <w:noWrap/>
            <w:vAlign w:val="bottom"/>
            <w:hideMark/>
          </w:tcPr>
          <w:p w14:paraId="1E2439C4"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85.3</w:t>
            </w:r>
          </w:p>
        </w:tc>
        <w:tc>
          <w:tcPr>
            <w:tcW w:w="1417" w:type="dxa"/>
            <w:tcBorders>
              <w:top w:val="nil"/>
              <w:left w:val="nil"/>
              <w:bottom w:val="nil"/>
              <w:right w:val="nil"/>
            </w:tcBorders>
            <w:shd w:val="clear" w:color="auto" w:fill="auto"/>
            <w:noWrap/>
            <w:vAlign w:val="bottom"/>
          </w:tcPr>
          <w:p w14:paraId="6EC8C5F4"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0.016</w:t>
            </w:r>
          </w:p>
        </w:tc>
        <w:tc>
          <w:tcPr>
            <w:tcW w:w="1276" w:type="dxa"/>
            <w:tcBorders>
              <w:top w:val="nil"/>
              <w:left w:val="nil"/>
              <w:bottom w:val="nil"/>
              <w:right w:val="nil"/>
            </w:tcBorders>
            <w:shd w:val="clear" w:color="auto" w:fill="auto"/>
            <w:noWrap/>
            <w:vAlign w:val="bottom"/>
          </w:tcPr>
          <w:p w14:paraId="275F12DC"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-2.733</w:t>
            </w:r>
          </w:p>
        </w:tc>
        <w:tc>
          <w:tcPr>
            <w:tcW w:w="1093" w:type="dxa"/>
            <w:tcBorders>
              <w:top w:val="nil"/>
              <w:left w:val="nil"/>
              <w:bottom w:val="nil"/>
              <w:right w:val="nil"/>
            </w:tcBorders>
            <w:shd w:val="clear" w:color="auto" w:fill="auto"/>
            <w:noWrap/>
            <w:vAlign w:val="bottom"/>
            <w:hideMark/>
          </w:tcPr>
          <w:p w14:paraId="05634716"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77500</w:t>
            </w:r>
          </w:p>
        </w:tc>
        <w:tc>
          <w:tcPr>
            <w:tcW w:w="1221" w:type="dxa"/>
            <w:tcBorders>
              <w:top w:val="nil"/>
              <w:left w:val="nil"/>
              <w:bottom w:val="nil"/>
              <w:right w:val="nil"/>
            </w:tcBorders>
            <w:shd w:val="clear" w:color="auto" w:fill="auto"/>
            <w:noWrap/>
            <w:vAlign w:val="bottom"/>
          </w:tcPr>
          <w:p w14:paraId="4CAABD35"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0.306</w:t>
            </w:r>
          </w:p>
        </w:tc>
        <w:tc>
          <w:tcPr>
            <w:tcW w:w="1139" w:type="dxa"/>
            <w:tcBorders>
              <w:top w:val="nil"/>
              <w:left w:val="nil"/>
              <w:bottom w:val="nil"/>
              <w:right w:val="nil"/>
            </w:tcBorders>
            <w:shd w:val="clear" w:color="auto" w:fill="auto"/>
            <w:noWrap/>
            <w:vAlign w:val="bottom"/>
          </w:tcPr>
          <w:p w14:paraId="4D296628"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0.000</w:t>
            </w:r>
          </w:p>
        </w:tc>
        <w:tc>
          <w:tcPr>
            <w:tcW w:w="1193" w:type="dxa"/>
            <w:tcBorders>
              <w:top w:val="nil"/>
              <w:left w:val="nil"/>
              <w:bottom w:val="nil"/>
              <w:right w:val="nil"/>
            </w:tcBorders>
            <w:shd w:val="clear" w:color="auto" w:fill="auto"/>
            <w:noWrap/>
            <w:vAlign w:val="bottom"/>
          </w:tcPr>
          <w:p w14:paraId="4840E672"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0.089</w:t>
            </w:r>
          </w:p>
        </w:tc>
        <w:tc>
          <w:tcPr>
            <w:tcW w:w="1134" w:type="dxa"/>
            <w:tcBorders>
              <w:top w:val="nil"/>
              <w:left w:val="nil"/>
              <w:bottom w:val="nil"/>
              <w:right w:val="nil"/>
            </w:tcBorders>
            <w:shd w:val="clear" w:color="auto" w:fill="auto"/>
            <w:noWrap/>
            <w:vAlign w:val="bottom"/>
          </w:tcPr>
          <w:p w14:paraId="7CD57C0D"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0.082</w:t>
            </w:r>
          </w:p>
        </w:tc>
      </w:tr>
      <w:tr w:rsidR="005A04A5" w:rsidRPr="00D605E1" w14:paraId="36FFE9A4" w14:textId="77777777" w:rsidTr="00FC3C09">
        <w:trPr>
          <w:trHeight w:val="300"/>
        </w:trPr>
        <w:tc>
          <w:tcPr>
            <w:tcW w:w="2268" w:type="dxa"/>
            <w:tcBorders>
              <w:top w:val="nil"/>
              <w:left w:val="nil"/>
              <w:bottom w:val="nil"/>
              <w:right w:val="nil"/>
            </w:tcBorders>
            <w:shd w:val="clear" w:color="auto" w:fill="auto"/>
            <w:noWrap/>
            <w:vAlign w:val="bottom"/>
            <w:hideMark/>
          </w:tcPr>
          <w:p w14:paraId="4B0543CF" w14:textId="77777777" w:rsidR="005A04A5" w:rsidRPr="00EF2309" w:rsidRDefault="005A04A5" w:rsidP="005A04A5">
            <w:pPr>
              <w:rPr>
                <w:rFonts w:asciiTheme="minorHAnsi" w:hAnsiTheme="minorHAnsi"/>
                <w:sz w:val="18"/>
                <w:szCs w:val="18"/>
                <w:lang w:eastAsia="en-AU"/>
              </w:rPr>
            </w:pPr>
            <w:r w:rsidRPr="00EF2309">
              <w:rPr>
                <w:rFonts w:asciiTheme="minorHAnsi" w:hAnsiTheme="minorHAnsi"/>
                <w:sz w:val="18"/>
                <w:szCs w:val="18"/>
                <w:lang w:eastAsia="en-AU"/>
              </w:rPr>
              <w:t>Veterinary studies</w:t>
            </w:r>
          </w:p>
        </w:tc>
        <w:tc>
          <w:tcPr>
            <w:tcW w:w="1418" w:type="dxa"/>
            <w:tcBorders>
              <w:top w:val="nil"/>
              <w:left w:val="nil"/>
              <w:bottom w:val="nil"/>
              <w:right w:val="nil"/>
            </w:tcBorders>
            <w:shd w:val="clear" w:color="auto" w:fill="auto"/>
            <w:noWrap/>
            <w:vAlign w:val="bottom"/>
            <w:hideMark/>
          </w:tcPr>
          <w:p w14:paraId="2407325E"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84.65</w:t>
            </w:r>
          </w:p>
        </w:tc>
        <w:tc>
          <w:tcPr>
            <w:tcW w:w="1088" w:type="dxa"/>
            <w:tcBorders>
              <w:top w:val="nil"/>
              <w:left w:val="nil"/>
              <w:bottom w:val="nil"/>
              <w:right w:val="nil"/>
            </w:tcBorders>
            <w:shd w:val="clear" w:color="auto" w:fill="auto"/>
            <w:noWrap/>
            <w:vAlign w:val="bottom"/>
            <w:hideMark/>
          </w:tcPr>
          <w:p w14:paraId="432415A4"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1</w:t>
            </w:r>
          </w:p>
        </w:tc>
        <w:tc>
          <w:tcPr>
            <w:tcW w:w="1276" w:type="dxa"/>
            <w:tcBorders>
              <w:top w:val="nil"/>
              <w:left w:val="nil"/>
              <w:bottom w:val="nil"/>
              <w:right w:val="nil"/>
            </w:tcBorders>
            <w:shd w:val="clear" w:color="auto" w:fill="auto"/>
            <w:noWrap/>
            <w:vAlign w:val="bottom"/>
            <w:hideMark/>
          </w:tcPr>
          <w:p w14:paraId="5A5F1815"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81.3</w:t>
            </w:r>
          </w:p>
        </w:tc>
        <w:tc>
          <w:tcPr>
            <w:tcW w:w="1417" w:type="dxa"/>
            <w:tcBorders>
              <w:top w:val="nil"/>
              <w:left w:val="nil"/>
              <w:bottom w:val="nil"/>
              <w:right w:val="nil"/>
            </w:tcBorders>
            <w:shd w:val="clear" w:color="auto" w:fill="auto"/>
            <w:noWrap/>
            <w:vAlign w:val="bottom"/>
          </w:tcPr>
          <w:p w14:paraId="0D2BBFDD"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0.037</w:t>
            </w:r>
          </w:p>
        </w:tc>
        <w:tc>
          <w:tcPr>
            <w:tcW w:w="1276" w:type="dxa"/>
            <w:tcBorders>
              <w:top w:val="nil"/>
              <w:left w:val="nil"/>
              <w:bottom w:val="nil"/>
              <w:right w:val="nil"/>
            </w:tcBorders>
            <w:shd w:val="clear" w:color="auto" w:fill="auto"/>
            <w:noWrap/>
            <w:vAlign w:val="bottom"/>
          </w:tcPr>
          <w:p w14:paraId="626C39C8"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-2.650</w:t>
            </w:r>
          </w:p>
        </w:tc>
        <w:tc>
          <w:tcPr>
            <w:tcW w:w="1093" w:type="dxa"/>
            <w:tcBorders>
              <w:top w:val="nil"/>
              <w:left w:val="nil"/>
              <w:bottom w:val="nil"/>
              <w:right w:val="nil"/>
            </w:tcBorders>
            <w:shd w:val="clear" w:color="auto" w:fill="auto"/>
            <w:noWrap/>
            <w:vAlign w:val="bottom"/>
            <w:hideMark/>
          </w:tcPr>
          <w:p w14:paraId="6CF185D8"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48000</w:t>
            </w:r>
          </w:p>
        </w:tc>
        <w:tc>
          <w:tcPr>
            <w:tcW w:w="1221" w:type="dxa"/>
            <w:tcBorders>
              <w:top w:val="nil"/>
              <w:left w:val="nil"/>
              <w:bottom w:val="nil"/>
              <w:right w:val="nil"/>
            </w:tcBorders>
            <w:shd w:val="clear" w:color="auto" w:fill="auto"/>
            <w:noWrap/>
            <w:vAlign w:val="bottom"/>
          </w:tcPr>
          <w:p w14:paraId="08A8A7A8"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0.090</w:t>
            </w:r>
          </w:p>
        </w:tc>
        <w:tc>
          <w:tcPr>
            <w:tcW w:w="1139" w:type="dxa"/>
            <w:tcBorders>
              <w:top w:val="nil"/>
              <w:left w:val="nil"/>
              <w:bottom w:val="nil"/>
              <w:right w:val="nil"/>
            </w:tcBorders>
            <w:shd w:val="clear" w:color="auto" w:fill="auto"/>
            <w:noWrap/>
            <w:vAlign w:val="bottom"/>
          </w:tcPr>
          <w:p w14:paraId="493498FE"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0.017</w:t>
            </w:r>
          </w:p>
        </w:tc>
        <w:tc>
          <w:tcPr>
            <w:tcW w:w="1193" w:type="dxa"/>
            <w:tcBorders>
              <w:top w:val="nil"/>
              <w:left w:val="nil"/>
              <w:bottom w:val="nil"/>
              <w:right w:val="nil"/>
            </w:tcBorders>
            <w:shd w:val="clear" w:color="auto" w:fill="auto"/>
            <w:noWrap/>
            <w:vAlign w:val="bottom"/>
          </w:tcPr>
          <w:p w14:paraId="01DE34A0"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0.180</w:t>
            </w:r>
          </w:p>
        </w:tc>
        <w:tc>
          <w:tcPr>
            <w:tcW w:w="1134" w:type="dxa"/>
            <w:tcBorders>
              <w:top w:val="nil"/>
              <w:left w:val="nil"/>
              <w:bottom w:val="nil"/>
              <w:right w:val="nil"/>
            </w:tcBorders>
            <w:shd w:val="clear" w:color="auto" w:fill="auto"/>
            <w:noWrap/>
            <w:vAlign w:val="bottom"/>
          </w:tcPr>
          <w:p w14:paraId="44958443"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0.308</w:t>
            </w:r>
          </w:p>
        </w:tc>
      </w:tr>
      <w:tr w:rsidR="005A04A5" w:rsidRPr="00D605E1" w14:paraId="3007096A" w14:textId="77777777" w:rsidTr="00FC3C09">
        <w:trPr>
          <w:trHeight w:val="300"/>
        </w:trPr>
        <w:tc>
          <w:tcPr>
            <w:tcW w:w="2268" w:type="dxa"/>
            <w:tcBorders>
              <w:top w:val="nil"/>
              <w:left w:val="nil"/>
              <w:bottom w:val="nil"/>
              <w:right w:val="nil"/>
            </w:tcBorders>
            <w:shd w:val="clear" w:color="auto" w:fill="auto"/>
            <w:noWrap/>
            <w:vAlign w:val="bottom"/>
            <w:hideMark/>
          </w:tcPr>
          <w:p w14:paraId="12B30742" w14:textId="77777777" w:rsidR="005A04A5" w:rsidRPr="00EF2309" w:rsidRDefault="005A04A5" w:rsidP="005A04A5">
            <w:pPr>
              <w:rPr>
                <w:rFonts w:asciiTheme="minorHAnsi" w:hAnsiTheme="minorHAnsi"/>
                <w:sz w:val="18"/>
                <w:szCs w:val="18"/>
                <w:lang w:eastAsia="en-AU"/>
              </w:rPr>
            </w:pPr>
            <w:r w:rsidRPr="00EF2309">
              <w:rPr>
                <w:rFonts w:asciiTheme="minorHAnsi" w:hAnsiTheme="minorHAnsi"/>
                <w:sz w:val="18"/>
                <w:szCs w:val="18"/>
                <w:lang w:eastAsia="en-AU"/>
              </w:rPr>
              <w:t>Other health</w:t>
            </w:r>
          </w:p>
        </w:tc>
        <w:tc>
          <w:tcPr>
            <w:tcW w:w="1418" w:type="dxa"/>
            <w:tcBorders>
              <w:top w:val="nil"/>
              <w:left w:val="nil"/>
              <w:bottom w:val="nil"/>
              <w:right w:val="nil"/>
            </w:tcBorders>
            <w:shd w:val="clear" w:color="auto" w:fill="auto"/>
            <w:noWrap/>
            <w:vAlign w:val="bottom"/>
            <w:hideMark/>
          </w:tcPr>
          <w:p w14:paraId="792A17CF"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85.95</w:t>
            </w:r>
          </w:p>
        </w:tc>
        <w:tc>
          <w:tcPr>
            <w:tcW w:w="1088" w:type="dxa"/>
            <w:tcBorders>
              <w:top w:val="nil"/>
              <w:left w:val="nil"/>
              <w:bottom w:val="nil"/>
              <w:right w:val="nil"/>
            </w:tcBorders>
            <w:shd w:val="clear" w:color="auto" w:fill="auto"/>
            <w:noWrap/>
            <w:vAlign w:val="bottom"/>
            <w:hideMark/>
          </w:tcPr>
          <w:p w14:paraId="5EE0602D"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1</w:t>
            </w:r>
          </w:p>
        </w:tc>
        <w:tc>
          <w:tcPr>
            <w:tcW w:w="1276" w:type="dxa"/>
            <w:tcBorders>
              <w:top w:val="nil"/>
              <w:left w:val="nil"/>
              <w:bottom w:val="nil"/>
              <w:right w:val="nil"/>
            </w:tcBorders>
            <w:shd w:val="clear" w:color="auto" w:fill="auto"/>
            <w:noWrap/>
            <w:vAlign w:val="bottom"/>
            <w:hideMark/>
          </w:tcPr>
          <w:p w14:paraId="60D6817A"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68.95</w:t>
            </w:r>
          </w:p>
        </w:tc>
        <w:tc>
          <w:tcPr>
            <w:tcW w:w="1417" w:type="dxa"/>
            <w:tcBorders>
              <w:top w:val="nil"/>
              <w:left w:val="nil"/>
              <w:bottom w:val="nil"/>
              <w:right w:val="nil"/>
            </w:tcBorders>
            <w:shd w:val="clear" w:color="auto" w:fill="auto"/>
            <w:noWrap/>
            <w:vAlign w:val="bottom"/>
          </w:tcPr>
          <w:p w14:paraId="20320B13"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0.011</w:t>
            </w:r>
          </w:p>
        </w:tc>
        <w:tc>
          <w:tcPr>
            <w:tcW w:w="1276" w:type="dxa"/>
            <w:tcBorders>
              <w:top w:val="nil"/>
              <w:left w:val="nil"/>
              <w:bottom w:val="nil"/>
              <w:right w:val="nil"/>
            </w:tcBorders>
            <w:shd w:val="clear" w:color="auto" w:fill="auto"/>
            <w:noWrap/>
            <w:vAlign w:val="bottom"/>
          </w:tcPr>
          <w:p w14:paraId="3ADFA501"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-3.344</w:t>
            </w:r>
          </w:p>
        </w:tc>
        <w:tc>
          <w:tcPr>
            <w:tcW w:w="1093" w:type="dxa"/>
            <w:tcBorders>
              <w:top w:val="nil"/>
              <w:left w:val="nil"/>
              <w:bottom w:val="nil"/>
              <w:right w:val="nil"/>
            </w:tcBorders>
            <w:shd w:val="clear" w:color="auto" w:fill="auto"/>
            <w:noWrap/>
            <w:vAlign w:val="bottom"/>
            <w:hideMark/>
          </w:tcPr>
          <w:p w14:paraId="30C9EDAF"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55250</w:t>
            </w:r>
          </w:p>
        </w:tc>
        <w:tc>
          <w:tcPr>
            <w:tcW w:w="1221" w:type="dxa"/>
            <w:tcBorders>
              <w:top w:val="nil"/>
              <w:left w:val="nil"/>
              <w:bottom w:val="nil"/>
              <w:right w:val="nil"/>
            </w:tcBorders>
            <w:shd w:val="clear" w:color="auto" w:fill="auto"/>
            <w:noWrap/>
            <w:vAlign w:val="bottom"/>
          </w:tcPr>
          <w:p w14:paraId="4DB00FA4"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0.456</w:t>
            </w:r>
          </w:p>
        </w:tc>
        <w:tc>
          <w:tcPr>
            <w:tcW w:w="1139" w:type="dxa"/>
            <w:tcBorders>
              <w:top w:val="nil"/>
              <w:left w:val="nil"/>
              <w:bottom w:val="nil"/>
              <w:right w:val="nil"/>
            </w:tcBorders>
            <w:shd w:val="clear" w:color="auto" w:fill="auto"/>
            <w:noWrap/>
            <w:vAlign w:val="bottom"/>
          </w:tcPr>
          <w:p w14:paraId="7654E1D6"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0.070</w:t>
            </w:r>
          </w:p>
        </w:tc>
        <w:tc>
          <w:tcPr>
            <w:tcW w:w="1193" w:type="dxa"/>
            <w:tcBorders>
              <w:top w:val="nil"/>
              <w:left w:val="nil"/>
              <w:bottom w:val="nil"/>
              <w:right w:val="nil"/>
            </w:tcBorders>
            <w:shd w:val="clear" w:color="auto" w:fill="auto"/>
            <w:noWrap/>
            <w:vAlign w:val="bottom"/>
          </w:tcPr>
          <w:p w14:paraId="3168D816"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0.082</w:t>
            </w:r>
          </w:p>
        </w:tc>
        <w:tc>
          <w:tcPr>
            <w:tcW w:w="1134" w:type="dxa"/>
            <w:tcBorders>
              <w:top w:val="nil"/>
              <w:left w:val="nil"/>
              <w:bottom w:val="nil"/>
              <w:right w:val="nil"/>
            </w:tcBorders>
            <w:shd w:val="clear" w:color="auto" w:fill="auto"/>
            <w:noWrap/>
            <w:vAlign w:val="bottom"/>
          </w:tcPr>
          <w:p w14:paraId="1E369BE3"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0.206</w:t>
            </w:r>
          </w:p>
        </w:tc>
      </w:tr>
      <w:tr w:rsidR="005A04A5" w:rsidRPr="00D605E1" w14:paraId="5FAB3CD5" w14:textId="77777777" w:rsidTr="00FC3C09">
        <w:trPr>
          <w:trHeight w:val="300"/>
        </w:trPr>
        <w:tc>
          <w:tcPr>
            <w:tcW w:w="2268" w:type="dxa"/>
            <w:tcBorders>
              <w:top w:val="nil"/>
              <w:left w:val="nil"/>
              <w:bottom w:val="nil"/>
              <w:right w:val="nil"/>
            </w:tcBorders>
            <w:shd w:val="clear" w:color="auto" w:fill="auto"/>
            <w:noWrap/>
            <w:vAlign w:val="bottom"/>
            <w:hideMark/>
          </w:tcPr>
          <w:p w14:paraId="1900F8F5" w14:textId="77777777" w:rsidR="005A04A5" w:rsidRPr="00EF2309" w:rsidRDefault="005A04A5" w:rsidP="005A04A5">
            <w:pPr>
              <w:rPr>
                <w:rFonts w:asciiTheme="minorHAnsi" w:hAnsiTheme="minorHAnsi"/>
                <w:sz w:val="18"/>
                <w:szCs w:val="18"/>
                <w:lang w:eastAsia="en-AU"/>
              </w:rPr>
            </w:pPr>
            <w:r w:rsidRPr="00EF2309">
              <w:rPr>
                <w:rFonts w:asciiTheme="minorHAnsi" w:hAnsiTheme="minorHAnsi"/>
                <w:sz w:val="18"/>
                <w:szCs w:val="18"/>
                <w:lang w:eastAsia="en-AU"/>
              </w:rPr>
              <w:t>Education</w:t>
            </w:r>
          </w:p>
        </w:tc>
        <w:tc>
          <w:tcPr>
            <w:tcW w:w="1418" w:type="dxa"/>
            <w:tcBorders>
              <w:top w:val="nil"/>
              <w:left w:val="nil"/>
              <w:bottom w:val="nil"/>
              <w:right w:val="nil"/>
            </w:tcBorders>
            <w:shd w:val="clear" w:color="auto" w:fill="auto"/>
            <w:noWrap/>
            <w:vAlign w:val="bottom"/>
            <w:hideMark/>
          </w:tcPr>
          <w:p w14:paraId="555B937D"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81.1</w:t>
            </w:r>
          </w:p>
        </w:tc>
        <w:tc>
          <w:tcPr>
            <w:tcW w:w="1088" w:type="dxa"/>
            <w:tcBorders>
              <w:top w:val="nil"/>
              <w:left w:val="nil"/>
              <w:bottom w:val="nil"/>
              <w:right w:val="nil"/>
            </w:tcBorders>
            <w:shd w:val="clear" w:color="auto" w:fill="auto"/>
            <w:noWrap/>
            <w:vAlign w:val="bottom"/>
            <w:hideMark/>
          </w:tcPr>
          <w:p w14:paraId="3535FD00"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1</w:t>
            </w:r>
          </w:p>
        </w:tc>
        <w:tc>
          <w:tcPr>
            <w:tcW w:w="1276" w:type="dxa"/>
            <w:tcBorders>
              <w:top w:val="nil"/>
              <w:left w:val="nil"/>
              <w:bottom w:val="nil"/>
              <w:right w:val="nil"/>
            </w:tcBorders>
            <w:shd w:val="clear" w:color="auto" w:fill="auto"/>
            <w:noWrap/>
            <w:vAlign w:val="bottom"/>
            <w:hideMark/>
          </w:tcPr>
          <w:p w14:paraId="7337B3A0"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75.6</w:t>
            </w:r>
          </w:p>
        </w:tc>
        <w:tc>
          <w:tcPr>
            <w:tcW w:w="1417" w:type="dxa"/>
            <w:tcBorders>
              <w:top w:val="nil"/>
              <w:left w:val="nil"/>
              <w:bottom w:val="nil"/>
              <w:right w:val="nil"/>
            </w:tcBorders>
            <w:shd w:val="clear" w:color="auto" w:fill="auto"/>
            <w:noWrap/>
            <w:vAlign w:val="bottom"/>
          </w:tcPr>
          <w:p w14:paraId="3AF2FE08"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0.019</w:t>
            </w:r>
          </w:p>
        </w:tc>
        <w:tc>
          <w:tcPr>
            <w:tcW w:w="1276" w:type="dxa"/>
            <w:tcBorders>
              <w:top w:val="nil"/>
              <w:left w:val="nil"/>
              <w:bottom w:val="nil"/>
              <w:right w:val="nil"/>
            </w:tcBorders>
            <w:shd w:val="clear" w:color="auto" w:fill="auto"/>
            <w:noWrap/>
            <w:vAlign w:val="bottom"/>
          </w:tcPr>
          <w:p w14:paraId="17084AF5"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-3.573</w:t>
            </w:r>
          </w:p>
        </w:tc>
        <w:tc>
          <w:tcPr>
            <w:tcW w:w="1093" w:type="dxa"/>
            <w:tcBorders>
              <w:top w:val="nil"/>
              <w:left w:val="nil"/>
              <w:bottom w:val="nil"/>
              <w:right w:val="nil"/>
            </w:tcBorders>
            <w:shd w:val="clear" w:color="auto" w:fill="auto"/>
            <w:noWrap/>
            <w:vAlign w:val="bottom"/>
            <w:hideMark/>
          </w:tcPr>
          <w:p w14:paraId="34304882"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58000</w:t>
            </w:r>
          </w:p>
        </w:tc>
        <w:tc>
          <w:tcPr>
            <w:tcW w:w="1221" w:type="dxa"/>
            <w:tcBorders>
              <w:top w:val="nil"/>
              <w:left w:val="nil"/>
              <w:bottom w:val="nil"/>
              <w:right w:val="nil"/>
            </w:tcBorders>
            <w:shd w:val="clear" w:color="auto" w:fill="auto"/>
            <w:noWrap/>
            <w:vAlign w:val="bottom"/>
          </w:tcPr>
          <w:p w14:paraId="3B5A8336"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0.463</w:t>
            </w:r>
          </w:p>
        </w:tc>
        <w:tc>
          <w:tcPr>
            <w:tcW w:w="1139" w:type="dxa"/>
            <w:tcBorders>
              <w:top w:val="nil"/>
              <w:left w:val="nil"/>
              <w:bottom w:val="nil"/>
              <w:right w:val="nil"/>
            </w:tcBorders>
            <w:shd w:val="clear" w:color="auto" w:fill="auto"/>
            <w:noWrap/>
            <w:vAlign w:val="bottom"/>
          </w:tcPr>
          <w:p w14:paraId="1A687C3F"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0.051</w:t>
            </w:r>
          </w:p>
        </w:tc>
        <w:tc>
          <w:tcPr>
            <w:tcW w:w="1193" w:type="dxa"/>
            <w:tcBorders>
              <w:top w:val="nil"/>
              <w:left w:val="nil"/>
              <w:bottom w:val="nil"/>
              <w:right w:val="nil"/>
            </w:tcBorders>
            <w:shd w:val="clear" w:color="auto" w:fill="auto"/>
            <w:noWrap/>
            <w:vAlign w:val="bottom"/>
          </w:tcPr>
          <w:p w14:paraId="35733742"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0.011</w:t>
            </w:r>
          </w:p>
        </w:tc>
        <w:tc>
          <w:tcPr>
            <w:tcW w:w="1134" w:type="dxa"/>
            <w:tcBorders>
              <w:top w:val="nil"/>
              <w:left w:val="nil"/>
              <w:bottom w:val="nil"/>
              <w:right w:val="nil"/>
            </w:tcBorders>
            <w:shd w:val="clear" w:color="auto" w:fill="auto"/>
            <w:noWrap/>
            <w:vAlign w:val="bottom"/>
          </w:tcPr>
          <w:p w14:paraId="201BA590"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0.199</w:t>
            </w:r>
          </w:p>
        </w:tc>
      </w:tr>
      <w:tr w:rsidR="005A04A5" w:rsidRPr="00D605E1" w14:paraId="1ADA81A0" w14:textId="77777777" w:rsidTr="00FC3C09">
        <w:trPr>
          <w:trHeight w:val="300"/>
        </w:trPr>
        <w:tc>
          <w:tcPr>
            <w:tcW w:w="2268" w:type="dxa"/>
            <w:tcBorders>
              <w:top w:val="nil"/>
              <w:left w:val="nil"/>
              <w:bottom w:val="nil"/>
              <w:right w:val="nil"/>
            </w:tcBorders>
            <w:shd w:val="clear" w:color="auto" w:fill="auto"/>
            <w:noWrap/>
            <w:vAlign w:val="bottom"/>
            <w:hideMark/>
          </w:tcPr>
          <w:p w14:paraId="4749A812" w14:textId="77777777" w:rsidR="005A04A5" w:rsidRPr="00EF2309" w:rsidRDefault="005A04A5" w:rsidP="005A04A5">
            <w:pPr>
              <w:rPr>
                <w:rFonts w:asciiTheme="minorHAnsi" w:hAnsiTheme="minorHAnsi"/>
                <w:sz w:val="18"/>
                <w:szCs w:val="18"/>
                <w:lang w:eastAsia="en-AU"/>
              </w:rPr>
            </w:pPr>
            <w:r w:rsidRPr="00EF2309">
              <w:rPr>
                <w:rFonts w:asciiTheme="minorHAnsi" w:hAnsiTheme="minorHAnsi"/>
                <w:sz w:val="18"/>
                <w:szCs w:val="18"/>
                <w:lang w:eastAsia="en-AU"/>
              </w:rPr>
              <w:t>Management and Commerce</w:t>
            </w:r>
          </w:p>
        </w:tc>
        <w:tc>
          <w:tcPr>
            <w:tcW w:w="1418" w:type="dxa"/>
            <w:tcBorders>
              <w:top w:val="nil"/>
              <w:left w:val="nil"/>
              <w:bottom w:val="nil"/>
              <w:right w:val="nil"/>
            </w:tcBorders>
            <w:shd w:val="clear" w:color="auto" w:fill="auto"/>
            <w:noWrap/>
            <w:vAlign w:val="bottom"/>
            <w:hideMark/>
          </w:tcPr>
          <w:p w14:paraId="6FC19B92"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82</w:t>
            </w:r>
          </w:p>
        </w:tc>
        <w:tc>
          <w:tcPr>
            <w:tcW w:w="1088" w:type="dxa"/>
            <w:tcBorders>
              <w:top w:val="nil"/>
              <w:left w:val="nil"/>
              <w:bottom w:val="nil"/>
              <w:right w:val="nil"/>
            </w:tcBorders>
            <w:shd w:val="clear" w:color="auto" w:fill="auto"/>
            <w:noWrap/>
            <w:vAlign w:val="bottom"/>
            <w:hideMark/>
          </w:tcPr>
          <w:p w14:paraId="717A127E"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1</w:t>
            </w:r>
          </w:p>
        </w:tc>
        <w:tc>
          <w:tcPr>
            <w:tcW w:w="1276" w:type="dxa"/>
            <w:tcBorders>
              <w:top w:val="nil"/>
              <w:left w:val="nil"/>
              <w:bottom w:val="nil"/>
              <w:right w:val="nil"/>
            </w:tcBorders>
            <w:shd w:val="clear" w:color="auto" w:fill="auto"/>
            <w:noWrap/>
            <w:vAlign w:val="bottom"/>
            <w:hideMark/>
          </w:tcPr>
          <w:p w14:paraId="73245FAF"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75.2</w:t>
            </w:r>
          </w:p>
        </w:tc>
        <w:tc>
          <w:tcPr>
            <w:tcW w:w="1417" w:type="dxa"/>
            <w:tcBorders>
              <w:top w:val="nil"/>
              <w:left w:val="nil"/>
              <w:bottom w:val="nil"/>
              <w:right w:val="nil"/>
            </w:tcBorders>
            <w:shd w:val="clear" w:color="auto" w:fill="auto"/>
            <w:noWrap/>
            <w:vAlign w:val="bottom"/>
          </w:tcPr>
          <w:p w14:paraId="5577BCC7"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0.010</w:t>
            </w:r>
          </w:p>
        </w:tc>
        <w:tc>
          <w:tcPr>
            <w:tcW w:w="1276" w:type="dxa"/>
            <w:tcBorders>
              <w:top w:val="nil"/>
              <w:left w:val="nil"/>
              <w:bottom w:val="nil"/>
              <w:right w:val="nil"/>
            </w:tcBorders>
            <w:shd w:val="clear" w:color="auto" w:fill="auto"/>
            <w:noWrap/>
            <w:vAlign w:val="bottom"/>
          </w:tcPr>
          <w:p w14:paraId="6D91F00A"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-3.724</w:t>
            </w:r>
          </w:p>
        </w:tc>
        <w:tc>
          <w:tcPr>
            <w:tcW w:w="1093" w:type="dxa"/>
            <w:tcBorders>
              <w:top w:val="nil"/>
              <w:left w:val="nil"/>
              <w:bottom w:val="nil"/>
              <w:right w:val="nil"/>
            </w:tcBorders>
            <w:shd w:val="clear" w:color="auto" w:fill="auto"/>
            <w:noWrap/>
            <w:vAlign w:val="bottom"/>
            <w:hideMark/>
          </w:tcPr>
          <w:p w14:paraId="12B28FFE"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50000</w:t>
            </w:r>
          </w:p>
        </w:tc>
        <w:tc>
          <w:tcPr>
            <w:tcW w:w="1221" w:type="dxa"/>
            <w:tcBorders>
              <w:top w:val="nil"/>
              <w:left w:val="nil"/>
              <w:bottom w:val="nil"/>
              <w:right w:val="nil"/>
            </w:tcBorders>
            <w:shd w:val="clear" w:color="auto" w:fill="auto"/>
            <w:noWrap/>
            <w:vAlign w:val="bottom"/>
          </w:tcPr>
          <w:p w14:paraId="674ACD86"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0.507</w:t>
            </w:r>
          </w:p>
        </w:tc>
        <w:tc>
          <w:tcPr>
            <w:tcW w:w="1139" w:type="dxa"/>
            <w:tcBorders>
              <w:top w:val="nil"/>
              <w:left w:val="nil"/>
              <w:bottom w:val="nil"/>
              <w:right w:val="nil"/>
            </w:tcBorders>
            <w:shd w:val="clear" w:color="auto" w:fill="auto"/>
            <w:noWrap/>
            <w:vAlign w:val="bottom"/>
          </w:tcPr>
          <w:p w14:paraId="3BBB8E1B"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0.025</w:t>
            </w:r>
          </w:p>
        </w:tc>
        <w:tc>
          <w:tcPr>
            <w:tcW w:w="1193" w:type="dxa"/>
            <w:tcBorders>
              <w:top w:val="nil"/>
              <w:left w:val="nil"/>
              <w:bottom w:val="nil"/>
              <w:right w:val="nil"/>
            </w:tcBorders>
            <w:shd w:val="clear" w:color="auto" w:fill="auto"/>
            <w:noWrap/>
            <w:vAlign w:val="bottom"/>
          </w:tcPr>
          <w:p w14:paraId="25478863"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0.284</w:t>
            </w:r>
          </w:p>
        </w:tc>
        <w:tc>
          <w:tcPr>
            <w:tcW w:w="1134" w:type="dxa"/>
            <w:tcBorders>
              <w:top w:val="nil"/>
              <w:left w:val="nil"/>
              <w:bottom w:val="nil"/>
              <w:right w:val="nil"/>
            </w:tcBorders>
            <w:shd w:val="clear" w:color="auto" w:fill="auto"/>
            <w:noWrap/>
            <w:vAlign w:val="bottom"/>
          </w:tcPr>
          <w:p w14:paraId="44480AFE"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0.135</w:t>
            </w:r>
          </w:p>
        </w:tc>
      </w:tr>
      <w:tr w:rsidR="005A04A5" w:rsidRPr="00D605E1" w14:paraId="0F5CA1AD" w14:textId="77777777" w:rsidTr="00FC3C09">
        <w:trPr>
          <w:trHeight w:val="300"/>
        </w:trPr>
        <w:tc>
          <w:tcPr>
            <w:tcW w:w="2268" w:type="dxa"/>
            <w:tcBorders>
              <w:top w:val="nil"/>
              <w:left w:val="nil"/>
              <w:bottom w:val="nil"/>
              <w:right w:val="nil"/>
            </w:tcBorders>
            <w:shd w:val="clear" w:color="auto" w:fill="auto"/>
            <w:noWrap/>
            <w:vAlign w:val="bottom"/>
            <w:hideMark/>
          </w:tcPr>
          <w:p w14:paraId="4BAB9850" w14:textId="77777777" w:rsidR="005A04A5" w:rsidRPr="00EF2309" w:rsidRDefault="005A04A5" w:rsidP="005A04A5">
            <w:pPr>
              <w:rPr>
                <w:rFonts w:asciiTheme="minorHAnsi" w:hAnsiTheme="minorHAnsi"/>
                <w:sz w:val="18"/>
                <w:szCs w:val="18"/>
                <w:lang w:eastAsia="en-AU"/>
              </w:rPr>
            </w:pPr>
            <w:r w:rsidRPr="00EF2309">
              <w:rPr>
                <w:rFonts w:asciiTheme="minorHAnsi" w:hAnsiTheme="minorHAnsi"/>
                <w:sz w:val="18"/>
                <w:szCs w:val="18"/>
                <w:lang w:eastAsia="en-AU"/>
              </w:rPr>
              <w:t>Languages</w:t>
            </w:r>
          </w:p>
        </w:tc>
        <w:tc>
          <w:tcPr>
            <w:tcW w:w="1418" w:type="dxa"/>
            <w:tcBorders>
              <w:top w:val="nil"/>
              <w:left w:val="nil"/>
              <w:bottom w:val="nil"/>
              <w:right w:val="nil"/>
            </w:tcBorders>
            <w:shd w:val="clear" w:color="auto" w:fill="auto"/>
            <w:noWrap/>
            <w:vAlign w:val="bottom"/>
            <w:hideMark/>
          </w:tcPr>
          <w:p w14:paraId="10FF0FF4"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86.85001</w:t>
            </w:r>
          </w:p>
        </w:tc>
        <w:tc>
          <w:tcPr>
            <w:tcW w:w="1088" w:type="dxa"/>
            <w:tcBorders>
              <w:top w:val="nil"/>
              <w:left w:val="nil"/>
              <w:bottom w:val="nil"/>
              <w:right w:val="nil"/>
            </w:tcBorders>
            <w:shd w:val="clear" w:color="auto" w:fill="auto"/>
            <w:noWrap/>
            <w:vAlign w:val="bottom"/>
            <w:hideMark/>
          </w:tcPr>
          <w:p w14:paraId="2413C3C8"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1</w:t>
            </w:r>
          </w:p>
        </w:tc>
        <w:tc>
          <w:tcPr>
            <w:tcW w:w="1276" w:type="dxa"/>
            <w:tcBorders>
              <w:top w:val="nil"/>
              <w:left w:val="nil"/>
              <w:bottom w:val="nil"/>
              <w:right w:val="nil"/>
            </w:tcBorders>
            <w:shd w:val="clear" w:color="auto" w:fill="auto"/>
            <w:noWrap/>
            <w:vAlign w:val="bottom"/>
            <w:hideMark/>
          </w:tcPr>
          <w:p w14:paraId="254A95B7"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57.95</w:t>
            </w:r>
          </w:p>
        </w:tc>
        <w:tc>
          <w:tcPr>
            <w:tcW w:w="1417" w:type="dxa"/>
            <w:tcBorders>
              <w:top w:val="nil"/>
              <w:left w:val="nil"/>
              <w:bottom w:val="nil"/>
              <w:right w:val="nil"/>
            </w:tcBorders>
            <w:shd w:val="clear" w:color="auto" w:fill="auto"/>
            <w:noWrap/>
            <w:vAlign w:val="bottom"/>
          </w:tcPr>
          <w:p w14:paraId="395E60F4"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0.000</w:t>
            </w:r>
          </w:p>
        </w:tc>
        <w:tc>
          <w:tcPr>
            <w:tcW w:w="1276" w:type="dxa"/>
            <w:tcBorders>
              <w:top w:val="nil"/>
              <w:left w:val="nil"/>
              <w:bottom w:val="nil"/>
              <w:right w:val="nil"/>
            </w:tcBorders>
            <w:shd w:val="clear" w:color="auto" w:fill="auto"/>
            <w:noWrap/>
            <w:vAlign w:val="bottom"/>
          </w:tcPr>
          <w:p w14:paraId="74BA3173"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-3.106</w:t>
            </w:r>
          </w:p>
        </w:tc>
        <w:tc>
          <w:tcPr>
            <w:tcW w:w="1093" w:type="dxa"/>
            <w:tcBorders>
              <w:top w:val="nil"/>
              <w:left w:val="nil"/>
              <w:bottom w:val="nil"/>
              <w:right w:val="nil"/>
            </w:tcBorders>
            <w:shd w:val="clear" w:color="auto" w:fill="auto"/>
            <w:noWrap/>
            <w:vAlign w:val="bottom"/>
            <w:hideMark/>
          </w:tcPr>
          <w:p w14:paraId="26080D8D"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54250</w:t>
            </w:r>
          </w:p>
        </w:tc>
        <w:tc>
          <w:tcPr>
            <w:tcW w:w="1221" w:type="dxa"/>
            <w:tcBorders>
              <w:top w:val="nil"/>
              <w:left w:val="nil"/>
              <w:bottom w:val="nil"/>
              <w:right w:val="nil"/>
            </w:tcBorders>
            <w:shd w:val="clear" w:color="auto" w:fill="auto"/>
            <w:noWrap/>
            <w:vAlign w:val="bottom"/>
          </w:tcPr>
          <w:p w14:paraId="1DFCAEF8"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0.430</w:t>
            </w:r>
          </w:p>
        </w:tc>
        <w:tc>
          <w:tcPr>
            <w:tcW w:w="1139" w:type="dxa"/>
            <w:tcBorders>
              <w:top w:val="nil"/>
              <w:left w:val="nil"/>
              <w:bottom w:val="nil"/>
              <w:right w:val="nil"/>
            </w:tcBorders>
            <w:shd w:val="clear" w:color="auto" w:fill="auto"/>
            <w:noWrap/>
            <w:vAlign w:val="bottom"/>
          </w:tcPr>
          <w:p w14:paraId="01D12448"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0.004</w:t>
            </w:r>
          </w:p>
        </w:tc>
        <w:tc>
          <w:tcPr>
            <w:tcW w:w="1193" w:type="dxa"/>
            <w:tcBorders>
              <w:top w:val="nil"/>
              <w:left w:val="nil"/>
              <w:bottom w:val="nil"/>
              <w:right w:val="nil"/>
            </w:tcBorders>
            <w:shd w:val="clear" w:color="auto" w:fill="auto"/>
            <w:noWrap/>
            <w:vAlign w:val="bottom"/>
          </w:tcPr>
          <w:p w14:paraId="4F699CDF"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0.237</w:t>
            </w:r>
          </w:p>
        </w:tc>
        <w:tc>
          <w:tcPr>
            <w:tcW w:w="1134" w:type="dxa"/>
            <w:tcBorders>
              <w:top w:val="nil"/>
              <w:left w:val="nil"/>
              <w:bottom w:val="nil"/>
              <w:right w:val="nil"/>
            </w:tcBorders>
            <w:shd w:val="clear" w:color="auto" w:fill="auto"/>
            <w:noWrap/>
            <w:vAlign w:val="bottom"/>
          </w:tcPr>
          <w:p w14:paraId="21B3F221"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0.099</w:t>
            </w:r>
          </w:p>
        </w:tc>
      </w:tr>
      <w:tr w:rsidR="005A04A5" w:rsidRPr="00D605E1" w14:paraId="5D6D9D71" w14:textId="77777777" w:rsidTr="00FC3C09">
        <w:trPr>
          <w:trHeight w:val="300"/>
        </w:trPr>
        <w:tc>
          <w:tcPr>
            <w:tcW w:w="2268" w:type="dxa"/>
            <w:tcBorders>
              <w:top w:val="nil"/>
              <w:left w:val="nil"/>
              <w:bottom w:val="nil"/>
              <w:right w:val="nil"/>
            </w:tcBorders>
            <w:shd w:val="clear" w:color="auto" w:fill="auto"/>
            <w:noWrap/>
            <w:vAlign w:val="bottom"/>
            <w:hideMark/>
          </w:tcPr>
          <w:p w14:paraId="6FB31A79" w14:textId="77777777" w:rsidR="005A04A5" w:rsidRPr="00EF2309" w:rsidRDefault="005A04A5" w:rsidP="005A04A5">
            <w:pPr>
              <w:rPr>
                <w:rFonts w:asciiTheme="minorHAnsi" w:hAnsiTheme="minorHAnsi"/>
                <w:sz w:val="18"/>
                <w:szCs w:val="18"/>
                <w:lang w:eastAsia="en-AU"/>
              </w:rPr>
            </w:pPr>
            <w:r w:rsidRPr="00EF2309">
              <w:rPr>
                <w:rFonts w:asciiTheme="minorHAnsi" w:hAnsiTheme="minorHAnsi"/>
                <w:sz w:val="18"/>
                <w:szCs w:val="18"/>
                <w:lang w:eastAsia="en-AU"/>
              </w:rPr>
              <w:t>Clinical psychology</w:t>
            </w:r>
          </w:p>
        </w:tc>
        <w:tc>
          <w:tcPr>
            <w:tcW w:w="1418" w:type="dxa"/>
            <w:tcBorders>
              <w:top w:val="nil"/>
              <w:left w:val="nil"/>
              <w:bottom w:val="nil"/>
              <w:right w:val="nil"/>
            </w:tcBorders>
            <w:shd w:val="clear" w:color="auto" w:fill="auto"/>
            <w:noWrap/>
            <w:vAlign w:val="bottom"/>
            <w:hideMark/>
          </w:tcPr>
          <w:p w14:paraId="450B8FBD"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83.75</w:t>
            </w:r>
          </w:p>
        </w:tc>
        <w:tc>
          <w:tcPr>
            <w:tcW w:w="1088" w:type="dxa"/>
            <w:tcBorders>
              <w:top w:val="nil"/>
              <w:left w:val="nil"/>
              <w:bottom w:val="nil"/>
              <w:right w:val="nil"/>
            </w:tcBorders>
            <w:shd w:val="clear" w:color="auto" w:fill="auto"/>
            <w:noWrap/>
            <w:vAlign w:val="bottom"/>
            <w:hideMark/>
          </w:tcPr>
          <w:p w14:paraId="67962232"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1</w:t>
            </w:r>
          </w:p>
        </w:tc>
        <w:tc>
          <w:tcPr>
            <w:tcW w:w="1276" w:type="dxa"/>
            <w:tcBorders>
              <w:top w:val="nil"/>
              <w:left w:val="nil"/>
              <w:bottom w:val="nil"/>
              <w:right w:val="nil"/>
            </w:tcBorders>
            <w:shd w:val="clear" w:color="auto" w:fill="auto"/>
            <w:noWrap/>
            <w:vAlign w:val="bottom"/>
            <w:hideMark/>
          </w:tcPr>
          <w:p w14:paraId="05AABE85"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50.45</w:t>
            </w:r>
          </w:p>
        </w:tc>
        <w:tc>
          <w:tcPr>
            <w:tcW w:w="1417" w:type="dxa"/>
            <w:tcBorders>
              <w:top w:val="nil"/>
              <w:left w:val="nil"/>
              <w:bottom w:val="nil"/>
              <w:right w:val="nil"/>
            </w:tcBorders>
            <w:shd w:val="clear" w:color="auto" w:fill="auto"/>
            <w:noWrap/>
            <w:vAlign w:val="bottom"/>
          </w:tcPr>
          <w:p w14:paraId="025BAC71"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0.019</w:t>
            </w:r>
          </w:p>
        </w:tc>
        <w:tc>
          <w:tcPr>
            <w:tcW w:w="1276" w:type="dxa"/>
            <w:tcBorders>
              <w:top w:val="nil"/>
              <w:left w:val="nil"/>
              <w:bottom w:val="nil"/>
              <w:right w:val="nil"/>
            </w:tcBorders>
            <w:shd w:val="clear" w:color="auto" w:fill="auto"/>
            <w:noWrap/>
            <w:vAlign w:val="bottom"/>
          </w:tcPr>
          <w:p w14:paraId="11F32067"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-3.549</w:t>
            </w:r>
          </w:p>
        </w:tc>
        <w:tc>
          <w:tcPr>
            <w:tcW w:w="1093" w:type="dxa"/>
            <w:tcBorders>
              <w:top w:val="nil"/>
              <w:left w:val="nil"/>
              <w:bottom w:val="nil"/>
              <w:right w:val="nil"/>
            </w:tcBorders>
            <w:shd w:val="clear" w:color="auto" w:fill="auto"/>
            <w:noWrap/>
            <w:vAlign w:val="bottom"/>
            <w:hideMark/>
          </w:tcPr>
          <w:p w14:paraId="372ECF7C"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52000</w:t>
            </w:r>
          </w:p>
        </w:tc>
        <w:tc>
          <w:tcPr>
            <w:tcW w:w="1221" w:type="dxa"/>
            <w:tcBorders>
              <w:top w:val="nil"/>
              <w:left w:val="nil"/>
              <w:bottom w:val="nil"/>
              <w:right w:val="nil"/>
            </w:tcBorders>
            <w:shd w:val="clear" w:color="auto" w:fill="auto"/>
            <w:noWrap/>
            <w:vAlign w:val="bottom"/>
          </w:tcPr>
          <w:p w14:paraId="19DA9E24"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0.365</w:t>
            </w:r>
          </w:p>
        </w:tc>
        <w:tc>
          <w:tcPr>
            <w:tcW w:w="1139" w:type="dxa"/>
            <w:tcBorders>
              <w:top w:val="nil"/>
              <w:left w:val="nil"/>
              <w:bottom w:val="nil"/>
              <w:right w:val="nil"/>
            </w:tcBorders>
            <w:shd w:val="clear" w:color="auto" w:fill="auto"/>
            <w:noWrap/>
            <w:vAlign w:val="bottom"/>
          </w:tcPr>
          <w:p w14:paraId="72F1999A"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0.029</w:t>
            </w:r>
          </w:p>
        </w:tc>
        <w:tc>
          <w:tcPr>
            <w:tcW w:w="1193" w:type="dxa"/>
            <w:tcBorders>
              <w:top w:val="nil"/>
              <w:left w:val="nil"/>
              <w:bottom w:val="nil"/>
              <w:right w:val="nil"/>
            </w:tcBorders>
            <w:shd w:val="clear" w:color="auto" w:fill="auto"/>
            <w:noWrap/>
            <w:vAlign w:val="bottom"/>
          </w:tcPr>
          <w:p w14:paraId="399E9092"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0.037</w:t>
            </w:r>
          </w:p>
        </w:tc>
        <w:tc>
          <w:tcPr>
            <w:tcW w:w="1134" w:type="dxa"/>
            <w:tcBorders>
              <w:top w:val="nil"/>
              <w:left w:val="nil"/>
              <w:bottom w:val="nil"/>
              <w:right w:val="nil"/>
            </w:tcBorders>
            <w:shd w:val="clear" w:color="auto" w:fill="auto"/>
            <w:noWrap/>
            <w:vAlign w:val="bottom"/>
          </w:tcPr>
          <w:p w14:paraId="131D12F9"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0.133</w:t>
            </w:r>
          </w:p>
        </w:tc>
      </w:tr>
      <w:tr w:rsidR="005A04A5" w:rsidRPr="00D605E1" w14:paraId="2EAC8790" w14:textId="77777777" w:rsidTr="00FC3C09">
        <w:trPr>
          <w:trHeight w:val="300"/>
        </w:trPr>
        <w:tc>
          <w:tcPr>
            <w:tcW w:w="2268" w:type="dxa"/>
            <w:tcBorders>
              <w:top w:val="nil"/>
              <w:left w:val="nil"/>
              <w:bottom w:val="nil"/>
              <w:right w:val="nil"/>
            </w:tcBorders>
            <w:shd w:val="clear" w:color="auto" w:fill="auto"/>
            <w:noWrap/>
            <w:vAlign w:val="bottom"/>
            <w:hideMark/>
          </w:tcPr>
          <w:p w14:paraId="513DE0BA" w14:textId="77777777" w:rsidR="005A04A5" w:rsidRPr="00EF2309" w:rsidRDefault="005A04A5" w:rsidP="005A04A5">
            <w:pPr>
              <w:rPr>
                <w:rFonts w:asciiTheme="minorHAnsi" w:hAnsiTheme="minorHAnsi"/>
                <w:sz w:val="18"/>
                <w:szCs w:val="18"/>
                <w:lang w:eastAsia="en-AU"/>
              </w:rPr>
            </w:pPr>
            <w:r w:rsidRPr="00EF2309">
              <w:rPr>
                <w:rFonts w:asciiTheme="minorHAnsi" w:hAnsiTheme="minorHAnsi"/>
                <w:sz w:val="18"/>
                <w:szCs w:val="18"/>
                <w:lang w:eastAsia="en-AU"/>
              </w:rPr>
              <w:t>Other society and culture</w:t>
            </w:r>
          </w:p>
        </w:tc>
        <w:tc>
          <w:tcPr>
            <w:tcW w:w="1418" w:type="dxa"/>
            <w:tcBorders>
              <w:top w:val="nil"/>
              <w:left w:val="nil"/>
              <w:bottom w:val="nil"/>
              <w:right w:val="nil"/>
            </w:tcBorders>
            <w:shd w:val="clear" w:color="auto" w:fill="auto"/>
            <w:noWrap/>
            <w:vAlign w:val="bottom"/>
            <w:hideMark/>
          </w:tcPr>
          <w:p w14:paraId="4DE30FE5"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86.55</w:t>
            </w:r>
          </w:p>
        </w:tc>
        <w:tc>
          <w:tcPr>
            <w:tcW w:w="1088" w:type="dxa"/>
            <w:tcBorders>
              <w:top w:val="nil"/>
              <w:left w:val="nil"/>
              <w:bottom w:val="nil"/>
              <w:right w:val="nil"/>
            </w:tcBorders>
            <w:shd w:val="clear" w:color="auto" w:fill="auto"/>
            <w:noWrap/>
            <w:vAlign w:val="bottom"/>
            <w:hideMark/>
          </w:tcPr>
          <w:p w14:paraId="1AE5933E"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1</w:t>
            </w:r>
          </w:p>
        </w:tc>
        <w:tc>
          <w:tcPr>
            <w:tcW w:w="1276" w:type="dxa"/>
            <w:tcBorders>
              <w:top w:val="nil"/>
              <w:left w:val="nil"/>
              <w:bottom w:val="nil"/>
              <w:right w:val="nil"/>
            </w:tcBorders>
            <w:shd w:val="clear" w:color="auto" w:fill="auto"/>
            <w:noWrap/>
            <w:vAlign w:val="bottom"/>
            <w:hideMark/>
          </w:tcPr>
          <w:p w14:paraId="744E7D33"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58.6</w:t>
            </w:r>
          </w:p>
        </w:tc>
        <w:tc>
          <w:tcPr>
            <w:tcW w:w="1417" w:type="dxa"/>
            <w:tcBorders>
              <w:top w:val="nil"/>
              <w:left w:val="nil"/>
              <w:bottom w:val="nil"/>
              <w:right w:val="nil"/>
            </w:tcBorders>
            <w:shd w:val="clear" w:color="auto" w:fill="auto"/>
            <w:noWrap/>
            <w:vAlign w:val="bottom"/>
          </w:tcPr>
          <w:p w14:paraId="0225F8E7"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0.017</w:t>
            </w:r>
          </w:p>
        </w:tc>
        <w:tc>
          <w:tcPr>
            <w:tcW w:w="1276" w:type="dxa"/>
            <w:tcBorders>
              <w:top w:val="nil"/>
              <w:left w:val="nil"/>
              <w:bottom w:val="nil"/>
              <w:right w:val="nil"/>
            </w:tcBorders>
            <w:shd w:val="clear" w:color="auto" w:fill="auto"/>
            <w:noWrap/>
            <w:vAlign w:val="bottom"/>
          </w:tcPr>
          <w:p w14:paraId="05CA74A3"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-3.671</w:t>
            </w:r>
          </w:p>
        </w:tc>
        <w:tc>
          <w:tcPr>
            <w:tcW w:w="1093" w:type="dxa"/>
            <w:tcBorders>
              <w:top w:val="nil"/>
              <w:left w:val="nil"/>
              <w:bottom w:val="nil"/>
              <w:right w:val="nil"/>
            </w:tcBorders>
            <w:shd w:val="clear" w:color="auto" w:fill="auto"/>
            <w:noWrap/>
            <w:vAlign w:val="bottom"/>
            <w:hideMark/>
          </w:tcPr>
          <w:p w14:paraId="42E945F8"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55000</w:t>
            </w:r>
          </w:p>
        </w:tc>
        <w:tc>
          <w:tcPr>
            <w:tcW w:w="1221" w:type="dxa"/>
            <w:tcBorders>
              <w:top w:val="nil"/>
              <w:left w:val="nil"/>
              <w:bottom w:val="nil"/>
              <w:right w:val="nil"/>
            </w:tcBorders>
            <w:shd w:val="clear" w:color="auto" w:fill="auto"/>
            <w:noWrap/>
            <w:vAlign w:val="bottom"/>
          </w:tcPr>
          <w:p w14:paraId="0A2E00C5"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0.380</w:t>
            </w:r>
          </w:p>
        </w:tc>
        <w:tc>
          <w:tcPr>
            <w:tcW w:w="1139" w:type="dxa"/>
            <w:tcBorders>
              <w:top w:val="nil"/>
              <w:left w:val="nil"/>
              <w:bottom w:val="nil"/>
              <w:right w:val="nil"/>
            </w:tcBorders>
            <w:shd w:val="clear" w:color="auto" w:fill="auto"/>
            <w:noWrap/>
            <w:vAlign w:val="bottom"/>
          </w:tcPr>
          <w:p w14:paraId="21E04D46"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0.102</w:t>
            </w:r>
          </w:p>
        </w:tc>
        <w:tc>
          <w:tcPr>
            <w:tcW w:w="1193" w:type="dxa"/>
            <w:tcBorders>
              <w:top w:val="nil"/>
              <w:left w:val="nil"/>
              <w:bottom w:val="nil"/>
              <w:right w:val="nil"/>
            </w:tcBorders>
            <w:shd w:val="clear" w:color="auto" w:fill="auto"/>
            <w:noWrap/>
            <w:vAlign w:val="bottom"/>
          </w:tcPr>
          <w:p w14:paraId="350149C0"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0.076</w:t>
            </w:r>
          </w:p>
        </w:tc>
        <w:tc>
          <w:tcPr>
            <w:tcW w:w="1134" w:type="dxa"/>
            <w:tcBorders>
              <w:top w:val="nil"/>
              <w:left w:val="nil"/>
              <w:bottom w:val="nil"/>
              <w:right w:val="nil"/>
            </w:tcBorders>
            <w:shd w:val="clear" w:color="auto" w:fill="auto"/>
            <w:noWrap/>
            <w:vAlign w:val="bottom"/>
          </w:tcPr>
          <w:p w14:paraId="0D7723FE"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0.153</w:t>
            </w:r>
          </w:p>
        </w:tc>
      </w:tr>
      <w:tr w:rsidR="005A04A5" w:rsidRPr="00D605E1" w14:paraId="6165DC68" w14:textId="77777777" w:rsidTr="00FC3C09">
        <w:trPr>
          <w:trHeight w:val="300"/>
        </w:trPr>
        <w:tc>
          <w:tcPr>
            <w:tcW w:w="2268" w:type="dxa"/>
            <w:tcBorders>
              <w:top w:val="nil"/>
              <w:left w:val="nil"/>
              <w:right w:val="nil"/>
            </w:tcBorders>
            <w:shd w:val="clear" w:color="auto" w:fill="auto"/>
            <w:noWrap/>
            <w:vAlign w:val="bottom"/>
            <w:hideMark/>
          </w:tcPr>
          <w:p w14:paraId="2BD9734F" w14:textId="77777777" w:rsidR="005A04A5" w:rsidRPr="00EF2309" w:rsidRDefault="005A04A5" w:rsidP="005A04A5">
            <w:pPr>
              <w:rPr>
                <w:rFonts w:asciiTheme="minorHAnsi" w:hAnsiTheme="minorHAnsi"/>
                <w:sz w:val="18"/>
                <w:szCs w:val="18"/>
                <w:lang w:eastAsia="en-AU"/>
              </w:rPr>
            </w:pPr>
            <w:r w:rsidRPr="00EF2309">
              <w:rPr>
                <w:rFonts w:asciiTheme="minorHAnsi" w:hAnsiTheme="minorHAnsi"/>
                <w:sz w:val="18"/>
                <w:szCs w:val="18"/>
                <w:lang w:eastAsia="en-AU"/>
              </w:rPr>
              <w:t>Communication and media studies</w:t>
            </w:r>
          </w:p>
        </w:tc>
        <w:tc>
          <w:tcPr>
            <w:tcW w:w="1418" w:type="dxa"/>
            <w:tcBorders>
              <w:top w:val="nil"/>
              <w:left w:val="nil"/>
              <w:right w:val="nil"/>
            </w:tcBorders>
            <w:shd w:val="clear" w:color="auto" w:fill="auto"/>
            <w:noWrap/>
            <w:vAlign w:val="bottom"/>
            <w:hideMark/>
          </w:tcPr>
          <w:p w14:paraId="502968ED"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84.45</w:t>
            </w:r>
          </w:p>
        </w:tc>
        <w:tc>
          <w:tcPr>
            <w:tcW w:w="1088" w:type="dxa"/>
            <w:tcBorders>
              <w:top w:val="nil"/>
              <w:left w:val="nil"/>
              <w:right w:val="nil"/>
            </w:tcBorders>
            <w:shd w:val="clear" w:color="auto" w:fill="auto"/>
            <w:noWrap/>
            <w:vAlign w:val="bottom"/>
            <w:hideMark/>
          </w:tcPr>
          <w:p w14:paraId="5FAB3406"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1</w:t>
            </w:r>
          </w:p>
        </w:tc>
        <w:tc>
          <w:tcPr>
            <w:tcW w:w="1276" w:type="dxa"/>
            <w:tcBorders>
              <w:top w:val="nil"/>
              <w:left w:val="nil"/>
              <w:right w:val="nil"/>
            </w:tcBorders>
            <w:shd w:val="clear" w:color="auto" w:fill="auto"/>
            <w:noWrap/>
            <w:vAlign w:val="bottom"/>
            <w:hideMark/>
          </w:tcPr>
          <w:p w14:paraId="45F7A18C"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52.35</w:t>
            </w:r>
          </w:p>
        </w:tc>
        <w:tc>
          <w:tcPr>
            <w:tcW w:w="1417" w:type="dxa"/>
            <w:tcBorders>
              <w:top w:val="nil"/>
              <w:left w:val="nil"/>
              <w:right w:val="nil"/>
            </w:tcBorders>
            <w:shd w:val="clear" w:color="auto" w:fill="auto"/>
            <w:noWrap/>
            <w:vAlign w:val="bottom"/>
          </w:tcPr>
          <w:p w14:paraId="47FD49C1"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0.007</w:t>
            </w:r>
          </w:p>
        </w:tc>
        <w:tc>
          <w:tcPr>
            <w:tcW w:w="1276" w:type="dxa"/>
            <w:tcBorders>
              <w:top w:val="nil"/>
              <w:left w:val="nil"/>
              <w:right w:val="nil"/>
            </w:tcBorders>
            <w:shd w:val="clear" w:color="auto" w:fill="auto"/>
            <w:noWrap/>
            <w:vAlign w:val="bottom"/>
          </w:tcPr>
          <w:p w14:paraId="5B035F68"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-3.455</w:t>
            </w:r>
          </w:p>
        </w:tc>
        <w:tc>
          <w:tcPr>
            <w:tcW w:w="1093" w:type="dxa"/>
            <w:tcBorders>
              <w:top w:val="nil"/>
              <w:left w:val="nil"/>
              <w:right w:val="nil"/>
            </w:tcBorders>
            <w:shd w:val="clear" w:color="auto" w:fill="auto"/>
            <w:noWrap/>
            <w:vAlign w:val="bottom"/>
            <w:hideMark/>
          </w:tcPr>
          <w:p w14:paraId="2B700102"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45000</w:t>
            </w:r>
          </w:p>
        </w:tc>
        <w:tc>
          <w:tcPr>
            <w:tcW w:w="1221" w:type="dxa"/>
            <w:tcBorders>
              <w:top w:val="nil"/>
              <w:left w:val="nil"/>
              <w:right w:val="nil"/>
            </w:tcBorders>
            <w:shd w:val="clear" w:color="auto" w:fill="auto"/>
            <w:noWrap/>
            <w:vAlign w:val="bottom"/>
          </w:tcPr>
          <w:p w14:paraId="02E3769B"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0.474</w:t>
            </w:r>
          </w:p>
        </w:tc>
        <w:tc>
          <w:tcPr>
            <w:tcW w:w="1139" w:type="dxa"/>
            <w:tcBorders>
              <w:top w:val="nil"/>
              <w:left w:val="nil"/>
              <w:right w:val="nil"/>
            </w:tcBorders>
            <w:shd w:val="clear" w:color="auto" w:fill="auto"/>
            <w:noWrap/>
            <w:vAlign w:val="bottom"/>
          </w:tcPr>
          <w:p w14:paraId="6B49D9B8"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0.060</w:t>
            </w:r>
          </w:p>
        </w:tc>
        <w:tc>
          <w:tcPr>
            <w:tcW w:w="1193" w:type="dxa"/>
            <w:tcBorders>
              <w:top w:val="nil"/>
              <w:left w:val="nil"/>
              <w:right w:val="nil"/>
            </w:tcBorders>
            <w:shd w:val="clear" w:color="auto" w:fill="auto"/>
            <w:noWrap/>
            <w:vAlign w:val="bottom"/>
          </w:tcPr>
          <w:p w14:paraId="0B3257A5"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0.096</w:t>
            </w:r>
          </w:p>
        </w:tc>
        <w:tc>
          <w:tcPr>
            <w:tcW w:w="1134" w:type="dxa"/>
            <w:tcBorders>
              <w:top w:val="nil"/>
              <w:left w:val="nil"/>
              <w:right w:val="nil"/>
            </w:tcBorders>
            <w:shd w:val="clear" w:color="auto" w:fill="auto"/>
            <w:noWrap/>
            <w:vAlign w:val="bottom"/>
          </w:tcPr>
          <w:p w14:paraId="2558F96F"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0.146</w:t>
            </w:r>
          </w:p>
        </w:tc>
      </w:tr>
      <w:tr w:rsidR="005A04A5" w:rsidRPr="00D605E1" w14:paraId="5C38F84E" w14:textId="77777777" w:rsidTr="00FC3C09">
        <w:trPr>
          <w:trHeight w:val="300"/>
        </w:trPr>
        <w:tc>
          <w:tcPr>
            <w:tcW w:w="2268" w:type="dxa"/>
            <w:tcBorders>
              <w:top w:val="nil"/>
              <w:left w:val="nil"/>
              <w:bottom w:val="single" w:sz="8" w:space="0" w:color="002776"/>
              <w:right w:val="nil"/>
            </w:tcBorders>
            <w:shd w:val="clear" w:color="auto" w:fill="auto"/>
            <w:noWrap/>
            <w:vAlign w:val="bottom"/>
            <w:hideMark/>
          </w:tcPr>
          <w:p w14:paraId="1BC56DC1" w14:textId="77777777" w:rsidR="005A04A5" w:rsidRPr="00EF2309" w:rsidRDefault="005A04A5" w:rsidP="005A04A5">
            <w:pPr>
              <w:rPr>
                <w:rFonts w:asciiTheme="minorHAnsi" w:hAnsiTheme="minorHAnsi"/>
                <w:sz w:val="18"/>
                <w:szCs w:val="18"/>
                <w:lang w:eastAsia="en-AU"/>
              </w:rPr>
            </w:pPr>
            <w:r w:rsidRPr="00EF2309">
              <w:rPr>
                <w:rFonts w:asciiTheme="minorHAnsi" w:hAnsiTheme="minorHAnsi"/>
                <w:sz w:val="18"/>
                <w:szCs w:val="18"/>
                <w:lang w:eastAsia="en-AU"/>
              </w:rPr>
              <w:t>Other creative arts</w:t>
            </w:r>
          </w:p>
        </w:tc>
        <w:tc>
          <w:tcPr>
            <w:tcW w:w="1418" w:type="dxa"/>
            <w:tcBorders>
              <w:top w:val="nil"/>
              <w:left w:val="nil"/>
              <w:bottom w:val="single" w:sz="8" w:space="0" w:color="002776"/>
              <w:right w:val="nil"/>
            </w:tcBorders>
            <w:shd w:val="clear" w:color="auto" w:fill="auto"/>
            <w:noWrap/>
            <w:vAlign w:val="bottom"/>
            <w:hideMark/>
          </w:tcPr>
          <w:p w14:paraId="00105524"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80.65</w:t>
            </w:r>
          </w:p>
        </w:tc>
        <w:tc>
          <w:tcPr>
            <w:tcW w:w="1088" w:type="dxa"/>
            <w:tcBorders>
              <w:top w:val="nil"/>
              <w:left w:val="nil"/>
              <w:bottom w:val="single" w:sz="8" w:space="0" w:color="002776"/>
              <w:right w:val="nil"/>
            </w:tcBorders>
            <w:shd w:val="clear" w:color="auto" w:fill="auto"/>
            <w:noWrap/>
            <w:vAlign w:val="bottom"/>
            <w:hideMark/>
          </w:tcPr>
          <w:p w14:paraId="0D9EF942"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1</w:t>
            </w:r>
          </w:p>
        </w:tc>
        <w:tc>
          <w:tcPr>
            <w:tcW w:w="1276" w:type="dxa"/>
            <w:tcBorders>
              <w:top w:val="nil"/>
              <w:left w:val="nil"/>
              <w:bottom w:val="single" w:sz="8" w:space="0" w:color="002776"/>
              <w:right w:val="nil"/>
            </w:tcBorders>
            <w:shd w:val="clear" w:color="auto" w:fill="auto"/>
            <w:noWrap/>
            <w:vAlign w:val="bottom"/>
            <w:hideMark/>
          </w:tcPr>
          <w:p w14:paraId="26CD0EC7"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43.3</w:t>
            </w:r>
          </w:p>
        </w:tc>
        <w:tc>
          <w:tcPr>
            <w:tcW w:w="1417" w:type="dxa"/>
            <w:tcBorders>
              <w:top w:val="nil"/>
              <w:left w:val="nil"/>
              <w:bottom w:val="single" w:sz="8" w:space="0" w:color="002776"/>
              <w:right w:val="nil"/>
            </w:tcBorders>
            <w:shd w:val="clear" w:color="auto" w:fill="auto"/>
            <w:noWrap/>
            <w:vAlign w:val="bottom"/>
          </w:tcPr>
          <w:p w14:paraId="23BCB976"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0.032</w:t>
            </w:r>
          </w:p>
        </w:tc>
        <w:tc>
          <w:tcPr>
            <w:tcW w:w="1276" w:type="dxa"/>
            <w:tcBorders>
              <w:top w:val="nil"/>
              <w:left w:val="nil"/>
              <w:bottom w:val="single" w:sz="8" w:space="0" w:color="002776"/>
              <w:right w:val="nil"/>
            </w:tcBorders>
            <w:shd w:val="clear" w:color="auto" w:fill="auto"/>
            <w:noWrap/>
            <w:vAlign w:val="bottom"/>
          </w:tcPr>
          <w:p w14:paraId="1A23AAFA"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-3.125</w:t>
            </w:r>
          </w:p>
        </w:tc>
        <w:tc>
          <w:tcPr>
            <w:tcW w:w="1093" w:type="dxa"/>
            <w:tcBorders>
              <w:top w:val="nil"/>
              <w:left w:val="nil"/>
              <w:bottom w:val="single" w:sz="8" w:space="0" w:color="002776"/>
              <w:right w:val="nil"/>
            </w:tcBorders>
            <w:shd w:val="clear" w:color="auto" w:fill="auto"/>
            <w:noWrap/>
            <w:vAlign w:val="bottom"/>
            <w:hideMark/>
          </w:tcPr>
          <w:p w14:paraId="6562FAC1"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40000</w:t>
            </w:r>
          </w:p>
        </w:tc>
        <w:tc>
          <w:tcPr>
            <w:tcW w:w="1221" w:type="dxa"/>
            <w:tcBorders>
              <w:top w:val="nil"/>
              <w:left w:val="nil"/>
              <w:bottom w:val="single" w:sz="8" w:space="0" w:color="002776"/>
              <w:right w:val="nil"/>
            </w:tcBorders>
            <w:shd w:val="clear" w:color="auto" w:fill="auto"/>
            <w:noWrap/>
            <w:vAlign w:val="bottom"/>
          </w:tcPr>
          <w:p w14:paraId="213AB853"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0.429</w:t>
            </w:r>
          </w:p>
        </w:tc>
        <w:tc>
          <w:tcPr>
            <w:tcW w:w="1139" w:type="dxa"/>
            <w:tcBorders>
              <w:top w:val="nil"/>
              <w:left w:val="nil"/>
              <w:bottom w:val="single" w:sz="8" w:space="0" w:color="002776"/>
              <w:right w:val="nil"/>
            </w:tcBorders>
            <w:shd w:val="clear" w:color="auto" w:fill="auto"/>
            <w:noWrap/>
            <w:vAlign w:val="bottom"/>
          </w:tcPr>
          <w:p w14:paraId="64BE0571"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0.030</w:t>
            </w:r>
          </w:p>
        </w:tc>
        <w:tc>
          <w:tcPr>
            <w:tcW w:w="1193" w:type="dxa"/>
            <w:tcBorders>
              <w:top w:val="nil"/>
              <w:left w:val="nil"/>
              <w:bottom w:val="single" w:sz="8" w:space="0" w:color="002776"/>
              <w:right w:val="nil"/>
            </w:tcBorders>
            <w:shd w:val="clear" w:color="auto" w:fill="auto"/>
            <w:noWrap/>
            <w:vAlign w:val="bottom"/>
          </w:tcPr>
          <w:p w14:paraId="68E3B037"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0.066</w:t>
            </w:r>
          </w:p>
        </w:tc>
        <w:tc>
          <w:tcPr>
            <w:tcW w:w="1134" w:type="dxa"/>
            <w:tcBorders>
              <w:top w:val="nil"/>
              <w:left w:val="nil"/>
              <w:bottom w:val="single" w:sz="8" w:space="0" w:color="002776"/>
              <w:right w:val="nil"/>
            </w:tcBorders>
            <w:shd w:val="clear" w:color="auto" w:fill="auto"/>
            <w:noWrap/>
            <w:vAlign w:val="bottom"/>
          </w:tcPr>
          <w:p w14:paraId="01EC2AF7" w14:textId="77777777" w:rsidR="005A04A5" w:rsidRPr="005A04A5" w:rsidRDefault="005A04A5" w:rsidP="005A04A5">
            <w:pPr>
              <w:jc w:val="center"/>
              <w:rPr>
                <w:rFonts w:asciiTheme="minorHAnsi" w:hAnsiTheme="minorHAnsi"/>
                <w:sz w:val="18"/>
                <w:szCs w:val="18"/>
                <w:lang w:eastAsia="en-AU"/>
              </w:rPr>
            </w:pPr>
            <w:r w:rsidRPr="00FC3C09">
              <w:rPr>
                <w:rFonts w:asciiTheme="minorHAnsi" w:hAnsiTheme="minorHAnsi"/>
                <w:color w:val="000000"/>
                <w:sz w:val="18"/>
                <w:szCs w:val="18"/>
              </w:rPr>
              <w:t>0.177</w:t>
            </w:r>
          </w:p>
        </w:tc>
      </w:tr>
    </w:tbl>
    <w:p w14:paraId="109AB97C" w14:textId="77777777" w:rsidR="00E410D2" w:rsidRDefault="00E410D2" w:rsidP="00E410D2">
      <w:pPr>
        <w:pStyle w:val="BodyText"/>
      </w:pPr>
    </w:p>
    <w:p w14:paraId="1ACA78CE" w14:textId="77777777" w:rsidR="00F8412C" w:rsidRPr="000A24E0" w:rsidRDefault="00F8412C" w:rsidP="00F8412C">
      <w:pPr>
        <w:pStyle w:val="AppendixTableCaption"/>
      </w:pPr>
      <w:bookmarkStart w:id="370" w:name="_Toc469927404"/>
      <w:r>
        <w:lastRenderedPageBreak/>
        <w:t xml:space="preserve">: </w:t>
      </w:r>
      <w:r w:rsidRPr="000A24E0">
        <w:t>OLS results: Total cost per EFTSL</w:t>
      </w:r>
      <w:bookmarkEnd w:id="370"/>
      <w:r w:rsidRPr="000A24E0">
        <w:t xml:space="preserve"> </w:t>
      </w:r>
    </w:p>
    <w:tbl>
      <w:tblPr>
        <w:tblStyle w:val="TableAE"/>
        <w:tblW w:w="13345" w:type="dxa"/>
        <w:tblLayout w:type="fixed"/>
        <w:tblLook w:val="04A0" w:firstRow="1" w:lastRow="0" w:firstColumn="1" w:lastColumn="0" w:noHBand="0" w:noVBand="1"/>
      </w:tblPr>
      <w:tblGrid>
        <w:gridCol w:w="3344"/>
        <w:gridCol w:w="1111"/>
        <w:gridCol w:w="1111"/>
        <w:gridCol w:w="1111"/>
        <w:gridCol w:w="1111"/>
        <w:gridCol w:w="1111"/>
        <w:gridCol w:w="1111"/>
        <w:gridCol w:w="1111"/>
        <w:gridCol w:w="1070"/>
        <w:gridCol w:w="41"/>
        <w:gridCol w:w="1093"/>
        <w:gridCol w:w="20"/>
      </w:tblGrid>
      <w:tr w:rsidR="00F8412C" w:rsidRPr="000A24E0" w14:paraId="37425478" w14:textId="77777777" w:rsidTr="00F8412C">
        <w:trPr>
          <w:cnfStyle w:val="100000000000" w:firstRow="1" w:lastRow="0" w:firstColumn="0" w:lastColumn="0" w:oddVBand="0" w:evenVBand="0" w:oddHBand="0" w:evenHBand="0" w:firstRowFirstColumn="0" w:firstRowLastColumn="0" w:lastRowFirstColumn="0" w:lastRowLastColumn="0"/>
        </w:trPr>
        <w:tc>
          <w:tcPr>
            <w:tcW w:w="3344" w:type="dxa"/>
            <w:vAlign w:val="center"/>
          </w:tcPr>
          <w:p w14:paraId="6489377F" w14:textId="77777777" w:rsidR="00F8412C" w:rsidRPr="00FC3C09" w:rsidRDefault="00F8412C" w:rsidP="00F8412C">
            <w:pPr>
              <w:keepNext/>
              <w:keepLines/>
              <w:spacing w:before="20" w:after="20"/>
              <w:rPr>
                <w:rFonts w:asciiTheme="minorHAnsi" w:hAnsiTheme="minorHAnsi"/>
                <w:b/>
                <w:color w:val="002776"/>
                <w:sz w:val="18"/>
                <w:szCs w:val="18"/>
              </w:rPr>
            </w:pPr>
          </w:p>
        </w:tc>
        <w:tc>
          <w:tcPr>
            <w:tcW w:w="1111" w:type="dxa"/>
          </w:tcPr>
          <w:p w14:paraId="7F22F9F8" w14:textId="77777777" w:rsidR="00F8412C" w:rsidRPr="00FC3C09" w:rsidRDefault="00F8412C" w:rsidP="00F8412C">
            <w:pPr>
              <w:pStyle w:val="TableHeadingCentre"/>
              <w:tabs>
                <w:tab w:val="left" w:pos="240"/>
                <w:tab w:val="center" w:pos="611"/>
              </w:tabs>
              <w:rPr>
                <w:rFonts w:asciiTheme="minorHAnsi" w:hAnsiTheme="minorHAnsi"/>
                <w:sz w:val="18"/>
                <w:szCs w:val="18"/>
              </w:rPr>
            </w:pPr>
            <w:r w:rsidRPr="00FC3C09">
              <w:rPr>
                <w:rFonts w:asciiTheme="minorHAnsi" w:hAnsiTheme="minorHAnsi"/>
                <w:sz w:val="18"/>
                <w:szCs w:val="18"/>
              </w:rPr>
              <w:t>Base</w:t>
            </w:r>
          </w:p>
          <w:p w14:paraId="7BDCA271" w14:textId="77777777" w:rsidR="00F8412C" w:rsidRPr="00FC3C09" w:rsidRDefault="00F8412C" w:rsidP="00F8412C">
            <w:pPr>
              <w:pStyle w:val="TableHeadingCentre"/>
              <w:tabs>
                <w:tab w:val="left" w:pos="240"/>
                <w:tab w:val="center" w:pos="611"/>
              </w:tabs>
              <w:rPr>
                <w:rFonts w:asciiTheme="minorHAnsi" w:hAnsiTheme="minorHAnsi"/>
                <w:sz w:val="18"/>
                <w:szCs w:val="18"/>
              </w:rPr>
            </w:pPr>
          </w:p>
          <w:p w14:paraId="5A50B2EC" w14:textId="77777777" w:rsidR="00F8412C" w:rsidRPr="00FC3C09" w:rsidRDefault="00F8412C" w:rsidP="00F8412C">
            <w:pPr>
              <w:pStyle w:val="TableHeadingCentre"/>
              <w:tabs>
                <w:tab w:val="left" w:pos="240"/>
                <w:tab w:val="center" w:pos="611"/>
              </w:tabs>
              <w:rPr>
                <w:rFonts w:asciiTheme="minorHAnsi" w:hAnsiTheme="minorHAnsi"/>
                <w:sz w:val="18"/>
                <w:szCs w:val="18"/>
              </w:rPr>
            </w:pPr>
            <w:r w:rsidRPr="00FC3C09">
              <w:rPr>
                <w:rFonts w:asciiTheme="minorHAnsi" w:hAnsiTheme="minorHAnsi"/>
                <w:sz w:val="18"/>
                <w:szCs w:val="18"/>
              </w:rPr>
              <w:t>(1)</w:t>
            </w:r>
          </w:p>
        </w:tc>
        <w:tc>
          <w:tcPr>
            <w:tcW w:w="1111" w:type="dxa"/>
          </w:tcPr>
          <w:p w14:paraId="64ECFAE6" w14:textId="77777777" w:rsidR="00F8412C" w:rsidRPr="00FC3C09" w:rsidRDefault="00F8412C" w:rsidP="00F8412C">
            <w:pPr>
              <w:pStyle w:val="TableHeadingCentre"/>
              <w:rPr>
                <w:rFonts w:asciiTheme="minorHAnsi" w:hAnsiTheme="minorHAnsi"/>
                <w:sz w:val="18"/>
                <w:szCs w:val="18"/>
              </w:rPr>
            </w:pPr>
            <w:r w:rsidRPr="00FC3C09">
              <w:rPr>
                <w:rFonts w:asciiTheme="minorHAnsi" w:hAnsiTheme="minorHAnsi"/>
                <w:sz w:val="18"/>
                <w:szCs w:val="18"/>
              </w:rPr>
              <w:t>Add fields</w:t>
            </w:r>
          </w:p>
          <w:p w14:paraId="72622A5C" w14:textId="77777777" w:rsidR="00F8412C" w:rsidRPr="00FC3C09" w:rsidRDefault="00F8412C" w:rsidP="00F8412C">
            <w:pPr>
              <w:pStyle w:val="TableHeadingCentre"/>
              <w:rPr>
                <w:rFonts w:asciiTheme="minorHAnsi" w:hAnsiTheme="minorHAnsi"/>
                <w:sz w:val="18"/>
                <w:szCs w:val="18"/>
              </w:rPr>
            </w:pPr>
          </w:p>
          <w:p w14:paraId="3AFFFF56" w14:textId="77777777" w:rsidR="00F8412C" w:rsidRPr="00FC3C09" w:rsidRDefault="00F8412C" w:rsidP="00F8412C">
            <w:pPr>
              <w:pStyle w:val="TableHeadingCentre"/>
              <w:rPr>
                <w:rFonts w:asciiTheme="minorHAnsi" w:hAnsiTheme="minorHAnsi"/>
                <w:sz w:val="18"/>
                <w:szCs w:val="18"/>
              </w:rPr>
            </w:pPr>
            <w:r w:rsidRPr="00FC3C09">
              <w:rPr>
                <w:rFonts w:asciiTheme="minorHAnsi" w:hAnsiTheme="minorHAnsi"/>
                <w:sz w:val="18"/>
                <w:szCs w:val="18"/>
              </w:rPr>
              <w:t>(2)</w:t>
            </w:r>
          </w:p>
        </w:tc>
        <w:tc>
          <w:tcPr>
            <w:tcW w:w="1111" w:type="dxa"/>
          </w:tcPr>
          <w:p w14:paraId="09F36016" w14:textId="77777777" w:rsidR="00F8412C" w:rsidRPr="00FC3C09" w:rsidRDefault="00F8412C" w:rsidP="00F8412C">
            <w:pPr>
              <w:pStyle w:val="TableHeadingCentre"/>
              <w:rPr>
                <w:rFonts w:asciiTheme="minorHAnsi" w:hAnsiTheme="minorHAnsi"/>
                <w:sz w:val="18"/>
                <w:szCs w:val="18"/>
              </w:rPr>
            </w:pPr>
            <w:r w:rsidRPr="00FC3C09">
              <w:rPr>
                <w:rFonts w:asciiTheme="minorHAnsi" w:hAnsiTheme="minorHAnsi"/>
                <w:sz w:val="18"/>
                <w:szCs w:val="18"/>
              </w:rPr>
              <w:t>Further controls</w:t>
            </w:r>
          </w:p>
          <w:p w14:paraId="58B9D74D" w14:textId="77777777" w:rsidR="00F8412C" w:rsidRPr="00FC3C09" w:rsidRDefault="00F8412C" w:rsidP="00F8412C">
            <w:pPr>
              <w:pStyle w:val="TableHeadingCentre"/>
              <w:rPr>
                <w:rFonts w:asciiTheme="minorHAnsi" w:hAnsiTheme="minorHAnsi"/>
                <w:sz w:val="18"/>
                <w:szCs w:val="18"/>
              </w:rPr>
            </w:pPr>
            <w:r w:rsidRPr="00FC3C09">
              <w:rPr>
                <w:rFonts w:asciiTheme="minorHAnsi" w:hAnsiTheme="minorHAnsi"/>
                <w:sz w:val="18"/>
                <w:szCs w:val="18"/>
              </w:rPr>
              <w:t>(3)</w:t>
            </w:r>
          </w:p>
        </w:tc>
        <w:tc>
          <w:tcPr>
            <w:tcW w:w="1111" w:type="dxa"/>
          </w:tcPr>
          <w:p w14:paraId="6C857E5C" w14:textId="77777777" w:rsidR="00F8412C" w:rsidRPr="00FC3C09" w:rsidRDefault="00F8412C" w:rsidP="00F8412C">
            <w:pPr>
              <w:pStyle w:val="TableHeadingCentre"/>
              <w:tabs>
                <w:tab w:val="left" w:pos="240"/>
                <w:tab w:val="center" w:pos="611"/>
              </w:tabs>
              <w:rPr>
                <w:rFonts w:asciiTheme="minorHAnsi" w:hAnsiTheme="minorHAnsi"/>
                <w:sz w:val="18"/>
                <w:szCs w:val="18"/>
              </w:rPr>
            </w:pPr>
            <w:r w:rsidRPr="00FC3C09">
              <w:rPr>
                <w:rFonts w:asciiTheme="minorHAnsi" w:hAnsiTheme="minorHAnsi"/>
                <w:sz w:val="18"/>
                <w:szCs w:val="18"/>
              </w:rPr>
              <w:t>Base</w:t>
            </w:r>
          </w:p>
          <w:p w14:paraId="584D8402" w14:textId="77777777" w:rsidR="00F8412C" w:rsidRPr="00FC3C09" w:rsidRDefault="00F8412C" w:rsidP="00F8412C">
            <w:pPr>
              <w:pStyle w:val="TableHeadingCentre"/>
              <w:tabs>
                <w:tab w:val="left" w:pos="240"/>
                <w:tab w:val="center" w:pos="611"/>
              </w:tabs>
              <w:rPr>
                <w:rFonts w:asciiTheme="minorHAnsi" w:hAnsiTheme="minorHAnsi"/>
                <w:sz w:val="18"/>
                <w:szCs w:val="18"/>
              </w:rPr>
            </w:pPr>
          </w:p>
          <w:p w14:paraId="30CE32D8" w14:textId="77777777" w:rsidR="00F8412C" w:rsidRPr="00FC3C09" w:rsidRDefault="00F8412C" w:rsidP="00F8412C">
            <w:pPr>
              <w:pStyle w:val="TableHeadingCentre"/>
              <w:tabs>
                <w:tab w:val="left" w:pos="240"/>
                <w:tab w:val="center" w:pos="611"/>
              </w:tabs>
              <w:rPr>
                <w:rFonts w:asciiTheme="minorHAnsi" w:hAnsiTheme="minorHAnsi"/>
                <w:sz w:val="18"/>
                <w:szCs w:val="18"/>
              </w:rPr>
            </w:pPr>
            <w:r w:rsidRPr="00FC3C09">
              <w:rPr>
                <w:rFonts w:asciiTheme="minorHAnsi" w:hAnsiTheme="minorHAnsi"/>
                <w:sz w:val="18"/>
                <w:szCs w:val="18"/>
              </w:rPr>
              <w:t>(4)</w:t>
            </w:r>
          </w:p>
        </w:tc>
        <w:tc>
          <w:tcPr>
            <w:tcW w:w="1111" w:type="dxa"/>
          </w:tcPr>
          <w:p w14:paraId="71815471" w14:textId="77777777" w:rsidR="00F8412C" w:rsidRPr="00FC3C09" w:rsidRDefault="00F8412C" w:rsidP="00F8412C">
            <w:pPr>
              <w:pStyle w:val="TableHeadingCentre"/>
              <w:rPr>
                <w:rFonts w:asciiTheme="minorHAnsi" w:hAnsiTheme="minorHAnsi"/>
                <w:sz w:val="18"/>
                <w:szCs w:val="18"/>
              </w:rPr>
            </w:pPr>
            <w:r w:rsidRPr="00FC3C09">
              <w:rPr>
                <w:rFonts w:asciiTheme="minorHAnsi" w:hAnsiTheme="minorHAnsi"/>
                <w:sz w:val="18"/>
                <w:szCs w:val="18"/>
              </w:rPr>
              <w:t>Add fields</w:t>
            </w:r>
          </w:p>
          <w:p w14:paraId="09917A4D" w14:textId="77777777" w:rsidR="00F8412C" w:rsidRPr="00FC3C09" w:rsidRDefault="00F8412C" w:rsidP="00F8412C">
            <w:pPr>
              <w:pStyle w:val="TableHeadingCentre"/>
              <w:rPr>
                <w:rFonts w:asciiTheme="minorHAnsi" w:hAnsiTheme="minorHAnsi"/>
                <w:sz w:val="18"/>
                <w:szCs w:val="18"/>
              </w:rPr>
            </w:pPr>
          </w:p>
          <w:p w14:paraId="2D0D8A34" w14:textId="77777777" w:rsidR="00F8412C" w:rsidRPr="00FC3C09" w:rsidRDefault="00F8412C" w:rsidP="00F8412C">
            <w:pPr>
              <w:pStyle w:val="TableHeadingCentre"/>
              <w:rPr>
                <w:rFonts w:asciiTheme="minorHAnsi" w:hAnsiTheme="minorHAnsi"/>
                <w:sz w:val="18"/>
                <w:szCs w:val="18"/>
              </w:rPr>
            </w:pPr>
            <w:r w:rsidRPr="00FC3C09">
              <w:rPr>
                <w:rFonts w:asciiTheme="minorHAnsi" w:hAnsiTheme="minorHAnsi"/>
                <w:sz w:val="18"/>
                <w:szCs w:val="18"/>
              </w:rPr>
              <w:t>(5)</w:t>
            </w:r>
          </w:p>
        </w:tc>
        <w:tc>
          <w:tcPr>
            <w:tcW w:w="1111" w:type="dxa"/>
          </w:tcPr>
          <w:p w14:paraId="7B7BC980" w14:textId="77777777" w:rsidR="00F8412C" w:rsidRPr="00FC3C09" w:rsidRDefault="00F8412C" w:rsidP="00F8412C">
            <w:pPr>
              <w:pStyle w:val="TableHeadingCentre"/>
              <w:rPr>
                <w:rFonts w:asciiTheme="minorHAnsi" w:hAnsiTheme="minorHAnsi"/>
                <w:sz w:val="18"/>
                <w:szCs w:val="18"/>
              </w:rPr>
            </w:pPr>
            <w:r w:rsidRPr="00FC3C09">
              <w:rPr>
                <w:rFonts w:asciiTheme="minorHAnsi" w:hAnsiTheme="minorHAnsi"/>
                <w:sz w:val="18"/>
                <w:szCs w:val="18"/>
              </w:rPr>
              <w:t>Further controls</w:t>
            </w:r>
          </w:p>
          <w:p w14:paraId="56EE20D2" w14:textId="77777777" w:rsidR="00F8412C" w:rsidRPr="00FC3C09" w:rsidRDefault="00F8412C" w:rsidP="00F8412C">
            <w:pPr>
              <w:pStyle w:val="TableHeadingCentre"/>
              <w:rPr>
                <w:rFonts w:asciiTheme="minorHAnsi" w:hAnsiTheme="minorHAnsi"/>
                <w:sz w:val="18"/>
                <w:szCs w:val="18"/>
              </w:rPr>
            </w:pPr>
            <w:r w:rsidRPr="00FC3C09">
              <w:rPr>
                <w:rFonts w:asciiTheme="minorHAnsi" w:hAnsiTheme="minorHAnsi"/>
                <w:sz w:val="18"/>
                <w:szCs w:val="18"/>
              </w:rPr>
              <w:t>(6)</w:t>
            </w:r>
          </w:p>
        </w:tc>
        <w:tc>
          <w:tcPr>
            <w:tcW w:w="1111" w:type="dxa"/>
          </w:tcPr>
          <w:p w14:paraId="086DF2BB" w14:textId="77777777" w:rsidR="00F8412C" w:rsidRPr="00FC3C09" w:rsidRDefault="00F8412C" w:rsidP="00F8412C">
            <w:pPr>
              <w:pStyle w:val="TableHeadingCentre"/>
              <w:tabs>
                <w:tab w:val="left" w:pos="240"/>
                <w:tab w:val="center" w:pos="611"/>
              </w:tabs>
              <w:rPr>
                <w:rFonts w:asciiTheme="minorHAnsi" w:hAnsiTheme="minorHAnsi"/>
                <w:sz w:val="18"/>
                <w:szCs w:val="18"/>
              </w:rPr>
            </w:pPr>
            <w:r w:rsidRPr="00FC3C09">
              <w:rPr>
                <w:rFonts w:asciiTheme="minorHAnsi" w:hAnsiTheme="minorHAnsi"/>
                <w:sz w:val="18"/>
                <w:szCs w:val="18"/>
              </w:rPr>
              <w:t>Base</w:t>
            </w:r>
          </w:p>
          <w:p w14:paraId="7D05AC9F" w14:textId="77777777" w:rsidR="00F8412C" w:rsidRPr="00FC3C09" w:rsidRDefault="00F8412C" w:rsidP="00F8412C">
            <w:pPr>
              <w:pStyle w:val="TableHeadingCentre"/>
              <w:tabs>
                <w:tab w:val="left" w:pos="240"/>
                <w:tab w:val="center" w:pos="611"/>
              </w:tabs>
              <w:rPr>
                <w:rFonts w:asciiTheme="minorHAnsi" w:hAnsiTheme="minorHAnsi"/>
                <w:sz w:val="18"/>
                <w:szCs w:val="18"/>
              </w:rPr>
            </w:pPr>
          </w:p>
          <w:p w14:paraId="5DBC54E8" w14:textId="77777777" w:rsidR="00F8412C" w:rsidRPr="00FC3C09" w:rsidRDefault="00F8412C" w:rsidP="00F8412C">
            <w:pPr>
              <w:pStyle w:val="TableHeadingCentre"/>
              <w:tabs>
                <w:tab w:val="left" w:pos="240"/>
                <w:tab w:val="center" w:pos="611"/>
              </w:tabs>
              <w:rPr>
                <w:rFonts w:asciiTheme="minorHAnsi" w:hAnsiTheme="minorHAnsi"/>
                <w:sz w:val="18"/>
                <w:szCs w:val="18"/>
              </w:rPr>
            </w:pPr>
            <w:r w:rsidRPr="00FC3C09">
              <w:rPr>
                <w:rFonts w:asciiTheme="minorHAnsi" w:hAnsiTheme="minorHAnsi"/>
                <w:sz w:val="18"/>
                <w:szCs w:val="18"/>
              </w:rPr>
              <w:t>(7)</w:t>
            </w:r>
          </w:p>
        </w:tc>
        <w:tc>
          <w:tcPr>
            <w:tcW w:w="1111" w:type="dxa"/>
            <w:gridSpan w:val="2"/>
          </w:tcPr>
          <w:p w14:paraId="1D123FF2" w14:textId="77777777" w:rsidR="00F8412C" w:rsidRPr="00FC3C09" w:rsidRDefault="00F8412C" w:rsidP="00F8412C">
            <w:pPr>
              <w:pStyle w:val="TableHeadingCentre"/>
              <w:rPr>
                <w:rFonts w:asciiTheme="minorHAnsi" w:hAnsiTheme="minorHAnsi"/>
                <w:sz w:val="18"/>
                <w:szCs w:val="18"/>
              </w:rPr>
            </w:pPr>
            <w:r w:rsidRPr="00FC3C09">
              <w:rPr>
                <w:rFonts w:asciiTheme="minorHAnsi" w:hAnsiTheme="minorHAnsi"/>
                <w:sz w:val="18"/>
                <w:szCs w:val="18"/>
              </w:rPr>
              <w:t>Add fields</w:t>
            </w:r>
          </w:p>
          <w:p w14:paraId="602BDD76" w14:textId="77777777" w:rsidR="00F8412C" w:rsidRPr="00FC3C09" w:rsidRDefault="00F8412C" w:rsidP="00F8412C">
            <w:pPr>
              <w:pStyle w:val="TableHeadingCentre"/>
              <w:rPr>
                <w:rFonts w:asciiTheme="minorHAnsi" w:hAnsiTheme="minorHAnsi"/>
                <w:sz w:val="18"/>
                <w:szCs w:val="18"/>
              </w:rPr>
            </w:pPr>
          </w:p>
          <w:p w14:paraId="0DDBDAB3" w14:textId="77777777" w:rsidR="00F8412C" w:rsidRPr="00FC3C09" w:rsidRDefault="00F8412C" w:rsidP="00F8412C">
            <w:pPr>
              <w:pStyle w:val="TableHeadingCentre"/>
              <w:rPr>
                <w:rFonts w:asciiTheme="minorHAnsi" w:hAnsiTheme="minorHAnsi"/>
                <w:sz w:val="18"/>
                <w:szCs w:val="18"/>
              </w:rPr>
            </w:pPr>
            <w:r w:rsidRPr="00FC3C09">
              <w:rPr>
                <w:rFonts w:asciiTheme="minorHAnsi" w:hAnsiTheme="minorHAnsi"/>
                <w:sz w:val="18"/>
                <w:szCs w:val="18"/>
              </w:rPr>
              <w:t>(8)</w:t>
            </w:r>
          </w:p>
        </w:tc>
        <w:tc>
          <w:tcPr>
            <w:tcW w:w="1113" w:type="dxa"/>
            <w:gridSpan w:val="2"/>
          </w:tcPr>
          <w:p w14:paraId="4661CEE8" w14:textId="77777777" w:rsidR="00F8412C" w:rsidRPr="00FC3C09" w:rsidRDefault="00F8412C" w:rsidP="00F8412C">
            <w:pPr>
              <w:pStyle w:val="TableHeadingCentre"/>
              <w:rPr>
                <w:rFonts w:asciiTheme="minorHAnsi" w:hAnsiTheme="minorHAnsi"/>
                <w:sz w:val="18"/>
                <w:szCs w:val="18"/>
              </w:rPr>
            </w:pPr>
            <w:r w:rsidRPr="00FC3C09">
              <w:rPr>
                <w:rFonts w:asciiTheme="minorHAnsi" w:hAnsiTheme="minorHAnsi"/>
                <w:sz w:val="18"/>
                <w:szCs w:val="18"/>
              </w:rPr>
              <w:t>Further controls</w:t>
            </w:r>
          </w:p>
          <w:p w14:paraId="314B77DE" w14:textId="77777777" w:rsidR="00F8412C" w:rsidRPr="00FC3C09" w:rsidRDefault="00F8412C" w:rsidP="00F8412C">
            <w:pPr>
              <w:pStyle w:val="TableHeadingCentre"/>
              <w:rPr>
                <w:rFonts w:asciiTheme="minorHAnsi" w:hAnsiTheme="minorHAnsi"/>
                <w:sz w:val="18"/>
                <w:szCs w:val="18"/>
              </w:rPr>
            </w:pPr>
            <w:r w:rsidRPr="00FC3C09">
              <w:rPr>
                <w:rFonts w:asciiTheme="minorHAnsi" w:hAnsiTheme="minorHAnsi"/>
                <w:sz w:val="18"/>
                <w:szCs w:val="18"/>
              </w:rPr>
              <w:t>(9)</w:t>
            </w:r>
          </w:p>
        </w:tc>
      </w:tr>
      <w:tr w:rsidR="00F8412C" w:rsidRPr="000A24E0" w14:paraId="5CB316FF" w14:textId="77777777" w:rsidTr="00F8412C">
        <w:tc>
          <w:tcPr>
            <w:tcW w:w="3344" w:type="dxa"/>
            <w:vAlign w:val="center"/>
          </w:tcPr>
          <w:p w14:paraId="06AF4AC0" w14:textId="77777777" w:rsidR="00F8412C" w:rsidRPr="00FC3C09" w:rsidRDefault="00F8412C" w:rsidP="00F8412C">
            <w:pPr>
              <w:keepNext/>
              <w:keepLines/>
              <w:spacing w:before="20" w:after="20"/>
              <w:rPr>
                <w:rFonts w:asciiTheme="minorHAnsi" w:hAnsiTheme="minorHAnsi"/>
                <w:b/>
                <w:color w:val="002776"/>
                <w:sz w:val="18"/>
                <w:szCs w:val="18"/>
              </w:rPr>
            </w:pPr>
          </w:p>
        </w:tc>
        <w:tc>
          <w:tcPr>
            <w:tcW w:w="3333" w:type="dxa"/>
            <w:gridSpan w:val="3"/>
          </w:tcPr>
          <w:p w14:paraId="0DD36259" w14:textId="77777777" w:rsidR="00F8412C" w:rsidRPr="00FC3C09" w:rsidRDefault="00F8412C" w:rsidP="00F8412C">
            <w:pPr>
              <w:keepNext/>
              <w:keepLines/>
              <w:tabs>
                <w:tab w:val="left" w:pos="240"/>
                <w:tab w:val="center" w:pos="611"/>
              </w:tabs>
              <w:spacing w:before="20" w:after="20"/>
              <w:jc w:val="center"/>
              <w:rPr>
                <w:rFonts w:asciiTheme="minorHAnsi" w:hAnsiTheme="minorHAnsi"/>
                <w:b/>
                <w:color w:val="002776"/>
                <w:sz w:val="18"/>
                <w:szCs w:val="18"/>
              </w:rPr>
            </w:pPr>
            <w:r w:rsidRPr="00FC3C09">
              <w:rPr>
                <w:rFonts w:asciiTheme="minorHAnsi" w:hAnsiTheme="minorHAnsi"/>
                <w:b/>
                <w:color w:val="002776"/>
                <w:sz w:val="18"/>
                <w:szCs w:val="18"/>
              </w:rPr>
              <w:t>Sub-Bachelor</w:t>
            </w:r>
          </w:p>
        </w:tc>
        <w:tc>
          <w:tcPr>
            <w:tcW w:w="3333" w:type="dxa"/>
            <w:gridSpan w:val="3"/>
          </w:tcPr>
          <w:p w14:paraId="0170A576" w14:textId="77777777" w:rsidR="00F8412C" w:rsidRPr="00FC3C09" w:rsidRDefault="00F8412C" w:rsidP="00F8412C">
            <w:pPr>
              <w:keepNext/>
              <w:keepLines/>
              <w:spacing w:before="20" w:after="20"/>
              <w:jc w:val="center"/>
              <w:rPr>
                <w:rFonts w:asciiTheme="minorHAnsi" w:hAnsiTheme="minorHAnsi"/>
                <w:b/>
                <w:color w:val="002776"/>
                <w:sz w:val="18"/>
                <w:szCs w:val="18"/>
              </w:rPr>
            </w:pPr>
            <w:r w:rsidRPr="00FC3C09">
              <w:rPr>
                <w:rFonts w:asciiTheme="minorHAnsi" w:hAnsiTheme="minorHAnsi"/>
                <w:b/>
                <w:color w:val="002776"/>
                <w:sz w:val="18"/>
                <w:szCs w:val="18"/>
              </w:rPr>
              <w:t>Bachelor</w:t>
            </w:r>
          </w:p>
        </w:tc>
        <w:tc>
          <w:tcPr>
            <w:tcW w:w="3335" w:type="dxa"/>
            <w:gridSpan w:val="5"/>
          </w:tcPr>
          <w:p w14:paraId="59884B06" w14:textId="77777777" w:rsidR="00F8412C" w:rsidRPr="00FC3C09" w:rsidRDefault="00F8412C" w:rsidP="00F8412C">
            <w:pPr>
              <w:keepNext/>
              <w:keepLines/>
              <w:spacing w:before="20" w:after="20"/>
              <w:jc w:val="center"/>
              <w:rPr>
                <w:rFonts w:asciiTheme="minorHAnsi" w:hAnsiTheme="minorHAnsi"/>
                <w:b/>
                <w:color w:val="002776"/>
                <w:sz w:val="18"/>
                <w:szCs w:val="18"/>
              </w:rPr>
            </w:pPr>
            <w:r w:rsidRPr="00FC3C09">
              <w:rPr>
                <w:rFonts w:asciiTheme="minorHAnsi" w:hAnsiTheme="minorHAnsi"/>
                <w:b/>
                <w:color w:val="002776"/>
                <w:sz w:val="18"/>
                <w:szCs w:val="18"/>
              </w:rPr>
              <w:t>Postgraduate</w:t>
            </w:r>
          </w:p>
        </w:tc>
      </w:tr>
      <w:tr w:rsidR="00F8412C" w:rsidRPr="000A24E0" w14:paraId="5F014585" w14:textId="77777777" w:rsidTr="00F8412C">
        <w:tc>
          <w:tcPr>
            <w:tcW w:w="3344" w:type="dxa"/>
            <w:vAlign w:val="center"/>
          </w:tcPr>
          <w:p w14:paraId="5D861691" w14:textId="77777777" w:rsidR="00F8412C" w:rsidRPr="00FC3C09" w:rsidRDefault="00F8412C" w:rsidP="00F8412C">
            <w:pPr>
              <w:rPr>
                <w:rFonts w:asciiTheme="minorHAnsi" w:hAnsiTheme="minorHAnsi"/>
                <w:sz w:val="18"/>
                <w:szCs w:val="18"/>
              </w:rPr>
            </w:pPr>
            <w:r w:rsidRPr="00FC3C09">
              <w:rPr>
                <w:rFonts w:asciiTheme="minorHAnsi" w:hAnsiTheme="minorHAnsi"/>
                <w:sz w:val="18"/>
                <w:szCs w:val="18"/>
              </w:rPr>
              <w:t>Log staff-student ratio (Teaching staff FTE / total EFTSL)</w:t>
            </w:r>
          </w:p>
        </w:tc>
        <w:tc>
          <w:tcPr>
            <w:tcW w:w="1111" w:type="dxa"/>
            <w:vAlign w:val="bottom"/>
          </w:tcPr>
          <w:p w14:paraId="7C1CA206" w14:textId="77777777" w:rsidR="00F8412C" w:rsidRPr="00FC3C09" w:rsidRDefault="00F8412C" w:rsidP="00F8412C">
            <w:pPr>
              <w:jc w:val="center"/>
              <w:rPr>
                <w:rFonts w:asciiTheme="minorHAnsi" w:hAnsiTheme="minorHAnsi"/>
                <w:color w:val="000000"/>
                <w:sz w:val="18"/>
                <w:szCs w:val="18"/>
                <w:lang w:eastAsia="en-AU"/>
              </w:rPr>
            </w:pPr>
            <w:r w:rsidRPr="00FC3C09">
              <w:rPr>
                <w:rFonts w:asciiTheme="minorHAnsi" w:hAnsiTheme="minorHAnsi"/>
                <w:color w:val="000000"/>
                <w:sz w:val="18"/>
                <w:szCs w:val="18"/>
              </w:rPr>
              <w:t>0.554***</w:t>
            </w:r>
          </w:p>
        </w:tc>
        <w:tc>
          <w:tcPr>
            <w:tcW w:w="1111" w:type="dxa"/>
            <w:vAlign w:val="bottom"/>
          </w:tcPr>
          <w:p w14:paraId="7180A8DA"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0.461***</w:t>
            </w:r>
          </w:p>
        </w:tc>
        <w:tc>
          <w:tcPr>
            <w:tcW w:w="1111" w:type="dxa"/>
            <w:vAlign w:val="bottom"/>
          </w:tcPr>
          <w:p w14:paraId="6FDAA9F4"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0.551***</w:t>
            </w:r>
          </w:p>
        </w:tc>
        <w:tc>
          <w:tcPr>
            <w:tcW w:w="1111" w:type="dxa"/>
            <w:vAlign w:val="bottom"/>
          </w:tcPr>
          <w:p w14:paraId="32B6F219" w14:textId="77777777" w:rsidR="00F8412C" w:rsidRPr="00FC3C09" w:rsidRDefault="00F8412C" w:rsidP="00F8412C">
            <w:pPr>
              <w:jc w:val="center"/>
              <w:rPr>
                <w:rFonts w:asciiTheme="minorHAnsi" w:hAnsiTheme="minorHAnsi"/>
                <w:color w:val="000000"/>
                <w:sz w:val="18"/>
                <w:szCs w:val="18"/>
                <w:lang w:eastAsia="en-AU"/>
              </w:rPr>
            </w:pPr>
            <w:r w:rsidRPr="00FC3C09">
              <w:rPr>
                <w:rFonts w:asciiTheme="minorHAnsi" w:hAnsiTheme="minorHAnsi"/>
                <w:color w:val="000000"/>
                <w:sz w:val="18"/>
                <w:szCs w:val="18"/>
              </w:rPr>
              <w:t>0.589***</w:t>
            </w:r>
          </w:p>
        </w:tc>
        <w:tc>
          <w:tcPr>
            <w:tcW w:w="1111" w:type="dxa"/>
            <w:vAlign w:val="bottom"/>
          </w:tcPr>
          <w:p w14:paraId="2F7277AF"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0.474***</w:t>
            </w:r>
          </w:p>
        </w:tc>
        <w:tc>
          <w:tcPr>
            <w:tcW w:w="1111" w:type="dxa"/>
            <w:vAlign w:val="bottom"/>
          </w:tcPr>
          <w:p w14:paraId="55663CCE"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0.416***</w:t>
            </w:r>
          </w:p>
        </w:tc>
        <w:tc>
          <w:tcPr>
            <w:tcW w:w="1111" w:type="dxa"/>
            <w:vAlign w:val="bottom"/>
          </w:tcPr>
          <w:p w14:paraId="4E378892" w14:textId="77777777" w:rsidR="00F8412C" w:rsidRPr="00FC3C09" w:rsidRDefault="00F8412C" w:rsidP="00F8412C">
            <w:pPr>
              <w:jc w:val="center"/>
              <w:rPr>
                <w:rFonts w:asciiTheme="minorHAnsi" w:hAnsiTheme="minorHAnsi"/>
                <w:color w:val="000000"/>
                <w:sz w:val="18"/>
                <w:szCs w:val="18"/>
                <w:lang w:eastAsia="en-AU"/>
              </w:rPr>
            </w:pPr>
            <w:r w:rsidRPr="00FC3C09">
              <w:rPr>
                <w:rFonts w:asciiTheme="minorHAnsi" w:hAnsiTheme="minorHAnsi"/>
                <w:color w:val="000000"/>
                <w:sz w:val="18"/>
                <w:szCs w:val="18"/>
              </w:rPr>
              <w:t>0.548***</w:t>
            </w:r>
          </w:p>
        </w:tc>
        <w:tc>
          <w:tcPr>
            <w:tcW w:w="1111" w:type="dxa"/>
            <w:gridSpan w:val="2"/>
            <w:vAlign w:val="bottom"/>
          </w:tcPr>
          <w:p w14:paraId="437F2BCB"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0.450***</w:t>
            </w:r>
          </w:p>
        </w:tc>
        <w:tc>
          <w:tcPr>
            <w:tcW w:w="1113" w:type="dxa"/>
            <w:gridSpan w:val="2"/>
            <w:vAlign w:val="bottom"/>
          </w:tcPr>
          <w:p w14:paraId="00BFF406"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0.558***</w:t>
            </w:r>
          </w:p>
        </w:tc>
      </w:tr>
      <w:tr w:rsidR="00F8412C" w:rsidRPr="000A24E0" w14:paraId="19105B0E" w14:textId="77777777" w:rsidTr="00F8412C">
        <w:tc>
          <w:tcPr>
            <w:tcW w:w="3344" w:type="dxa"/>
            <w:vAlign w:val="center"/>
          </w:tcPr>
          <w:p w14:paraId="4ED4FA20" w14:textId="77777777" w:rsidR="00F8412C" w:rsidRPr="00FC3C09" w:rsidRDefault="00F8412C" w:rsidP="00F8412C">
            <w:pPr>
              <w:rPr>
                <w:rFonts w:asciiTheme="minorHAnsi" w:hAnsiTheme="minorHAnsi"/>
                <w:sz w:val="18"/>
                <w:szCs w:val="18"/>
              </w:rPr>
            </w:pPr>
            <w:r w:rsidRPr="00FC3C09">
              <w:rPr>
                <w:rFonts w:asciiTheme="minorHAnsi" w:hAnsiTheme="minorHAnsi"/>
                <w:sz w:val="18"/>
                <w:szCs w:val="18"/>
              </w:rPr>
              <w:t>Log Total EFTSL (by field)</w:t>
            </w:r>
          </w:p>
        </w:tc>
        <w:tc>
          <w:tcPr>
            <w:tcW w:w="1111" w:type="dxa"/>
            <w:vAlign w:val="bottom"/>
          </w:tcPr>
          <w:p w14:paraId="5B8C77C3" w14:textId="1A69BA18"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-0.13</w:t>
            </w:r>
            <w:r w:rsidR="0089263F">
              <w:rPr>
                <w:rFonts w:asciiTheme="minorHAnsi" w:hAnsiTheme="minorHAnsi"/>
                <w:color w:val="000000"/>
                <w:sz w:val="18"/>
                <w:szCs w:val="18"/>
              </w:rPr>
              <w:t>0</w:t>
            </w:r>
          </w:p>
        </w:tc>
        <w:tc>
          <w:tcPr>
            <w:tcW w:w="1111" w:type="dxa"/>
            <w:vAlign w:val="bottom"/>
          </w:tcPr>
          <w:p w14:paraId="36DB6163"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-0.0273</w:t>
            </w:r>
          </w:p>
        </w:tc>
        <w:tc>
          <w:tcPr>
            <w:tcW w:w="1111" w:type="dxa"/>
            <w:vAlign w:val="bottom"/>
          </w:tcPr>
          <w:p w14:paraId="1933DBDF"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0.0128</w:t>
            </w:r>
          </w:p>
        </w:tc>
        <w:tc>
          <w:tcPr>
            <w:tcW w:w="1111" w:type="dxa"/>
            <w:vAlign w:val="bottom"/>
          </w:tcPr>
          <w:p w14:paraId="7586C9BC"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-0.0239**</w:t>
            </w:r>
          </w:p>
        </w:tc>
        <w:tc>
          <w:tcPr>
            <w:tcW w:w="1111" w:type="dxa"/>
            <w:vAlign w:val="bottom"/>
          </w:tcPr>
          <w:p w14:paraId="4EF61553"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0.00155</w:t>
            </w:r>
          </w:p>
        </w:tc>
        <w:tc>
          <w:tcPr>
            <w:tcW w:w="1111" w:type="dxa"/>
            <w:vAlign w:val="bottom"/>
          </w:tcPr>
          <w:p w14:paraId="519CFDDF"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0.0223</w:t>
            </w:r>
          </w:p>
        </w:tc>
        <w:tc>
          <w:tcPr>
            <w:tcW w:w="1111" w:type="dxa"/>
            <w:vAlign w:val="bottom"/>
          </w:tcPr>
          <w:p w14:paraId="0EC4435C"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-0.0313</w:t>
            </w:r>
          </w:p>
        </w:tc>
        <w:tc>
          <w:tcPr>
            <w:tcW w:w="1111" w:type="dxa"/>
            <w:gridSpan w:val="2"/>
            <w:vAlign w:val="bottom"/>
          </w:tcPr>
          <w:p w14:paraId="1A58D0C1"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0.0656**</w:t>
            </w:r>
          </w:p>
        </w:tc>
        <w:tc>
          <w:tcPr>
            <w:tcW w:w="1113" w:type="dxa"/>
            <w:gridSpan w:val="2"/>
            <w:vAlign w:val="bottom"/>
          </w:tcPr>
          <w:p w14:paraId="5C4D35A8"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0.0644**</w:t>
            </w:r>
          </w:p>
        </w:tc>
      </w:tr>
      <w:tr w:rsidR="00F8412C" w:rsidRPr="000A24E0" w14:paraId="004C24CE" w14:textId="77777777" w:rsidTr="00F8412C">
        <w:tc>
          <w:tcPr>
            <w:tcW w:w="3344" w:type="dxa"/>
            <w:vAlign w:val="center"/>
          </w:tcPr>
          <w:p w14:paraId="2381E694" w14:textId="77777777" w:rsidR="00F8412C" w:rsidRPr="00FC3C09" w:rsidRDefault="00F8412C" w:rsidP="00F8412C">
            <w:pPr>
              <w:rPr>
                <w:rFonts w:asciiTheme="minorHAnsi" w:hAnsiTheme="minorHAnsi"/>
                <w:sz w:val="18"/>
                <w:szCs w:val="18"/>
              </w:rPr>
            </w:pPr>
            <w:r w:rsidRPr="00FC3C09">
              <w:rPr>
                <w:rFonts w:asciiTheme="minorHAnsi" w:hAnsiTheme="minorHAnsi"/>
                <w:sz w:val="18"/>
                <w:szCs w:val="18"/>
              </w:rPr>
              <w:t>Indicator for HDR EFTSL</w:t>
            </w:r>
          </w:p>
        </w:tc>
        <w:tc>
          <w:tcPr>
            <w:tcW w:w="1111" w:type="dxa"/>
            <w:vAlign w:val="bottom"/>
          </w:tcPr>
          <w:p w14:paraId="497781F9"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0.434***</w:t>
            </w:r>
          </w:p>
        </w:tc>
        <w:tc>
          <w:tcPr>
            <w:tcW w:w="1111" w:type="dxa"/>
            <w:vAlign w:val="bottom"/>
          </w:tcPr>
          <w:p w14:paraId="08C20EDE"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0.0198</w:t>
            </w:r>
          </w:p>
        </w:tc>
        <w:tc>
          <w:tcPr>
            <w:tcW w:w="1111" w:type="dxa"/>
            <w:vAlign w:val="bottom"/>
          </w:tcPr>
          <w:p w14:paraId="17C11339"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-0.0159</w:t>
            </w:r>
          </w:p>
        </w:tc>
        <w:tc>
          <w:tcPr>
            <w:tcW w:w="1111" w:type="dxa"/>
            <w:vAlign w:val="bottom"/>
          </w:tcPr>
          <w:p w14:paraId="650B2A80"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-0.0426</w:t>
            </w:r>
          </w:p>
        </w:tc>
        <w:tc>
          <w:tcPr>
            <w:tcW w:w="1111" w:type="dxa"/>
            <w:vAlign w:val="bottom"/>
          </w:tcPr>
          <w:p w14:paraId="786A6490"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-0.0399</w:t>
            </w:r>
          </w:p>
        </w:tc>
        <w:tc>
          <w:tcPr>
            <w:tcW w:w="1111" w:type="dxa"/>
            <w:vAlign w:val="bottom"/>
          </w:tcPr>
          <w:p w14:paraId="24A0D004"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-0.0613</w:t>
            </w:r>
          </w:p>
        </w:tc>
        <w:tc>
          <w:tcPr>
            <w:tcW w:w="1111" w:type="dxa"/>
            <w:vAlign w:val="bottom"/>
          </w:tcPr>
          <w:p w14:paraId="4858EBEA"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0.196</w:t>
            </w:r>
          </w:p>
        </w:tc>
        <w:tc>
          <w:tcPr>
            <w:tcW w:w="1111" w:type="dxa"/>
            <w:gridSpan w:val="2"/>
            <w:vAlign w:val="bottom"/>
          </w:tcPr>
          <w:p w14:paraId="165F4E45"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0.236**</w:t>
            </w:r>
          </w:p>
        </w:tc>
        <w:tc>
          <w:tcPr>
            <w:tcW w:w="1113" w:type="dxa"/>
            <w:gridSpan w:val="2"/>
            <w:vAlign w:val="bottom"/>
          </w:tcPr>
          <w:p w14:paraId="614A73DF"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0.140*</w:t>
            </w:r>
          </w:p>
        </w:tc>
      </w:tr>
      <w:tr w:rsidR="00F8412C" w:rsidRPr="000A24E0" w14:paraId="5F246E12" w14:textId="77777777" w:rsidTr="00F8412C">
        <w:tc>
          <w:tcPr>
            <w:tcW w:w="3344" w:type="dxa"/>
            <w:vAlign w:val="center"/>
          </w:tcPr>
          <w:p w14:paraId="042CB0CE" w14:textId="77777777" w:rsidR="00F8412C" w:rsidRPr="00FC3C09" w:rsidRDefault="00F8412C" w:rsidP="00F8412C">
            <w:pPr>
              <w:rPr>
                <w:rFonts w:asciiTheme="minorHAnsi" w:hAnsiTheme="minorHAnsi"/>
                <w:sz w:val="18"/>
                <w:szCs w:val="18"/>
              </w:rPr>
            </w:pPr>
            <w:r w:rsidRPr="00FC3C09">
              <w:rPr>
                <w:rFonts w:asciiTheme="minorHAnsi" w:hAnsiTheme="minorHAnsi"/>
                <w:sz w:val="18"/>
                <w:szCs w:val="18"/>
              </w:rPr>
              <w:t>Proportion of HDR EFTSL to total field EFTSL (university level)</w:t>
            </w:r>
          </w:p>
        </w:tc>
        <w:tc>
          <w:tcPr>
            <w:tcW w:w="1111" w:type="dxa"/>
            <w:vAlign w:val="bottom"/>
          </w:tcPr>
          <w:p w14:paraId="41878AA1"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-0.187</w:t>
            </w:r>
          </w:p>
        </w:tc>
        <w:tc>
          <w:tcPr>
            <w:tcW w:w="1111" w:type="dxa"/>
            <w:vAlign w:val="bottom"/>
          </w:tcPr>
          <w:p w14:paraId="07DE28C1"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-8.408</w:t>
            </w:r>
          </w:p>
        </w:tc>
        <w:tc>
          <w:tcPr>
            <w:tcW w:w="1111" w:type="dxa"/>
            <w:vAlign w:val="bottom"/>
          </w:tcPr>
          <w:p w14:paraId="70CE34C6"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-3.986</w:t>
            </w:r>
          </w:p>
        </w:tc>
        <w:tc>
          <w:tcPr>
            <w:tcW w:w="1111" w:type="dxa"/>
            <w:vAlign w:val="bottom"/>
          </w:tcPr>
          <w:p w14:paraId="31CB86C4"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0.721**</w:t>
            </w:r>
          </w:p>
        </w:tc>
        <w:tc>
          <w:tcPr>
            <w:tcW w:w="1111" w:type="dxa"/>
            <w:vAlign w:val="bottom"/>
          </w:tcPr>
          <w:p w14:paraId="67FDEA56"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-0.0609</w:t>
            </w:r>
          </w:p>
        </w:tc>
        <w:tc>
          <w:tcPr>
            <w:tcW w:w="1111" w:type="dxa"/>
            <w:vAlign w:val="bottom"/>
          </w:tcPr>
          <w:p w14:paraId="1313DCFB"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-0.152</w:t>
            </w:r>
          </w:p>
        </w:tc>
        <w:tc>
          <w:tcPr>
            <w:tcW w:w="1111" w:type="dxa"/>
            <w:vAlign w:val="bottom"/>
          </w:tcPr>
          <w:p w14:paraId="7C1146B2"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1.033</w:t>
            </w:r>
          </w:p>
        </w:tc>
        <w:tc>
          <w:tcPr>
            <w:tcW w:w="1111" w:type="dxa"/>
            <w:gridSpan w:val="2"/>
            <w:vAlign w:val="bottom"/>
          </w:tcPr>
          <w:p w14:paraId="3DD21FBD"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-0.629</w:t>
            </w:r>
          </w:p>
        </w:tc>
        <w:tc>
          <w:tcPr>
            <w:tcW w:w="1113" w:type="dxa"/>
            <w:gridSpan w:val="2"/>
            <w:vAlign w:val="bottom"/>
          </w:tcPr>
          <w:p w14:paraId="41185FEA" w14:textId="3ACE60F0"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-0.59</w:t>
            </w:r>
            <w:r w:rsidR="0089263F">
              <w:rPr>
                <w:rFonts w:asciiTheme="minorHAnsi" w:hAnsiTheme="minorHAnsi"/>
                <w:color w:val="000000"/>
                <w:sz w:val="18"/>
                <w:szCs w:val="18"/>
              </w:rPr>
              <w:t>0</w:t>
            </w:r>
          </w:p>
        </w:tc>
      </w:tr>
      <w:tr w:rsidR="00F8412C" w:rsidRPr="000A24E0" w14:paraId="53D9097B" w14:textId="77777777" w:rsidTr="00F8412C">
        <w:tc>
          <w:tcPr>
            <w:tcW w:w="3344" w:type="dxa"/>
            <w:vAlign w:val="center"/>
          </w:tcPr>
          <w:p w14:paraId="139F8F1E" w14:textId="77777777" w:rsidR="00F8412C" w:rsidRPr="00FC3C09" w:rsidRDefault="00F8412C" w:rsidP="00F8412C">
            <w:pPr>
              <w:rPr>
                <w:rFonts w:asciiTheme="minorHAnsi" w:hAnsiTheme="minorHAnsi"/>
                <w:sz w:val="18"/>
                <w:szCs w:val="18"/>
              </w:rPr>
            </w:pPr>
            <w:r w:rsidRPr="00FC3C09">
              <w:rPr>
                <w:rFonts w:asciiTheme="minorHAnsi" w:hAnsiTheme="minorHAnsi"/>
                <w:sz w:val="18"/>
                <w:szCs w:val="18"/>
              </w:rPr>
              <w:t>Proportion of international EFTSL</w:t>
            </w:r>
          </w:p>
        </w:tc>
        <w:tc>
          <w:tcPr>
            <w:tcW w:w="1111" w:type="dxa"/>
            <w:vAlign w:val="bottom"/>
          </w:tcPr>
          <w:p w14:paraId="6B423EEC"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6774D972" w14:textId="77777777" w:rsidR="00F8412C" w:rsidRPr="00FC3C09" w:rsidRDefault="00F8412C" w:rsidP="00F8412C">
            <w:pPr>
              <w:jc w:val="center"/>
              <w:rPr>
                <w:rFonts w:asciiTheme="minorHAnsi" w:hAnsiTheme="minorHAnsi"/>
                <w:sz w:val="18"/>
                <w:szCs w:val="18"/>
              </w:rPr>
            </w:pPr>
          </w:p>
        </w:tc>
        <w:tc>
          <w:tcPr>
            <w:tcW w:w="1111" w:type="dxa"/>
            <w:vAlign w:val="bottom"/>
          </w:tcPr>
          <w:p w14:paraId="08C6D20B"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1.824***</w:t>
            </w:r>
          </w:p>
        </w:tc>
        <w:tc>
          <w:tcPr>
            <w:tcW w:w="1111" w:type="dxa"/>
            <w:vAlign w:val="bottom"/>
          </w:tcPr>
          <w:p w14:paraId="4E74AB7D"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6CE3BCCA" w14:textId="77777777" w:rsidR="00F8412C" w:rsidRPr="00FC3C09" w:rsidRDefault="00F8412C" w:rsidP="00F8412C">
            <w:pPr>
              <w:jc w:val="center"/>
              <w:rPr>
                <w:rFonts w:asciiTheme="minorHAnsi" w:hAnsiTheme="minorHAnsi"/>
                <w:sz w:val="18"/>
                <w:szCs w:val="18"/>
              </w:rPr>
            </w:pPr>
          </w:p>
        </w:tc>
        <w:tc>
          <w:tcPr>
            <w:tcW w:w="1111" w:type="dxa"/>
            <w:vAlign w:val="bottom"/>
          </w:tcPr>
          <w:p w14:paraId="77CE7E2D"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0.284</w:t>
            </w:r>
          </w:p>
        </w:tc>
        <w:tc>
          <w:tcPr>
            <w:tcW w:w="1111" w:type="dxa"/>
            <w:vAlign w:val="bottom"/>
          </w:tcPr>
          <w:p w14:paraId="47CB7AA9" w14:textId="77777777" w:rsidR="00F8412C" w:rsidRPr="00FC3C09" w:rsidRDefault="00F8412C" w:rsidP="00F8412C">
            <w:pPr>
              <w:jc w:val="center"/>
              <w:rPr>
                <w:rFonts w:asciiTheme="minorHAnsi" w:hAnsiTheme="minorHAnsi"/>
                <w:color w:val="000000"/>
                <w:sz w:val="18"/>
                <w:szCs w:val="18"/>
              </w:rPr>
            </w:pPr>
          </w:p>
        </w:tc>
        <w:tc>
          <w:tcPr>
            <w:tcW w:w="1111" w:type="dxa"/>
            <w:gridSpan w:val="2"/>
            <w:vAlign w:val="bottom"/>
          </w:tcPr>
          <w:p w14:paraId="642D780A" w14:textId="77777777" w:rsidR="00F8412C" w:rsidRPr="00FC3C09" w:rsidRDefault="00F8412C" w:rsidP="00F8412C">
            <w:pPr>
              <w:jc w:val="center"/>
              <w:rPr>
                <w:rFonts w:asciiTheme="minorHAnsi" w:hAnsiTheme="minorHAnsi"/>
                <w:sz w:val="18"/>
                <w:szCs w:val="18"/>
              </w:rPr>
            </w:pPr>
          </w:p>
        </w:tc>
        <w:tc>
          <w:tcPr>
            <w:tcW w:w="1113" w:type="dxa"/>
            <w:gridSpan w:val="2"/>
            <w:vAlign w:val="bottom"/>
          </w:tcPr>
          <w:p w14:paraId="3F62FEE2"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0.135</w:t>
            </w:r>
          </w:p>
        </w:tc>
      </w:tr>
      <w:tr w:rsidR="00F8412C" w:rsidRPr="000A24E0" w14:paraId="1DACC50B" w14:textId="77777777" w:rsidTr="00F8412C">
        <w:tc>
          <w:tcPr>
            <w:tcW w:w="3344" w:type="dxa"/>
            <w:vAlign w:val="center"/>
          </w:tcPr>
          <w:p w14:paraId="484D844E" w14:textId="77777777" w:rsidR="00F8412C" w:rsidRPr="00FC3C09" w:rsidRDefault="00F8412C" w:rsidP="00F8412C">
            <w:pPr>
              <w:rPr>
                <w:rFonts w:asciiTheme="minorHAnsi" w:hAnsiTheme="minorHAnsi"/>
                <w:sz w:val="18"/>
                <w:szCs w:val="18"/>
              </w:rPr>
            </w:pPr>
            <w:r w:rsidRPr="00FC3C09">
              <w:rPr>
                <w:rFonts w:asciiTheme="minorHAnsi" w:hAnsiTheme="minorHAnsi"/>
                <w:sz w:val="18"/>
                <w:szCs w:val="18"/>
              </w:rPr>
              <w:t>Proportion of regional EFTSL</w:t>
            </w:r>
          </w:p>
        </w:tc>
        <w:tc>
          <w:tcPr>
            <w:tcW w:w="1111" w:type="dxa"/>
            <w:vAlign w:val="bottom"/>
          </w:tcPr>
          <w:p w14:paraId="60D98F42"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1559B889" w14:textId="77777777" w:rsidR="00F8412C" w:rsidRPr="00FC3C09" w:rsidRDefault="00F8412C" w:rsidP="00F8412C">
            <w:pPr>
              <w:jc w:val="center"/>
              <w:rPr>
                <w:rFonts w:asciiTheme="minorHAnsi" w:hAnsiTheme="minorHAnsi"/>
                <w:sz w:val="18"/>
                <w:szCs w:val="18"/>
              </w:rPr>
            </w:pPr>
          </w:p>
        </w:tc>
        <w:tc>
          <w:tcPr>
            <w:tcW w:w="1111" w:type="dxa"/>
            <w:vAlign w:val="bottom"/>
          </w:tcPr>
          <w:p w14:paraId="2E092647"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-0.453</w:t>
            </w:r>
          </w:p>
        </w:tc>
        <w:tc>
          <w:tcPr>
            <w:tcW w:w="1111" w:type="dxa"/>
            <w:vAlign w:val="bottom"/>
          </w:tcPr>
          <w:p w14:paraId="300E48B6"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2F083C92" w14:textId="77777777" w:rsidR="00F8412C" w:rsidRPr="00FC3C09" w:rsidRDefault="00F8412C" w:rsidP="00F8412C">
            <w:pPr>
              <w:jc w:val="center"/>
              <w:rPr>
                <w:rFonts w:asciiTheme="minorHAnsi" w:hAnsiTheme="minorHAnsi"/>
                <w:sz w:val="18"/>
                <w:szCs w:val="18"/>
              </w:rPr>
            </w:pPr>
          </w:p>
        </w:tc>
        <w:tc>
          <w:tcPr>
            <w:tcW w:w="1111" w:type="dxa"/>
            <w:vAlign w:val="bottom"/>
          </w:tcPr>
          <w:p w14:paraId="6A086755"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0.165**</w:t>
            </w:r>
          </w:p>
        </w:tc>
        <w:tc>
          <w:tcPr>
            <w:tcW w:w="1111" w:type="dxa"/>
            <w:vAlign w:val="bottom"/>
          </w:tcPr>
          <w:p w14:paraId="5F710DDB" w14:textId="77777777" w:rsidR="00F8412C" w:rsidRPr="00FC3C09" w:rsidRDefault="00F8412C" w:rsidP="00F8412C">
            <w:pPr>
              <w:jc w:val="center"/>
              <w:rPr>
                <w:rFonts w:asciiTheme="minorHAnsi" w:hAnsiTheme="minorHAnsi"/>
                <w:color w:val="000000"/>
                <w:sz w:val="18"/>
                <w:szCs w:val="18"/>
              </w:rPr>
            </w:pPr>
          </w:p>
        </w:tc>
        <w:tc>
          <w:tcPr>
            <w:tcW w:w="1111" w:type="dxa"/>
            <w:gridSpan w:val="2"/>
            <w:vAlign w:val="bottom"/>
          </w:tcPr>
          <w:p w14:paraId="0F2D6C91" w14:textId="77777777" w:rsidR="00F8412C" w:rsidRPr="00FC3C09" w:rsidRDefault="00F8412C" w:rsidP="00F8412C">
            <w:pPr>
              <w:jc w:val="center"/>
              <w:rPr>
                <w:rFonts w:asciiTheme="minorHAnsi" w:hAnsiTheme="minorHAnsi"/>
                <w:sz w:val="18"/>
                <w:szCs w:val="18"/>
              </w:rPr>
            </w:pPr>
          </w:p>
        </w:tc>
        <w:tc>
          <w:tcPr>
            <w:tcW w:w="1113" w:type="dxa"/>
            <w:gridSpan w:val="2"/>
            <w:vAlign w:val="bottom"/>
          </w:tcPr>
          <w:p w14:paraId="5CAAC0A1"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0.0332</w:t>
            </w:r>
          </w:p>
        </w:tc>
      </w:tr>
      <w:tr w:rsidR="00F8412C" w:rsidRPr="000A24E0" w14:paraId="35CCE9DD" w14:textId="77777777" w:rsidTr="00F8412C">
        <w:tc>
          <w:tcPr>
            <w:tcW w:w="3344" w:type="dxa"/>
            <w:vAlign w:val="center"/>
          </w:tcPr>
          <w:p w14:paraId="081007B3" w14:textId="77777777" w:rsidR="00F8412C" w:rsidRPr="00FC3C09" w:rsidRDefault="00F8412C" w:rsidP="00F8412C">
            <w:pPr>
              <w:rPr>
                <w:rFonts w:asciiTheme="minorHAnsi" w:hAnsiTheme="minorHAnsi"/>
                <w:sz w:val="18"/>
                <w:szCs w:val="18"/>
              </w:rPr>
            </w:pPr>
            <w:r w:rsidRPr="00FC3C09">
              <w:rPr>
                <w:rFonts w:asciiTheme="minorHAnsi" w:hAnsiTheme="minorHAnsi"/>
                <w:sz w:val="18"/>
                <w:szCs w:val="18"/>
              </w:rPr>
              <w:t xml:space="preserve">Proportion of casual teaching staff </w:t>
            </w:r>
          </w:p>
        </w:tc>
        <w:tc>
          <w:tcPr>
            <w:tcW w:w="1111" w:type="dxa"/>
            <w:vAlign w:val="bottom"/>
          </w:tcPr>
          <w:p w14:paraId="6A040331"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36FB4C3D" w14:textId="77777777" w:rsidR="00F8412C" w:rsidRPr="00FC3C09" w:rsidRDefault="00F8412C" w:rsidP="00F8412C">
            <w:pPr>
              <w:jc w:val="center"/>
              <w:rPr>
                <w:rFonts w:asciiTheme="minorHAnsi" w:hAnsiTheme="minorHAnsi"/>
                <w:sz w:val="18"/>
                <w:szCs w:val="18"/>
              </w:rPr>
            </w:pPr>
          </w:p>
        </w:tc>
        <w:tc>
          <w:tcPr>
            <w:tcW w:w="1111" w:type="dxa"/>
            <w:vAlign w:val="bottom"/>
          </w:tcPr>
          <w:p w14:paraId="61A8870A"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-0.00810***</w:t>
            </w:r>
          </w:p>
        </w:tc>
        <w:tc>
          <w:tcPr>
            <w:tcW w:w="1111" w:type="dxa"/>
            <w:vAlign w:val="bottom"/>
          </w:tcPr>
          <w:p w14:paraId="19518465"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6750D089" w14:textId="77777777" w:rsidR="00F8412C" w:rsidRPr="00FC3C09" w:rsidRDefault="00F8412C" w:rsidP="00F8412C">
            <w:pPr>
              <w:jc w:val="center"/>
              <w:rPr>
                <w:rFonts w:asciiTheme="minorHAnsi" w:hAnsiTheme="minorHAnsi"/>
                <w:sz w:val="18"/>
                <w:szCs w:val="18"/>
              </w:rPr>
            </w:pPr>
          </w:p>
        </w:tc>
        <w:tc>
          <w:tcPr>
            <w:tcW w:w="1111" w:type="dxa"/>
            <w:vAlign w:val="bottom"/>
          </w:tcPr>
          <w:p w14:paraId="225CFA4D"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-0.191**</w:t>
            </w:r>
          </w:p>
        </w:tc>
        <w:tc>
          <w:tcPr>
            <w:tcW w:w="1111" w:type="dxa"/>
            <w:vAlign w:val="bottom"/>
          </w:tcPr>
          <w:p w14:paraId="63FB3057" w14:textId="77777777" w:rsidR="00F8412C" w:rsidRPr="00FC3C09" w:rsidRDefault="00F8412C" w:rsidP="00F8412C">
            <w:pPr>
              <w:jc w:val="center"/>
              <w:rPr>
                <w:rFonts w:asciiTheme="minorHAnsi" w:hAnsiTheme="minorHAnsi"/>
                <w:color w:val="000000"/>
                <w:sz w:val="18"/>
                <w:szCs w:val="18"/>
              </w:rPr>
            </w:pPr>
          </w:p>
        </w:tc>
        <w:tc>
          <w:tcPr>
            <w:tcW w:w="1111" w:type="dxa"/>
            <w:gridSpan w:val="2"/>
            <w:vAlign w:val="bottom"/>
          </w:tcPr>
          <w:p w14:paraId="367A67AD" w14:textId="77777777" w:rsidR="00F8412C" w:rsidRPr="00FC3C09" w:rsidRDefault="00F8412C" w:rsidP="00F8412C">
            <w:pPr>
              <w:jc w:val="center"/>
              <w:rPr>
                <w:rFonts w:asciiTheme="minorHAnsi" w:hAnsiTheme="minorHAnsi"/>
                <w:sz w:val="18"/>
                <w:szCs w:val="18"/>
              </w:rPr>
            </w:pPr>
          </w:p>
        </w:tc>
        <w:tc>
          <w:tcPr>
            <w:tcW w:w="1113" w:type="dxa"/>
            <w:gridSpan w:val="2"/>
            <w:vAlign w:val="bottom"/>
          </w:tcPr>
          <w:p w14:paraId="10E82B2C"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-0.0508***</w:t>
            </w:r>
          </w:p>
        </w:tc>
      </w:tr>
      <w:tr w:rsidR="00F8412C" w:rsidRPr="000A24E0" w14:paraId="4FF78DDE" w14:textId="77777777" w:rsidTr="00F8412C">
        <w:tc>
          <w:tcPr>
            <w:tcW w:w="3344" w:type="dxa"/>
            <w:vAlign w:val="center"/>
          </w:tcPr>
          <w:p w14:paraId="11348394" w14:textId="77777777" w:rsidR="00F8412C" w:rsidRPr="00FC3C09" w:rsidRDefault="00F8412C" w:rsidP="00F8412C">
            <w:pPr>
              <w:rPr>
                <w:rFonts w:asciiTheme="minorHAnsi" w:hAnsiTheme="minorHAnsi"/>
                <w:sz w:val="18"/>
                <w:szCs w:val="18"/>
              </w:rPr>
            </w:pPr>
            <w:r w:rsidRPr="00FC3C09">
              <w:rPr>
                <w:rFonts w:asciiTheme="minorHAnsi" w:hAnsiTheme="minorHAnsi"/>
                <w:sz w:val="18"/>
                <w:szCs w:val="18"/>
              </w:rPr>
              <w:t>Proportion of external (including multimodal) EFTSL</w:t>
            </w:r>
          </w:p>
        </w:tc>
        <w:tc>
          <w:tcPr>
            <w:tcW w:w="1111" w:type="dxa"/>
            <w:vAlign w:val="bottom"/>
          </w:tcPr>
          <w:p w14:paraId="26A87266"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27397E49" w14:textId="77777777" w:rsidR="00F8412C" w:rsidRPr="00FC3C09" w:rsidRDefault="00F8412C" w:rsidP="00F8412C">
            <w:pPr>
              <w:jc w:val="center"/>
              <w:rPr>
                <w:rFonts w:asciiTheme="minorHAnsi" w:hAnsiTheme="minorHAnsi"/>
                <w:sz w:val="18"/>
                <w:szCs w:val="18"/>
              </w:rPr>
            </w:pPr>
          </w:p>
        </w:tc>
        <w:tc>
          <w:tcPr>
            <w:tcW w:w="1111" w:type="dxa"/>
            <w:vAlign w:val="bottom"/>
          </w:tcPr>
          <w:p w14:paraId="63AE7814"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-0.197</w:t>
            </w:r>
          </w:p>
        </w:tc>
        <w:tc>
          <w:tcPr>
            <w:tcW w:w="1111" w:type="dxa"/>
            <w:vAlign w:val="bottom"/>
          </w:tcPr>
          <w:p w14:paraId="374194FF"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69FDCC88" w14:textId="77777777" w:rsidR="00F8412C" w:rsidRPr="00FC3C09" w:rsidRDefault="00F8412C" w:rsidP="00F8412C">
            <w:pPr>
              <w:jc w:val="center"/>
              <w:rPr>
                <w:rFonts w:asciiTheme="minorHAnsi" w:hAnsiTheme="minorHAnsi"/>
                <w:sz w:val="18"/>
                <w:szCs w:val="18"/>
              </w:rPr>
            </w:pPr>
          </w:p>
        </w:tc>
        <w:tc>
          <w:tcPr>
            <w:tcW w:w="1111" w:type="dxa"/>
            <w:vAlign w:val="bottom"/>
          </w:tcPr>
          <w:p w14:paraId="489C6BB3"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-0.149</w:t>
            </w:r>
          </w:p>
        </w:tc>
        <w:tc>
          <w:tcPr>
            <w:tcW w:w="1111" w:type="dxa"/>
            <w:vAlign w:val="bottom"/>
          </w:tcPr>
          <w:p w14:paraId="33DC9A41" w14:textId="77777777" w:rsidR="00F8412C" w:rsidRPr="00FC3C09" w:rsidRDefault="00F8412C" w:rsidP="00F8412C">
            <w:pPr>
              <w:jc w:val="center"/>
              <w:rPr>
                <w:rFonts w:asciiTheme="minorHAnsi" w:hAnsiTheme="minorHAnsi"/>
                <w:color w:val="000000"/>
                <w:sz w:val="18"/>
                <w:szCs w:val="18"/>
              </w:rPr>
            </w:pPr>
          </w:p>
        </w:tc>
        <w:tc>
          <w:tcPr>
            <w:tcW w:w="1111" w:type="dxa"/>
            <w:gridSpan w:val="2"/>
            <w:vAlign w:val="bottom"/>
          </w:tcPr>
          <w:p w14:paraId="31167C7E" w14:textId="77777777" w:rsidR="00F8412C" w:rsidRPr="00FC3C09" w:rsidRDefault="00F8412C" w:rsidP="00F8412C">
            <w:pPr>
              <w:jc w:val="center"/>
              <w:rPr>
                <w:rFonts w:asciiTheme="minorHAnsi" w:hAnsiTheme="minorHAnsi"/>
                <w:sz w:val="18"/>
                <w:szCs w:val="18"/>
              </w:rPr>
            </w:pPr>
          </w:p>
        </w:tc>
        <w:tc>
          <w:tcPr>
            <w:tcW w:w="1113" w:type="dxa"/>
            <w:gridSpan w:val="2"/>
            <w:vAlign w:val="bottom"/>
          </w:tcPr>
          <w:p w14:paraId="46B2AF30"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0.0394</w:t>
            </w:r>
          </w:p>
        </w:tc>
      </w:tr>
      <w:tr w:rsidR="00F8412C" w:rsidRPr="000A24E0" w14:paraId="23587B0A" w14:textId="77777777" w:rsidTr="00F8412C">
        <w:tc>
          <w:tcPr>
            <w:tcW w:w="3344" w:type="dxa"/>
            <w:vAlign w:val="center"/>
          </w:tcPr>
          <w:p w14:paraId="670A57C9" w14:textId="77777777" w:rsidR="00F8412C" w:rsidRPr="00FC3C09" w:rsidRDefault="00F8412C" w:rsidP="00F8412C">
            <w:pPr>
              <w:spacing w:before="60"/>
              <w:rPr>
                <w:rFonts w:asciiTheme="minorHAnsi" w:hAnsiTheme="minorHAnsi"/>
                <w:sz w:val="18"/>
                <w:szCs w:val="18"/>
              </w:rPr>
            </w:pPr>
          </w:p>
        </w:tc>
        <w:tc>
          <w:tcPr>
            <w:tcW w:w="1111" w:type="dxa"/>
            <w:vAlign w:val="bottom"/>
          </w:tcPr>
          <w:p w14:paraId="12D6A791"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4FE72E95" w14:textId="77777777" w:rsidR="00F8412C" w:rsidRPr="00FC3C09" w:rsidRDefault="00F8412C" w:rsidP="00F8412C">
            <w:pPr>
              <w:jc w:val="center"/>
              <w:rPr>
                <w:rFonts w:asciiTheme="minorHAnsi" w:hAnsiTheme="minorHAnsi"/>
                <w:sz w:val="18"/>
                <w:szCs w:val="18"/>
              </w:rPr>
            </w:pPr>
          </w:p>
        </w:tc>
        <w:tc>
          <w:tcPr>
            <w:tcW w:w="1111" w:type="dxa"/>
            <w:vAlign w:val="bottom"/>
          </w:tcPr>
          <w:p w14:paraId="72F2D9DA" w14:textId="77777777" w:rsidR="00F8412C" w:rsidRPr="00FC3C09" w:rsidRDefault="00F8412C" w:rsidP="00F8412C">
            <w:pPr>
              <w:jc w:val="center"/>
              <w:rPr>
                <w:rFonts w:asciiTheme="minorHAnsi" w:hAnsiTheme="minorHAnsi"/>
                <w:sz w:val="18"/>
                <w:szCs w:val="18"/>
              </w:rPr>
            </w:pPr>
          </w:p>
        </w:tc>
        <w:tc>
          <w:tcPr>
            <w:tcW w:w="1111" w:type="dxa"/>
            <w:vAlign w:val="bottom"/>
          </w:tcPr>
          <w:p w14:paraId="699C6439" w14:textId="77777777" w:rsidR="00F8412C" w:rsidRPr="00FC3C09" w:rsidRDefault="00F8412C" w:rsidP="00F8412C">
            <w:pPr>
              <w:jc w:val="center"/>
              <w:rPr>
                <w:rFonts w:asciiTheme="minorHAnsi" w:hAnsiTheme="minorHAnsi"/>
                <w:sz w:val="18"/>
                <w:szCs w:val="18"/>
              </w:rPr>
            </w:pPr>
          </w:p>
        </w:tc>
        <w:tc>
          <w:tcPr>
            <w:tcW w:w="1111" w:type="dxa"/>
          </w:tcPr>
          <w:p w14:paraId="2FBDCB6E" w14:textId="77777777" w:rsidR="00F8412C" w:rsidRPr="00FC3C09" w:rsidRDefault="00F8412C" w:rsidP="00F8412C">
            <w:pPr>
              <w:jc w:val="center"/>
              <w:rPr>
                <w:rFonts w:asciiTheme="minorHAnsi" w:hAnsiTheme="minorHAnsi"/>
                <w:sz w:val="18"/>
                <w:szCs w:val="18"/>
              </w:rPr>
            </w:pPr>
          </w:p>
        </w:tc>
        <w:tc>
          <w:tcPr>
            <w:tcW w:w="1111" w:type="dxa"/>
          </w:tcPr>
          <w:p w14:paraId="1F3203F2" w14:textId="77777777" w:rsidR="00F8412C" w:rsidRPr="00FC3C09" w:rsidRDefault="00F8412C" w:rsidP="00F8412C">
            <w:pPr>
              <w:jc w:val="center"/>
              <w:rPr>
                <w:rFonts w:asciiTheme="minorHAnsi" w:hAnsiTheme="minorHAnsi"/>
                <w:sz w:val="18"/>
                <w:szCs w:val="18"/>
              </w:rPr>
            </w:pPr>
          </w:p>
        </w:tc>
        <w:tc>
          <w:tcPr>
            <w:tcW w:w="1111" w:type="dxa"/>
          </w:tcPr>
          <w:p w14:paraId="5CCE0B3E" w14:textId="77777777" w:rsidR="00F8412C" w:rsidRPr="00FC3C09" w:rsidRDefault="00F8412C" w:rsidP="00F8412C">
            <w:pPr>
              <w:jc w:val="center"/>
              <w:rPr>
                <w:rFonts w:asciiTheme="minorHAnsi" w:hAnsiTheme="minorHAnsi"/>
                <w:sz w:val="18"/>
                <w:szCs w:val="18"/>
              </w:rPr>
            </w:pPr>
          </w:p>
        </w:tc>
        <w:tc>
          <w:tcPr>
            <w:tcW w:w="1111" w:type="dxa"/>
            <w:gridSpan w:val="2"/>
          </w:tcPr>
          <w:p w14:paraId="6792296E" w14:textId="77777777" w:rsidR="00F8412C" w:rsidRPr="00FC3C09" w:rsidRDefault="00F8412C" w:rsidP="00F8412C">
            <w:pPr>
              <w:jc w:val="center"/>
              <w:rPr>
                <w:rFonts w:asciiTheme="minorHAnsi" w:hAnsiTheme="minorHAnsi"/>
                <w:sz w:val="18"/>
                <w:szCs w:val="18"/>
              </w:rPr>
            </w:pPr>
          </w:p>
        </w:tc>
        <w:tc>
          <w:tcPr>
            <w:tcW w:w="1113" w:type="dxa"/>
            <w:gridSpan w:val="2"/>
          </w:tcPr>
          <w:p w14:paraId="6D4C4DFB" w14:textId="77777777" w:rsidR="00F8412C" w:rsidRPr="00FC3C09" w:rsidRDefault="00F8412C" w:rsidP="00F8412C">
            <w:pPr>
              <w:jc w:val="center"/>
              <w:rPr>
                <w:rFonts w:asciiTheme="minorHAnsi" w:hAnsiTheme="minorHAnsi"/>
                <w:sz w:val="18"/>
                <w:szCs w:val="18"/>
              </w:rPr>
            </w:pPr>
          </w:p>
        </w:tc>
      </w:tr>
      <w:tr w:rsidR="00F8412C" w:rsidRPr="00FC3C09" w14:paraId="7CBCFD4D" w14:textId="77777777" w:rsidTr="00F8412C">
        <w:trPr>
          <w:gridAfter w:val="1"/>
          <w:wAfter w:w="20" w:type="dxa"/>
        </w:trPr>
        <w:tc>
          <w:tcPr>
            <w:tcW w:w="12191" w:type="dxa"/>
            <w:gridSpan w:val="9"/>
            <w:vAlign w:val="center"/>
          </w:tcPr>
          <w:p w14:paraId="1474F4FE" w14:textId="77777777" w:rsidR="00F8412C" w:rsidRPr="00FC3C09" w:rsidRDefault="00F8412C" w:rsidP="00F8412C">
            <w:pPr>
              <w:rPr>
                <w:rFonts w:asciiTheme="minorHAnsi" w:hAnsiTheme="minorHAnsi"/>
                <w:sz w:val="18"/>
                <w:szCs w:val="18"/>
              </w:rPr>
            </w:pPr>
            <w:r w:rsidRPr="00FC3C09">
              <w:rPr>
                <w:rFonts w:asciiTheme="minorHAnsi" w:hAnsiTheme="minorHAnsi"/>
                <w:i/>
                <w:sz w:val="18"/>
                <w:szCs w:val="18"/>
              </w:rPr>
              <w:t>Field fixed effects: omitted category Mathematical science</w:t>
            </w:r>
          </w:p>
        </w:tc>
        <w:tc>
          <w:tcPr>
            <w:tcW w:w="1134" w:type="dxa"/>
            <w:gridSpan w:val="2"/>
            <w:vAlign w:val="bottom"/>
          </w:tcPr>
          <w:p w14:paraId="65E77D40" w14:textId="77777777" w:rsidR="00F8412C" w:rsidRPr="00FC3C09" w:rsidRDefault="00F8412C" w:rsidP="00F8412C">
            <w:pPr>
              <w:jc w:val="center"/>
              <w:rPr>
                <w:rFonts w:asciiTheme="minorHAnsi" w:hAnsiTheme="minorHAnsi"/>
                <w:sz w:val="18"/>
                <w:szCs w:val="18"/>
              </w:rPr>
            </w:pPr>
          </w:p>
        </w:tc>
      </w:tr>
      <w:tr w:rsidR="00F8412C" w:rsidRPr="000A24E0" w14:paraId="7F05225E" w14:textId="77777777" w:rsidTr="00F8412C">
        <w:tc>
          <w:tcPr>
            <w:tcW w:w="3344" w:type="dxa"/>
            <w:vAlign w:val="center"/>
          </w:tcPr>
          <w:p w14:paraId="794E793E" w14:textId="77777777" w:rsidR="00F8412C" w:rsidRPr="00FC3C09" w:rsidRDefault="00F8412C" w:rsidP="00F8412C">
            <w:pPr>
              <w:rPr>
                <w:rFonts w:asciiTheme="minorHAnsi" w:hAnsiTheme="minorHAnsi"/>
                <w:sz w:val="18"/>
                <w:szCs w:val="18"/>
              </w:rPr>
            </w:pPr>
            <w:r w:rsidRPr="00FC3C09">
              <w:rPr>
                <w:rFonts w:asciiTheme="minorHAnsi" w:hAnsiTheme="minorHAnsi"/>
                <w:sz w:val="18"/>
                <w:szCs w:val="18"/>
              </w:rPr>
              <w:t>Medical science</w:t>
            </w:r>
          </w:p>
        </w:tc>
        <w:tc>
          <w:tcPr>
            <w:tcW w:w="1111" w:type="dxa"/>
            <w:vAlign w:val="bottom"/>
          </w:tcPr>
          <w:p w14:paraId="528E2C8B" w14:textId="77777777" w:rsidR="00F8412C" w:rsidRPr="00FC3C09" w:rsidRDefault="00F8412C" w:rsidP="00F8412C">
            <w:pPr>
              <w:jc w:val="center"/>
              <w:rPr>
                <w:rFonts w:asciiTheme="minorHAnsi" w:hAnsiTheme="minorHAnsi"/>
                <w:sz w:val="18"/>
                <w:szCs w:val="18"/>
                <w:lang w:eastAsia="en-AU"/>
              </w:rPr>
            </w:pPr>
          </w:p>
        </w:tc>
        <w:tc>
          <w:tcPr>
            <w:tcW w:w="1111" w:type="dxa"/>
            <w:vAlign w:val="bottom"/>
          </w:tcPr>
          <w:p w14:paraId="334FB56D" w14:textId="6514FB90"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-0.11</w:t>
            </w:r>
            <w:r w:rsidR="0089263F">
              <w:rPr>
                <w:rFonts w:asciiTheme="minorHAnsi" w:hAnsiTheme="minorHAnsi"/>
                <w:color w:val="000000"/>
                <w:sz w:val="18"/>
                <w:szCs w:val="18"/>
              </w:rPr>
              <w:t>0</w:t>
            </w:r>
          </w:p>
        </w:tc>
        <w:tc>
          <w:tcPr>
            <w:tcW w:w="1111" w:type="dxa"/>
            <w:vAlign w:val="bottom"/>
          </w:tcPr>
          <w:p w14:paraId="13EFE3C7"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-0.0778</w:t>
            </w:r>
          </w:p>
        </w:tc>
        <w:tc>
          <w:tcPr>
            <w:tcW w:w="1111" w:type="dxa"/>
            <w:vAlign w:val="bottom"/>
          </w:tcPr>
          <w:p w14:paraId="75020036"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68CF1D49"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0.189</w:t>
            </w:r>
          </w:p>
        </w:tc>
        <w:tc>
          <w:tcPr>
            <w:tcW w:w="1111" w:type="dxa"/>
            <w:vAlign w:val="bottom"/>
          </w:tcPr>
          <w:p w14:paraId="6CA37B85"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0.268***</w:t>
            </w:r>
          </w:p>
        </w:tc>
        <w:tc>
          <w:tcPr>
            <w:tcW w:w="1111" w:type="dxa"/>
            <w:vAlign w:val="bottom"/>
          </w:tcPr>
          <w:p w14:paraId="56C67CC6" w14:textId="77777777" w:rsidR="00F8412C" w:rsidRPr="00FC3C09" w:rsidRDefault="00F8412C" w:rsidP="00F8412C">
            <w:pPr>
              <w:jc w:val="center"/>
              <w:rPr>
                <w:rFonts w:asciiTheme="minorHAnsi" w:hAnsiTheme="minorHAnsi"/>
                <w:color w:val="000000"/>
                <w:sz w:val="18"/>
                <w:szCs w:val="18"/>
              </w:rPr>
            </w:pPr>
          </w:p>
        </w:tc>
        <w:tc>
          <w:tcPr>
            <w:tcW w:w="1111" w:type="dxa"/>
            <w:gridSpan w:val="2"/>
            <w:vAlign w:val="bottom"/>
          </w:tcPr>
          <w:p w14:paraId="17ADA1A8"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0.596*</w:t>
            </w:r>
          </w:p>
        </w:tc>
        <w:tc>
          <w:tcPr>
            <w:tcW w:w="1113" w:type="dxa"/>
            <w:gridSpan w:val="2"/>
            <w:vAlign w:val="bottom"/>
          </w:tcPr>
          <w:p w14:paraId="7B1F68D1"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0.551**</w:t>
            </w:r>
          </w:p>
        </w:tc>
      </w:tr>
      <w:tr w:rsidR="00F8412C" w:rsidRPr="000A24E0" w14:paraId="2BCB7A1B" w14:textId="77777777" w:rsidTr="00F8412C">
        <w:tc>
          <w:tcPr>
            <w:tcW w:w="3344" w:type="dxa"/>
            <w:vAlign w:val="center"/>
          </w:tcPr>
          <w:p w14:paraId="03046783" w14:textId="77777777" w:rsidR="00F8412C" w:rsidRPr="00FC3C09" w:rsidRDefault="00F8412C" w:rsidP="00F8412C">
            <w:pPr>
              <w:rPr>
                <w:rFonts w:asciiTheme="minorHAnsi" w:hAnsiTheme="minorHAnsi"/>
                <w:sz w:val="18"/>
                <w:szCs w:val="18"/>
              </w:rPr>
            </w:pPr>
            <w:r w:rsidRPr="00FC3C09">
              <w:rPr>
                <w:rFonts w:asciiTheme="minorHAnsi" w:hAnsiTheme="minorHAnsi"/>
                <w:sz w:val="18"/>
                <w:szCs w:val="18"/>
              </w:rPr>
              <w:t>Other sciences</w:t>
            </w:r>
          </w:p>
        </w:tc>
        <w:tc>
          <w:tcPr>
            <w:tcW w:w="1111" w:type="dxa"/>
            <w:vAlign w:val="bottom"/>
          </w:tcPr>
          <w:p w14:paraId="5B03CDB4"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3BF74650"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0.324</w:t>
            </w:r>
          </w:p>
        </w:tc>
        <w:tc>
          <w:tcPr>
            <w:tcW w:w="1111" w:type="dxa"/>
            <w:vAlign w:val="bottom"/>
          </w:tcPr>
          <w:p w14:paraId="18514654" w14:textId="5674C633"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0.21</w:t>
            </w:r>
            <w:r w:rsidR="0089263F">
              <w:rPr>
                <w:rFonts w:asciiTheme="minorHAnsi" w:hAnsiTheme="minorHAnsi"/>
                <w:color w:val="000000"/>
                <w:sz w:val="18"/>
                <w:szCs w:val="18"/>
              </w:rPr>
              <w:t>0</w:t>
            </w:r>
          </w:p>
        </w:tc>
        <w:tc>
          <w:tcPr>
            <w:tcW w:w="1111" w:type="dxa"/>
            <w:vAlign w:val="bottom"/>
          </w:tcPr>
          <w:p w14:paraId="0103C123"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08150D2C"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0.145***</w:t>
            </w:r>
          </w:p>
        </w:tc>
        <w:tc>
          <w:tcPr>
            <w:tcW w:w="1111" w:type="dxa"/>
            <w:vAlign w:val="bottom"/>
          </w:tcPr>
          <w:p w14:paraId="2AA6FFF8"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0.135**</w:t>
            </w:r>
          </w:p>
        </w:tc>
        <w:tc>
          <w:tcPr>
            <w:tcW w:w="1111" w:type="dxa"/>
            <w:vAlign w:val="bottom"/>
          </w:tcPr>
          <w:p w14:paraId="63B687CC" w14:textId="77777777" w:rsidR="00F8412C" w:rsidRPr="00FC3C09" w:rsidRDefault="00F8412C" w:rsidP="00F8412C">
            <w:pPr>
              <w:jc w:val="center"/>
              <w:rPr>
                <w:rFonts w:asciiTheme="minorHAnsi" w:hAnsiTheme="minorHAnsi"/>
                <w:color w:val="000000"/>
                <w:sz w:val="18"/>
                <w:szCs w:val="18"/>
              </w:rPr>
            </w:pPr>
          </w:p>
        </w:tc>
        <w:tc>
          <w:tcPr>
            <w:tcW w:w="1111" w:type="dxa"/>
            <w:gridSpan w:val="2"/>
            <w:vAlign w:val="bottom"/>
          </w:tcPr>
          <w:p w14:paraId="6C84963B"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0.00661</w:t>
            </w:r>
          </w:p>
        </w:tc>
        <w:tc>
          <w:tcPr>
            <w:tcW w:w="1113" w:type="dxa"/>
            <w:gridSpan w:val="2"/>
            <w:vAlign w:val="bottom"/>
          </w:tcPr>
          <w:p w14:paraId="358433FE"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-0.00976</w:t>
            </w:r>
          </w:p>
        </w:tc>
      </w:tr>
      <w:tr w:rsidR="00F8412C" w:rsidRPr="000A24E0" w14:paraId="78DC78FB" w14:textId="77777777" w:rsidTr="00F8412C">
        <w:tc>
          <w:tcPr>
            <w:tcW w:w="3344" w:type="dxa"/>
            <w:vAlign w:val="center"/>
          </w:tcPr>
          <w:p w14:paraId="381827B0" w14:textId="77777777" w:rsidR="00F8412C" w:rsidRPr="00FC3C09" w:rsidRDefault="00F8412C" w:rsidP="00F8412C">
            <w:pPr>
              <w:rPr>
                <w:rFonts w:asciiTheme="minorHAnsi" w:hAnsiTheme="minorHAnsi"/>
                <w:sz w:val="18"/>
                <w:szCs w:val="18"/>
              </w:rPr>
            </w:pPr>
            <w:r w:rsidRPr="00FC3C09">
              <w:rPr>
                <w:rFonts w:asciiTheme="minorHAnsi" w:hAnsiTheme="minorHAnsi"/>
                <w:sz w:val="18"/>
                <w:szCs w:val="18"/>
              </w:rPr>
              <w:t>Information technology</w:t>
            </w:r>
          </w:p>
        </w:tc>
        <w:tc>
          <w:tcPr>
            <w:tcW w:w="1111" w:type="dxa"/>
            <w:vAlign w:val="bottom"/>
          </w:tcPr>
          <w:p w14:paraId="11B76887"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4431B180"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0.304</w:t>
            </w:r>
          </w:p>
        </w:tc>
        <w:tc>
          <w:tcPr>
            <w:tcW w:w="1111" w:type="dxa"/>
            <w:vAlign w:val="bottom"/>
          </w:tcPr>
          <w:p w14:paraId="417346A7"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0.0666</w:t>
            </w:r>
          </w:p>
        </w:tc>
        <w:tc>
          <w:tcPr>
            <w:tcW w:w="1111" w:type="dxa"/>
            <w:vAlign w:val="bottom"/>
          </w:tcPr>
          <w:p w14:paraId="7E6A559F"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5063B69D"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0.137**</w:t>
            </w:r>
          </w:p>
        </w:tc>
        <w:tc>
          <w:tcPr>
            <w:tcW w:w="1111" w:type="dxa"/>
            <w:vAlign w:val="bottom"/>
          </w:tcPr>
          <w:p w14:paraId="1C6176A2"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0.126**</w:t>
            </w:r>
          </w:p>
        </w:tc>
        <w:tc>
          <w:tcPr>
            <w:tcW w:w="1111" w:type="dxa"/>
            <w:vAlign w:val="bottom"/>
          </w:tcPr>
          <w:p w14:paraId="6210F745" w14:textId="77777777" w:rsidR="00F8412C" w:rsidRPr="00FC3C09" w:rsidRDefault="00F8412C" w:rsidP="00F8412C">
            <w:pPr>
              <w:jc w:val="center"/>
              <w:rPr>
                <w:rFonts w:asciiTheme="minorHAnsi" w:hAnsiTheme="minorHAnsi"/>
                <w:color w:val="000000"/>
                <w:sz w:val="18"/>
                <w:szCs w:val="18"/>
              </w:rPr>
            </w:pPr>
          </w:p>
        </w:tc>
        <w:tc>
          <w:tcPr>
            <w:tcW w:w="1111" w:type="dxa"/>
            <w:gridSpan w:val="2"/>
            <w:vAlign w:val="bottom"/>
          </w:tcPr>
          <w:p w14:paraId="3FEB0AC7"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-0.0376</w:t>
            </w:r>
          </w:p>
        </w:tc>
        <w:tc>
          <w:tcPr>
            <w:tcW w:w="1113" w:type="dxa"/>
            <w:gridSpan w:val="2"/>
            <w:vAlign w:val="bottom"/>
          </w:tcPr>
          <w:p w14:paraId="37093FAC" w14:textId="7103C323"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-0.026</w:t>
            </w:r>
            <w:r w:rsidR="0089263F">
              <w:rPr>
                <w:rFonts w:asciiTheme="minorHAnsi" w:hAnsiTheme="minorHAnsi"/>
                <w:color w:val="000000"/>
                <w:sz w:val="18"/>
                <w:szCs w:val="18"/>
              </w:rPr>
              <w:t>0</w:t>
            </w:r>
          </w:p>
        </w:tc>
      </w:tr>
      <w:tr w:rsidR="00F8412C" w:rsidRPr="000A24E0" w14:paraId="58659892" w14:textId="77777777" w:rsidTr="00F8412C">
        <w:tc>
          <w:tcPr>
            <w:tcW w:w="3344" w:type="dxa"/>
            <w:vAlign w:val="center"/>
          </w:tcPr>
          <w:p w14:paraId="3D1A2AAC" w14:textId="77777777" w:rsidR="00F8412C" w:rsidRPr="00FC3C09" w:rsidRDefault="00F8412C" w:rsidP="00F8412C">
            <w:pPr>
              <w:rPr>
                <w:rFonts w:asciiTheme="minorHAnsi" w:hAnsiTheme="minorHAnsi"/>
                <w:sz w:val="18"/>
                <w:szCs w:val="18"/>
              </w:rPr>
            </w:pPr>
            <w:r w:rsidRPr="00FC3C09">
              <w:rPr>
                <w:rFonts w:asciiTheme="minorHAnsi" w:hAnsiTheme="minorHAnsi"/>
                <w:sz w:val="18"/>
                <w:szCs w:val="18"/>
              </w:rPr>
              <w:t>Engineering</w:t>
            </w:r>
          </w:p>
        </w:tc>
        <w:tc>
          <w:tcPr>
            <w:tcW w:w="1111" w:type="dxa"/>
            <w:vAlign w:val="bottom"/>
          </w:tcPr>
          <w:p w14:paraId="2FE3DB22"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535A683D"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0.856*</w:t>
            </w:r>
          </w:p>
        </w:tc>
        <w:tc>
          <w:tcPr>
            <w:tcW w:w="1111" w:type="dxa"/>
            <w:vAlign w:val="bottom"/>
          </w:tcPr>
          <w:p w14:paraId="4E5DD18A"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0.777*</w:t>
            </w:r>
          </w:p>
        </w:tc>
        <w:tc>
          <w:tcPr>
            <w:tcW w:w="1111" w:type="dxa"/>
            <w:vAlign w:val="bottom"/>
          </w:tcPr>
          <w:p w14:paraId="003C6BC3"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28FEB60A"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0.260***</w:t>
            </w:r>
          </w:p>
        </w:tc>
        <w:tc>
          <w:tcPr>
            <w:tcW w:w="1111" w:type="dxa"/>
            <w:vAlign w:val="bottom"/>
          </w:tcPr>
          <w:p w14:paraId="4E9A58D4"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0.266***</w:t>
            </w:r>
          </w:p>
        </w:tc>
        <w:tc>
          <w:tcPr>
            <w:tcW w:w="1111" w:type="dxa"/>
            <w:vAlign w:val="bottom"/>
          </w:tcPr>
          <w:p w14:paraId="124E91EA" w14:textId="77777777" w:rsidR="00F8412C" w:rsidRPr="00FC3C09" w:rsidRDefault="00F8412C" w:rsidP="00F8412C">
            <w:pPr>
              <w:jc w:val="center"/>
              <w:rPr>
                <w:rFonts w:asciiTheme="minorHAnsi" w:hAnsiTheme="minorHAnsi"/>
                <w:color w:val="000000"/>
                <w:sz w:val="18"/>
                <w:szCs w:val="18"/>
              </w:rPr>
            </w:pPr>
          </w:p>
        </w:tc>
        <w:tc>
          <w:tcPr>
            <w:tcW w:w="1111" w:type="dxa"/>
            <w:gridSpan w:val="2"/>
            <w:vAlign w:val="bottom"/>
          </w:tcPr>
          <w:p w14:paraId="6B4069C3" w14:textId="4E887F09"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0.13</w:t>
            </w:r>
            <w:r w:rsidR="0089263F">
              <w:rPr>
                <w:rFonts w:asciiTheme="minorHAnsi" w:hAnsiTheme="minorHAnsi"/>
                <w:color w:val="000000"/>
                <w:sz w:val="18"/>
                <w:szCs w:val="18"/>
              </w:rPr>
              <w:t>0</w:t>
            </w:r>
          </w:p>
        </w:tc>
        <w:tc>
          <w:tcPr>
            <w:tcW w:w="1113" w:type="dxa"/>
            <w:gridSpan w:val="2"/>
            <w:vAlign w:val="bottom"/>
          </w:tcPr>
          <w:p w14:paraId="2126610B"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0.143</w:t>
            </w:r>
          </w:p>
        </w:tc>
      </w:tr>
      <w:tr w:rsidR="00F8412C" w:rsidRPr="000A24E0" w14:paraId="705FA2E0" w14:textId="77777777" w:rsidTr="00F8412C">
        <w:tc>
          <w:tcPr>
            <w:tcW w:w="3344" w:type="dxa"/>
            <w:vAlign w:val="center"/>
          </w:tcPr>
          <w:p w14:paraId="4C9AEE02" w14:textId="77777777" w:rsidR="00F8412C" w:rsidRPr="00FC3C09" w:rsidRDefault="00F8412C" w:rsidP="00F8412C">
            <w:pPr>
              <w:rPr>
                <w:rFonts w:asciiTheme="minorHAnsi" w:hAnsiTheme="minorHAnsi"/>
                <w:sz w:val="18"/>
                <w:szCs w:val="18"/>
              </w:rPr>
            </w:pPr>
            <w:r w:rsidRPr="00FC3C09">
              <w:rPr>
                <w:rFonts w:asciiTheme="minorHAnsi" w:hAnsiTheme="minorHAnsi"/>
                <w:sz w:val="18"/>
                <w:szCs w:val="18"/>
              </w:rPr>
              <w:t>Architecture</w:t>
            </w:r>
          </w:p>
        </w:tc>
        <w:tc>
          <w:tcPr>
            <w:tcW w:w="1111" w:type="dxa"/>
            <w:vAlign w:val="bottom"/>
          </w:tcPr>
          <w:p w14:paraId="6EA99BD0"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7BCB79A3"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-0.368</w:t>
            </w:r>
          </w:p>
        </w:tc>
        <w:tc>
          <w:tcPr>
            <w:tcW w:w="1111" w:type="dxa"/>
            <w:vAlign w:val="bottom"/>
          </w:tcPr>
          <w:p w14:paraId="480664D1"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-0.158</w:t>
            </w:r>
          </w:p>
        </w:tc>
        <w:tc>
          <w:tcPr>
            <w:tcW w:w="1111" w:type="dxa"/>
            <w:vAlign w:val="bottom"/>
          </w:tcPr>
          <w:p w14:paraId="3856707B"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6725EE41" w14:textId="657E56A2"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0.15</w:t>
            </w:r>
            <w:r w:rsidR="0089263F">
              <w:rPr>
                <w:rFonts w:asciiTheme="minorHAnsi" w:hAnsiTheme="minorHAnsi"/>
                <w:color w:val="000000"/>
                <w:sz w:val="18"/>
                <w:szCs w:val="18"/>
              </w:rPr>
              <w:t>0</w:t>
            </w:r>
          </w:p>
        </w:tc>
        <w:tc>
          <w:tcPr>
            <w:tcW w:w="1111" w:type="dxa"/>
            <w:vAlign w:val="bottom"/>
          </w:tcPr>
          <w:p w14:paraId="35323012"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0.114**</w:t>
            </w:r>
          </w:p>
        </w:tc>
        <w:tc>
          <w:tcPr>
            <w:tcW w:w="1111" w:type="dxa"/>
            <w:vAlign w:val="bottom"/>
          </w:tcPr>
          <w:p w14:paraId="616AF110" w14:textId="77777777" w:rsidR="00F8412C" w:rsidRPr="00FC3C09" w:rsidRDefault="00F8412C" w:rsidP="00F8412C">
            <w:pPr>
              <w:jc w:val="center"/>
              <w:rPr>
                <w:rFonts w:asciiTheme="minorHAnsi" w:hAnsiTheme="minorHAnsi"/>
                <w:color w:val="000000"/>
                <w:sz w:val="18"/>
                <w:szCs w:val="18"/>
              </w:rPr>
            </w:pPr>
          </w:p>
        </w:tc>
        <w:tc>
          <w:tcPr>
            <w:tcW w:w="1111" w:type="dxa"/>
            <w:gridSpan w:val="2"/>
            <w:vAlign w:val="bottom"/>
          </w:tcPr>
          <w:p w14:paraId="5EAEDA70"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0.0836</w:t>
            </w:r>
          </w:p>
        </w:tc>
        <w:tc>
          <w:tcPr>
            <w:tcW w:w="1113" w:type="dxa"/>
            <w:gridSpan w:val="2"/>
            <w:vAlign w:val="bottom"/>
          </w:tcPr>
          <w:p w14:paraId="74FEDC8A"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0.0999</w:t>
            </w:r>
          </w:p>
        </w:tc>
      </w:tr>
      <w:tr w:rsidR="00F8412C" w:rsidRPr="000A24E0" w14:paraId="15A6BF2D" w14:textId="77777777" w:rsidTr="00F8412C">
        <w:tc>
          <w:tcPr>
            <w:tcW w:w="3344" w:type="dxa"/>
            <w:vAlign w:val="center"/>
          </w:tcPr>
          <w:p w14:paraId="1FF85840" w14:textId="77777777" w:rsidR="00F8412C" w:rsidRPr="00FC3C09" w:rsidRDefault="00F8412C" w:rsidP="00F8412C">
            <w:pPr>
              <w:rPr>
                <w:rFonts w:asciiTheme="minorHAnsi" w:hAnsiTheme="minorHAnsi"/>
                <w:sz w:val="18"/>
                <w:szCs w:val="18"/>
              </w:rPr>
            </w:pPr>
            <w:r w:rsidRPr="00FC3C09">
              <w:rPr>
                <w:rFonts w:asciiTheme="minorHAnsi" w:hAnsiTheme="minorHAnsi"/>
                <w:sz w:val="18"/>
                <w:szCs w:val="18"/>
              </w:rPr>
              <w:t>Environmental science</w:t>
            </w:r>
          </w:p>
        </w:tc>
        <w:tc>
          <w:tcPr>
            <w:tcW w:w="1111" w:type="dxa"/>
            <w:vAlign w:val="bottom"/>
          </w:tcPr>
          <w:p w14:paraId="155E3FE2"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5BC57028"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0.67</w:t>
            </w:r>
          </w:p>
        </w:tc>
        <w:tc>
          <w:tcPr>
            <w:tcW w:w="1111" w:type="dxa"/>
            <w:vAlign w:val="bottom"/>
          </w:tcPr>
          <w:p w14:paraId="406C8B11"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0.222</w:t>
            </w:r>
          </w:p>
        </w:tc>
        <w:tc>
          <w:tcPr>
            <w:tcW w:w="1111" w:type="dxa"/>
            <w:vAlign w:val="bottom"/>
          </w:tcPr>
          <w:p w14:paraId="1F1FF188"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2781A688"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0.182**</w:t>
            </w:r>
          </w:p>
        </w:tc>
        <w:tc>
          <w:tcPr>
            <w:tcW w:w="1111" w:type="dxa"/>
            <w:vAlign w:val="bottom"/>
          </w:tcPr>
          <w:p w14:paraId="33DE64C2"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0.237***</w:t>
            </w:r>
          </w:p>
        </w:tc>
        <w:tc>
          <w:tcPr>
            <w:tcW w:w="1111" w:type="dxa"/>
            <w:vAlign w:val="bottom"/>
          </w:tcPr>
          <w:p w14:paraId="75CC268A" w14:textId="77777777" w:rsidR="00F8412C" w:rsidRPr="00FC3C09" w:rsidRDefault="00F8412C" w:rsidP="00F8412C">
            <w:pPr>
              <w:jc w:val="center"/>
              <w:rPr>
                <w:rFonts w:asciiTheme="minorHAnsi" w:hAnsiTheme="minorHAnsi"/>
                <w:color w:val="000000"/>
                <w:sz w:val="18"/>
                <w:szCs w:val="18"/>
              </w:rPr>
            </w:pPr>
          </w:p>
        </w:tc>
        <w:tc>
          <w:tcPr>
            <w:tcW w:w="1111" w:type="dxa"/>
            <w:gridSpan w:val="2"/>
            <w:vAlign w:val="bottom"/>
          </w:tcPr>
          <w:p w14:paraId="33EF6196"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0.273*</w:t>
            </w:r>
          </w:p>
        </w:tc>
        <w:tc>
          <w:tcPr>
            <w:tcW w:w="1113" w:type="dxa"/>
            <w:gridSpan w:val="2"/>
            <w:vAlign w:val="bottom"/>
          </w:tcPr>
          <w:p w14:paraId="017F8F3D"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0.125</w:t>
            </w:r>
          </w:p>
        </w:tc>
      </w:tr>
      <w:tr w:rsidR="00F8412C" w:rsidRPr="000A24E0" w14:paraId="4D871453" w14:textId="77777777" w:rsidTr="00F8412C">
        <w:tc>
          <w:tcPr>
            <w:tcW w:w="3344" w:type="dxa"/>
            <w:vAlign w:val="center"/>
          </w:tcPr>
          <w:p w14:paraId="3900D4AD" w14:textId="77777777" w:rsidR="00F8412C" w:rsidRPr="00FC3C09" w:rsidRDefault="00F8412C" w:rsidP="00F8412C">
            <w:pPr>
              <w:rPr>
                <w:rFonts w:asciiTheme="minorHAnsi" w:hAnsiTheme="minorHAnsi"/>
                <w:sz w:val="18"/>
                <w:szCs w:val="18"/>
              </w:rPr>
            </w:pPr>
            <w:r w:rsidRPr="00FC3C09">
              <w:rPr>
                <w:rFonts w:asciiTheme="minorHAnsi" w:hAnsiTheme="minorHAnsi"/>
                <w:sz w:val="18"/>
                <w:szCs w:val="18"/>
              </w:rPr>
              <w:t>Agriculture and related studies</w:t>
            </w:r>
          </w:p>
        </w:tc>
        <w:tc>
          <w:tcPr>
            <w:tcW w:w="1111" w:type="dxa"/>
            <w:vAlign w:val="bottom"/>
          </w:tcPr>
          <w:p w14:paraId="6FEBC015"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4234D5DF"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0.759</w:t>
            </w:r>
          </w:p>
        </w:tc>
        <w:tc>
          <w:tcPr>
            <w:tcW w:w="1111" w:type="dxa"/>
            <w:vAlign w:val="bottom"/>
          </w:tcPr>
          <w:p w14:paraId="7FFDA9BE"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0.549</w:t>
            </w:r>
          </w:p>
        </w:tc>
        <w:tc>
          <w:tcPr>
            <w:tcW w:w="1111" w:type="dxa"/>
            <w:vAlign w:val="bottom"/>
          </w:tcPr>
          <w:p w14:paraId="4165E724"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7D613980"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0.341***</w:t>
            </w:r>
          </w:p>
        </w:tc>
        <w:tc>
          <w:tcPr>
            <w:tcW w:w="1111" w:type="dxa"/>
            <w:vAlign w:val="bottom"/>
          </w:tcPr>
          <w:p w14:paraId="15E7D325"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0.433***</w:t>
            </w:r>
          </w:p>
        </w:tc>
        <w:tc>
          <w:tcPr>
            <w:tcW w:w="1111" w:type="dxa"/>
            <w:vAlign w:val="bottom"/>
          </w:tcPr>
          <w:p w14:paraId="799BFECA" w14:textId="77777777" w:rsidR="00F8412C" w:rsidRPr="00FC3C09" w:rsidRDefault="00F8412C" w:rsidP="00F8412C">
            <w:pPr>
              <w:jc w:val="center"/>
              <w:rPr>
                <w:rFonts w:asciiTheme="minorHAnsi" w:hAnsiTheme="minorHAnsi"/>
                <w:color w:val="000000"/>
                <w:sz w:val="18"/>
                <w:szCs w:val="18"/>
              </w:rPr>
            </w:pPr>
          </w:p>
        </w:tc>
        <w:tc>
          <w:tcPr>
            <w:tcW w:w="1111" w:type="dxa"/>
            <w:gridSpan w:val="2"/>
            <w:vAlign w:val="bottom"/>
          </w:tcPr>
          <w:p w14:paraId="708A8F1B"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0.575***</w:t>
            </w:r>
          </w:p>
        </w:tc>
        <w:tc>
          <w:tcPr>
            <w:tcW w:w="1113" w:type="dxa"/>
            <w:gridSpan w:val="2"/>
            <w:vAlign w:val="bottom"/>
          </w:tcPr>
          <w:p w14:paraId="0EA0E53D"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0.438**</w:t>
            </w:r>
          </w:p>
        </w:tc>
      </w:tr>
      <w:tr w:rsidR="00F8412C" w:rsidRPr="000A24E0" w14:paraId="64400F37" w14:textId="77777777" w:rsidTr="00F8412C">
        <w:tc>
          <w:tcPr>
            <w:tcW w:w="3344" w:type="dxa"/>
            <w:vAlign w:val="center"/>
          </w:tcPr>
          <w:p w14:paraId="522392B6" w14:textId="77777777" w:rsidR="00F8412C" w:rsidRPr="00FC3C09" w:rsidRDefault="00F8412C" w:rsidP="00F8412C">
            <w:pPr>
              <w:rPr>
                <w:rFonts w:asciiTheme="minorHAnsi" w:hAnsiTheme="minorHAnsi"/>
                <w:sz w:val="18"/>
                <w:szCs w:val="18"/>
              </w:rPr>
            </w:pPr>
            <w:r w:rsidRPr="00FC3C09">
              <w:rPr>
                <w:rFonts w:asciiTheme="minorHAnsi" w:hAnsiTheme="minorHAnsi"/>
                <w:sz w:val="18"/>
                <w:szCs w:val="18"/>
              </w:rPr>
              <w:t>Medical studies</w:t>
            </w:r>
          </w:p>
        </w:tc>
        <w:tc>
          <w:tcPr>
            <w:tcW w:w="1111" w:type="dxa"/>
            <w:vAlign w:val="bottom"/>
          </w:tcPr>
          <w:p w14:paraId="39C032CC"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1D699E6B"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-0.857</w:t>
            </w:r>
          </w:p>
        </w:tc>
        <w:tc>
          <w:tcPr>
            <w:tcW w:w="1111" w:type="dxa"/>
            <w:vAlign w:val="bottom"/>
          </w:tcPr>
          <w:p w14:paraId="77EF2E55"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-0.329*</w:t>
            </w:r>
          </w:p>
        </w:tc>
        <w:tc>
          <w:tcPr>
            <w:tcW w:w="1111" w:type="dxa"/>
            <w:vAlign w:val="bottom"/>
          </w:tcPr>
          <w:p w14:paraId="2DD16D50"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565B6868"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0.364***</w:t>
            </w:r>
          </w:p>
        </w:tc>
        <w:tc>
          <w:tcPr>
            <w:tcW w:w="1111" w:type="dxa"/>
            <w:vAlign w:val="bottom"/>
          </w:tcPr>
          <w:p w14:paraId="0BC14F87"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0.387***</w:t>
            </w:r>
          </w:p>
        </w:tc>
        <w:tc>
          <w:tcPr>
            <w:tcW w:w="1111" w:type="dxa"/>
            <w:vAlign w:val="bottom"/>
          </w:tcPr>
          <w:p w14:paraId="1214972F" w14:textId="77777777" w:rsidR="00F8412C" w:rsidRPr="00FC3C09" w:rsidRDefault="00F8412C" w:rsidP="00F8412C">
            <w:pPr>
              <w:jc w:val="center"/>
              <w:rPr>
                <w:rFonts w:asciiTheme="minorHAnsi" w:hAnsiTheme="minorHAnsi"/>
                <w:color w:val="000000"/>
                <w:sz w:val="18"/>
                <w:szCs w:val="18"/>
              </w:rPr>
            </w:pPr>
          </w:p>
        </w:tc>
        <w:tc>
          <w:tcPr>
            <w:tcW w:w="1111" w:type="dxa"/>
            <w:gridSpan w:val="2"/>
            <w:vAlign w:val="bottom"/>
          </w:tcPr>
          <w:p w14:paraId="3AF88ED6"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0.14</w:t>
            </w:r>
          </w:p>
        </w:tc>
        <w:tc>
          <w:tcPr>
            <w:tcW w:w="1113" w:type="dxa"/>
            <w:gridSpan w:val="2"/>
            <w:vAlign w:val="bottom"/>
          </w:tcPr>
          <w:p w14:paraId="6C8C7A63"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0.149</w:t>
            </w:r>
          </w:p>
        </w:tc>
      </w:tr>
      <w:tr w:rsidR="00F8412C" w:rsidRPr="000A24E0" w14:paraId="4F4FCDED" w14:textId="77777777" w:rsidTr="00F8412C">
        <w:tc>
          <w:tcPr>
            <w:tcW w:w="3344" w:type="dxa"/>
            <w:vAlign w:val="center"/>
          </w:tcPr>
          <w:p w14:paraId="08949683" w14:textId="77777777" w:rsidR="00F8412C" w:rsidRPr="00FC3C09" w:rsidRDefault="00F8412C" w:rsidP="00F8412C">
            <w:pPr>
              <w:rPr>
                <w:rFonts w:asciiTheme="minorHAnsi" w:hAnsiTheme="minorHAnsi"/>
                <w:sz w:val="18"/>
                <w:szCs w:val="18"/>
              </w:rPr>
            </w:pPr>
            <w:r w:rsidRPr="00FC3C09">
              <w:rPr>
                <w:rFonts w:asciiTheme="minorHAnsi" w:hAnsiTheme="minorHAnsi"/>
                <w:sz w:val="18"/>
                <w:szCs w:val="18"/>
              </w:rPr>
              <w:t>Dental studies</w:t>
            </w:r>
          </w:p>
        </w:tc>
        <w:tc>
          <w:tcPr>
            <w:tcW w:w="1111" w:type="dxa"/>
            <w:vAlign w:val="bottom"/>
          </w:tcPr>
          <w:p w14:paraId="475ED7C9"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1C891CB4"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w:t>
            </w:r>
          </w:p>
        </w:tc>
        <w:tc>
          <w:tcPr>
            <w:tcW w:w="1111" w:type="dxa"/>
            <w:vAlign w:val="bottom"/>
          </w:tcPr>
          <w:p w14:paraId="531EE155"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w:t>
            </w:r>
          </w:p>
        </w:tc>
        <w:tc>
          <w:tcPr>
            <w:tcW w:w="1111" w:type="dxa"/>
            <w:vAlign w:val="bottom"/>
          </w:tcPr>
          <w:p w14:paraId="62B75FB4"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2FDF76D3"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0.543***</w:t>
            </w:r>
          </w:p>
        </w:tc>
        <w:tc>
          <w:tcPr>
            <w:tcW w:w="1111" w:type="dxa"/>
            <w:vAlign w:val="bottom"/>
          </w:tcPr>
          <w:p w14:paraId="2ADE4EDA"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0.686***</w:t>
            </w:r>
          </w:p>
        </w:tc>
        <w:tc>
          <w:tcPr>
            <w:tcW w:w="1111" w:type="dxa"/>
            <w:vAlign w:val="bottom"/>
          </w:tcPr>
          <w:p w14:paraId="2D83BEA3" w14:textId="77777777" w:rsidR="00F8412C" w:rsidRPr="00FC3C09" w:rsidRDefault="00F8412C" w:rsidP="00F8412C">
            <w:pPr>
              <w:jc w:val="center"/>
              <w:rPr>
                <w:rFonts w:asciiTheme="minorHAnsi" w:hAnsiTheme="minorHAnsi"/>
                <w:color w:val="000000"/>
                <w:sz w:val="18"/>
                <w:szCs w:val="18"/>
              </w:rPr>
            </w:pPr>
          </w:p>
        </w:tc>
        <w:tc>
          <w:tcPr>
            <w:tcW w:w="1111" w:type="dxa"/>
            <w:gridSpan w:val="2"/>
            <w:vAlign w:val="bottom"/>
          </w:tcPr>
          <w:p w14:paraId="32354AF5"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0.679**</w:t>
            </w:r>
          </w:p>
        </w:tc>
        <w:tc>
          <w:tcPr>
            <w:tcW w:w="1113" w:type="dxa"/>
            <w:gridSpan w:val="2"/>
            <w:vAlign w:val="bottom"/>
          </w:tcPr>
          <w:p w14:paraId="41896761"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0.593**</w:t>
            </w:r>
          </w:p>
        </w:tc>
      </w:tr>
      <w:tr w:rsidR="00F8412C" w:rsidRPr="000A24E0" w14:paraId="68AF75C2" w14:textId="77777777" w:rsidTr="00F8412C">
        <w:tc>
          <w:tcPr>
            <w:tcW w:w="3344" w:type="dxa"/>
            <w:vAlign w:val="center"/>
          </w:tcPr>
          <w:p w14:paraId="439BE732" w14:textId="77777777" w:rsidR="00F8412C" w:rsidRPr="00FC3C09" w:rsidRDefault="00F8412C" w:rsidP="00F8412C">
            <w:pPr>
              <w:rPr>
                <w:rFonts w:asciiTheme="minorHAnsi" w:hAnsiTheme="minorHAnsi"/>
                <w:sz w:val="18"/>
                <w:szCs w:val="18"/>
              </w:rPr>
            </w:pPr>
            <w:r w:rsidRPr="00FC3C09">
              <w:rPr>
                <w:rFonts w:asciiTheme="minorHAnsi" w:hAnsiTheme="minorHAnsi"/>
                <w:sz w:val="18"/>
                <w:szCs w:val="18"/>
              </w:rPr>
              <w:t>Veterinary studies</w:t>
            </w:r>
          </w:p>
        </w:tc>
        <w:tc>
          <w:tcPr>
            <w:tcW w:w="1111" w:type="dxa"/>
            <w:vAlign w:val="bottom"/>
          </w:tcPr>
          <w:p w14:paraId="4F014ACC"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7F9F4195"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w:t>
            </w:r>
          </w:p>
        </w:tc>
        <w:tc>
          <w:tcPr>
            <w:tcW w:w="1111" w:type="dxa"/>
            <w:vAlign w:val="bottom"/>
          </w:tcPr>
          <w:p w14:paraId="1BA3EA4A"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w:t>
            </w:r>
          </w:p>
        </w:tc>
        <w:tc>
          <w:tcPr>
            <w:tcW w:w="1111" w:type="dxa"/>
            <w:vAlign w:val="bottom"/>
          </w:tcPr>
          <w:p w14:paraId="7A5FE7C7"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4C4BC7C3"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0.687***</w:t>
            </w:r>
          </w:p>
        </w:tc>
        <w:tc>
          <w:tcPr>
            <w:tcW w:w="1111" w:type="dxa"/>
            <w:vAlign w:val="bottom"/>
          </w:tcPr>
          <w:p w14:paraId="123B5118"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0.679***</w:t>
            </w:r>
          </w:p>
        </w:tc>
        <w:tc>
          <w:tcPr>
            <w:tcW w:w="1111" w:type="dxa"/>
            <w:vAlign w:val="bottom"/>
          </w:tcPr>
          <w:p w14:paraId="08A2C39D" w14:textId="77777777" w:rsidR="00F8412C" w:rsidRPr="00FC3C09" w:rsidRDefault="00F8412C" w:rsidP="00F8412C">
            <w:pPr>
              <w:jc w:val="center"/>
              <w:rPr>
                <w:rFonts w:asciiTheme="minorHAnsi" w:hAnsiTheme="minorHAnsi"/>
                <w:color w:val="000000"/>
                <w:sz w:val="18"/>
                <w:szCs w:val="18"/>
              </w:rPr>
            </w:pPr>
          </w:p>
        </w:tc>
        <w:tc>
          <w:tcPr>
            <w:tcW w:w="1111" w:type="dxa"/>
            <w:gridSpan w:val="2"/>
            <w:vAlign w:val="bottom"/>
          </w:tcPr>
          <w:p w14:paraId="673712DC"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0.568**</w:t>
            </w:r>
          </w:p>
        </w:tc>
        <w:tc>
          <w:tcPr>
            <w:tcW w:w="1113" w:type="dxa"/>
            <w:gridSpan w:val="2"/>
            <w:vAlign w:val="bottom"/>
          </w:tcPr>
          <w:p w14:paraId="46DB5DEF"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0.409*</w:t>
            </w:r>
          </w:p>
        </w:tc>
      </w:tr>
      <w:tr w:rsidR="00F8412C" w:rsidRPr="000A24E0" w14:paraId="7FA16DE0" w14:textId="77777777" w:rsidTr="00F8412C">
        <w:tc>
          <w:tcPr>
            <w:tcW w:w="3344" w:type="dxa"/>
            <w:vAlign w:val="center"/>
          </w:tcPr>
          <w:p w14:paraId="2E458ECF" w14:textId="77777777" w:rsidR="00F8412C" w:rsidRPr="00FC3C09" w:rsidRDefault="00F8412C" w:rsidP="00F8412C">
            <w:pPr>
              <w:rPr>
                <w:rFonts w:asciiTheme="minorHAnsi" w:hAnsiTheme="minorHAnsi"/>
                <w:sz w:val="18"/>
                <w:szCs w:val="18"/>
              </w:rPr>
            </w:pPr>
            <w:r w:rsidRPr="00FC3C09">
              <w:rPr>
                <w:rFonts w:asciiTheme="minorHAnsi" w:hAnsiTheme="minorHAnsi"/>
                <w:sz w:val="18"/>
                <w:szCs w:val="18"/>
              </w:rPr>
              <w:t>Other health</w:t>
            </w:r>
          </w:p>
        </w:tc>
        <w:tc>
          <w:tcPr>
            <w:tcW w:w="1111" w:type="dxa"/>
            <w:vAlign w:val="bottom"/>
          </w:tcPr>
          <w:p w14:paraId="3D84744A"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1D6E139A"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0.973</w:t>
            </w:r>
          </w:p>
        </w:tc>
        <w:tc>
          <w:tcPr>
            <w:tcW w:w="1111" w:type="dxa"/>
            <w:vAlign w:val="bottom"/>
          </w:tcPr>
          <w:p w14:paraId="22F2B0D2"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0.625</w:t>
            </w:r>
          </w:p>
        </w:tc>
        <w:tc>
          <w:tcPr>
            <w:tcW w:w="1111" w:type="dxa"/>
            <w:vAlign w:val="bottom"/>
          </w:tcPr>
          <w:p w14:paraId="537632C4"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7886782B"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0.0586</w:t>
            </w:r>
          </w:p>
        </w:tc>
        <w:tc>
          <w:tcPr>
            <w:tcW w:w="1111" w:type="dxa"/>
            <w:vAlign w:val="bottom"/>
          </w:tcPr>
          <w:p w14:paraId="59BD0A32"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0.0712</w:t>
            </w:r>
          </w:p>
        </w:tc>
        <w:tc>
          <w:tcPr>
            <w:tcW w:w="1111" w:type="dxa"/>
            <w:vAlign w:val="bottom"/>
          </w:tcPr>
          <w:p w14:paraId="443D14AD" w14:textId="77777777" w:rsidR="00F8412C" w:rsidRPr="00FC3C09" w:rsidRDefault="00F8412C" w:rsidP="00F8412C">
            <w:pPr>
              <w:jc w:val="center"/>
              <w:rPr>
                <w:rFonts w:asciiTheme="minorHAnsi" w:hAnsiTheme="minorHAnsi"/>
                <w:color w:val="000000"/>
                <w:sz w:val="18"/>
                <w:szCs w:val="18"/>
              </w:rPr>
            </w:pPr>
          </w:p>
        </w:tc>
        <w:tc>
          <w:tcPr>
            <w:tcW w:w="1111" w:type="dxa"/>
            <w:gridSpan w:val="2"/>
            <w:vAlign w:val="bottom"/>
          </w:tcPr>
          <w:p w14:paraId="764F1BFE"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-0.148</w:t>
            </w:r>
          </w:p>
        </w:tc>
        <w:tc>
          <w:tcPr>
            <w:tcW w:w="1113" w:type="dxa"/>
            <w:gridSpan w:val="2"/>
            <w:vAlign w:val="bottom"/>
          </w:tcPr>
          <w:p w14:paraId="53F1D5BC"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-0.117</w:t>
            </w:r>
          </w:p>
        </w:tc>
      </w:tr>
      <w:tr w:rsidR="00F8412C" w:rsidRPr="000A24E0" w14:paraId="3C9C20C3" w14:textId="77777777" w:rsidTr="00F8412C">
        <w:tc>
          <w:tcPr>
            <w:tcW w:w="3344" w:type="dxa"/>
            <w:vAlign w:val="center"/>
          </w:tcPr>
          <w:p w14:paraId="6F012FBF" w14:textId="77777777" w:rsidR="00F8412C" w:rsidRPr="00FC3C09" w:rsidRDefault="00F8412C" w:rsidP="00F8412C">
            <w:pPr>
              <w:rPr>
                <w:rFonts w:asciiTheme="minorHAnsi" w:hAnsiTheme="minorHAnsi"/>
                <w:sz w:val="18"/>
                <w:szCs w:val="18"/>
              </w:rPr>
            </w:pPr>
            <w:r w:rsidRPr="00FC3C09">
              <w:rPr>
                <w:rFonts w:asciiTheme="minorHAnsi" w:hAnsiTheme="minorHAnsi"/>
                <w:sz w:val="18"/>
                <w:szCs w:val="18"/>
              </w:rPr>
              <w:t>Education</w:t>
            </w:r>
          </w:p>
        </w:tc>
        <w:tc>
          <w:tcPr>
            <w:tcW w:w="1111" w:type="dxa"/>
            <w:vAlign w:val="bottom"/>
          </w:tcPr>
          <w:p w14:paraId="1B919884"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3B94C99C"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0.07</w:t>
            </w:r>
          </w:p>
        </w:tc>
        <w:tc>
          <w:tcPr>
            <w:tcW w:w="1111" w:type="dxa"/>
            <w:vAlign w:val="bottom"/>
          </w:tcPr>
          <w:p w14:paraId="56072E5A"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-0.314</w:t>
            </w:r>
          </w:p>
        </w:tc>
        <w:tc>
          <w:tcPr>
            <w:tcW w:w="1111" w:type="dxa"/>
            <w:vAlign w:val="bottom"/>
          </w:tcPr>
          <w:p w14:paraId="6C8A13E0"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082968C5"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-0.0722</w:t>
            </w:r>
          </w:p>
        </w:tc>
        <w:tc>
          <w:tcPr>
            <w:tcW w:w="1111" w:type="dxa"/>
            <w:vAlign w:val="bottom"/>
          </w:tcPr>
          <w:p w14:paraId="37A512BA"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-0.0147</w:t>
            </w:r>
          </w:p>
        </w:tc>
        <w:tc>
          <w:tcPr>
            <w:tcW w:w="1111" w:type="dxa"/>
            <w:vAlign w:val="bottom"/>
          </w:tcPr>
          <w:p w14:paraId="52CC3625" w14:textId="77777777" w:rsidR="00F8412C" w:rsidRPr="00FC3C09" w:rsidRDefault="00F8412C" w:rsidP="00F8412C">
            <w:pPr>
              <w:jc w:val="center"/>
              <w:rPr>
                <w:rFonts w:asciiTheme="minorHAnsi" w:hAnsiTheme="minorHAnsi"/>
                <w:color w:val="000000"/>
                <w:sz w:val="18"/>
                <w:szCs w:val="18"/>
              </w:rPr>
            </w:pPr>
          </w:p>
        </w:tc>
        <w:tc>
          <w:tcPr>
            <w:tcW w:w="1111" w:type="dxa"/>
            <w:gridSpan w:val="2"/>
            <w:vAlign w:val="bottom"/>
          </w:tcPr>
          <w:p w14:paraId="7F461BB4"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-0.326***</w:t>
            </w:r>
          </w:p>
        </w:tc>
        <w:tc>
          <w:tcPr>
            <w:tcW w:w="1113" w:type="dxa"/>
            <w:gridSpan w:val="2"/>
            <w:vAlign w:val="bottom"/>
          </w:tcPr>
          <w:p w14:paraId="3FA1C8AB"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-0.252**</w:t>
            </w:r>
          </w:p>
        </w:tc>
      </w:tr>
      <w:tr w:rsidR="00F8412C" w:rsidRPr="000A24E0" w14:paraId="69A488E7" w14:textId="77777777" w:rsidTr="00F8412C">
        <w:tc>
          <w:tcPr>
            <w:tcW w:w="3344" w:type="dxa"/>
            <w:vAlign w:val="center"/>
          </w:tcPr>
          <w:p w14:paraId="4CA1AE1C" w14:textId="77777777" w:rsidR="00F8412C" w:rsidRPr="00FC3C09" w:rsidRDefault="00F8412C" w:rsidP="00F8412C">
            <w:pPr>
              <w:rPr>
                <w:rFonts w:asciiTheme="minorHAnsi" w:hAnsiTheme="minorHAnsi"/>
                <w:sz w:val="18"/>
                <w:szCs w:val="18"/>
              </w:rPr>
            </w:pPr>
            <w:r w:rsidRPr="00FC3C09">
              <w:rPr>
                <w:rFonts w:asciiTheme="minorHAnsi" w:hAnsiTheme="minorHAnsi"/>
                <w:sz w:val="18"/>
                <w:szCs w:val="18"/>
              </w:rPr>
              <w:t>Management and Commerce</w:t>
            </w:r>
          </w:p>
        </w:tc>
        <w:tc>
          <w:tcPr>
            <w:tcW w:w="1111" w:type="dxa"/>
            <w:vAlign w:val="bottom"/>
          </w:tcPr>
          <w:p w14:paraId="71A136C5"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50BF1229"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-0.0407</w:t>
            </w:r>
          </w:p>
        </w:tc>
        <w:tc>
          <w:tcPr>
            <w:tcW w:w="1111" w:type="dxa"/>
            <w:vAlign w:val="bottom"/>
          </w:tcPr>
          <w:p w14:paraId="4D288CA1"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-0.057</w:t>
            </w:r>
          </w:p>
        </w:tc>
        <w:tc>
          <w:tcPr>
            <w:tcW w:w="1111" w:type="dxa"/>
            <w:vAlign w:val="bottom"/>
          </w:tcPr>
          <w:p w14:paraId="27A7DF3F"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6E2C36CC"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0.00525</w:t>
            </w:r>
          </w:p>
        </w:tc>
        <w:tc>
          <w:tcPr>
            <w:tcW w:w="1111" w:type="dxa"/>
            <w:vAlign w:val="bottom"/>
          </w:tcPr>
          <w:p w14:paraId="313F11D1"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-0.0147</w:t>
            </w:r>
          </w:p>
        </w:tc>
        <w:tc>
          <w:tcPr>
            <w:tcW w:w="1111" w:type="dxa"/>
            <w:vAlign w:val="bottom"/>
          </w:tcPr>
          <w:p w14:paraId="5B9B535E" w14:textId="77777777" w:rsidR="00F8412C" w:rsidRPr="00FC3C09" w:rsidRDefault="00F8412C" w:rsidP="00F8412C">
            <w:pPr>
              <w:jc w:val="center"/>
              <w:rPr>
                <w:rFonts w:asciiTheme="minorHAnsi" w:hAnsiTheme="minorHAnsi"/>
                <w:color w:val="000000"/>
                <w:sz w:val="18"/>
                <w:szCs w:val="18"/>
              </w:rPr>
            </w:pPr>
          </w:p>
        </w:tc>
        <w:tc>
          <w:tcPr>
            <w:tcW w:w="1111" w:type="dxa"/>
            <w:gridSpan w:val="2"/>
            <w:vAlign w:val="bottom"/>
          </w:tcPr>
          <w:p w14:paraId="70DA322F"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-0.245*</w:t>
            </w:r>
          </w:p>
        </w:tc>
        <w:tc>
          <w:tcPr>
            <w:tcW w:w="1113" w:type="dxa"/>
            <w:gridSpan w:val="2"/>
            <w:vAlign w:val="bottom"/>
          </w:tcPr>
          <w:p w14:paraId="7DC42AA2"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-0.184*</w:t>
            </w:r>
          </w:p>
        </w:tc>
      </w:tr>
      <w:tr w:rsidR="00F8412C" w:rsidRPr="000A24E0" w14:paraId="004DBB38" w14:textId="77777777" w:rsidTr="00F8412C">
        <w:tc>
          <w:tcPr>
            <w:tcW w:w="3344" w:type="dxa"/>
            <w:vAlign w:val="center"/>
          </w:tcPr>
          <w:p w14:paraId="6824F017" w14:textId="77777777" w:rsidR="00F8412C" w:rsidRPr="00FC3C09" w:rsidRDefault="00F8412C" w:rsidP="00F8412C">
            <w:pPr>
              <w:rPr>
                <w:rFonts w:asciiTheme="minorHAnsi" w:hAnsiTheme="minorHAnsi"/>
                <w:sz w:val="18"/>
                <w:szCs w:val="18"/>
              </w:rPr>
            </w:pPr>
            <w:r w:rsidRPr="00FC3C09">
              <w:rPr>
                <w:rFonts w:asciiTheme="minorHAnsi" w:hAnsiTheme="minorHAnsi"/>
                <w:sz w:val="18"/>
                <w:szCs w:val="18"/>
              </w:rPr>
              <w:t>Languages</w:t>
            </w:r>
          </w:p>
        </w:tc>
        <w:tc>
          <w:tcPr>
            <w:tcW w:w="1111" w:type="dxa"/>
            <w:vAlign w:val="bottom"/>
          </w:tcPr>
          <w:p w14:paraId="6C1B8AF4"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77AEA25B"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-0.0657</w:t>
            </w:r>
          </w:p>
        </w:tc>
        <w:tc>
          <w:tcPr>
            <w:tcW w:w="1111" w:type="dxa"/>
            <w:vAlign w:val="bottom"/>
          </w:tcPr>
          <w:p w14:paraId="019776AC"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0.0646</w:t>
            </w:r>
          </w:p>
        </w:tc>
        <w:tc>
          <w:tcPr>
            <w:tcW w:w="1111" w:type="dxa"/>
            <w:vAlign w:val="bottom"/>
          </w:tcPr>
          <w:p w14:paraId="2AB05078"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490BD6F9"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0.00363</w:t>
            </w:r>
          </w:p>
        </w:tc>
        <w:tc>
          <w:tcPr>
            <w:tcW w:w="1111" w:type="dxa"/>
            <w:vAlign w:val="bottom"/>
          </w:tcPr>
          <w:p w14:paraId="6642E975"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0.0473</w:t>
            </w:r>
          </w:p>
        </w:tc>
        <w:tc>
          <w:tcPr>
            <w:tcW w:w="1111" w:type="dxa"/>
            <w:vAlign w:val="bottom"/>
          </w:tcPr>
          <w:p w14:paraId="30030B51" w14:textId="77777777" w:rsidR="00F8412C" w:rsidRPr="00FC3C09" w:rsidRDefault="00F8412C" w:rsidP="00F8412C">
            <w:pPr>
              <w:jc w:val="center"/>
              <w:rPr>
                <w:rFonts w:asciiTheme="minorHAnsi" w:hAnsiTheme="minorHAnsi"/>
                <w:color w:val="000000"/>
                <w:sz w:val="18"/>
                <w:szCs w:val="18"/>
              </w:rPr>
            </w:pPr>
          </w:p>
        </w:tc>
        <w:tc>
          <w:tcPr>
            <w:tcW w:w="1111" w:type="dxa"/>
            <w:gridSpan w:val="2"/>
            <w:vAlign w:val="bottom"/>
          </w:tcPr>
          <w:p w14:paraId="7FD5E5C8"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-0.102</w:t>
            </w:r>
          </w:p>
        </w:tc>
        <w:tc>
          <w:tcPr>
            <w:tcW w:w="1113" w:type="dxa"/>
            <w:gridSpan w:val="2"/>
            <w:vAlign w:val="bottom"/>
          </w:tcPr>
          <w:p w14:paraId="4BDD352C"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0.00813</w:t>
            </w:r>
          </w:p>
        </w:tc>
      </w:tr>
      <w:tr w:rsidR="00F8412C" w:rsidRPr="000A24E0" w14:paraId="43201190" w14:textId="77777777" w:rsidTr="00F8412C">
        <w:tc>
          <w:tcPr>
            <w:tcW w:w="3344" w:type="dxa"/>
            <w:vAlign w:val="center"/>
          </w:tcPr>
          <w:p w14:paraId="41140BD7" w14:textId="77777777" w:rsidR="00F8412C" w:rsidRPr="00FC3C09" w:rsidRDefault="00F8412C" w:rsidP="00F8412C">
            <w:pPr>
              <w:rPr>
                <w:rFonts w:asciiTheme="minorHAnsi" w:hAnsiTheme="minorHAnsi"/>
                <w:sz w:val="18"/>
                <w:szCs w:val="18"/>
              </w:rPr>
            </w:pPr>
            <w:r w:rsidRPr="00FC3C09">
              <w:rPr>
                <w:rFonts w:asciiTheme="minorHAnsi" w:hAnsiTheme="minorHAnsi"/>
                <w:sz w:val="18"/>
                <w:szCs w:val="18"/>
              </w:rPr>
              <w:t>Clinical psychology</w:t>
            </w:r>
          </w:p>
        </w:tc>
        <w:tc>
          <w:tcPr>
            <w:tcW w:w="1111" w:type="dxa"/>
            <w:vAlign w:val="bottom"/>
          </w:tcPr>
          <w:p w14:paraId="39170F4C"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44B2B6D1"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1.039*</w:t>
            </w:r>
          </w:p>
        </w:tc>
        <w:tc>
          <w:tcPr>
            <w:tcW w:w="1111" w:type="dxa"/>
            <w:vAlign w:val="bottom"/>
          </w:tcPr>
          <w:p w14:paraId="171C5276" w14:textId="58E46F23"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0.72</w:t>
            </w:r>
            <w:r w:rsidR="0089263F">
              <w:rPr>
                <w:rFonts w:asciiTheme="minorHAnsi" w:hAnsiTheme="minorHAnsi"/>
                <w:color w:val="000000"/>
                <w:sz w:val="18"/>
                <w:szCs w:val="18"/>
              </w:rPr>
              <w:t>0</w:t>
            </w:r>
          </w:p>
        </w:tc>
        <w:tc>
          <w:tcPr>
            <w:tcW w:w="1111" w:type="dxa"/>
            <w:vAlign w:val="bottom"/>
          </w:tcPr>
          <w:p w14:paraId="349426E0"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32A42715"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-0.0953**</w:t>
            </w:r>
          </w:p>
        </w:tc>
        <w:tc>
          <w:tcPr>
            <w:tcW w:w="1111" w:type="dxa"/>
            <w:vAlign w:val="bottom"/>
          </w:tcPr>
          <w:p w14:paraId="5E7C23F3"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-0.0488</w:t>
            </w:r>
          </w:p>
        </w:tc>
        <w:tc>
          <w:tcPr>
            <w:tcW w:w="1111" w:type="dxa"/>
            <w:vAlign w:val="bottom"/>
          </w:tcPr>
          <w:p w14:paraId="5B7BFA84" w14:textId="77777777" w:rsidR="00F8412C" w:rsidRPr="00FC3C09" w:rsidRDefault="00F8412C" w:rsidP="00F8412C">
            <w:pPr>
              <w:jc w:val="center"/>
              <w:rPr>
                <w:rFonts w:asciiTheme="minorHAnsi" w:hAnsiTheme="minorHAnsi"/>
                <w:color w:val="000000"/>
                <w:sz w:val="18"/>
                <w:szCs w:val="18"/>
              </w:rPr>
            </w:pPr>
          </w:p>
        </w:tc>
        <w:tc>
          <w:tcPr>
            <w:tcW w:w="1111" w:type="dxa"/>
            <w:gridSpan w:val="2"/>
            <w:vAlign w:val="bottom"/>
          </w:tcPr>
          <w:p w14:paraId="3E46809B"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-0.0536</w:t>
            </w:r>
          </w:p>
        </w:tc>
        <w:tc>
          <w:tcPr>
            <w:tcW w:w="1113" w:type="dxa"/>
            <w:gridSpan w:val="2"/>
            <w:vAlign w:val="bottom"/>
          </w:tcPr>
          <w:p w14:paraId="31C08E4E"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0.00688</w:t>
            </w:r>
          </w:p>
        </w:tc>
      </w:tr>
      <w:tr w:rsidR="00F8412C" w:rsidRPr="000A24E0" w14:paraId="24044FFD" w14:textId="77777777" w:rsidTr="00F8412C">
        <w:tc>
          <w:tcPr>
            <w:tcW w:w="3344" w:type="dxa"/>
            <w:vAlign w:val="center"/>
          </w:tcPr>
          <w:p w14:paraId="404EA93D" w14:textId="77777777" w:rsidR="00F8412C" w:rsidRPr="00FC3C09" w:rsidRDefault="00F8412C" w:rsidP="00F8412C">
            <w:pPr>
              <w:rPr>
                <w:rFonts w:asciiTheme="minorHAnsi" w:hAnsiTheme="minorHAnsi"/>
                <w:sz w:val="18"/>
                <w:szCs w:val="18"/>
              </w:rPr>
            </w:pPr>
            <w:r w:rsidRPr="00FC3C09">
              <w:rPr>
                <w:rFonts w:asciiTheme="minorHAnsi" w:hAnsiTheme="minorHAnsi"/>
                <w:sz w:val="18"/>
                <w:szCs w:val="18"/>
              </w:rPr>
              <w:t>Other society and culture</w:t>
            </w:r>
          </w:p>
        </w:tc>
        <w:tc>
          <w:tcPr>
            <w:tcW w:w="1111" w:type="dxa"/>
            <w:vAlign w:val="bottom"/>
          </w:tcPr>
          <w:p w14:paraId="24BF6087"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5CE6ECF0"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-0.109</w:t>
            </w:r>
          </w:p>
        </w:tc>
        <w:tc>
          <w:tcPr>
            <w:tcW w:w="1111" w:type="dxa"/>
            <w:vAlign w:val="bottom"/>
          </w:tcPr>
          <w:p w14:paraId="221CA17C"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-0.295</w:t>
            </w:r>
          </w:p>
        </w:tc>
        <w:tc>
          <w:tcPr>
            <w:tcW w:w="1111" w:type="dxa"/>
            <w:vAlign w:val="bottom"/>
          </w:tcPr>
          <w:p w14:paraId="3F6BD3E9"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26AD5E86"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-0.0812</w:t>
            </w:r>
          </w:p>
        </w:tc>
        <w:tc>
          <w:tcPr>
            <w:tcW w:w="1111" w:type="dxa"/>
            <w:vAlign w:val="bottom"/>
          </w:tcPr>
          <w:p w14:paraId="640FFC17"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-0.0955</w:t>
            </w:r>
          </w:p>
        </w:tc>
        <w:tc>
          <w:tcPr>
            <w:tcW w:w="1111" w:type="dxa"/>
            <w:vAlign w:val="bottom"/>
          </w:tcPr>
          <w:p w14:paraId="5446EE26" w14:textId="77777777" w:rsidR="00F8412C" w:rsidRPr="00FC3C09" w:rsidRDefault="00F8412C" w:rsidP="00F8412C">
            <w:pPr>
              <w:jc w:val="center"/>
              <w:rPr>
                <w:rFonts w:asciiTheme="minorHAnsi" w:hAnsiTheme="minorHAnsi"/>
                <w:color w:val="000000"/>
                <w:sz w:val="18"/>
                <w:szCs w:val="18"/>
              </w:rPr>
            </w:pPr>
          </w:p>
        </w:tc>
        <w:tc>
          <w:tcPr>
            <w:tcW w:w="1111" w:type="dxa"/>
            <w:gridSpan w:val="2"/>
            <w:vAlign w:val="bottom"/>
          </w:tcPr>
          <w:p w14:paraId="402B01F2"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-0.355***</w:t>
            </w:r>
          </w:p>
        </w:tc>
        <w:tc>
          <w:tcPr>
            <w:tcW w:w="1113" w:type="dxa"/>
            <w:gridSpan w:val="2"/>
            <w:vAlign w:val="bottom"/>
          </w:tcPr>
          <w:p w14:paraId="4CF66818"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-0.302**</w:t>
            </w:r>
          </w:p>
        </w:tc>
      </w:tr>
      <w:tr w:rsidR="00F8412C" w:rsidRPr="000A24E0" w14:paraId="4C0A8E21" w14:textId="77777777" w:rsidTr="00F8412C">
        <w:tc>
          <w:tcPr>
            <w:tcW w:w="3344" w:type="dxa"/>
            <w:vAlign w:val="center"/>
          </w:tcPr>
          <w:p w14:paraId="547D6CA2" w14:textId="77777777" w:rsidR="00F8412C" w:rsidRPr="00FC3C09" w:rsidRDefault="00F8412C" w:rsidP="00F8412C">
            <w:pPr>
              <w:rPr>
                <w:rFonts w:asciiTheme="minorHAnsi" w:hAnsiTheme="minorHAnsi"/>
                <w:sz w:val="18"/>
                <w:szCs w:val="18"/>
              </w:rPr>
            </w:pPr>
            <w:r w:rsidRPr="00FC3C09">
              <w:rPr>
                <w:rFonts w:asciiTheme="minorHAnsi" w:hAnsiTheme="minorHAnsi"/>
                <w:sz w:val="18"/>
                <w:szCs w:val="18"/>
              </w:rPr>
              <w:t>Communication and media studies</w:t>
            </w:r>
          </w:p>
        </w:tc>
        <w:tc>
          <w:tcPr>
            <w:tcW w:w="1111" w:type="dxa"/>
            <w:vAlign w:val="bottom"/>
          </w:tcPr>
          <w:p w14:paraId="6ABD66E1"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7F20B261"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0.0347</w:t>
            </w:r>
          </w:p>
        </w:tc>
        <w:tc>
          <w:tcPr>
            <w:tcW w:w="1111" w:type="dxa"/>
            <w:vAlign w:val="bottom"/>
          </w:tcPr>
          <w:p w14:paraId="246841FB"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-0.147</w:t>
            </w:r>
          </w:p>
        </w:tc>
        <w:tc>
          <w:tcPr>
            <w:tcW w:w="1111" w:type="dxa"/>
            <w:vAlign w:val="bottom"/>
          </w:tcPr>
          <w:p w14:paraId="4EB7EEB5"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014D7C43"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-0.0531**</w:t>
            </w:r>
          </w:p>
        </w:tc>
        <w:tc>
          <w:tcPr>
            <w:tcW w:w="1111" w:type="dxa"/>
            <w:vAlign w:val="bottom"/>
          </w:tcPr>
          <w:p w14:paraId="14A4B60A"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-0.0147</w:t>
            </w:r>
          </w:p>
        </w:tc>
        <w:tc>
          <w:tcPr>
            <w:tcW w:w="1111" w:type="dxa"/>
            <w:vAlign w:val="bottom"/>
          </w:tcPr>
          <w:p w14:paraId="0DE84ABF" w14:textId="77777777" w:rsidR="00F8412C" w:rsidRPr="00FC3C09" w:rsidRDefault="00F8412C" w:rsidP="00F8412C">
            <w:pPr>
              <w:jc w:val="center"/>
              <w:rPr>
                <w:rFonts w:asciiTheme="minorHAnsi" w:hAnsiTheme="minorHAnsi"/>
                <w:color w:val="000000"/>
                <w:sz w:val="18"/>
                <w:szCs w:val="18"/>
              </w:rPr>
            </w:pPr>
          </w:p>
        </w:tc>
        <w:tc>
          <w:tcPr>
            <w:tcW w:w="1111" w:type="dxa"/>
            <w:gridSpan w:val="2"/>
            <w:vAlign w:val="bottom"/>
          </w:tcPr>
          <w:p w14:paraId="23882757"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-0.113</w:t>
            </w:r>
          </w:p>
        </w:tc>
        <w:tc>
          <w:tcPr>
            <w:tcW w:w="1113" w:type="dxa"/>
            <w:gridSpan w:val="2"/>
            <w:vAlign w:val="bottom"/>
          </w:tcPr>
          <w:p w14:paraId="3959FB4D"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-0.0983</w:t>
            </w:r>
          </w:p>
        </w:tc>
      </w:tr>
      <w:tr w:rsidR="00F8412C" w:rsidRPr="000A24E0" w14:paraId="41329C7B" w14:textId="77777777" w:rsidTr="00F8412C">
        <w:tc>
          <w:tcPr>
            <w:tcW w:w="3344" w:type="dxa"/>
            <w:vAlign w:val="center"/>
          </w:tcPr>
          <w:p w14:paraId="4BFB5F5B" w14:textId="77777777" w:rsidR="00F8412C" w:rsidRPr="00FC3C09" w:rsidRDefault="00F8412C" w:rsidP="00F8412C">
            <w:pPr>
              <w:rPr>
                <w:rFonts w:asciiTheme="minorHAnsi" w:hAnsiTheme="minorHAnsi"/>
                <w:sz w:val="18"/>
                <w:szCs w:val="18"/>
              </w:rPr>
            </w:pPr>
            <w:r w:rsidRPr="00FC3C09">
              <w:rPr>
                <w:rFonts w:asciiTheme="minorHAnsi" w:hAnsiTheme="minorHAnsi"/>
                <w:sz w:val="18"/>
                <w:szCs w:val="18"/>
              </w:rPr>
              <w:t>Other creative arts</w:t>
            </w:r>
          </w:p>
        </w:tc>
        <w:tc>
          <w:tcPr>
            <w:tcW w:w="1111" w:type="dxa"/>
            <w:vAlign w:val="bottom"/>
          </w:tcPr>
          <w:p w14:paraId="0585F7F6"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7F8639EE"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0.478</w:t>
            </w:r>
          </w:p>
        </w:tc>
        <w:tc>
          <w:tcPr>
            <w:tcW w:w="1111" w:type="dxa"/>
            <w:vAlign w:val="bottom"/>
          </w:tcPr>
          <w:p w14:paraId="5B696E0C"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0.145</w:t>
            </w:r>
          </w:p>
        </w:tc>
        <w:tc>
          <w:tcPr>
            <w:tcW w:w="1111" w:type="dxa"/>
            <w:vAlign w:val="bottom"/>
          </w:tcPr>
          <w:p w14:paraId="76AFB5AC"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4DD9763A"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0.0746*</w:t>
            </w:r>
          </w:p>
        </w:tc>
        <w:tc>
          <w:tcPr>
            <w:tcW w:w="1111" w:type="dxa"/>
            <w:vAlign w:val="bottom"/>
          </w:tcPr>
          <w:p w14:paraId="2A997AE5"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0.152***</w:t>
            </w:r>
          </w:p>
        </w:tc>
        <w:tc>
          <w:tcPr>
            <w:tcW w:w="1111" w:type="dxa"/>
            <w:vAlign w:val="bottom"/>
          </w:tcPr>
          <w:p w14:paraId="5D0C6547" w14:textId="77777777" w:rsidR="00F8412C" w:rsidRPr="00FC3C09" w:rsidRDefault="00F8412C" w:rsidP="00F8412C">
            <w:pPr>
              <w:jc w:val="center"/>
              <w:rPr>
                <w:rFonts w:asciiTheme="minorHAnsi" w:hAnsiTheme="minorHAnsi"/>
                <w:color w:val="000000"/>
                <w:sz w:val="18"/>
                <w:szCs w:val="18"/>
              </w:rPr>
            </w:pPr>
          </w:p>
        </w:tc>
        <w:tc>
          <w:tcPr>
            <w:tcW w:w="1111" w:type="dxa"/>
            <w:gridSpan w:val="2"/>
            <w:vAlign w:val="bottom"/>
          </w:tcPr>
          <w:p w14:paraId="3F963693"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0.0185</w:t>
            </w:r>
          </w:p>
        </w:tc>
        <w:tc>
          <w:tcPr>
            <w:tcW w:w="1113" w:type="dxa"/>
            <w:gridSpan w:val="2"/>
            <w:vAlign w:val="bottom"/>
          </w:tcPr>
          <w:p w14:paraId="00B880D2"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0.0134</w:t>
            </w:r>
          </w:p>
        </w:tc>
      </w:tr>
      <w:tr w:rsidR="00F8412C" w:rsidRPr="000A24E0" w14:paraId="77E65AB1" w14:textId="77777777" w:rsidTr="00F8412C">
        <w:tc>
          <w:tcPr>
            <w:tcW w:w="3344" w:type="dxa"/>
            <w:vAlign w:val="center"/>
          </w:tcPr>
          <w:p w14:paraId="4DA9EA42" w14:textId="77777777" w:rsidR="00F8412C" w:rsidRPr="00FC3C09" w:rsidRDefault="00F8412C" w:rsidP="00F8412C">
            <w:pPr>
              <w:rPr>
                <w:rFonts w:asciiTheme="minorHAnsi" w:hAnsiTheme="minorHAnsi"/>
                <w:sz w:val="18"/>
                <w:szCs w:val="18"/>
              </w:rPr>
            </w:pPr>
          </w:p>
        </w:tc>
        <w:tc>
          <w:tcPr>
            <w:tcW w:w="1111" w:type="dxa"/>
            <w:vAlign w:val="bottom"/>
          </w:tcPr>
          <w:p w14:paraId="0A8CC789"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55CF9947"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18380FB6"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39BF8791" w14:textId="77777777" w:rsidR="00F8412C" w:rsidRPr="00FC3C09" w:rsidRDefault="00F8412C" w:rsidP="00F8412C">
            <w:pPr>
              <w:jc w:val="center"/>
              <w:rPr>
                <w:rFonts w:asciiTheme="minorHAnsi" w:hAnsiTheme="minorHAnsi"/>
                <w:color w:val="000000"/>
                <w:sz w:val="18"/>
                <w:szCs w:val="18"/>
              </w:rPr>
            </w:pPr>
          </w:p>
        </w:tc>
        <w:tc>
          <w:tcPr>
            <w:tcW w:w="1111" w:type="dxa"/>
          </w:tcPr>
          <w:p w14:paraId="03C0A656" w14:textId="77777777" w:rsidR="00F8412C" w:rsidRPr="00FC3C09" w:rsidRDefault="00F8412C" w:rsidP="00F8412C">
            <w:pPr>
              <w:jc w:val="center"/>
              <w:rPr>
                <w:rFonts w:asciiTheme="minorHAnsi" w:hAnsiTheme="minorHAnsi"/>
                <w:color w:val="000000"/>
                <w:sz w:val="18"/>
                <w:szCs w:val="18"/>
              </w:rPr>
            </w:pPr>
          </w:p>
        </w:tc>
        <w:tc>
          <w:tcPr>
            <w:tcW w:w="1111" w:type="dxa"/>
          </w:tcPr>
          <w:p w14:paraId="10B9F0DC" w14:textId="77777777" w:rsidR="00F8412C" w:rsidRPr="00FC3C09" w:rsidRDefault="00F8412C" w:rsidP="00F8412C">
            <w:pPr>
              <w:jc w:val="center"/>
              <w:rPr>
                <w:rFonts w:asciiTheme="minorHAnsi" w:hAnsiTheme="minorHAnsi"/>
                <w:color w:val="000000"/>
                <w:sz w:val="18"/>
                <w:szCs w:val="18"/>
              </w:rPr>
            </w:pPr>
          </w:p>
        </w:tc>
        <w:tc>
          <w:tcPr>
            <w:tcW w:w="1111" w:type="dxa"/>
          </w:tcPr>
          <w:p w14:paraId="4859E391" w14:textId="77777777" w:rsidR="00F8412C" w:rsidRPr="00FC3C09" w:rsidRDefault="00F8412C" w:rsidP="00F8412C">
            <w:pPr>
              <w:jc w:val="center"/>
              <w:rPr>
                <w:rFonts w:asciiTheme="minorHAnsi" w:hAnsiTheme="minorHAnsi"/>
                <w:color w:val="000000"/>
                <w:sz w:val="18"/>
                <w:szCs w:val="18"/>
              </w:rPr>
            </w:pPr>
          </w:p>
        </w:tc>
        <w:tc>
          <w:tcPr>
            <w:tcW w:w="1111" w:type="dxa"/>
            <w:gridSpan w:val="2"/>
          </w:tcPr>
          <w:p w14:paraId="3B7BFBA1" w14:textId="77777777" w:rsidR="00F8412C" w:rsidRPr="00FC3C09" w:rsidRDefault="00F8412C" w:rsidP="00F8412C">
            <w:pPr>
              <w:jc w:val="center"/>
              <w:rPr>
                <w:rFonts w:asciiTheme="minorHAnsi" w:hAnsiTheme="minorHAnsi"/>
                <w:color w:val="000000"/>
                <w:sz w:val="18"/>
                <w:szCs w:val="18"/>
              </w:rPr>
            </w:pPr>
          </w:p>
        </w:tc>
        <w:tc>
          <w:tcPr>
            <w:tcW w:w="1113" w:type="dxa"/>
            <w:gridSpan w:val="2"/>
          </w:tcPr>
          <w:p w14:paraId="1E71340B" w14:textId="77777777" w:rsidR="00F8412C" w:rsidRPr="00FC3C09" w:rsidRDefault="00F8412C" w:rsidP="00F8412C">
            <w:pPr>
              <w:jc w:val="center"/>
              <w:rPr>
                <w:rFonts w:asciiTheme="minorHAnsi" w:hAnsiTheme="minorHAnsi"/>
                <w:color w:val="000000"/>
                <w:sz w:val="18"/>
                <w:szCs w:val="18"/>
              </w:rPr>
            </w:pPr>
          </w:p>
        </w:tc>
      </w:tr>
      <w:tr w:rsidR="00F8412C" w:rsidRPr="000A24E0" w14:paraId="6709C901" w14:textId="77777777" w:rsidTr="00F8412C">
        <w:tc>
          <w:tcPr>
            <w:tcW w:w="3344" w:type="dxa"/>
            <w:vAlign w:val="center"/>
          </w:tcPr>
          <w:p w14:paraId="5B322A31" w14:textId="77777777" w:rsidR="00F8412C" w:rsidRPr="00FC3C09" w:rsidRDefault="00F8412C" w:rsidP="00F8412C">
            <w:pPr>
              <w:rPr>
                <w:rFonts w:asciiTheme="minorHAnsi" w:hAnsiTheme="minorHAnsi"/>
                <w:sz w:val="18"/>
                <w:szCs w:val="18"/>
              </w:rPr>
            </w:pPr>
            <w:r w:rsidRPr="00FC3C09">
              <w:rPr>
                <w:rFonts w:asciiTheme="minorHAnsi" w:hAnsiTheme="minorHAnsi"/>
                <w:sz w:val="18"/>
                <w:szCs w:val="18"/>
              </w:rPr>
              <w:t>Constant</w:t>
            </w:r>
          </w:p>
        </w:tc>
        <w:tc>
          <w:tcPr>
            <w:tcW w:w="1111" w:type="dxa"/>
            <w:vAlign w:val="bottom"/>
          </w:tcPr>
          <w:p w14:paraId="2E89773D" w14:textId="77777777" w:rsidR="00F8412C" w:rsidRPr="00FC3C09" w:rsidRDefault="00F8412C" w:rsidP="00F8412C">
            <w:pPr>
              <w:jc w:val="center"/>
              <w:rPr>
                <w:rFonts w:asciiTheme="minorHAnsi" w:hAnsiTheme="minorHAnsi"/>
                <w:color w:val="000000"/>
                <w:sz w:val="18"/>
                <w:szCs w:val="18"/>
                <w:lang w:eastAsia="en-AU"/>
              </w:rPr>
            </w:pPr>
            <w:r w:rsidRPr="00FC3C09">
              <w:rPr>
                <w:rFonts w:asciiTheme="minorHAnsi" w:hAnsiTheme="minorHAnsi"/>
                <w:color w:val="000000"/>
                <w:sz w:val="18"/>
                <w:szCs w:val="18"/>
              </w:rPr>
              <w:t>12.50***</w:t>
            </w:r>
          </w:p>
        </w:tc>
        <w:tc>
          <w:tcPr>
            <w:tcW w:w="1111" w:type="dxa"/>
            <w:vAlign w:val="bottom"/>
          </w:tcPr>
          <w:p w14:paraId="6AB0260A"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11.76***</w:t>
            </w:r>
          </w:p>
        </w:tc>
        <w:tc>
          <w:tcPr>
            <w:tcW w:w="1111" w:type="dxa"/>
            <w:vAlign w:val="bottom"/>
          </w:tcPr>
          <w:p w14:paraId="02B04765"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11.84***</w:t>
            </w:r>
          </w:p>
        </w:tc>
        <w:tc>
          <w:tcPr>
            <w:tcW w:w="1111" w:type="dxa"/>
            <w:vAlign w:val="bottom"/>
          </w:tcPr>
          <w:p w14:paraId="3FAFA789"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11.92***</w:t>
            </w:r>
          </w:p>
        </w:tc>
        <w:tc>
          <w:tcPr>
            <w:tcW w:w="1111" w:type="dxa"/>
            <w:vAlign w:val="bottom"/>
          </w:tcPr>
          <w:p w14:paraId="50BB154D"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11.28***</w:t>
            </w:r>
          </w:p>
        </w:tc>
        <w:tc>
          <w:tcPr>
            <w:tcW w:w="1111" w:type="dxa"/>
            <w:vAlign w:val="bottom"/>
          </w:tcPr>
          <w:p w14:paraId="342D1659"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10.95***</w:t>
            </w:r>
          </w:p>
        </w:tc>
        <w:tc>
          <w:tcPr>
            <w:tcW w:w="1111" w:type="dxa"/>
            <w:vAlign w:val="bottom"/>
          </w:tcPr>
          <w:p w14:paraId="40BF12F9"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11.75***</w:t>
            </w:r>
          </w:p>
        </w:tc>
        <w:tc>
          <w:tcPr>
            <w:tcW w:w="1111" w:type="dxa"/>
            <w:gridSpan w:val="2"/>
            <w:vAlign w:val="bottom"/>
          </w:tcPr>
          <w:p w14:paraId="7D47AE99"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10.75***</w:t>
            </w:r>
          </w:p>
        </w:tc>
        <w:tc>
          <w:tcPr>
            <w:tcW w:w="1113" w:type="dxa"/>
            <w:gridSpan w:val="2"/>
            <w:vAlign w:val="bottom"/>
          </w:tcPr>
          <w:p w14:paraId="4202231C"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11.11***</w:t>
            </w:r>
          </w:p>
        </w:tc>
      </w:tr>
      <w:tr w:rsidR="00F8412C" w:rsidRPr="000A24E0" w14:paraId="33ED07E3" w14:textId="77777777" w:rsidTr="00F8412C">
        <w:tc>
          <w:tcPr>
            <w:tcW w:w="3344" w:type="dxa"/>
            <w:vAlign w:val="center"/>
          </w:tcPr>
          <w:p w14:paraId="7D71116A" w14:textId="77777777" w:rsidR="00F8412C" w:rsidRPr="00FC3C09" w:rsidRDefault="00F8412C" w:rsidP="00F8412C">
            <w:pPr>
              <w:spacing w:before="60"/>
              <w:rPr>
                <w:rFonts w:asciiTheme="minorHAnsi" w:hAnsiTheme="minorHAnsi"/>
                <w:sz w:val="18"/>
                <w:szCs w:val="18"/>
              </w:rPr>
            </w:pPr>
          </w:p>
        </w:tc>
        <w:tc>
          <w:tcPr>
            <w:tcW w:w="1111" w:type="dxa"/>
            <w:vAlign w:val="bottom"/>
          </w:tcPr>
          <w:p w14:paraId="75B5F87B" w14:textId="77777777" w:rsidR="00F8412C" w:rsidRPr="00FC3C09" w:rsidRDefault="00F8412C" w:rsidP="00F8412C">
            <w:pPr>
              <w:jc w:val="center"/>
              <w:rPr>
                <w:rFonts w:asciiTheme="minorHAnsi" w:hAnsiTheme="minorHAnsi"/>
                <w:color w:val="000000"/>
                <w:sz w:val="18"/>
                <w:szCs w:val="18"/>
              </w:rPr>
            </w:pPr>
          </w:p>
        </w:tc>
        <w:tc>
          <w:tcPr>
            <w:tcW w:w="1111" w:type="dxa"/>
            <w:vAlign w:val="bottom"/>
          </w:tcPr>
          <w:p w14:paraId="610A72F4" w14:textId="77777777" w:rsidR="00F8412C" w:rsidRPr="00FC3C09" w:rsidRDefault="00F8412C" w:rsidP="00F8412C">
            <w:pPr>
              <w:jc w:val="center"/>
              <w:rPr>
                <w:rFonts w:asciiTheme="minorHAnsi" w:hAnsiTheme="minorHAnsi"/>
                <w:sz w:val="18"/>
                <w:szCs w:val="18"/>
              </w:rPr>
            </w:pPr>
          </w:p>
        </w:tc>
        <w:tc>
          <w:tcPr>
            <w:tcW w:w="1111" w:type="dxa"/>
            <w:vAlign w:val="bottom"/>
          </w:tcPr>
          <w:p w14:paraId="68E8E69C" w14:textId="77777777" w:rsidR="00F8412C" w:rsidRPr="00FC3C09" w:rsidRDefault="00F8412C" w:rsidP="00F8412C">
            <w:pPr>
              <w:jc w:val="center"/>
              <w:rPr>
                <w:rFonts w:asciiTheme="minorHAnsi" w:hAnsiTheme="minorHAnsi"/>
                <w:sz w:val="18"/>
                <w:szCs w:val="18"/>
              </w:rPr>
            </w:pPr>
          </w:p>
        </w:tc>
        <w:tc>
          <w:tcPr>
            <w:tcW w:w="1111" w:type="dxa"/>
            <w:vAlign w:val="bottom"/>
          </w:tcPr>
          <w:p w14:paraId="49E3E50F" w14:textId="77777777" w:rsidR="00F8412C" w:rsidRPr="00FC3C09" w:rsidRDefault="00F8412C" w:rsidP="00F8412C">
            <w:pPr>
              <w:jc w:val="center"/>
              <w:rPr>
                <w:rFonts w:asciiTheme="minorHAnsi" w:hAnsiTheme="minorHAnsi"/>
                <w:sz w:val="18"/>
                <w:szCs w:val="18"/>
              </w:rPr>
            </w:pPr>
          </w:p>
        </w:tc>
        <w:tc>
          <w:tcPr>
            <w:tcW w:w="1111" w:type="dxa"/>
          </w:tcPr>
          <w:p w14:paraId="46D749FD" w14:textId="77777777" w:rsidR="00F8412C" w:rsidRPr="00FC3C09" w:rsidRDefault="00F8412C" w:rsidP="00F8412C">
            <w:pPr>
              <w:jc w:val="center"/>
              <w:rPr>
                <w:rFonts w:asciiTheme="minorHAnsi" w:hAnsiTheme="minorHAnsi"/>
                <w:sz w:val="18"/>
                <w:szCs w:val="18"/>
              </w:rPr>
            </w:pPr>
          </w:p>
        </w:tc>
        <w:tc>
          <w:tcPr>
            <w:tcW w:w="1111" w:type="dxa"/>
          </w:tcPr>
          <w:p w14:paraId="4C3E4B12" w14:textId="77777777" w:rsidR="00F8412C" w:rsidRPr="00FC3C09" w:rsidRDefault="00F8412C" w:rsidP="00F8412C">
            <w:pPr>
              <w:jc w:val="center"/>
              <w:rPr>
                <w:rFonts w:asciiTheme="minorHAnsi" w:hAnsiTheme="minorHAnsi"/>
                <w:sz w:val="18"/>
                <w:szCs w:val="18"/>
              </w:rPr>
            </w:pPr>
          </w:p>
        </w:tc>
        <w:tc>
          <w:tcPr>
            <w:tcW w:w="1111" w:type="dxa"/>
          </w:tcPr>
          <w:p w14:paraId="0CD2DB6B" w14:textId="77777777" w:rsidR="00F8412C" w:rsidRPr="00FC3C09" w:rsidRDefault="00F8412C" w:rsidP="00F8412C">
            <w:pPr>
              <w:jc w:val="center"/>
              <w:rPr>
                <w:rFonts w:asciiTheme="minorHAnsi" w:hAnsiTheme="minorHAnsi"/>
                <w:sz w:val="18"/>
                <w:szCs w:val="18"/>
              </w:rPr>
            </w:pPr>
          </w:p>
        </w:tc>
        <w:tc>
          <w:tcPr>
            <w:tcW w:w="1111" w:type="dxa"/>
            <w:gridSpan w:val="2"/>
          </w:tcPr>
          <w:p w14:paraId="10383E3D" w14:textId="77777777" w:rsidR="00F8412C" w:rsidRPr="00FC3C09" w:rsidRDefault="00F8412C" w:rsidP="00F8412C">
            <w:pPr>
              <w:jc w:val="center"/>
              <w:rPr>
                <w:rFonts w:asciiTheme="minorHAnsi" w:hAnsiTheme="minorHAnsi"/>
                <w:sz w:val="18"/>
                <w:szCs w:val="18"/>
              </w:rPr>
            </w:pPr>
          </w:p>
        </w:tc>
        <w:tc>
          <w:tcPr>
            <w:tcW w:w="1113" w:type="dxa"/>
            <w:gridSpan w:val="2"/>
          </w:tcPr>
          <w:p w14:paraId="58B85DA2" w14:textId="77777777" w:rsidR="00F8412C" w:rsidRPr="00FC3C09" w:rsidRDefault="00F8412C" w:rsidP="00F8412C">
            <w:pPr>
              <w:jc w:val="center"/>
              <w:rPr>
                <w:rFonts w:asciiTheme="minorHAnsi" w:hAnsiTheme="minorHAnsi"/>
                <w:sz w:val="18"/>
                <w:szCs w:val="18"/>
              </w:rPr>
            </w:pPr>
          </w:p>
        </w:tc>
      </w:tr>
      <w:tr w:rsidR="00F8412C" w:rsidRPr="000A24E0" w14:paraId="572FA287" w14:textId="77777777" w:rsidTr="00F8412C">
        <w:tc>
          <w:tcPr>
            <w:tcW w:w="3344" w:type="dxa"/>
            <w:vAlign w:val="center"/>
          </w:tcPr>
          <w:p w14:paraId="275468DB" w14:textId="77777777" w:rsidR="00F8412C" w:rsidRPr="00FC3C09" w:rsidRDefault="00F8412C" w:rsidP="00F8412C">
            <w:pPr>
              <w:spacing w:before="60"/>
              <w:rPr>
                <w:rFonts w:asciiTheme="minorHAnsi" w:hAnsiTheme="minorHAnsi"/>
                <w:i/>
                <w:sz w:val="18"/>
                <w:szCs w:val="18"/>
              </w:rPr>
            </w:pPr>
            <w:r w:rsidRPr="00FC3C09">
              <w:rPr>
                <w:rFonts w:asciiTheme="minorHAnsi" w:hAnsiTheme="minorHAnsi"/>
                <w:i/>
                <w:sz w:val="18"/>
                <w:szCs w:val="18"/>
              </w:rPr>
              <w:t>Observations</w:t>
            </w:r>
          </w:p>
        </w:tc>
        <w:tc>
          <w:tcPr>
            <w:tcW w:w="1111" w:type="dxa"/>
            <w:vAlign w:val="bottom"/>
          </w:tcPr>
          <w:p w14:paraId="6C4767C8" w14:textId="77777777" w:rsidR="00F8412C" w:rsidRPr="00FC3C09" w:rsidRDefault="00F8412C" w:rsidP="00F8412C">
            <w:pPr>
              <w:jc w:val="center"/>
              <w:rPr>
                <w:rFonts w:asciiTheme="minorHAnsi" w:hAnsiTheme="minorHAnsi"/>
                <w:color w:val="000000"/>
                <w:sz w:val="18"/>
                <w:szCs w:val="18"/>
                <w:lang w:eastAsia="en-AU"/>
              </w:rPr>
            </w:pPr>
            <w:r w:rsidRPr="00FC3C09">
              <w:rPr>
                <w:rFonts w:asciiTheme="minorHAnsi" w:hAnsiTheme="minorHAnsi"/>
                <w:color w:val="000000"/>
                <w:sz w:val="18"/>
                <w:szCs w:val="18"/>
              </w:rPr>
              <w:t>131</w:t>
            </w:r>
          </w:p>
        </w:tc>
        <w:tc>
          <w:tcPr>
            <w:tcW w:w="1111" w:type="dxa"/>
            <w:vAlign w:val="bottom"/>
          </w:tcPr>
          <w:p w14:paraId="0A6555C7"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131</w:t>
            </w:r>
          </w:p>
        </w:tc>
        <w:tc>
          <w:tcPr>
            <w:tcW w:w="1111" w:type="dxa"/>
            <w:vAlign w:val="bottom"/>
          </w:tcPr>
          <w:p w14:paraId="6C9858FB"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127</w:t>
            </w:r>
          </w:p>
        </w:tc>
        <w:tc>
          <w:tcPr>
            <w:tcW w:w="1111" w:type="dxa"/>
            <w:vAlign w:val="bottom"/>
          </w:tcPr>
          <w:p w14:paraId="2B9A7D09"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281</w:t>
            </w:r>
          </w:p>
        </w:tc>
        <w:tc>
          <w:tcPr>
            <w:tcW w:w="1111" w:type="dxa"/>
            <w:vAlign w:val="bottom"/>
          </w:tcPr>
          <w:p w14:paraId="60BB92D1"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281</w:t>
            </w:r>
          </w:p>
        </w:tc>
        <w:tc>
          <w:tcPr>
            <w:tcW w:w="1111" w:type="dxa"/>
            <w:vAlign w:val="bottom"/>
          </w:tcPr>
          <w:p w14:paraId="16FC3FE2"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280</w:t>
            </w:r>
          </w:p>
        </w:tc>
        <w:tc>
          <w:tcPr>
            <w:tcW w:w="1111" w:type="dxa"/>
            <w:vAlign w:val="bottom"/>
          </w:tcPr>
          <w:p w14:paraId="662B806A"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243</w:t>
            </w:r>
          </w:p>
        </w:tc>
        <w:tc>
          <w:tcPr>
            <w:tcW w:w="1111" w:type="dxa"/>
            <w:gridSpan w:val="2"/>
            <w:vAlign w:val="bottom"/>
          </w:tcPr>
          <w:p w14:paraId="2DEA4F01"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243</w:t>
            </w:r>
          </w:p>
        </w:tc>
        <w:tc>
          <w:tcPr>
            <w:tcW w:w="1113" w:type="dxa"/>
            <w:gridSpan w:val="2"/>
            <w:vAlign w:val="bottom"/>
          </w:tcPr>
          <w:p w14:paraId="10E5B3CE"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241</w:t>
            </w:r>
          </w:p>
        </w:tc>
      </w:tr>
      <w:tr w:rsidR="00F8412C" w:rsidRPr="000A24E0" w14:paraId="7ECC8126" w14:textId="77777777" w:rsidTr="00F8412C">
        <w:tc>
          <w:tcPr>
            <w:tcW w:w="3344" w:type="dxa"/>
            <w:vAlign w:val="center"/>
          </w:tcPr>
          <w:p w14:paraId="597AF3D3" w14:textId="77777777" w:rsidR="00F8412C" w:rsidRPr="00FC3C09" w:rsidRDefault="00F8412C" w:rsidP="00F8412C">
            <w:pPr>
              <w:spacing w:before="60"/>
              <w:rPr>
                <w:rFonts w:asciiTheme="minorHAnsi" w:hAnsiTheme="minorHAnsi"/>
                <w:i/>
                <w:sz w:val="18"/>
                <w:szCs w:val="18"/>
              </w:rPr>
            </w:pPr>
            <w:r w:rsidRPr="00FC3C09">
              <w:rPr>
                <w:rFonts w:asciiTheme="minorHAnsi" w:hAnsiTheme="minorHAnsi"/>
                <w:i/>
                <w:sz w:val="18"/>
                <w:szCs w:val="18"/>
              </w:rPr>
              <w:t>R</w:t>
            </w:r>
            <w:r w:rsidRPr="00FC3C09">
              <w:rPr>
                <w:rFonts w:asciiTheme="minorHAnsi" w:hAnsiTheme="minorHAnsi"/>
                <w:i/>
                <w:sz w:val="18"/>
                <w:szCs w:val="18"/>
                <w:vertAlign w:val="superscript"/>
              </w:rPr>
              <w:t>2</w:t>
            </w:r>
            <w:r w:rsidRPr="00FC3C09">
              <w:rPr>
                <w:rFonts w:asciiTheme="minorHAnsi" w:hAnsiTheme="minorHAnsi"/>
                <w:i/>
                <w:sz w:val="18"/>
                <w:szCs w:val="18"/>
              </w:rPr>
              <w:t xml:space="preserve"> </w:t>
            </w:r>
          </w:p>
        </w:tc>
        <w:tc>
          <w:tcPr>
            <w:tcW w:w="1111" w:type="dxa"/>
            <w:vAlign w:val="bottom"/>
          </w:tcPr>
          <w:p w14:paraId="5CE8DD3D" w14:textId="77777777" w:rsidR="00F8412C" w:rsidRPr="00FC3C09" w:rsidRDefault="00F8412C" w:rsidP="00F8412C">
            <w:pPr>
              <w:jc w:val="center"/>
              <w:rPr>
                <w:rFonts w:asciiTheme="minorHAnsi" w:hAnsiTheme="minorHAnsi"/>
                <w:color w:val="000000"/>
                <w:sz w:val="18"/>
                <w:szCs w:val="18"/>
                <w:lang w:eastAsia="en-AU"/>
              </w:rPr>
            </w:pPr>
            <w:r w:rsidRPr="00FC3C09">
              <w:rPr>
                <w:rFonts w:asciiTheme="minorHAnsi" w:hAnsiTheme="minorHAnsi"/>
                <w:color w:val="000000"/>
                <w:sz w:val="18"/>
                <w:szCs w:val="18"/>
              </w:rPr>
              <w:t>0.459</w:t>
            </w:r>
          </w:p>
        </w:tc>
        <w:tc>
          <w:tcPr>
            <w:tcW w:w="1111" w:type="dxa"/>
            <w:vAlign w:val="bottom"/>
          </w:tcPr>
          <w:p w14:paraId="6C7C431A"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0.539</w:t>
            </w:r>
          </w:p>
        </w:tc>
        <w:tc>
          <w:tcPr>
            <w:tcW w:w="1111" w:type="dxa"/>
            <w:vAlign w:val="bottom"/>
          </w:tcPr>
          <w:p w14:paraId="76272365"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0.776</w:t>
            </w:r>
          </w:p>
        </w:tc>
        <w:tc>
          <w:tcPr>
            <w:tcW w:w="1111" w:type="dxa"/>
            <w:vAlign w:val="bottom"/>
          </w:tcPr>
          <w:p w14:paraId="5685C9B5"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0.534</w:t>
            </w:r>
          </w:p>
        </w:tc>
        <w:tc>
          <w:tcPr>
            <w:tcW w:w="1111" w:type="dxa"/>
            <w:vAlign w:val="bottom"/>
          </w:tcPr>
          <w:p w14:paraId="659813DF"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0.658</w:t>
            </w:r>
          </w:p>
        </w:tc>
        <w:tc>
          <w:tcPr>
            <w:tcW w:w="1111" w:type="dxa"/>
            <w:vAlign w:val="bottom"/>
          </w:tcPr>
          <w:p w14:paraId="163F3A2A"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0.723</w:t>
            </w:r>
          </w:p>
        </w:tc>
        <w:tc>
          <w:tcPr>
            <w:tcW w:w="1111" w:type="dxa"/>
            <w:vAlign w:val="bottom"/>
          </w:tcPr>
          <w:p w14:paraId="12A7232B"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0.604</w:t>
            </w:r>
          </w:p>
        </w:tc>
        <w:tc>
          <w:tcPr>
            <w:tcW w:w="1111" w:type="dxa"/>
            <w:gridSpan w:val="2"/>
            <w:vAlign w:val="bottom"/>
          </w:tcPr>
          <w:p w14:paraId="30FCEE28"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0.692</w:t>
            </w:r>
          </w:p>
        </w:tc>
        <w:tc>
          <w:tcPr>
            <w:tcW w:w="1113" w:type="dxa"/>
            <w:gridSpan w:val="2"/>
            <w:vAlign w:val="bottom"/>
          </w:tcPr>
          <w:p w14:paraId="72493D95" w14:textId="77777777" w:rsidR="00F8412C" w:rsidRPr="00FC3C09" w:rsidRDefault="00F8412C" w:rsidP="00F8412C">
            <w:pPr>
              <w:jc w:val="center"/>
              <w:rPr>
                <w:rFonts w:asciiTheme="minorHAnsi" w:hAnsiTheme="minorHAnsi"/>
                <w:color w:val="000000"/>
                <w:sz w:val="18"/>
                <w:szCs w:val="18"/>
              </w:rPr>
            </w:pPr>
            <w:r w:rsidRPr="00FC3C09">
              <w:rPr>
                <w:rFonts w:asciiTheme="minorHAnsi" w:hAnsiTheme="minorHAnsi"/>
                <w:color w:val="000000"/>
                <w:sz w:val="18"/>
                <w:szCs w:val="18"/>
              </w:rPr>
              <w:t>0.751</w:t>
            </w:r>
          </w:p>
        </w:tc>
      </w:tr>
    </w:tbl>
    <w:p w14:paraId="0683911C" w14:textId="77777777" w:rsidR="00F8412C" w:rsidRPr="000A24E0" w:rsidRDefault="00F8412C" w:rsidP="00F8412C">
      <w:pPr>
        <w:spacing w:after="120"/>
        <w:rPr>
          <w:rFonts w:cs="Arial"/>
          <w:sz w:val="18"/>
        </w:rPr>
      </w:pPr>
      <w:r w:rsidRPr="000A24E0">
        <w:rPr>
          <w:rFonts w:cs="Arial"/>
          <w:sz w:val="18"/>
        </w:rPr>
        <w:t xml:space="preserve">Source: Deloitte Access Economics. Note: *,**,*** indicate statistical significance at the 10%, 5% and 1% level respectively. Unless otherwise specified, the unit of observation is by level, field and university. The dependent variable used was the log of total costs per EFTSL.   Standard errors are clustered at the university institution level. Unless otherwise specified, the unit of observation is by level, field and university.   </w:t>
      </w:r>
    </w:p>
    <w:p w14:paraId="00628DDB" w14:textId="77777777" w:rsidR="00F8412C" w:rsidRDefault="00F8412C" w:rsidP="00E410D2">
      <w:pPr>
        <w:pStyle w:val="BodyText"/>
      </w:pPr>
    </w:p>
    <w:p w14:paraId="5FE8C440" w14:textId="77777777" w:rsidR="00F8412C" w:rsidRPr="00E82A4D" w:rsidRDefault="00F8412C" w:rsidP="00F8412C">
      <w:pPr>
        <w:keepNext/>
        <w:keepLines/>
        <w:numPr>
          <w:ilvl w:val="1"/>
          <w:numId w:val="13"/>
        </w:numPr>
        <w:spacing w:after="240"/>
        <w:jc w:val="center"/>
        <w:rPr>
          <w:b/>
          <w:color w:val="002776"/>
        </w:rPr>
      </w:pPr>
      <w:r>
        <w:rPr>
          <w:b/>
          <w:color w:val="002776"/>
        </w:rPr>
        <w:t xml:space="preserve">: </w:t>
      </w:r>
      <w:r w:rsidRPr="00E82A4D">
        <w:rPr>
          <w:b/>
          <w:color w:val="002776"/>
        </w:rPr>
        <w:t>Comparing regression estim</w:t>
      </w:r>
      <w:r>
        <w:rPr>
          <w:b/>
          <w:color w:val="002776"/>
        </w:rPr>
        <w:t>ates: Log total cost per EFTSL</w:t>
      </w:r>
      <w:r w:rsidRPr="00E82A4D">
        <w:rPr>
          <w:b/>
          <w:color w:val="002776"/>
        </w:rPr>
        <w:t xml:space="preserve"> </w:t>
      </w:r>
    </w:p>
    <w:tbl>
      <w:tblPr>
        <w:tblStyle w:val="TableAE"/>
        <w:tblW w:w="13325" w:type="dxa"/>
        <w:tblLayout w:type="fixed"/>
        <w:tblLook w:val="04A0" w:firstRow="1" w:lastRow="0" w:firstColumn="1" w:lastColumn="0" w:noHBand="0" w:noVBand="1"/>
      </w:tblPr>
      <w:tblGrid>
        <w:gridCol w:w="2551"/>
        <w:gridCol w:w="1135"/>
        <w:gridCol w:w="1417"/>
        <w:gridCol w:w="1134"/>
        <w:gridCol w:w="993"/>
        <w:gridCol w:w="1417"/>
        <w:gridCol w:w="1134"/>
        <w:gridCol w:w="992"/>
        <w:gridCol w:w="1418"/>
        <w:gridCol w:w="870"/>
        <w:gridCol w:w="264"/>
      </w:tblGrid>
      <w:tr w:rsidR="00F8412C" w:rsidRPr="00E82A4D" w14:paraId="780A6FCF" w14:textId="77777777" w:rsidTr="00FC3C09">
        <w:trPr>
          <w:cnfStyle w:val="100000000000" w:firstRow="1" w:lastRow="0" w:firstColumn="0" w:lastColumn="0" w:oddVBand="0" w:evenVBand="0" w:oddHBand="0" w:evenHBand="0" w:firstRowFirstColumn="0" w:firstRowLastColumn="0" w:lastRowFirstColumn="0" w:lastRowLastColumn="0"/>
          <w:tblHeader/>
        </w:trPr>
        <w:tc>
          <w:tcPr>
            <w:tcW w:w="2551" w:type="dxa"/>
            <w:vAlign w:val="center"/>
          </w:tcPr>
          <w:p w14:paraId="7FBDC635" w14:textId="77777777" w:rsidR="00F8412C" w:rsidRPr="00E82A4D" w:rsidRDefault="00F8412C" w:rsidP="00F8412C">
            <w:pPr>
              <w:keepNext/>
              <w:keepLines/>
              <w:spacing w:before="20" w:after="20"/>
              <w:rPr>
                <w:b/>
                <w:color w:val="002776"/>
                <w:szCs w:val="22"/>
              </w:rPr>
            </w:pPr>
          </w:p>
        </w:tc>
        <w:tc>
          <w:tcPr>
            <w:tcW w:w="1135" w:type="dxa"/>
          </w:tcPr>
          <w:p w14:paraId="2E69CA41" w14:textId="77777777" w:rsidR="00F8412C" w:rsidRPr="00E82A4D" w:rsidRDefault="00F8412C" w:rsidP="00F8412C">
            <w:pPr>
              <w:keepNext/>
              <w:keepLines/>
              <w:tabs>
                <w:tab w:val="left" w:pos="240"/>
                <w:tab w:val="center" w:pos="611"/>
              </w:tabs>
              <w:spacing w:before="20" w:after="20"/>
              <w:jc w:val="center"/>
              <w:rPr>
                <w:b/>
                <w:color w:val="002776"/>
                <w:sz w:val="20"/>
                <w:szCs w:val="22"/>
              </w:rPr>
            </w:pPr>
            <w:r w:rsidRPr="00E82A4D">
              <w:rPr>
                <w:b/>
                <w:color w:val="002776"/>
                <w:sz w:val="20"/>
                <w:szCs w:val="22"/>
              </w:rPr>
              <w:t>OLS</w:t>
            </w:r>
          </w:p>
          <w:p w14:paraId="2B80E1C7" w14:textId="77777777" w:rsidR="00F8412C" w:rsidRPr="00E82A4D" w:rsidRDefault="00F8412C" w:rsidP="00F8412C">
            <w:pPr>
              <w:keepNext/>
              <w:keepLines/>
              <w:tabs>
                <w:tab w:val="left" w:pos="240"/>
                <w:tab w:val="center" w:pos="611"/>
              </w:tabs>
              <w:spacing w:before="20" w:after="20"/>
              <w:jc w:val="center"/>
              <w:rPr>
                <w:b/>
                <w:color w:val="002776"/>
                <w:sz w:val="20"/>
                <w:szCs w:val="22"/>
              </w:rPr>
            </w:pPr>
            <w:r w:rsidRPr="00E82A4D">
              <w:rPr>
                <w:b/>
                <w:color w:val="002776"/>
                <w:sz w:val="20"/>
                <w:szCs w:val="22"/>
              </w:rPr>
              <w:t>(1)</w:t>
            </w:r>
          </w:p>
        </w:tc>
        <w:tc>
          <w:tcPr>
            <w:tcW w:w="1417" w:type="dxa"/>
          </w:tcPr>
          <w:p w14:paraId="0A6251AF" w14:textId="77777777" w:rsidR="00F8412C" w:rsidRPr="00E82A4D" w:rsidRDefault="00F8412C" w:rsidP="00F8412C">
            <w:pPr>
              <w:keepNext/>
              <w:keepLines/>
              <w:spacing w:before="20" w:after="20"/>
              <w:jc w:val="center"/>
              <w:rPr>
                <w:b/>
                <w:color w:val="002776"/>
                <w:sz w:val="20"/>
                <w:szCs w:val="22"/>
              </w:rPr>
            </w:pPr>
            <w:r w:rsidRPr="00E82A4D">
              <w:rPr>
                <w:b/>
                <w:color w:val="002776"/>
                <w:sz w:val="20"/>
                <w:szCs w:val="22"/>
              </w:rPr>
              <w:t>Quantile (25p)</w:t>
            </w:r>
          </w:p>
          <w:p w14:paraId="78E45780" w14:textId="77777777" w:rsidR="00F8412C" w:rsidRPr="00E82A4D" w:rsidRDefault="00F8412C" w:rsidP="00F8412C">
            <w:pPr>
              <w:keepNext/>
              <w:keepLines/>
              <w:spacing w:before="20" w:after="20"/>
              <w:jc w:val="center"/>
              <w:rPr>
                <w:b/>
                <w:color w:val="002776"/>
                <w:sz w:val="20"/>
                <w:szCs w:val="22"/>
              </w:rPr>
            </w:pPr>
            <w:r w:rsidRPr="00E82A4D">
              <w:rPr>
                <w:b/>
                <w:color w:val="002776"/>
                <w:sz w:val="20"/>
                <w:szCs w:val="22"/>
              </w:rPr>
              <w:t>(2)</w:t>
            </w:r>
          </w:p>
        </w:tc>
        <w:tc>
          <w:tcPr>
            <w:tcW w:w="1134" w:type="dxa"/>
          </w:tcPr>
          <w:p w14:paraId="6AFDBACA" w14:textId="77777777" w:rsidR="00F8412C" w:rsidRPr="00E82A4D" w:rsidRDefault="00F8412C" w:rsidP="00F8412C">
            <w:pPr>
              <w:keepNext/>
              <w:keepLines/>
              <w:spacing w:before="20" w:after="20"/>
              <w:jc w:val="center"/>
              <w:rPr>
                <w:b/>
                <w:color w:val="002776"/>
                <w:sz w:val="20"/>
                <w:szCs w:val="22"/>
              </w:rPr>
            </w:pPr>
            <w:r w:rsidRPr="00E82A4D">
              <w:rPr>
                <w:b/>
                <w:color w:val="002776"/>
                <w:sz w:val="20"/>
                <w:szCs w:val="22"/>
              </w:rPr>
              <w:t>Frontier</w:t>
            </w:r>
          </w:p>
          <w:p w14:paraId="22F3C9CD" w14:textId="77777777" w:rsidR="00F8412C" w:rsidRPr="00E82A4D" w:rsidRDefault="00F8412C" w:rsidP="00F8412C">
            <w:pPr>
              <w:keepNext/>
              <w:keepLines/>
              <w:spacing w:before="20" w:after="20"/>
              <w:jc w:val="center"/>
              <w:rPr>
                <w:b/>
                <w:color w:val="002776"/>
                <w:sz w:val="20"/>
                <w:szCs w:val="22"/>
              </w:rPr>
            </w:pPr>
            <w:r w:rsidRPr="00E82A4D">
              <w:rPr>
                <w:b/>
                <w:color w:val="002776"/>
                <w:sz w:val="20"/>
                <w:szCs w:val="22"/>
              </w:rPr>
              <w:t>(3)</w:t>
            </w:r>
          </w:p>
        </w:tc>
        <w:tc>
          <w:tcPr>
            <w:tcW w:w="993" w:type="dxa"/>
          </w:tcPr>
          <w:p w14:paraId="7D917F08" w14:textId="77777777" w:rsidR="00F8412C" w:rsidRPr="00E82A4D" w:rsidRDefault="00F8412C" w:rsidP="00F8412C">
            <w:pPr>
              <w:keepNext/>
              <w:keepLines/>
              <w:tabs>
                <w:tab w:val="left" w:pos="240"/>
                <w:tab w:val="center" w:pos="611"/>
              </w:tabs>
              <w:spacing w:before="20" w:after="20"/>
              <w:jc w:val="center"/>
              <w:rPr>
                <w:b/>
                <w:color w:val="002776"/>
                <w:sz w:val="20"/>
                <w:szCs w:val="22"/>
              </w:rPr>
            </w:pPr>
            <w:r w:rsidRPr="00E82A4D">
              <w:rPr>
                <w:b/>
                <w:color w:val="002776"/>
                <w:sz w:val="20"/>
                <w:szCs w:val="22"/>
              </w:rPr>
              <w:t>OLS</w:t>
            </w:r>
          </w:p>
          <w:p w14:paraId="51C353A3" w14:textId="77777777" w:rsidR="00F8412C" w:rsidRPr="00E82A4D" w:rsidRDefault="00F8412C" w:rsidP="00F8412C">
            <w:pPr>
              <w:keepNext/>
              <w:keepLines/>
              <w:tabs>
                <w:tab w:val="left" w:pos="240"/>
                <w:tab w:val="center" w:pos="611"/>
              </w:tabs>
              <w:spacing w:before="20" w:after="20"/>
              <w:jc w:val="center"/>
              <w:rPr>
                <w:b/>
                <w:color w:val="002776"/>
                <w:sz w:val="20"/>
                <w:szCs w:val="22"/>
              </w:rPr>
            </w:pPr>
            <w:r>
              <w:rPr>
                <w:b/>
                <w:color w:val="002776"/>
                <w:sz w:val="20"/>
                <w:szCs w:val="22"/>
              </w:rPr>
              <w:t>(4</w:t>
            </w:r>
            <w:r w:rsidRPr="00E82A4D">
              <w:rPr>
                <w:b/>
                <w:color w:val="002776"/>
                <w:sz w:val="20"/>
                <w:szCs w:val="22"/>
              </w:rPr>
              <w:t>)</w:t>
            </w:r>
          </w:p>
        </w:tc>
        <w:tc>
          <w:tcPr>
            <w:tcW w:w="1417" w:type="dxa"/>
          </w:tcPr>
          <w:p w14:paraId="4D6C6643" w14:textId="77777777" w:rsidR="00F8412C" w:rsidRPr="00E82A4D" w:rsidRDefault="00F8412C" w:rsidP="00F8412C">
            <w:pPr>
              <w:keepNext/>
              <w:keepLines/>
              <w:spacing w:before="20" w:after="20"/>
              <w:jc w:val="center"/>
              <w:rPr>
                <w:b/>
                <w:color w:val="002776"/>
                <w:sz w:val="20"/>
                <w:szCs w:val="22"/>
              </w:rPr>
            </w:pPr>
            <w:r w:rsidRPr="00E82A4D">
              <w:rPr>
                <w:b/>
                <w:color w:val="002776"/>
                <w:sz w:val="20"/>
                <w:szCs w:val="22"/>
              </w:rPr>
              <w:t>Quantile (25p)</w:t>
            </w:r>
          </w:p>
          <w:p w14:paraId="529BEE35" w14:textId="77777777" w:rsidR="00F8412C" w:rsidRPr="00E82A4D" w:rsidRDefault="00F8412C" w:rsidP="00F8412C">
            <w:pPr>
              <w:keepNext/>
              <w:keepLines/>
              <w:spacing w:before="20" w:after="20"/>
              <w:jc w:val="center"/>
              <w:rPr>
                <w:b/>
                <w:color w:val="002776"/>
                <w:sz w:val="20"/>
                <w:szCs w:val="22"/>
              </w:rPr>
            </w:pPr>
            <w:r>
              <w:rPr>
                <w:b/>
                <w:color w:val="002776"/>
                <w:sz w:val="20"/>
                <w:szCs w:val="22"/>
              </w:rPr>
              <w:t>(5</w:t>
            </w:r>
            <w:r w:rsidRPr="00E82A4D">
              <w:rPr>
                <w:b/>
                <w:color w:val="002776"/>
                <w:sz w:val="20"/>
                <w:szCs w:val="22"/>
              </w:rPr>
              <w:t>)</w:t>
            </w:r>
          </w:p>
        </w:tc>
        <w:tc>
          <w:tcPr>
            <w:tcW w:w="1134" w:type="dxa"/>
          </w:tcPr>
          <w:p w14:paraId="430E473D" w14:textId="77777777" w:rsidR="00F8412C" w:rsidRPr="00E82A4D" w:rsidRDefault="00F8412C" w:rsidP="00F8412C">
            <w:pPr>
              <w:keepNext/>
              <w:keepLines/>
              <w:spacing w:before="20" w:after="20"/>
              <w:jc w:val="center"/>
              <w:rPr>
                <w:b/>
                <w:color w:val="002776"/>
                <w:sz w:val="20"/>
                <w:szCs w:val="22"/>
              </w:rPr>
            </w:pPr>
            <w:r w:rsidRPr="00E82A4D">
              <w:rPr>
                <w:b/>
                <w:color w:val="002776"/>
                <w:sz w:val="20"/>
                <w:szCs w:val="22"/>
              </w:rPr>
              <w:t>Frontier</w:t>
            </w:r>
          </w:p>
          <w:p w14:paraId="15CFBCCA" w14:textId="77777777" w:rsidR="00F8412C" w:rsidRPr="00E82A4D" w:rsidRDefault="00F8412C" w:rsidP="00F8412C">
            <w:pPr>
              <w:keepNext/>
              <w:keepLines/>
              <w:spacing w:before="20" w:after="20"/>
              <w:jc w:val="center"/>
              <w:rPr>
                <w:b/>
                <w:color w:val="002776"/>
                <w:sz w:val="20"/>
                <w:szCs w:val="22"/>
              </w:rPr>
            </w:pPr>
            <w:r w:rsidRPr="00E82A4D">
              <w:rPr>
                <w:b/>
                <w:color w:val="002776"/>
                <w:sz w:val="20"/>
                <w:szCs w:val="22"/>
              </w:rPr>
              <w:t>(</w:t>
            </w:r>
            <w:r>
              <w:rPr>
                <w:b/>
                <w:color w:val="002776"/>
                <w:sz w:val="20"/>
                <w:szCs w:val="22"/>
              </w:rPr>
              <w:t>6</w:t>
            </w:r>
            <w:r w:rsidRPr="00E82A4D">
              <w:rPr>
                <w:b/>
                <w:color w:val="002776"/>
                <w:sz w:val="20"/>
                <w:szCs w:val="22"/>
              </w:rPr>
              <w:t>)</w:t>
            </w:r>
          </w:p>
        </w:tc>
        <w:tc>
          <w:tcPr>
            <w:tcW w:w="992" w:type="dxa"/>
          </w:tcPr>
          <w:p w14:paraId="5D8A4BC0" w14:textId="77777777" w:rsidR="00F8412C" w:rsidRPr="00E82A4D" w:rsidRDefault="00F8412C" w:rsidP="00F8412C">
            <w:pPr>
              <w:keepNext/>
              <w:keepLines/>
              <w:tabs>
                <w:tab w:val="left" w:pos="240"/>
                <w:tab w:val="center" w:pos="611"/>
              </w:tabs>
              <w:spacing w:before="20" w:after="20"/>
              <w:jc w:val="center"/>
              <w:rPr>
                <w:b/>
                <w:color w:val="002776"/>
                <w:sz w:val="20"/>
                <w:szCs w:val="22"/>
              </w:rPr>
            </w:pPr>
            <w:r w:rsidRPr="00E82A4D">
              <w:rPr>
                <w:b/>
                <w:color w:val="002776"/>
                <w:sz w:val="20"/>
                <w:szCs w:val="22"/>
              </w:rPr>
              <w:t>OLS</w:t>
            </w:r>
          </w:p>
          <w:p w14:paraId="1D88F1B3" w14:textId="77777777" w:rsidR="00F8412C" w:rsidRPr="00E82A4D" w:rsidRDefault="00F8412C" w:rsidP="00F8412C">
            <w:pPr>
              <w:keepNext/>
              <w:keepLines/>
              <w:tabs>
                <w:tab w:val="left" w:pos="240"/>
                <w:tab w:val="center" w:pos="611"/>
              </w:tabs>
              <w:spacing w:before="20" w:after="20"/>
              <w:jc w:val="center"/>
              <w:rPr>
                <w:b/>
                <w:color w:val="002776"/>
                <w:sz w:val="20"/>
                <w:szCs w:val="22"/>
              </w:rPr>
            </w:pPr>
            <w:r w:rsidRPr="00E82A4D">
              <w:rPr>
                <w:b/>
                <w:color w:val="002776"/>
                <w:sz w:val="20"/>
                <w:szCs w:val="22"/>
              </w:rPr>
              <w:t>(</w:t>
            </w:r>
            <w:r>
              <w:rPr>
                <w:b/>
                <w:color w:val="002776"/>
                <w:sz w:val="20"/>
                <w:szCs w:val="22"/>
              </w:rPr>
              <w:t>7</w:t>
            </w:r>
            <w:r w:rsidRPr="00E82A4D">
              <w:rPr>
                <w:b/>
                <w:color w:val="002776"/>
                <w:sz w:val="20"/>
                <w:szCs w:val="22"/>
              </w:rPr>
              <w:t>)</w:t>
            </w:r>
          </w:p>
        </w:tc>
        <w:tc>
          <w:tcPr>
            <w:tcW w:w="1418" w:type="dxa"/>
          </w:tcPr>
          <w:p w14:paraId="29AD178D" w14:textId="77777777" w:rsidR="00F8412C" w:rsidRPr="00E82A4D" w:rsidRDefault="00F8412C" w:rsidP="00F8412C">
            <w:pPr>
              <w:keepNext/>
              <w:keepLines/>
              <w:spacing w:before="20" w:after="20"/>
              <w:jc w:val="center"/>
              <w:rPr>
                <w:b/>
                <w:color w:val="002776"/>
                <w:sz w:val="20"/>
                <w:szCs w:val="22"/>
              </w:rPr>
            </w:pPr>
            <w:r w:rsidRPr="00E82A4D">
              <w:rPr>
                <w:b/>
                <w:color w:val="002776"/>
                <w:sz w:val="20"/>
                <w:szCs w:val="22"/>
              </w:rPr>
              <w:t>Quantile (25p)</w:t>
            </w:r>
          </w:p>
          <w:p w14:paraId="706D468D" w14:textId="77777777" w:rsidR="00F8412C" w:rsidRPr="00E82A4D" w:rsidRDefault="00F8412C" w:rsidP="00F8412C">
            <w:pPr>
              <w:keepNext/>
              <w:keepLines/>
              <w:spacing w:before="20" w:after="20"/>
              <w:jc w:val="center"/>
              <w:rPr>
                <w:b/>
                <w:color w:val="002776"/>
                <w:sz w:val="20"/>
                <w:szCs w:val="22"/>
              </w:rPr>
            </w:pPr>
            <w:r w:rsidRPr="00E82A4D">
              <w:rPr>
                <w:b/>
                <w:color w:val="002776"/>
                <w:sz w:val="20"/>
                <w:szCs w:val="22"/>
              </w:rPr>
              <w:t>(</w:t>
            </w:r>
            <w:r>
              <w:rPr>
                <w:b/>
                <w:color w:val="002776"/>
                <w:sz w:val="20"/>
                <w:szCs w:val="22"/>
              </w:rPr>
              <w:t>8</w:t>
            </w:r>
            <w:r w:rsidRPr="00E82A4D">
              <w:rPr>
                <w:b/>
                <w:color w:val="002776"/>
                <w:sz w:val="20"/>
                <w:szCs w:val="22"/>
              </w:rPr>
              <w:t>)</w:t>
            </w:r>
          </w:p>
        </w:tc>
        <w:tc>
          <w:tcPr>
            <w:tcW w:w="1134" w:type="dxa"/>
            <w:gridSpan w:val="2"/>
          </w:tcPr>
          <w:p w14:paraId="2B387042" w14:textId="77777777" w:rsidR="00F8412C" w:rsidRPr="00E82A4D" w:rsidRDefault="00F8412C" w:rsidP="00F8412C">
            <w:pPr>
              <w:keepNext/>
              <w:keepLines/>
              <w:spacing w:before="20" w:after="20"/>
              <w:jc w:val="center"/>
              <w:rPr>
                <w:b/>
                <w:color w:val="002776"/>
                <w:sz w:val="20"/>
                <w:szCs w:val="22"/>
              </w:rPr>
            </w:pPr>
            <w:r w:rsidRPr="00E82A4D">
              <w:rPr>
                <w:b/>
                <w:color w:val="002776"/>
                <w:sz w:val="20"/>
                <w:szCs w:val="22"/>
              </w:rPr>
              <w:t>Frontier</w:t>
            </w:r>
          </w:p>
          <w:p w14:paraId="2F375025" w14:textId="77777777" w:rsidR="00F8412C" w:rsidRPr="00E82A4D" w:rsidRDefault="00F8412C" w:rsidP="00F8412C">
            <w:pPr>
              <w:keepNext/>
              <w:keepLines/>
              <w:spacing w:before="20" w:after="20"/>
              <w:jc w:val="center"/>
              <w:rPr>
                <w:b/>
                <w:color w:val="002776"/>
                <w:sz w:val="20"/>
                <w:szCs w:val="22"/>
              </w:rPr>
            </w:pPr>
            <w:r w:rsidRPr="00E82A4D">
              <w:rPr>
                <w:b/>
                <w:color w:val="002776"/>
                <w:sz w:val="20"/>
                <w:szCs w:val="22"/>
              </w:rPr>
              <w:t>(</w:t>
            </w:r>
            <w:r>
              <w:rPr>
                <w:b/>
                <w:color w:val="002776"/>
                <w:sz w:val="20"/>
                <w:szCs w:val="22"/>
              </w:rPr>
              <w:t>9</w:t>
            </w:r>
            <w:r w:rsidRPr="00E82A4D">
              <w:rPr>
                <w:b/>
                <w:color w:val="002776"/>
                <w:sz w:val="20"/>
                <w:szCs w:val="22"/>
              </w:rPr>
              <w:t>)</w:t>
            </w:r>
          </w:p>
        </w:tc>
      </w:tr>
      <w:tr w:rsidR="00F8412C" w:rsidRPr="000A24E0" w14:paraId="0A3EA4C6" w14:textId="77777777" w:rsidTr="00F8412C">
        <w:trPr>
          <w:gridAfter w:val="1"/>
          <w:wAfter w:w="264" w:type="dxa"/>
        </w:trPr>
        <w:tc>
          <w:tcPr>
            <w:tcW w:w="2551" w:type="dxa"/>
            <w:vAlign w:val="center"/>
          </w:tcPr>
          <w:p w14:paraId="43704645" w14:textId="77777777" w:rsidR="00F8412C" w:rsidRPr="000A24E0" w:rsidRDefault="00F8412C" w:rsidP="00F8412C">
            <w:pPr>
              <w:keepNext/>
              <w:keepLines/>
              <w:spacing w:before="20" w:after="20"/>
              <w:rPr>
                <w:b/>
                <w:color w:val="002776"/>
                <w:szCs w:val="22"/>
              </w:rPr>
            </w:pPr>
          </w:p>
        </w:tc>
        <w:tc>
          <w:tcPr>
            <w:tcW w:w="3686" w:type="dxa"/>
            <w:gridSpan w:val="3"/>
          </w:tcPr>
          <w:p w14:paraId="45449876" w14:textId="77777777" w:rsidR="00F8412C" w:rsidRDefault="00F8412C" w:rsidP="00F8412C">
            <w:pPr>
              <w:keepNext/>
              <w:keepLines/>
              <w:tabs>
                <w:tab w:val="left" w:pos="240"/>
                <w:tab w:val="center" w:pos="611"/>
              </w:tabs>
              <w:spacing w:before="20" w:after="20"/>
              <w:jc w:val="center"/>
              <w:rPr>
                <w:b/>
                <w:color w:val="002776"/>
                <w:sz w:val="20"/>
                <w:szCs w:val="22"/>
              </w:rPr>
            </w:pPr>
            <w:r>
              <w:rPr>
                <w:b/>
                <w:color w:val="002776"/>
                <w:sz w:val="20"/>
                <w:szCs w:val="22"/>
              </w:rPr>
              <w:t>Sub-Bachelor</w:t>
            </w:r>
          </w:p>
        </w:tc>
        <w:tc>
          <w:tcPr>
            <w:tcW w:w="3544" w:type="dxa"/>
            <w:gridSpan w:val="3"/>
          </w:tcPr>
          <w:p w14:paraId="7399C713" w14:textId="77777777" w:rsidR="00F8412C" w:rsidRPr="000A24E0" w:rsidRDefault="00F8412C" w:rsidP="00F8412C">
            <w:pPr>
              <w:keepNext/>
              <w:keepLines/>
              <w:spacing w:before="20" w:after="20"/>
              <w:jc w:val="center"/>
              <w:rPr>
                <w:b/>
                <w:color w:val="002776"/>
                <w:sz w:val="20"/>
                <w:szCs w:val="22"/>
              </w:rPr>
            </w:pPr>
            <w:r>
              <w:rPr>
                <w:b/>
                <w:color w:val="002776"/>
                <w:sz w:val="20"/>
                <w:szCs w:val="22"/>
              </w:rPr>
              <w:t>Bachelor</w:t>
            </w:r>
          </w:p>
        </w:tc>
        <w:tc>
          <w:tcPr>
            <w:tcW w:w="3280" w:type="dxa"/>
            <w:gridSpan w:val="3"/>
          </w:tcPr>
          <w:p w14:paraId="6D77066E" w14:textId="77777777" w:rsidR="00F8412C" w:rsidRPr="000A24E0" w:rsidRDefault="00F8412C" w:rsidP="00F8412C">
            <w:pPr>
              <w:keepNext/>
              <w:keepLines/>
              <w:spacing w:before="20" w:after="20"/>
              <w:jc w:val="center"/>
              <w:rPr>
                <w:b/>
                <w:color w:val="002776"/>
                <w:sz w:val="20"/>
                <w:szCs w:val="22"/>
              </w:rPr>
            </w:pPr>
            <w:r>
              <w:rPr>
                <w:b/>
                <w:color w:val="002776"/>
                <w:sz w:val="20"/>
                <w:szCs w:val="22"/>
              </w:rPr>
              <w:t>Postgraduate</w:t>
            </w:r>
          </w:p>
        </w:tc>
      </w:tr>
      <w:tr w:rsidR="00F8412C" w:rsidRPr="00E82A4D" w14:paraId="4CA14374" w14:textId="77777777" w:rsidTr="00F8412C">
        <w:tc>
          <w:tcPr>
            <w:tcW w:w="2551" w:type="dxa"/>
            <w:vAlign w:val="center"/>
          </w:tcPr>
          <w:p w14:paraId="2043E851" w14:textId="77777777" w:rsidR="00F8412C" w:rsidRPr="00E82A4D" w:rsidRDefault="00F8412C" w:rsidP="00F8412C">
            <w:pPr>
              <w:rPr>
                <w:rFonts w:asciiTheme="minorHAnsi" w:hAnsiTheme="minorHAnsi"/>
                <w:sz w:val="18"/>
                <w:szCs w:val="18"/>
              </w:rPr>
            </w:pPr>
            <w:r w:rsidRPr="00E82A4D">
              <w:rPr>
                <w:rFonts w:asciiTheme="minorHAnsi" w:hAnsiTheme="minorHAnsi"/>
                <w:sz w:val="18"/>
                <w:szCs w:val="18"/>
              </w:rPr>
              <w:t>Log staff-student ratio (Teaching staff FTE / total EFTSL)</w:t>
            </w:r>
          </w:p>
        </w:tc>
        <w:tc>
          <w:tcPr>
            <w:tcW w:w="1135" w:type="dxa"/>
          </w:tcPr>
          <w:p w14:paraId="68344197"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0.551***</w:t>
            </w:r>
          </w:p>
        </w:tc>
        <w:tc>
          <w:tcPr>
            <w:tcW w:w="1417" w:type="dxa"/>
          </w:tcPr>
          <w:p w14:paraId="37C539B6"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0.700**</w:t>
            </w:r>
          </w:p>
        </w:tc>
        <w:tc>
          <w:tcPr>
            <w:tcW w:w="1134" w:type="dxa"/>
          </w:tcPr>
          <w:p w14:paraId="2443DEA0"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0.570***</w:t>
            </w:r>
          </w:p>
        </w:tc>
        <w:tc>
          <w:tcPr>
            <w:tcW w:w="993" w:type="dxa"/>
          </w:tcPr>
          <w:p w14:paraId="5AC05BFE"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0.416***</w:t>
            </w:r>
          </w:p>
        </w:tc>
        <w:tc>
          <w:tcPr>
            <w:tcW w:w="1417" w:type="dxa"/>
          </w:tcPr>
          <w:p w14:paraId="2095FE23"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0.389***</w:t>
            </w:r>
          </w:p>
        </w:tc>
        <w:tc>
          <w:tcPr>
            <w:tcW w:w="1134" w:type="dxa"/>
          </w:tcPr>
          <w:p w14:paraId="3543368B"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0.481***</w:t>
            </w:r>
          </w:p>
        </w:tc>
        <w:tc>
          <w:tcPr>
            <w:tcW w:w="992" w:type="dxa"/>
          </w:tcPr>
          <w:p w14:paraId="6E904451"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0.558***</w:t>
            </w:r>
          </w:p>
        </w:tc>
        <w:tc>
          <w:tcPr>
            <w:tcW w:w="1418" w:type="dxa"/>
          </w:tcPr>
          <w:p w14:paraId="2F99BEC1"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0.545***</w:t>
            </w:r>
          </w:p>
        </w:tc>
        <w:tc>
          <w:tcPr>
            <w:tcW w:w="1134" w:type="dxa"/>
            <w:gridSpan w:val="2"/>
          </w:tcPr>
          <w:p w14:paraId="3837B82C"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0.639***</w:t>
            </w:r>
          </w:p>
        </w:tc>
      </w:tr>
      <w:tr w:rsidR="00F8412C" w:rsidRPr="00E82A4D" w14:paraId="0B37E6EE" w14:textId="77777777" w:rsidTr="00F8412C">
        <w:tc>
          <w:tcPr>
            <w:tcW w:w="2551" w:type="dxa"/>
            <w:vAlign w:val="center"/>
          </w:tcPr>
          <w:p w14:paraId="61A5A051" w14:textId="77777777" w:rsidR="00F8412C" w:rsidRPr="00E82A4D" w:rsidRDefault="00F8412C" w:rsidP="00F8412C">
            <w:pPr>
              <w:rPr>
                <w:rFonts w:asciiTheme="minorHAnsi" w:hAnsiTheme="minorHAnsi"/>
                <w:sz w:val="18"/>
                <w:szCs w:val="18"/>
              </w:rPr>
            </w:pPr>
            <w:r w:rsidRPr="00E82A4D">
              <w:rPr>
                <w:rFonts w:asciiTheme="minorHAnsi" w:hAnsiTheme="minorHAnsi"/>
                <w:sz w:val="18"/>
                <w:szCs w:val="18"/>
              </w:rPr>
              <w:t>Log Total EFTSL (by field)</w:t>
            </w:r>
          </w:p>
        </w:tc>
        <w:tc>
          <w:tcPr>
            <w:tcW w:w="1135" w:type="dxa"/>
          </w:tcPr>
          <w:p w14:paraId="2A0421D6"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0.0128</w:t>
            </w:r>
          </w:p>
        </w:tc>
        <w:tc>
          <w:tcPr>
            <w:tcW w:w="1417" w:type="dxa"/>
          </w:tcPr>
          <w:p w14:paraId="7B92E37C"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-0.0235</w:t>
            </w:r>
          </w:p>
        </w:tc>
        <w:tc>
          <w:tcPr>
            <w:tcW w:w="1134" w:type="dxa"/>
          </w:tcPr>
          <w:p w14:paraId="4D2DF698"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-0.102</w:t>
            </w:r>
          </w:p>
        </w:tc>
        <w:tc>
          <w:tcPr>
            <w:tcW w:w="993" w:type="dxa"/>
          </w:tcPr>
          <w:p w14:paraId="775A0A72"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0.0223</w:t>
            </w:r>
          </w:p>
        </w:tc>
        <w:tc>
          <w:tcPr>
            <w:tcW w:w="1417" w:type="dxa"/>
          </w:tcPr>
          <w:p w14:paraId="544FA076"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-0.00859</w:t>
            </w:r>
          </w:p>
        </w:tc>
        <w:tc>
          <w:tcPr>
            <w:tcW w:w="1134" w:type="dxa"/>
          </w:tcPr>
          <w:p w14:paraId="0DCBC22F"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0.0221</w:t>
            </w:r>
          </w:p>
        </w:tc>
        <w:tc>
          <w:tcPr>
            <w:tcW w:w="992" w:type="dxa"/>
          </w:tcPr>
          <w:p w14:paraId="5CE54D74"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0.0644**</w:t>
            </w:r>
          </w:p>
        </w:tc>
        <w:tc>
          <w:tcPr>
            <w:tcW w:w="1418" w:type="dxa"/>
          </w:tcPr>
          <w:p w14:paraId="63D946D0"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0.0623</w:t>
            </w:r>
          </w:p>
        </w:tc>
        <w:tc>
          <w:tcPr>
            <w:tcW w:w="1134" w:type="dxa"/>
            <w:gridSpan w:val="2"/>
          </w:tcPr>
          <w:p w14:paraId="217E7414"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0.0690***</w:t>
            </w:r>
          </w:p>
        </w:tc>
      </w:tr>
      <w:tr w:rsidR="00F8412C" w:rsidRPr="00E82A4D" w14:paraId="4E0A9828" w14:textId="77777777" w:rsidTr="00F8412C">
        <w:tc>
          <w:tcPr>
            <w:tcW w:w="2551" w:type="dxa"/>
            <w:vAlign w:val="center"/>
          </w:tcPr>
          <w:p w14:paraId="7AA2ECC2" w14:textId="77777777" w:rsidR="00F8412C" w:rsidRPr="00E82A4D" w:rsidRDefault="00F8412C" w:rsidP="00F8412C">
            <w:pPr>
              <w:rPr>
                <w:rFonts w:asciiTheme="minorHAnsi" w:hAnsiTheme="minorHAnsi"/>
                <w:sz w:val="18"/>
                <w:szCs w:val="18"/>
              </w:rPr>
            </w:pPr>
            <w:r w:rsidRPr="00E82A4D">
              <w:rPr>
                <w:rFonts w:asciiTheme="minorHAnsi" w:hAnsiTheme="minorHAnsi"/>
                <w:sz w:val="18"/>
                <w:szCs w:val="18"/>
              </w:rPr>
              <w:t>Indicator for HDR EFTSL</w:t>
            </w:r>
          </w:p>
        </w:tc>
        <w:tc>
          <w:tcPr>
            <w:tcW w:w="1135" w:type="dxa"/>
          </w:tcPr>
          <w:p w14:paraId="5761C670"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-0.0159</w:t>
            </w:r>
          </w:p>
        </w:tc>
        <w:tc>
          <w:tcPr>
            <w:tcW w:w="1417" w:type="dxa"/>
          </w:tcPr>
          <w:p w14:paraId="5D06892F"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0.0550</w:t>
            </w:r>
          </w:p>
        </w:tc>
        <w:tc>
          <w:tcPr>
            <w:tcW w:w="1134" w:type="dxa"/>
          </w:tcPr>
          <w:p w14:paraId="5EC9A963"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0.0575</w:t>
            </w:r>
          </w:p>
        </w:tc>
        <w:tc>
          <w:tcPr>
            <w:tcW w:w="993" w:type="dxa"/>
          </w:tcPr>
          <w:p w14:paraId="79742895"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-0.0613</w:t>
            </w:r>
          </w:p>
        </w:tc>
        <w:tc>
          <w:tcPr>
            <w:tcW w:w="1417" w:type="dxa"/>
          </w:tcPr>
          <w:p w14:paraId="7845D25D"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0.0553</w:t>
            </w:r>
          </w:p>
        </w:tc>
        <w:tc>
          <w:tcPr>
            <w:tcW w:w="1134" w:type="dxa"/>
          </w:tcPr>
          <w:p w14:paraId="29A42BE7"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-0.0387</w:t>
            </w:r>
          </w:p>
        </w:tc>
        <w:tc>
          <w:tcPr>
            <w:tcW w:w="992" w:type="dxa"/>
          </w:tcPr>
          <w:p w14:paraId="1A3508F9"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0.140*</w:t>
            </w:r>
          </w:p>
        </w:tc>
        <w:tc>
          <w:tcPr>
            <w:tcW w:w="1418" w:type="dxa"/>
          </w:tcPr>
          <w:p w14:paraId="7FA5F9F1"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-0.00639</w:t>
            </w:r>
          </w:p>
        </w:tc>
        <w:tc>
          <w:tcPr>
            <w:tcW w:w="1134" w:type="dxa"/>
            <w:gridSpan w:val="2"/>
          </w:tcPr>
          <w:p w14:paraId="1D728951"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0.0668</w:t>
            </w:r>
          </w:p>
        </w:tc>
      </w:tr>
      <w:tr w:rsidR="00F8412C" w:rsidRPr="00E82A4D" w14:paraId="3AC74F48" w14:textId="77777777" w:rsidTr="00F8412C">
        <w:tc>
          <w:tcPr>
            <w:tcW w:w="2551" w:type="dxa"/>
            <w:vAlign w:val="center"/>
          </w:tcPr>
          <w:p w14:paraId="077C050F" w14:textId="77777777" w:rsidR="00F8412C" w:rsidRPr="00E82A4D" w:rsidRDefault="00F8412C" w:rsidP="00F8412C">
            <w:pPr>
              <w:rPr>
                <w:rFonts w:asciiTheme="minorHAnsi" w:hAnsiTheme="minorHAnsi"/>
                <w:sz w:val="18"/>
                <w:szCs w:val="18"/>
              </w:rPr>
            </w:pPr>
            <w:r w:rsidRPr="00E82A4D">
              <w:rPr>
                <w:rFonts w:asciiTheme="minorHAnsi" w:hAnsiTheme="minorHAnsi"/>
                <w:sz w:val="18"/>
                <w:szCs w:val="18"/>
              </w:rPr>
              <w:t>Proportion of HDR EFTSL to total field EFTSL (university level)</w:t>
            </w:r>
          </w:p>
        </w:tc>
        <w:tc>
          <w:tcPr>
            <w:tcW w:w="1135" w:type="dxa"/>
          </w:tcPr>
          <w:p w14:paraId="3BDAD1B6"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-3.986</w:t>
            </w:r>
          </w:p>
        </w:tc>
        <w:tc>
          <w:tcPr>
            <w:tcW w:w="1417" w:type="dxa"/>
          </w:tcPr>
          <w:p w14:paraId="54AC14F9"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-1.859</w:t>
            </w:r>
          </w:p>
        </w:tc>
        <w:tc>
          <w:tcPr>
            <w:tcW w:w="1134" w:type="dxa"/>
          </w:tcPr>
          <w:p w14:paraId="68AD76D6"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-0.991</w:t>
            </w:r>
          </w:p>
        </w:tc>
        <w:tc>
          <w:tcPr>
            <w:tcW w:w="993" w:type="dxa"/>
          </w:tcPr>
          <w:p w14:paraId="61B4DC89"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-0.152</w:t>
            </w:r>
          </w:p>
        </w:tc>
        <w:tc>
          <w:tcPr>
            <w:tcW w:w="1417" w:type="dxa"/>
          </w:tcPr>
          <w:p w14:paraId="727D6A14"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-0.320</w:t>
            </w:r>
          </w:p>
        </w:tc>
        <w:tc>
          <w:tcPr>
            <w:tcW w:w="1134" w:type="dxa"/>
          </w:tcPr>
          <w:p w14:paraId="505B7A33"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-0.187</w:t>
            </w:r>
          </w:p>
        </w:tc>
        <w:tc>
          <w:tcPr>
            <w:tcW w:w="992" w:type="dxa"/>
          </w:tcPr>
          <w:p w14:paraId="606BD6F5"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-0.590</w:t>
            </w:r>
          </w:p>
        </w:tc>
        <w:tc>
          <w:tcPr>
            <w:tcW w:w="1418" w:type="dxa"/>
          </w:tcPr>
          <w:p w14:paraId="24226C71"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0.359</w:t>
            </w:r>
          </w:p>
        </w:tc>
        <w:tc>
          <w:tcPr>
            <w:tcW w:w="1134" w:type="dxa"/>
            <w:gridSpan w:val="2"/>
          </w:tcPr>
          <w:p w14:paraId="57A6F30E"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-0.494</w:t>
            </w:r>
          </w:p>
        </w:tc>
      </w:tr>
      <w:tr w:rsidR="00F8412C" w:rsidRPr="00E82A4D" w14:paraId="6B6BA0E5" w14:textId="77777777" w:rsidTr="00F8412C">
        <w:tc>
          <w:tcPr>
            <w:tcW w:w="2551" w:type="dxa"/>
            <w:vAlign w:val="center"/>
          </w:tcPr>
          <w:p w14:paraId="0B3945EA" w14:textId="77777777" w:rsidR="00F8412C" w:rsidRPr="00E82A4D" w:rsidRDefault="00F8412C" w:rsidP="00F8412C">
            <w:pPr>
              <w:rPr>
                <w:rFonts w:asciiTheme="minorHAnsi" w:hAnsiTheme="minorHAnsi"/>
                <w:sz w:val="18"/>
                <w:szCs w:val="18"/>
              </w:rPr>
            </w:pPr>
            <w:r w:rsidRPr="00E82A4D">
              <w:rPr>
                <w:rFonts w:asciiTheme="minorHAnsi" w:hAnsiTheme="minorHAnsi"/>
                <w:sz w:val="18"/>
                <w:szCs w:val="18"/>
              </w:rPr>
              <w:t>Proportion of international EFTSL</w:t>
            </w:r>
          </w:p>
        </w:tc>
        <w:tc>
          <w:tcPr>
            <w:tcW w:w="1135" w:type="dxa"/>
          </w:tcPr>
          <w:p w14:paraId="2F3BE3CC"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1.824***</w:t>
            </w:r>
          </w:p>
        </w:tc>
        <w:tc>
          <w:tcPr>
            <w:tcW w:w="1417" w:type="dxa"/>
          </w:tcPr>
          <w:p w14:paraId="279ECF05"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0.940</w:t>
            </w:r>
          </w:p>
        </w:tc>
        <w:tc>
          <w:tcPr>
            <w:tcW w:w="1134" w:type="dxa"/>
          </w:tcPr>
          <w:p w14:paraId="1278B85A"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1.311***</w:t>
            </w:r>
          </w:p>
        </w:tc>
        <w:tc>
          <w:tcPr>
            <w:tcW w:w="993" w:type="dxa"/>
          </w:tcPr>
          <w:p w14:paraId="3C451DC0"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0.284</w:t>
            </w:r>
          </w:p>
        </w:tc>
        <w:tc>
          <w:tcPr>
            <w:tcW w:w="1417" w:type="dxa"/>
          </w:tcPr>
          <w:p w14:paraId="42932C69"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0.607***</w:t>
            </w:r>
          </w:p>
        </w:tc>
        <w:tc>
          <w:tcPr>
            <w:tcW w:w="1134" w:type="dxa"/>
          </w:tcPr>
          <w:p w14:paraId="231B93EF"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0.450**</w:t>
            </w:r>
          </w:p>
        </w:tc>
        <w:tc>
          <w:tcPr>
            <w:tcW w:w="992" w:type="dxa"/>
          </w:tcPr>
          <w:p w14:paraId="7406FEDA"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0.135</w:t>
            </w:r>
          </w:p>
        </w:tc>
        <w:tc>
          <w:tcPr>
            <w:tcW w:w="1418" w:type="dxa"/>
          </w:tcPr>
          <w:p w14:paraId="4B6BF8E4"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0.0603</w:t>
            </w:r>
          </w:p>
        </w:tc>
        <w:tc>
          <w:tcPr>
            <w:tcW w:w="1134" w:type="dxa"/>
            <w:gridSpan w:val="2"/>
          </w:tcPr>
          <w:p w14:paraId="08381ADF"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0.0811</w:t>
            </w:r>
          </w:p>
        </w:tc>
      </w:tr>
      <w:tr w:rsidR="00F8412C" w:rsidRPr="00E82A4D" w14:paraId="230F091E" w14:textId="77777777" w:rsidTr="00F8412C">
        <w:tc>
          <w:tcPr>
            <w:tcW w:w="2551" w:type="dxa"/>
            <w:vAlign w:val="center"/>
          </w:tcPr>
          <w:p w14:paraId="1B0860C3" w14:textId="77777777" w:rsidR="00F8412C" w:rsidRPr="00E82A4D" w:rsidRDefault="00F8412C" w:rsidP="00F8412C">
            <w:pPr>
              <w:rPr>
                <w:rFonts w:asciiTheme="minorHAnsi" w:hAnsiTheme="minorHAnsi"/>
                <w:sz w:val="18"/>
                <w:szCs w:val="18"/>
              </w:rPr>
            </w:pPr>
            <w:r w:rsidRPr="00E82A4D">
              <w:rPr>
                <w:rFonts w:asciiTheme="minorHAnsi" w:hAnsiTheme="minorHAnsi"/>
                <w:sz w:val="18"/>
                <w:szCs w:val="18"/>
              </w:rPr>
              <w:t>Proportion of regional EFTSL</w:t>
            </w:r>
          </w:p>
        </w:tc>
        <w:tc>
          <w:tcPr>
            <w:tcW w:w="1135" w:type="dxa"/>
          </w:tcPr>
          <w:p w14:paraId="2B74DE26"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-0.453</w:t>
            </w:r>
          </w:p>
        </w:tc>
        <w:tc>
          <w:tcPr>
            <w:tcW w:w="1417" w:type="dxa"/>
          </w:tcPr>
          <w:p w14:paraId="3D7B3252"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-0.158</w:t>
            </w:r>
          </w:p>
        </w:tc>
        <w:tc>
          <w:tcPr>
            <w:tcW w:w="1134" w:type="dxa"/>
          </w:tcPr>
          <w:p w14:paraId="3A463773"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-0.428</w:t>
            </w:r>
          </w:p>
        </w:tc>
        <w:tc>
          <w:tcPr>
            <w:tcW w:w="993" w:type="dxa"/>
          </w:tcPr>
          <w:p w14:paraId="32CA1171"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0.165**</w:t>
            </w:r>
          </w:p>
        </w:tc>
        <w:tc>
          <w:tcPr>
            <w:tcW w:w="1417" w:type="dxa"/>
          </w:tcPr>
          <w:p w14:paraId="0D0BEDA7"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0.179</w:t>
            </w:r>
          </w:p>
        </w:tc>
        <w:tc>
          <w:tcPr>
            <w:tcW w:w="1134" w:type="dxa"/>
          </w:tcPr>
          <w:p w14:paraId="1DA8CBBA"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0.195*</w:t>
            </w:r>
          </w:p>
        </w:tc>
        <w:tc>
          <w:tcPr>
            <w:tcW w:w="992" w:type="dxa"/>
          </w:tcPr>
          <w:p w14:paraId="6F9C70EA"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0.0332</w:t>
            </w:r>
          </w:p>
        </w:tc>
        <w:tc>
          <w:tcPr>
            <w:tcW w:w="1418" w:type="dxa"/>
          </w:tcPr>
          <w:p w14:paraId="5FA4B2BF"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0.0647</w:t>
            </w:r>
          </w:p>
        </w:tc>
        <w:tc>
          <w:tcPr>
            <w:tcW w:w="1134" w:type="dxa"/>
            <w:gridSpan w:val="2"/>
          </w:tcPr>
          <w:p w14:paraId="4C6A3F66"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-0.0629</w:t>
            </w:r>
          </w:p>
        </w:tc>
      </w:tr>
      <w:tr w:rsidR="00F8412C" w:rsidRPr="00E82A4D" w14:paraId="2E29C518" w14:textId="77777777" w:rsidTr="00F8412C">
        <w:tc>
          <w:tcPr>
            <w:tcW w:w="2551" w:type="dxa"/>
            <w:vAlign w:val="center"/>
          </w:tcPr>
          <w:p w14:paraId="12DD8E4E" w14:textId="77777777" w:rsidR="00F8412C" w:rsidRPr="00E82A4D" w:rsidRDefault="00F8412C" w:rsidP="00F8412C">
            <w:pPr>
              <w:rPr>
                <w:rFonts w:asciiTheme="minorHAnsi" w:hAnsiTheme="minorHAnsi"/>
                <w:sz w:val="18"/>
                <w:szCs w:val="18"/>
              </w:rPr>
            </w:pPr>
            <w:r w:rsidRPr="00E82A4D">
              <w:rPr>
                <w:rFonts w:asciiTheme="minorHAnsi" w:hAnsiTheme="minorHAnsi"/>
                <w:sz w:val="18"/>
                <w:szCs w:val="18"/>
              </w:rPr>
              <w:t>Proportion of casual teaching staff</w:t>
            </w:r>
          </w:p>
        </w:tc>
        <w:tc>
          <w:tcPr>
            <w:tcW w:w="1135" w:type="dxa"/>
          </w:tcPr>
          <w:p w14:paraId="58A907F9"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-0.00810***</w:t>
            </w:r>
          </w:p>
        </w:tc>
        <w:tc>
          <w:tcPr>
            <w:tcW w:w="1417" w:type="dxa"/>
          </w:tcPr>
          <w:p w14:paraId="67A3B9CA"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-0.00220</w:t>
            </w:r>
          </w:p>
        </w:tc>
        <w:tc>
          <w:tcPr>
            <w:tcW w:w="1134" w:type="dxa"/>
          </w:tcPr>
          <w:p w14:paraId="0F1B6E86"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-0.00897**</w:t>
            </w:r>
          </w:p>
        </w:tc>
        <w:tc>
          <w:tcPr>
            <w:tcW w:w="993" w:type="dxa"/>
          </w:tcPr>
          <w:p w14:paraId="2A6BD2FD"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-0.191**</w:t>
            </w:r>
          </w:p>
        </w:tc>
        <w:tc>
          <w:tcPr>
            <w:tcW w:w="1417" w:type="dxa"/>
          </w:tcPr>
          <w:p w14:paraId="0589F241"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-0.208</w:t>
            </w:r>
          </w:p>
        </w:tc>
        <w:tc>
          <w:tcPr>
            <w:tcW w:w="1134" w:type="dxa"/>
          </w:tcPr>
          <w:p w14:paraId="181F5FE3"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-0.150***</w:t>
            </w:r>
          </w:p>
        </w:tc>
        <w:tc>
          <w:tcPr>
            <w:tcW w:w="992" w:type="dxa"/>
          </w:tcPr>
          <w:p w14:paraId="06AE4AC1"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-0.0508***</w:t>
            </w:r>
          </w:p>
        </w:tc>
        <w:tc>
          <w:tcPr>
            <w:tcW w:w="1418" w:type="dxa"/>
          </w:tcPr>
          <w:p w14:paraId="677685EF"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-0.0517***</w:t>
            </w:r>
          </w:p>
        </w:tc>
        <w:tc>
          <w:tcPr>
            <w:tcW w:w="1134" w:type="dxa"/>
            <w:gridSpan w:val="2"/>
          </w:tcPr>
          <w:p w14:paraId="48FD0807"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-0.0574***</w:t>
            </w:r>
          </w:p>
        </w:tc>
      </w:tr>
      <w:tr w:rsidR="00F8412C" w:rsidRPr="00E82A4D" w14:paraId="42E75608" w14:textId="77777777" w:rsidTr="00F8412C">
        <w:tc>
          <w:tcPr>
            <w:tcW w:w="2551" w:type="dxa"/>
            <w:vAlign w:val="center"/>
          </w:tcPr>
          <w:p w14:paraId="137AE750" w14:textId="77777777" w:rsidR="00F8412C" w:rsidRPr="00E82A4D" w:rsidRDefault="00F8412C" w:rsidP="00F8412C">
            <w:pPr>
              <w:rPr>
                <w:rFonts w:asciiTheme="minorHAnsi" w:hAnsiTheme="minorHAnsi"/>
                <w:sz w:val="18"/>
                <w:szCs w:val="18"/>
              </w:rPr>
            </w:pPr>
            <w:r w:rsidRPr="00E82A4D">
              <w:rPr>
                <w:rFonts w:asciiTheme="minorHAnsi" w:hAnsiTheme="minorHAnsi"/>
                <w:sz w:val="18"/>
                <w:szCs w:val="18"/>
              </w:rPr>
              <w:t>Proportion of external (including multimodal) EFTSL</w:t>
            </w:r>
          </w:p>
        </w:tc>
        <w:tc>
          <w:tcPr>
            <w:tcW w:w="1135" w:type="dxa"/>
          </w:tcPr>
          <w:p w14:paraId="6D08A760"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-0.197</w:t>
            </w:r>
          </w:p>
        </w:tc>
        <w:tc>
          <w:tcPr>
            <w:tcW w:w="1417" w:type="dxa"/>
          </w:tcPr>
          <w:p w14:paraId="0009FA60"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-0.151</w:t>
            </w:r>
          </w:p>
        </w:tc>
        <w:tc>
          <w:tcPr>
            <w:tcW w:w="1134" w:type="dxa"/>
          </w:tcPr>
          <w:p w14:paraId="19D6E8F4"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-0.174</w:t>
            </w:r>
          </w:p>
        </w:tc>
        <w:tc>
          <w:tcPr>
            <w:tcW w:w="993" w:type="dxa"/>
          </w:tcPr>
          <w:p w14:paraId="64B39555"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-0.149</w:t>
            </w:r>
          </w:p>
        </w:tc>
        <w:tc>
          <w:tcPr>
            <w:tcW w:w="1417" w:type="dxa"/>
          </w:tcPr>
          <w:p w14:paraId="5874CA51"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-0.150</w:t>
            </w:r>
          </w:p>
        </w:tc>
        <w:tc>
          <w:tcPr>
            <w:tcW w:w="1134" w:type="dxa"/>
          </w:tcPr>
          <w:p w14:paraId="13827765"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-0.0812</w:t>
            </w:r>
          </w:p>
        </w:tc>
        <w:tc>
          <w:tcPr>
            <w:tcW w:w="992" w:type="dxa"/>
          </w:tcPr>
          <w:p w14:paraId="0F2B1BBC"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0.0394</w:t>
            </w:r>
          </w:p>
        </w:tc>
        <w:tc>
          <w:tcPr>
            <w:tcW w:w="1418" w:type="dxa"/>
          </w:tcPr>
          <w:p w14:paraId="03D3BE10"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-0.0257</w:t>
            </w:r>
          </w:p>
        </w:tc>
        <w:tc>
          <w:tcPr>
            <w:tcW w:w="1134" w:type="dxa"/>
            <w:gridSpan w:val="2"/>
          </w:tcPr>
          <w:p w14:paraId="6D2F1937"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-0.00903</w:t>
            </w:r>
          </w:p>
        </w:tc>
      </w:tr>
      <w:tr w:rsidR="00F8412C" w:rsidRPr="00E82A4D" w14:paraId="3358D580" w14:textId="77777777" w:rsidTr="00F8412C">
        <w:tc>
          <w:tcPr>
            <w:tcW w:w="2551" w:type="dxa"/>
            <w:vAlign w:val="center"/>
          </w:tcPr>
          <w:p w14:paraId="3FDC3EE8" w14:textId="77777777" w:rsidR="00F8412C" w:rsidRPr="00E82A4D" w:rsidRDefault="00F8412C" w:rsidP="00F8412C">
            <w:pPr>
              <w:rPr>
                <w:rFonts w:asciiTheme="minorHAnsi" w:hAnsiTheme="minorHAnsi"/>
                <w:sz w:val="18"/>
                <w:szCs w:val="18"/>
              </w:rPr>
            </w:pPr>
          </w:p>
        </w:tc>
        <w:tc>
          <w:tcPr>
            <w:tcW w:w="1135" w:type="dxa"/>
            <w:vAlign w:val="bottom"/>
          </w:tcPr>
          <w:p w14:paraId="7F66277D" w14:textId="77777777" w:rsidR="00F8412C" w:rsidRPr="00E82A4D" w:rsidRDefault="00F8412C" w:rsidP="00F8412C">
            <w:pPr>
              <w:jc w:val="center"/>
              <w:rPr>
                <w:rFonts w:asciiTheme="minorHAnsi" w:hAnsiTheme="minorHAnsi"/>
                <w:color w:val="000000"/>
                <w:sz w:val="18"/>
                <w:szCs w:val="18"/>
              </w:rPr>
            </w:pPr>
          </w:p>
        </w:tc>
        <w:tc>
          <w:tcPr>
            <w:tcW w:w="1417" w:type="dxa"/>
            <w:vAlign w:val="bottom"/>
          </w:tcPr>
          <w:p w14:paraId="0D05E51E" w14:textId="77777777" w:rsidR="00F8412C" w:rsidRPr="00E82A4D" w:rsidRDefault="00F8412C" w:rsidP="00F8412C">
            <w:pPr>
              <w:jc w:val="center"/>
              <w:rPr>
                <w:rFonts w:asciiTheme="minorHAnsi" w:hAnsiTheme="minorHAnsi"/>
                <w:sz w:val="18"/>
                <w:szCs w:val="18"/>
              </w:rPr>
            </w:pPr>
          </w:p>
        </w:tc>
        <w:tc>
          <w:tcPr>
            <w:tcW w:w="1134" w:type="dxa"/>
            <w:vAlign w:val="bottom"/>
          </w:tcPr>
          <w:p w14:paraId="3633695F" w14:textId="77777777" w:rsidR="00F8412C" w:rsidRPr="00E82A4D" w:rsidRDefault="00F8412C" w:rsidP="00F8412C">
            <w:pPr>
              <w:jc w:val="center"/>
              <w:rPr>
                <w:rFonts w:asciiTheme="minorHAnsi" w:hAnsiTheme="minorHAnsi"/>
                <w:sz w:val="18"/>
                <w:szCs w:val="18"/>
              </w:rPr>
            </w:pPr>
          </w:p>
        </w:tc>
        <w:tc>
          <w:tcPr>
            <w:tcW w:w="993" w:type="dxa"/>
          </w:tcPr>
          <w:p w14:paraId="6D5E2133" w14:textId="77777777" w:rsidR="00F8412C" w:rsidRPr="005F39C9" w:rsidRDefault="00F8412C" w:rsidP="00F8412C">
            <w:pPr>
              <w:jc w:val="center"/>
              <w:rPr>
                <w:rFonts w:asciiTheme="minorHAnsi" w:hAnsiTheme="minorHAnsi"/>
                <w:sz w:val="18"/>
                <w:szCs w:val="18"/>
              </w:rPr>
            </w:pPr>
          </w:p>
        </w:tc>
        <w:tc>
          <w:tcPr>
            <w:tcW w:w="1417" w:type="dxa"/>
          </w:tcPr>
          <w:p w14:paraId="4F2C8A80" w14:textId="77777777" w:rsidR="00F8412C" w:rsidRPr="005F39C9" w:rsidRDefault="00F8412C" w:rsidP="00F8412C">
            <w:pPr>
              <w:jc w:val="center"/>
              <w:rPr>
                <w:rFonts w:asciiTheme="minorHAnsi" w:hAnsiTheme="minorHAnsi"/>
                <w:sz w:val="18"/>
                <w:szCs w:val="18"/>
              </w:rPr>
            </w:pPr>
          </w:p>
        </w:tc>
        <w:tc>
          <w:tcPr>
            <w:tcW w:w="1134" w:type="dxa"/>
          </w:tcPr>
          <w:p w14:paraId="7ACA3CC5" w14:textId="77777777" w:rsidR="00F8412C" w:rsidRPr="005F39C9" w:rsidRDefault="00F8412C" w:rsidP="00F8412C">
            <w:pPr>
              <w:jc w:val="center"/>
              <w:rPr>
                <w:rFonts w:asciiTheme="minorHAnsi" w:hAnsiTheme="minorHAnsi"/>
                <w:sz w:val="18"/>
                <w:szCs w:val="18"/>
              </w:rPr>
            </w:pPr>
          </w:p>
        </w:tc>
        <w:tc>
          <w:tcPr>
            <w:tcW w:w="992" w:type="dxa"/>
          </w:tcPr>
          <w:p w14:paraId="3B8A3D77" w14:textId="77777777" w:rsidR="00F8412C" w:rsidRPr="005F39C9" w:rsidRDefault="00F8412C" w:rsidP="00F8412C">
            <w:pPr>
              <w:jc w:val="center"/>
              <w:rPr>
                <w:rFonts w:asciiTheme="minorHAnsi" w:hAnsiTheme="minorHAnsi"/>
                <w:sz w:val="18"/>
                <w:szCs w:val="18"/>
              </w:rPr>
            </w:pPr>
          </w:p>
        </w:tc>
        <w:tc>
          <w:tcPr>
            <w:tcW w:w="1418" w:type="dxa"/>
          </w:tcPr>
          <w:p w14:paraId="4164C749" w14:textId="77777777" w:rsidR="00F8412C" w:rsidRPr="005F39C9" w:rsidRDefault="00F8412C" w:rsidP="00F8412C">
            <w:pPr>
              <w:jc w:val="center"/>
              <w:rPr>
                <w:rFonts w:asciiTheme="minorHAnsi" w:hAnsiTheme="minorHAnsi"/>
                <w:sz w:val="18"/>
                <w:szCs w:val="18"/>
              </w:rPr>
            </w:pPr>
          </w:p>
        </w:tc>
        <w:tc>
          <w:tcPr>
            <w:tcW w:w="1134" w:type="dxa"/>
            <w:gridSpan w:val="2"/>
          </w:tcPr>
          <w:p w14:paraId="523E192E" w14:textId="77777777" w:rsidR="00F8412C" w:rsidRPr="005F39C9" w:rsidRDefault="00F8412C" w:rsidP="00F8412C">
            <w:pPr>
              <w:jc w:val="center"/>
              <w:rPr>
                <w:rFonts w:asciiTheme="minorHAnsi" w:hAnsiTheme="minorHAnsi"/>
                <w:sz w:val="18"/>
                <w:szCs w:val="18"/>
              </w:rPr>
            </w:pPr>
          </w:p>
        </w:tc>
      </w:tr>
      <w:tr w:rsidR="00F8412C" w:rsidRPr="00E82A4D" w14:paraId="7B3A7257" w14:textId="77777777" w:rsidTr="00F8412C">
        <w:tc>
          <w:tcPr>
            <w:tcW w:w="7230" w:type="dxa"/>
            <w:gridSpan w:val="5"/>
            <w:vAlign w:val="center"/>
          </w:tcPr>
          <w:p w14:paraId="72035687" w14:textId="77777777" w:rsidR="00F8412C" w:rsidRPr="005F39C9" w:rsidRDefault="00F8412C" w:rsidP="00F8412C">
            <w:pPr>
              <w:rPr>
                <w:rFonts w:asciiTheme="minorHAnsi" w:hAnsiTheme="minorHAnsi"/>
                <w:sz w:val="18"/>
                <w:szCs w:val="18"/>
              </w:rPr>
            </w:pPr>
            <w:r w:rsidRPr="00E82A4D">
              <w:rPr>
                <w:rFonts w:asciiTheme="minorHAnsi" w:hAnsiTheme="minorHAnsi"/>
                <w:i/>
                <w:sz w:val="18"/>
                <w:szCs w:val="18"/>
              </w:rPr>
              <w:t>Field fixed effects: omitted category Mathematical science</w:t>
            </w:r>
          </w:p>
        </w:tc>
        <w:tc>
          <w:tcPr>
            <w:tcW w:w="1417" w:type="dxa"/>
          </w:tcPr>
          <w:p w14:paraId="051B80BE" w14:textId="77777777" w:rsidR="00F8412C" w:rsidRPr="005F39C9" w:rsidRDefault="00F8412C" w:rsidP="00F8412C">
            <w:pPr>
              <w:jc w:val="center"/>
              <w:rPr>
                <w:rFonts w:asciiTheme="minorHAnsi" w:hAnsiTheme="minorHAnsi"/>
                <w:sz w:val="18"/>
                <w:szCs w:val="18"/>
              </w:rPr>
            </w:pPr>
          </w:p>
        </w:tc>
        <w:tc>
          <w:tcPr>
            <w:tcW w:w="1134" w:type="dxa"/>
          </w:tcPr>
          <w:p w14:paraId="0B26AAB4" w14:textId="77777777" w:rsidR="00F8412C" w:rsidRPr="005F39C9" w:rsidRDefault="00F8412C" w:rsidP="00F8412C">
            <w:pPr>
              <w:jc w:val="center"/>
              <w:rPr>
                <w:rFonts w:asciiTheme="minorHAnsi" w:hAnsiTheme="minorHAnsi"/>
                <w:sz w:val="18"/>
                <w:szCs w:val="18"/>
              </w:rPr>
            </w:pPr>
          </w:p>
        </w:tc>
        <w:tc>
          <w:tcPr>
            <w:tcW w:w="992" w:type="dxa"/>
          </w:tcPr>
          <w:p w14:paraId="656F7F46" w14:textId="77777777" w:rsidR="00F8412C" w:rsidRPr="005F39C9" w:rsidRDefault="00F8412C" w:rsidP="00F8412C">
            <w:pPr>
              <w:jc w:val="center"/>
              <w:rPr>
                <w:rFonts w:asciiTheme="minorHAnsi" w:hAnsiTheme="minorHAnsi"/>
                <w:sz w:val="18"/>
                <w:szCs w:val="18"/>
              </w:rPr>
            </w:pPr>
          </w:p>
        </w:tc>
        <w:tc>
          <w:tcPr>
            <w:tcW w:w="1418" w:type="dxa"/>
          </w:tcPr>
          <w:p w14:paraId="01729001" w14:textId="77777777" w:rsidR="00F8412C" w:rsidRPr="005F39C9" w:rsidRDefault="00F8412C" w:rsidP="00F8412C">
            <w:pPr>
              <w:jc w:val="center"/>
              <w:rPr>
                <w:rFonts w:asciiTheme="minorHAnsi" w:hAnsiTheme="minorHAnsi"/>
                <w:sz w:val="18"/>
                <w:szCs w:val="18"/>
              </w:rPr>
            </w:pPr>
          </w:p>
        </w:tc>
        <w:tc>
          <w:tcPr>
            <w:tcW w:w="1134" w:type="dxa"/>
            <w:gridSpan w:val="2"/>
          </w:tcPr>
          <w:p w14:paraId="230B153C" w14:textId="77777777" w:rsidR="00F8412C" w:rsidRPr="005F39C9" w:rsidRDefault="00F8412C" w:rsidP="00F8412C">
            <w:pPr>
              <w:jc w:val="center"/>
              <w:rPr>
                <w:rFonts w:asciiTheme="minorHAnsi" w:hAnsiTheme="minorHAnsi"/>
                <w:sz w:val="18"/>
                <w:szCs w:val="18"/>
              </w:rPr>
            </w:pPr>
          </w:p>
        </w:tc>
      </w:tr>
      <w:tr w:rsidR="00F8412C" w:rsidRPr="00E82A4D" w14:paraId="2C3801AF" w14:textId="77777777" w:rsidTr="00F8412C">
        <w:tc>
          <w:tcPr>
            <w:tcW w:w="2551" w:type="dxa"/>
            <w:vAlign w:val="center"/>
          </w:tcPr>
          <w:p w14:paraId="0C416D41" w14:textId="77777777" w:rsidR="00F8412C" w:rsidRPr="00E82A4D" w:rsidRDefault="00F8412C" w:rsidP="00F8412C">
            <w:pPr>
              <w:rPr>
                <w:rFonts w:asciiTheme="minorHAnsi" w:hAnsiTheme="minorHAnsi"/>
                <w:sz w:val="18"/>
                <w:szCs w:val="18"/>
              </w:rPr>
            </w:pPr>
            <w:r w:rsidRPr="00E82A4D">
              <w:rPr>
                <w:rFonts w:asciiTheme="minorHAnsi" w:hAnsiTheme="minorHAnsi"/>
                <w:sz w:val="18"/>
                <w:szCs w:val="18"/>
              </w:rPr>
              <w:t>Medical science</w:t>
            </w:r>
          </w:p>
        </w:tc>
        <w:tc>
          <w:tcPr>
            <w:tcW w:w="1135" w:type="dxa"/>
          </w:tcPr>
          <w:p w14:paraId="45091939"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-0.0778</w:t>
            </w:r>
          </w:p>
        </w:tc>
        <w:tc>
          <w:tcPr>
            <w:tcW w:w="1417" w:type="dxa"/>
          </w:tcPr>
          <w:p w14:paraId="09198BE8"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0.00133</w:t>
            </w:r>
          </w:p>
        </w:tc>
        <w:tc>
          <w:tcPr>
            <w:tcW w:w="1134" w:type="dxa"/>
          </w:tcPr>
          <w:p w14:paraId="341901D9"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-0.424</w:t>
            </w:r>
          </w:p>
        </w:tc>
        <w:tc>
          <w:tcPr>
            <w:tcW w:w="993" w:type="dxa"/>
          </w:tcPr>
          <w:p w14:paraId="3E68AF02"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0.268***</w:t>
            </w:r>
          </w:p>
        </w:tc>
        <w:tc>
          <w:tcPr>
            <w:tcW w:w="1417" w:type="dxa"/>
          </w:tcPr>
          <w:p w14:paraId="510EBD03"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0.282***</w:t>
            </w:r>
          </w:p>
        </w:tc>
        <w:tc>
          <w:tcPr>
            <w:tcW w:w="1134" w:type="dxa"/>
          </w:tcPr>
          <w:p w14:paraId="3D75FB66"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0.238***</w:t>
            </w:r>
          </w:p>
        </w:tc>
        <w:tc>
          <w:tcPr>
            <w:tcW w:w="992" w:type="dxa"/>
          </w:tcPr>
          <w:p w14:paraId="723A53B0"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0.551**</w:t>
            </w:r>
          </w:p>
        </w:tc>
        <w:tc>
          <w:tcPr>
            <w:tcW w:w="1418" w:type="dxa"/>
          </w:tcPr>
          <w:p w14:paraId="42A98CC2"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0.123</w:t>
            </w:r>
          </w:p>
        </w:tc>
        <w:tc>
          <w:tcPr>
            <w:tcW w:w="1134" w:type="dxa"/>
            <w:gridSpan w:val="2"/>
          </w:tcPr>
          <w:p w14:paraId="7D89D832"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0.495***</w:t>
            </w:r>
          </w:p>
        </w:tc>
      </w:tr>
      <w:tr w:rsidR="00F8412C" w:rsidRPr="00E82A4D" w14:paraId="5B0DC019" w14:textId="77777777" w:rsidTr="00F8412C">
        <w:tc>
          <w:tcPr>
            <w:tcW w:w="2551" w:type="dxa"/>
            <w:vAlign w:val="center"/>
          </w:tcPr>
          <w:p w14:paraId="7BA55270" w14:textId="77777777" w:rsidR="00F8412C" w:rsidRPr="00E82A4D" w:rsidRDefault="00F8412C" w:rsidP="00F8412C">
            <w:pPr>
              <w:rPr>
                <w:rFonts w:asciiTheme="minorHAnsi" w:hAnsiTheme="minorHAnsi"/>
                <w:sz w:val="18"/>
                <w:szCs w:val="18"/>
              </w:rPr>
            </w:pPr>
            <w:r w:rsidRPr="00E82A4D">
              <w:rPr>
                <w:rFonts w:asciiTheme="minorHAnsi" w:hAnsiTheme="minorHAnsi"/>
                <w:sz w:val="18"/>
                <w:szCs w:val="18"/>
              </w:rPr>
              <w:t>Other sciences</w:t>
            </w:r>
          </w:p>
        </w:tc>
        <w:tc>
          <w:tcPr>
            <w:tcW w:w="1135" w:type="dxa"/>
          </w:tcPr>
          <w:p w14:paraId="105897EA"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0.210</w:t>
            </w:r>
          </w:p>
        </w:tc>
        <w:tc>
          <w:tcPr>
            <w:tcW w:w="1417" w:type="dxa"/>
          </w:tcPr>
          <w:p w14:paraId="31C89DFC"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0.190</w:t>
            </w:r>
          </w:p>
        </w:tc>
        <w:tc>
          <w:tcPr>
            <w:tcW w:w="1134" w:type="dxa"/>
          </w:tcPr>
          <w:p w14:paraId="7861AC4D"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0.215</w:t>
            </w:r>
          </w:p>
        </w:tc>
        <w:tc>
          <w:tcPr>
            <w:tcW w:w="993" w:type="dxa"/>
          </w:tcPr>
          <w:p w14:paraId="561C0B6B"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0.135**</w:t>
            </w:r>
          </w:p>
        </w:tc>
        <w:tc>
          <w:tcPr>
            <w:tcW w:w="1417" w:type="dxa"/>
          </w:tcPr>
          <w:p w14:paraId="0CEEF50C"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0.133*</w:t>
            </w:r>
          </w:p>
        </w:tc>
        <w:tc>
          <w:tcPr>
            <w:tcW w:w="1134" w:type="dxa"/>
          </w:tcPr>
          <w:p w14:paraId="463B736C"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0.133*</w:t>
            </w:r>
          </w:p>
        </w:tc>
        <w:tc>
          <w:tcPr>
            <w:tcW w:w="992" w:type="dxa"/>
          </w:tcPr>
          <w:p w14:paraId="71C7DA90"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-0.00976</w:t>
            </w:r>
          </w:p>
        </w:tc>
        <w:tc>
          <w:tcPr>
            <w:tcW w:w="1418" w:type="dxa"/>
          </w:tcPr>
          <w:p w14:paraId="1B18A879"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-0.0782</w:t>
            </w:r>
          </w:p>
        </w:tc>
        <w:tc>
          <w:tcPr>
            <w:tcW w:w="1134" w:type="dxa"/>
            <w:gridSpan w:val="2"/>
          </w:tcPr>
          <w:p w14:paraId="1C03DBA3"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-0.0312</w:t>
            </w:r>
          </w:p>
        </w:tc>
      </w:tr>
      <w:tr w:rsidR="00F8412C" w:rsidRPr="00E82A4D" w14:paraId="5903F454" w14:textId="77777777" w:rsidTr="00F8412C">
        <w:tc>
          <w:tcPr>
            <w:tcW w:w="2551" w:type="dxa"/>
            <w:vAlign w:val="center"/>
          </w:tcPr>
          <w:p w14:paraId="398F6EA7" w14:textId="77777777" w:rsidR="00F8412C" w:rsidRPr="00E82A4D" w:rsidRDefault="00F8412C" w:rsidP="00F8412C">
            <w:pPr>
              <w:rPr>
                <w:rFonts w:asciiTheme="minorHAnsi" w:hAnsiTheme="minorHAnsi"/>
                <w:sz w:val="18"/>
                <w:szCs w:val="18"/>
              </w:rPr>
            </w:pPr>
            <w:r w:rsidRPr="00E82A4D">
              <w:rPr>
                <w:rFonts w:asciiTheme="minorHAnsi" w:hAnsiTheme="minorHAnsi"/>
                <w:sz w:val="18"/>
                <w:szCs w:val="18"/>
              </w:rPr>
              <w:t>Information technology</w:t>
            </w:r>
          </w:p>
        </w:tc>
        <w:tc>
          <w:tcPr>
            <w:tcW w:w="1135" w:type="dxa"/>
          </w:tcPr>
          <w:p w14:paraId="4E94C1E7"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0.0666</w:t>
            </w:r>
          </w:p>
        </w:tc>
        <w:tc>
          <w:tcPr>
            <w:tcW w:w="1417" w:type="dxa"/>
          </w:tcPr>
          <w:p w14:paraId="3BDF8E77"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-0.0511</w:t>
            </w:r>
          </w:p>
        </w:tc>
        <w:tc>
          <w:tcPr>
            <w:tcW w:w="1134" w:type="dxa"/>
          </w:tcPr>
          <w:p w14:paraId="0A693304"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0.109</w:t>
            </w:r>
          </w:p>
        </w:tc>
        <w:tc>
          <w:tcPr>
            <w:tcW w:w="993" w:type="dxa"/>
          </w:tcPr>
          <w:p w14:paraId="00D6D462"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0.126**</w:t>
            </w:r>
          </w:p>
        </w:tc>
        <w:tc>
          <w:tcPr>
            <w:tcW w:w="1417" w:type="dxa"/>
          </w:tcPr>
          <w:p w14:paraId="4C9E625B"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0.0488</w:t>
            </w:r>
          </w:p>
        </w:tc>
        <w:tc>
          <w:tcPr>
            <w:tcW w:w="1134" w:type="dxa"/>
          </w:tcPr>
          <w:p w14:paraId="73302415"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0.108</w:t>
            </w:r>
          </w:p>
        </w:tc>
        <w:tc>
          <w:tcPr>
            <w:tcW w:w="992" w:type="dxa"/>
          </w:tcPr>
          <w:p w14:paraId="18E53BEF"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-0.0260</w:t>
            </w:r>
          </w:p>
        </w:tc>
        <w:tc>
          <w:tcPr>
            <w:tcW w:w="1418" w:type="dxa"/>
          </w:tcPr>
          <w:p w14:paraId="2D38EE82"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0.0249</w:t>
            </w:r>
          </w:p>
        </w:tc>
        <w:tc>
          <w:tcPr>
            <w:tcW w:w="1134" w:type="dxa"/>
            <w:gridSpan w:val="2"/>
          </w:tcPr>
          <w:p w14:paraId="7C22AAEB"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0.00970</w:t>
            </w:r>
          </w:p>
        </w:tc>
      </w:tr>
      <w:tr w:rsidR="00F8412C" w:rsidRPr="00E82A4D" w14:paraId="45D11B57" w14:textId="77777777" w:rsidTr="00F8412C">
        <w:tc>
          <w:tcPr>
            <w:tcW w:w="2551" w:type="dxa"/>
            <w:vAlign w:val="center"/>
          </w:tcPr>
          <w:p w14:paraId="07C11735" w14:textId="77777777" w:rsidR="00F8412C" w:rsidRPr="00E82A4D" w:rsidRDefault="00F8412C" w:rsidP="00F8412C">
            <w:pPr>
              <w:rPr>
                <w:rFonts w:asciiTheme="minorHAnsi" w:hAnsiTheme="minorHAnsi"/>
                <w:sz w:val="18"/>
                <w:szCs w:val="18"/>
              </w:rPr>
            </w:pPr>
            <w:r w:rsidRPr="00E82A4D">
              <w:rPr>
                <w:rFonts w:asciiTheme="minorHAnsi" w:hAnsiTheme="minorHAnsi"/>
                <w:sz w:val="18"/>
                <w:szCs w:val="18"/>
              </w:rPr>
              <w:t>Engineering</w:t>
            </w:r>
          </w:p>
        </w:tc>
        <w:tc>
          <w:tcPr>
            <w:tcW w:w="1135" w:type="dxa"/>
          </w:tcPr>
          <w:p w14:paraId="15A3F3D2"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0.777*</w:t>
            </w:r>
          </w:p>
        </w:tc>
        <w:tc>
          <w:tcPr>
            <w:tcW w:w="1417" w:type="dxa"/>
          </w:tcPr>
          <w:p w14:paraId="4DCD6F2B"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0.235</w:t>
            </w:r>
          </w:p>
        </w:tc>
        <w:tc>
          <w:tcPr>
            <w:tcW w:w="1134" w:type="dxa"/>
          </w:tcPr>
          <w:p w14:paraId="5D2EA115"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0.686**</w:t>
            </w:r>
          </w:p>
        </w:tc>
        <w:tc>
          <w:tcPr>
            <w:tcW w:w="993" w:type="dxa"/>
          </w:tcPr>
          <w:p w14:paraId="60E68203"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0.266***</w:t>
            </w:r>
          </w:p>
        </w:tc>
        <w:tc>
          <w:tcPr>
            <w:tcW w:w="1417" w:type="dxa"/>
          </w:tcPr>
          <w:p w14:paraId="06168FB3"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0.147*</w:t>
            </w:r>
          </w:p>
        </w:tc>
        <w:tc>
          <w:tcPr>
            <w:tcW w:w="1134" w:type="dxa"/>
          </w:tcPr>
          <w:p w14:paraId="2A937B01"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0.245***</w:t>
            </w:r>
          </w:p>
        </w:tc>
        <w:tc>
          <w:tcPr>
            <w:tcW w:w="992" w:type="dxa"/>
          </w:tcPr>
          <w:p w14:paraId="76E298F2"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0.143</w:t>
            </w:r>
          </w:p>
        </w:tc>
        <w:tc>
          <w:tcPr>
            <w:tcW w:w="1418" w:type="dxa"/>
          </w:tcPr>
          <w:p w14:paraId="6E1275F8"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0.00979</w:t>
            </w:r>
          </w:p>
        </w:tc>
        <w:tc>
          <w:tcPr>
            <w:tcW w:w="1134" w:type="dxa"/>
            <w:gridSpan w:val="2"/>
          </w:tcPr>
          <w:p w14:paraId="5544A740"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0.153</w:t>
            </w:r>
          </w:p>
        </w:tc>
      </w:tr>
      <w:tr w:rsidR="00F8412C" w:rsidRPr="00E82A4D" w14:paraId="1F2AD9E6" w14:textId="77777777" w:rsidTr="00F8412C">
        <w:tc>
          <w:tcPr>
            <w:tcW w:w="2551" w:type="dxa"/>
            <w:vAlign w:val="center"/>
          </w:tcPr>
          <w:p w14:paraId="0212B153" w14:textId="77777777" w:rsidR="00F8412C" w:rsidRPr="00E82A4D" w:rsidRDefault="00F8412C" w:rsidP="00F8412C">
            <w:pPr>
              <w:rPr>
                <w:rFonts w:asciiTheme="minorHAnsi" w:hAnsiTheme="minorHAnsi"/>
                <w:sz w:val="18"/>
                <w:szCs w:val="18"/>
              </w:rPr>
            </w:pPr>
            <w:r w:rsidRPr="00E82A4D">
              <w:rPr>
                <w:rFonts w:asciiTheme="minorHAnsi" w:hAnsiTheme="minorHAnsi"/>
                <w:sz w:val="18"/>
                <w:szCs w:val="18"/>
              </w:rPr>
              <w:t>Architecture</w:t>
            </w:r>
          </w:p>
        </w:tc>
        <w:tc>
          <w:tcPr>
            <w:tcW w:w="1135" w:type="dxa"/>
          </w:tcPr>
          <w:p w14:paraId="22297307"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-0.158</w:t>
            </w:r>
          </w:p>
        </w:tc>
        <w:tc>
          <w:tcPr>
            <w:tcW w:w="1417" w:type="dxa"/>
          </w:tcPr>
          <w:p w14:paraId="2B2E9E07"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-0.0506</w:t>
            </w:r>
          </w:p>
        </w:tc>
        <w:tc>
          <w:tcPr>
            <w:tcW w:w="1134" w:type="dxa"/>
          </w:tcPr>
          <w:p w14:paraId="36712BCA"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-0.345</w:t>
            </w:r>
          </w:p>
        </w:tc>
        <w:tc>
          <w:tcPr>
            <w:tcW w:w="993" w:type="dxa"/>
          </w:tcPr>
          <w:p w14:paraId="2EA9B588"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0.114**</w:t>
            </w:r>
          </w:p>
        </w:tc>
        <w:tc>
          <w:tcPr>
            <w:tcW w:w="1417" w:type="dxa"/>
          </w:tcPr>
          <w:p w14:paraId="3FA5F162"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0.0671</w:t>
            </w:r>
          </w:p>
        </w:tc>
        <w:tc>
          <w:tcPr>
            <w:tcW w:w="1134" w:type="dxa"/>
          </w:tcPr>
          <w:p w14:paraId="5C2A014F"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0.0864</w:t>
            </w:r>
          </w:p>
        </w:tc>
        <w:tc>
          <w:tcPr>
            <w:tcW w:w="992" w:type="dxa"/>
          </w:tcPr>
          <w:p w14:paraId="52812331"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0.0999</w:t>
            </w:r>
          </w:p>
        </w:tc>
        <w:tc>
          <w:tcPr>
            <w:tcW w:w="1418" w:type="dxa"/>
          </w:tcPr>
          <w:p w14:paraId="3F2FF36E"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0.0242</w:t>
            </w:r>
          </w:p>
        </w:tc>
        <w:tc>
          <w:tcPr>
            <w:tcW w:w="1134" w:type="dxa"/>
            <w:gridSpan w:val="2"/>
          </w:tcPr>
          <w:p w14:paraId="2D9A9AA1"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0.0610</w:t>
            </w:r>
          </w:p>
        </w:tc>
      </w:tr>
      <w:tr w:rsidR="00F8412C" w:rsidRPr="00E82A4D" w14:paraId="2511AD4B" w14:textId="77777777" w:rsidTr="00F8412C">
        <w:tc>
          <w:tcPr>
            <w:tcW w:w="2551" w:type="dxa"/>
            <w:vAlign w:val="center"/>
          </w:tcPr>
          <w:p w14:paraId="49F60400" w14:textId="77777777" w:rsidR="00F8412C" w:rsidRPr="00E82A4D" w:rsidRDefault="00F8412C" w:rsidP="00F8412C">
            <w:pPr>
              <w:rPr>
                <w:rFonts w:asciiTheme="minorHAnsi" w:hAnsiTheme="minorHAnsi"/>
                <w:sz w:val="18"/>
                <w:szCs w:val="18"/>
              </w:rPr>
            </w:pPr>
            <w:r w:rsidRPr="00E82A4D">
              <w:rPr>
                <w:rFonts w:asciiTheme="minorHAnsi" w:hAnsiTheme="minorHAnsi"/>
                <w:sz w:val="18"/>
                <w:szCs w:val="18"/>
              </w:rPr>
              <w:t>Environmental science</w:t>
            </w:r>
          </w:p>
        </w:tc>
        <w:tc>
          <w:tcPr>
            <w:tcW w:w="1135" w:type="dxa"/>
          </w:tcPr>
          <w:p w14:paraId="7E045DB8"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0.222</w:t>
            </w:r>
          </w:p>
        </w:tc>
        <w:tc>
          <w:tcPr>
            <w:tcW w:w="1417" w:type="dxa"/>
          </w:tcPr>
          <w:p w14:paraId="088C675D"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-0.199</w:t>
            </w:r>
          </w:p>
        </w:tc>
        <w:tc>
          <w:tcPr>
            <w:tcW w:w="1134" w:type="dxa"/>
          </w:tcPr>
          <w:p w14:paraId="0D6616A8"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0.0833</w:t>
            </w:r>
          </w:p>
        </w:tc>
        <w:tc>
          <w:tcPr>
            <w:tcW w:w="993" w:type="dxa"/>
          </w:tcPr>
          <w:p w14:paraId="207FE388"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0.237***</w:t>
            </w:r>
          </w:p>
        </w:tc>
        <w:tc>
          <w:tcPr>
            <w:tcW w:w="1417" w:type="dxa"/>
          </w:tcPr>
          <w:p w14:paraId="65488A3B"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0.175*</w:t>
            </w:r>
          </w:p>
        </w:tc>
        <w:tc>
          <w:tcPr>
            <w:tcW w:w="1134" w:type="dxa"/>
          </w:tcPr>
          <w:p w14:paraId="2AEBF19F"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0.221***</w:t>
            </w:r>
          </w:p>
        </w:tc>
        <w:tc>
          <w:tcPr>
            <w:tcW w:w="992" w:type="dxa"/>
          </w:tcPr>
          <w:p w14:paraId="38A121BA"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0.125</w:t>
            </w:r>
          </w:p>
        </w:tc>
        <w:tc>
          <w:tcPr>
            <w:tcW w:w="1418" w:type="dxa"/>
          </w:tcPr>
          <w:p w14:paraId="1897A28E"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0.0810</w:t>
            </w:r>
          </w:p>
        </w:tc>
        <w:tc>
          <w:tcPr>
            <w:tcW w:w="1134" w:type="dxa"/>
            <w:gridSpan w:val="2"/>
          </w:tcPr>
          <w:p w14:paraId="0C43EE17"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0.113</w:t>
            </w:r>
          </w:p>
        </w:tc>
      </w:tr>
      <w:tr w:rsidR="00F8412C" w:rsidRPr="00E82A4D" w14:paraId="4221494F" w14:textId="77777777" w:rsidTr="00F8412C">
        <w:tc>
          <w:tcPr>
            <w:tcW w:w="2551" w:type="dxa"/>
            <w:vAlign w:val="center"/>
          </w:tcPr>
          <w:p w14:paraId="3231CDEB" w14:textId="77777777" w:rsidR="00F8412C" w:rsidRPr="00E82A4D" w:rsidRDefault="00F8412C" w:rsidP="00F8412C">
            <w:pPr>
              <w:rPr>
                <w:rFonts w:asciiTheme="minorHAnsi" w:hAnsiTheme="minorHAnsi"/>
                <w:sz w:val="18"/>
                <w:szCs w:val="18"/>
              </w:rPr>
            </w:pPr>
            <w:r w:rsidRPr="00E82A4D">
              <w:rPr>
                <w:rFonts w:asciiTheme="minorHAnsi" w:hAnsiTheme="minorHAnsi"/>
                <w:sz w:val="18"/>
                <w:szCs w:val="18"/>
              </w:rPr>
              <w:t>Agriculture and related studies</w:t>
            </w:r>
          </w:p>
        </w:tc>
        <w:tc>
          <w:tcPr>
            <w:tcW w:w="1135" w:type="dxa"/>
          </w:tcPr>
          <w:p w14:paraId="3BB588A3"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0.549</w:t>
            </w:r>
          </w:p>
        </w:tc>
        <w:tc>
          <w:tcPr>
            <w:tcW w:w="1417" w:type="dxa"/>
          </w:tcPr>
          <w:p w14:paraId="3E47AE01"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-0.413**</w:t>
            </w:r>
          </w:p>
        </w:tc>
        <w:tc>
          <w:tcPr>
            <w:tcW w:w="1134" w:type="dxa"/>
          </w:tcPr>
          <w:p w14:paraId="5EEB3F91"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0.0633</w:t>
            </w:r>
          </w:p>
        </w:tc>
        <w:tc>
          <w:tcPr>
            <w:tcW w:w="993" w:type="dxa"/>
          </w:tcPr>
          <w:p w14:paraId="01F28A67"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0.433***</w:t>
            </w:r>
          </w:p>
        </w:tc>
        <w:tc>
          <w:tcPr>
            <w:tcW w:w="1417" w:type="dxa"/>
          </w:tcPr>
          <w:p w14:paraId="50B43409"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0.335**</w:t>
            </w:r>
          </w:p>
        </w:tc>
        <w:tc>
          <w:tcPr>
            <w:tcW w:w="1134" w:type="dxa"/>
          </w:tcPr>
          <w:p w14:paraId="2C3D13F7"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0.402***</w:t>
            </w:r>
          </w:p>
        </w:tc>
        <w:tc>
          <w:tcPr>
            <w:tcW w:w="992" w:type="dxa"/>
          </w:tcPr>
          <w:p w14:paraId="3E33BB47"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0.438**</w:t>
            </w:r>
          </w:p>
        </w:tc>
        <w:tc>
          <w:tcPr>
            <w:tcW w:w="1418" w:type="dxa"/>
          </w:tcPr>
          <w:p w14:paraId="61A476BF"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0.139</w:t>
            </w:r>
          </w:p>
        </w:tc>
        <w:tc>
          <w:tcPr>
            <w:tcW w:w="1134" w:type="dxa"/>
            <w:gridSpan w:val="2"/>
          </w:tcPr>
          <w:p w14:paraId="7D6C6310"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0.378***</w:t>
            </w:r>
          </w:p>
        </w:tc>
      </w:tr>
      <w:tr w:rsidR="00F8412C" w:rsidRPr="00E82A4D" w14:paraId="5CD0952B" w14:textId="77777777" w:rsidTr="00F8412C">
        <w:tc>
          <w:tcPr>
            <w:tcW w:w="2551" w:type="dxa"/>
            <w:vAlign w:val="center"/>
          </w:tcPr>
          <w:p w14:paraId="12063624" w14:textId="77777777" w:rsidR="00F8412C" w:rsidRPr="00E82A4D" w:rsidRDefault="00F8412C" w:rsidP="00F8412C">
            <w:pPr>
              <w:rPr>
                <w:rFonts w:asciiTheme="minorHAnsi" w:hAnsiTheme="minorHAnsi"/>
                <w:sz w:val="18"/>
                <w:szCs w:val="18"/>
              </w:rPr>
            </w:pPr>
            <w:r w:rsidRPr="00E82A4D">
              <w:rPr>
                <w:rFonts w:asciiTheme="minorHAnsi" w:hAnsiTheme="minorHAnsi"/>
                <w:sz w:val="18"/>
                <w:szCs w:val="18"/>
              </w:rPr>
              <w:t>Medical studies</w:t>
            </w:r>
          </w:p>
        </w:tc>
        <w:tc>
          <w:tcPr>
            <w:tcW w:w="1135" w:type="dxa"/>
          </w:tcPr>
          <w:p w14:paraId="1357BFC6"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-0.329*</w:t>
            </w:r>
          </w:p>
        </w:tc>
        <w:tc>
          <w:tcPr>
            <w:tcW w:w="1417" w:type="dxa"/>
          </w:tcPr>
          <w:p w14:paraId="2864C75A"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-0.431</w:t>
            </w:r>
          </w:p>
        </w:tc>
        <w:tc>
          <w:tcPr>
            <w:tcW w:w="1134" w:type="dxa"/>
          </w:tcPr>
          <w:p w14:paraId="3D4098EB"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-0.518</w:t>
            </w:r>
          </w:p>
        </w:tc>
        <w:tc>
          <w:tcPr>
            <w:tcW w:w="993" w:type="dxa"/>
          </w:tcPr>
          <w:p w14:paraId="72374550"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0.387***</w:t>
            </w:r>
          </w:p>
        </w:tc>
        <w:tc>
          <w:tcPr>
            <w:tcW w:w="1417" w:type="dxa"/>
          </w:tcPr>
          <w:p w14:paraId="4D6AF503"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0.307</w:t>
            </w:r>
          </w:p>
        </w:tc>
        <w:tc>
          <w:tcPr>
            <w:tcW w:w="1134" w:type="dxa"/>
          </w:tcPr>
          <w:p w14:paraId="1B46641C"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0.361***</w:t>
            </w:r>
          </w:p>
        </w:tc>
        <w:tc>
          <w:tcPr>
            <w:tcW w:w="992" w:type="dxa"/>
          </w:tcPr>
          <w:p w14:paraId="767B4ED9"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0.149</w:t>
            </w:r>
          </w:p>
        </w:tc>
        <w:tc>
          <w:tcPr>
            <w:tcW w:w="1418" w:type="dxa"/>
          </w:tcPr>
          <w:p w14:paraId="738CE260"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0.114</w:t>
            </w:r>
          </w:p>
        </w:tc>
        <w:tc>
          <w:tcPr>
            <w:tcW w:w="1134" w:type="dxa"/>
            <w:gridSpan w:val="2"/>
          </w:tcPr>
          <w:p w14:paraId="7ED56D57"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0.132</w:t>
            </w:r>
          </w:p>
        </w:tc>
      </w:tr>
      <w:tr w:rsidR="00F8412C" w:rsidRPr="00E82A4D" w14:paraId="2B29B167" w14:textId="77777777" w:rsidTr="00F8412C">
        <w:tc>
          <w:tcPr>
            <w:tcW w:w="2551" w:type="dxa"/>
            <w:vAlign w:val="center"/>
          </w:tcPr>
          <w:p w14:paraId="48F7887C" w14:textId="77777777" w:rsidR="00F8412C" w:rsidRPr="00E82A4D" w:rsidRDefault="00F8412C" w:rsidP="00F8412C">
            <w:pPr>
              <w:rPr>
                <w:rFonts w:asciiTheme="minorHAnsi" w:hAnsiTheme="minorHAnsi"/>
                <w:sz w:val="18"/>
                <w:szCs w:val="18"/>
              </w:rPr>
            </w:pPr>
            <w:r w:rsidRPr="00E82A4D">
              <w:rPr>
                <w:rFonts w:asciiTheme="minorHAnsi" w:hAnsiTheme="minorHAnsi"/>
                <w:sz w:val="18"/>
                <w:szCs w:val="18"/>
              </w:rPr>
              <w:lastRenderedPageBreak/>
              <w:t>Dental studies</w:t>
            </w:r>
          </w:p>
        </w:tc>
        <w:tc>
          <w:tcPr>
            <w:tcW w:w="1135" w:type="dxa"/>
          </w:tcPr>
          <w:p w14:paraId="5B3BCC2B"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w:t>
            </w:r>
          </w:p>
        </w:tc>
        <w:tc>
          <w:tcPr>
            <w:tcW w:w="1417" w:type="dxa"/>
          </w:tcPr>
          <w:p w14:paraId="201486A2"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p>
        </w:tc>
        <w:tc>
          <w:tcPr>
            <w:tcW w:w="1134" w:type="dxa"/>
          </w:tcPr>
          <w:p w14:paraId="4E7DB5BD"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w:t>
            </w:r>
          </w:p>
        </w:tc>
        <w:tc>
          <w:tcPr>
            <w:tcW w:w="993" w:type="dxa"/>
          </w:tcPr>
          <w:p w14:paraId="47B1F90A"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0.686***</w:t>
            </w:r>
          </w:p>
        </w:tc>
        <w:tc>
          <w:tcPr>
            <w:tcW w:w="1417" w:type="dxa"/>
          </w:tcPr>
          <w:p w14:paraId="11ABC542"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0.499**</w:t>
            </w:r>
          </w:p>
        </w:tc>
        <w:tc>
          <w:tcPr>
            <w:tcW w:w="1134" w:type="dxa"/>
          </w:tcPr>
          <w:p w14:paraId="05BB398A"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0.622***</w:t>
            </w:r>
          </w:p>
        </w:tc>
        <w:tc>
          <w:tcPr>
            <w:tcW w:w="992" w:type="dxa"/>
          </w:tcPr>
          <w:p w14:paraId="7A9B1E53"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0.593**</w:t>
            </w:r>
          </w:p>
        </w:tc>
        <w:tc>
          <w:tcPr>
            <w:tcW w:w="1418" w:type="dxa"/>
          </w:tcPr>
          <w:p w14:paraId="2BE74306"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-0.00443</w:t>
            </w:r>
          </w:p>
        </w:tc>
        <w:tc>
          <w:tcPr>
            <w:tcW w:w="1134" w:type="dxa"/>
            <w:gridSpan w:val="2"/>
          </w:tcPr>
          <w:p w14:paraId="6203142B"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0.421***</w:t>
            </w:r>
          </w:p>
        </w:tc>
      </w:tr>
      <w:tr w:rsidR="00F8412C" w:rsidRPr="00E82A4D" w14:paraId="0205C199" w14:textId="77777777" w:rsidTr="00F8412C">
        <w:tc>
          <w:tcPr>
            <w:tcW w:w="2551" w:type="dxa"/>
            <w:vAlign w:val="center"/>
          </w:tcPr>
          <w:p w14:paraId="798798F4" w14:textId="77777777" w:rsidR="00F8412C" w:rsidRPr="00E82A4D" w:rsidRDefault="00F8412C" w:rsidP="00F8412C">
            <w:pPr>
              <w:rPr>
                <w:rFonts w:asciiTheme="minorHAnsi" w:hAnsiTheme="minorHAnsi"/>
                <w:sz w:val="18"/>
                <w:szCs w:val="18"/>
              </w:rPr>
            </w:pPr>
            <w:r w:rsidRPr="00E82A4D">
              <w:rPr>
                <w:rFonts w:asciiTheme="minorHAnsi" w:hAnsiTheme="minorHAnsi"/>
                <w:sz w:val="18"/>
                <w:szCs w:val="18"/>
              </w:rPr>
              <w:t>Veterinary studies</w:t>
            </w:r>
          </w:p>
        </w:tc>
        <w:tc>
          <w:tcPr>
            <w:tcW w:w="1135" w:type="dxa"/>
          </w:tcPr>
          <w:p w14:paraId="6203AEFE"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w:t>
            </w:r>
          </w:p>
        </w:tc>
        <w:tc>
          <w:tcPr>
            <w:tcW w:w="1417" w:type="dxa"/>
          </w:tcPr>
          <w:p w14:paraId="425D24E8"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p>
        </w:tc>
        <w:tc>
          <w:tcPr>
            <w:tcW w:w="1134" w:type="dxa"/>
          </w:tcPr>
          <w:p w14:paraId="0A5DC1EF"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w:t>
            </w:r>
          </w:p>
        </w:tc>
        <w:tc>
          <w:tcPr>
            <w:tcW w:w="993" w:type="dxa"/>
          </w:tcPr>
          <w:p w14:paraId="49E5A5A5"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0.679***</w:t>
            </w:r>
          </w:p>
        </w:tc>
        <w:tc>
          <w:tcPr>
            <w:tcW w:w="1417" w:type="dxa"/>
          </w:tcPr>
          <w:p w14:paraId="0A109126"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0.635***</w:t>
            </w:r>
          </w:p>
        </w:tc>
        <w:tc>
          <w:tcPr>
            <w:tcW w:w="1134" w:type="dxa"/>
          </w:tcPr>
          <w:p w14:paraId="389D08FD"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0.641***</w:t>
            </w:r>
          </w:p>
        </w:tc>
        <w:tc>
          <w:tcPr>
            <w:tcW w:w="992" w:type="dxa"/>
          </w:tcPr>
          <w:p w14:paraId="7B6EB5DC"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0.409*</w:t>
            </w:r>
          </w:p>
        </w:tc>
        <w:tc>
          <w:tcPr>
            <w:tcW w:w="1418" w:type="dxa"/>
          </w:tcPr>
          <w:p w14:paraId="6143C4F6"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0.379*</w:t>
            </w:r>
          </w:p>
        </w:tc>
        <w:tc>
          <w:tcPr>
            <w:tcW w:w="1134" w:type="dxa"/>
            <w:gridSpan w:val="2"/>
          </w:tcPr>
          <w:p w14:paraId="7FE7FDEF"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0.259*</w:t>
            </w:r>
          </w:p>
        </w:tc>
      </w:tr>
      <w:tr w:rsidR="00F8412C" w:rsidRPr="00E82A4D" w14:paraId="5FD06B94" w14:textId="77777777" w:rsidTr="00F8412C">
        <w:tc>
          <w:tcPr>
            <w:tcW w:w="2551" w:type="dxa"/>
            <w:vAlign w:val="center"/>
          </w:tcPr>
          <w:p w14:paraId="31E0C327" w14:textId="77777777" w:rsidR="00F8412C" w:rsidRPr="00E82A4D" w:rsidRDefault="00F8412C" w:rsidP="00F8412C">
            <w:pPr>
              <w:rPr>
                <w:rFonts w:asciiTheme="minorHAnsi" w:hAnsiTheme="minorHAnsi"/>
                <w:sz w:val="18"/>
                <w:szCs w:val="18"/>
              </w:rPr>
            </w:pPr>
            <w:r w:rsidRPr="00E82A4D">
              <w:rPr>
                <w:rFonts w:asciiTheme="minorHAnsi" w:hAnsiTheme="minorHAnsi"/>
                <w:sz w:val="18"/>
                <w:szCs w:val="18"/>
              </w:rPr>
              <w:t>Other health</w:t>
            </w:r>
          </w:p>
        </w:tc>
        <w:tc>
          <w:tcPr>
            <w:tcW w:w="1135" w:type="dxa"/>
          </w:tcPr>
          <w:p w14:paraId="16AB8E55"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0.625</w:t>
            </w:r>
          </w:p>
        </w:tc>
        <w:tc>
          <w:tcPr>
            <w:tcW w:w="1417" w:type="dxa"/>
          </w:tcPr>
          <w:p w14:paraId="4E801138"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0.0953</w:t>
            </w:r>
          </w:p>
        </w:tc>
        <w:tc>
          <w:tcPr>
            <w:tcW w:w="1134" w:type="dxa"/>
          </w:tcPr>
          <w:p w14:paraId="22216FFB"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0.693**</w:t>
            </w:r>
          </w:p>
        </w:tc>
        <w:tc>
          <w:tcPr>
            <w:tcW w:w="993" w:type="dxa"/>
          </w:tcPr>
          <w:p w14:paraId="77D1B377"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0.0712</w:t>
            </w:r>
          </w:p>
        </w:tc>
        <w:tc>
          <w:tcPr>
            <w:tcW w:w="1417" w:type="dxa"/>
          </w:tcPr>
          <w:p w14:paraId="42DEE0C7"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0.0982</w:t>
            </w:r>
          </w:p>
        </w:tc>
        <w:tc>
          <w:tcPr>
            <w:tcW w:w="1134" w:type="dxa"/>
          </w:tcPr>
          <w:p w14:paraId="7B621891"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0.0567</w:t>
            </w:r>
          </w:p>
        </w:tc>
        <w:tc>
          <w:tcPr>
            <w:tcW w:w="992" w:type="dxa"/>
          </w:tcPr>
          <w:p w14:paraId="7D55708D"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-0.117</w:t>
            </w:r>
          </w:p>
        </w:tc>
        <w:tc>
          <w:tcPr>
            <w:tcW w:w="1418" w:type="dxa"/>
          </w:tcPr>
          <w:p w14:paraId="51CBD76B"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-0.0726</w:t>
            </w:r>
          </w:p>
        </w:tc>
        <w:tc>
          <w:tcPr>
            <w:tcW w:w="1134" w:type="dxa"/>
            <w:gridSpan w:val="2"/>
          </w:tcPr>
          <w:p w14:paraId="14140A00"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-0.125</w:t>
            </w:r>
          </w:p>
        </w:tc>
      </w:tr>
      <w:tr w:rsidR="00F8412C" w:rsidRPr="00E82A4D" w14:paraId="4DE79109" w14:textId="77777777" w:rsidTr="00F8412C">
        <w:tc>
          <w:tcPr>
            <w:tcW w:w="2551" w:type="dxa"/>
            <w:vAlign w:val="center"/>
          </w:tcPr>
          <w:p w14:paraId="59BBF4D7" w14:textId="77777777" w:rsidR="00F8412C" w:rsidRPr="00E82A4D" w:rsidRDefault="00F8412C" w:rsidP="00F8412C">
            <w:pPr>
              <w:rPr>
                <w:rFonts w:asciiTheme="minorHAnsi" w:hAnsiTheme="minorHAnsi"/>
                <w:sz w:val="18"/>
                <w:szCs w:val="18"/>
              </w:rPr>
            </w:pPr>
            <w:r w:rsidRPr="00E82A4D">
              <w:rPr>
                <w:rFonts w:asciiTheme="minorHAnsi" w:hAnsiTheme="minorHAnsi"/>
                <w:sz w:val="18"/>
                <w:szCs w:val="18"/>
              </w:rPr>
              <w:t>Education</w:t>
            </w:r>
          </w:p>
        </w:tc>
        <w:tc>
          <w:tcPr>
            <w:tcW w:w="1135" w:type="dxa"/>
          </w:tcPr>
          <w:p w14:paraId="1AACC169"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-0.314</w:t>
            </w:r>
          </w:p>
        </w:tc>
        <w:tc>
          <w:tcPr>
            <w:tcW w:w="1417" w:type="dxa"/>
          </w:tcPr>
          <w:p w14:paraId="7084A2CC"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-0.169</w:t>
            </w:r>
          </w:p>
        </w:tc>
        <w:tc>
          <w:tcPr>
            <w:tcW w:w="1134" w:type="dxa"/>
          </w:tcPr>
          <w:p w14:paraId="2B665B28"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-0.175</w:t>
            </w:r>
          </w:p>
        </w:tc>
        <w:tc>
          <w:tcPr>
            <w:tcW w:w="993" w:type="dxa"/>
          </w:tcPr>
          <w:p w14:paraId="10C3C881"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-0.0147</w:t>
            </w:r>
          </w:p>
        </w:tc>
        <w:tc>
          <w:tcPr>
            <w:tcW w:w="1417" w:type="dxa"/>
          </w:tcPr>
          <w:p w14:paraId="41EFAE77"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0.00504</w:t>
            </w:r>
          </w:p>
        </w:tc>
        <w:tc>
          <w:tcPr>
            <w:tcW w:w="1134" w:type="dxa"/>
          </w:tcPr>
          <w:p w14:paraId="2304EE83"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-0.0151</w:t>
            </w:r>
          </w:p>
        </w:tc>
        <w:tc>
          <w:tcPr>
            <w:tcW w:w="992" w:type="dxa"/>
          </w:tcPr>
          <w:p w14:paraId="0F3EE4EB"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-0.252**</w:t>
            </w:r>
          </w:p>
        </w:tc>
        <w:tc>
          <w:tcPr>
            <w:tcW w:w="1418" w:type="dxa"/>
          </w:tcPr>
          <w:p w14:paraId="7AE0D03A"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-0.213</w:t>
            </w:r>
          </w:p>
        </w:tc>
        <w:tc>
          <w:tcPr>
            <w:tcW w:w="1134" w:type="dxa"/>
            <w:gridSpan w:val="2"/>
          </w:tcPr>
          <w:p w14:paraId="1DA13E81"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-0.242**</w:t>
            </w:r>
          </w:p>
        </w:tc>
      </w:tr>
      <w:tr w:rsidR="00F8412C" w:rsidRPr="00E82A4D" w14:paraId="2325A96F" w14:textId="77777777" w:rsidTr="00F8412C">
        <w:tc>
          <w:tcPr>
            <w:tcW w:w="2551" w:type="dxa"/>
            <w:vAlign w:val="center"/>
          </w:tcPr>
          <w:p w14:paraId="47B3EC9F" w14:textId="77777777" w:rsidR="00F8412C" w:rsidRPr="00E82A4D" w:rsidRDefault="00F8412C" w:rsidP="00F8412C">
            <w:pPr>
              <w:rPr>
                <w:rFonts w:asciiTheme="minorHAnsi" w:hAnsiTheme="minorHAnsi"/>
                <w:sz w:val="18"/>
                <w:szCs w:val="18"/>
              </w:rPr>
            </w:pPr>
            <w:r w:rsidRPr="00E82A4D">
              <w:rPr>
                <w:rFonts w:asciiTheme="minorHAnsi" w:hAnsiTheme="minorHAnsi"/>
                <w:sz w:val="18"/>
                <w:szCs w:val="18"/>
              </w:rPr>
              <w:t>Management and Commerce</w:t>
            </w:r>
          </w:p>
        </w:tc>
        <w:tc>
          <w:tcPr>
            <w:tcW w:w="1135" w:type="dxa"/>
          </w:tcPr>
          <w:p w14:paraId="5C896E3F"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-0.0570</w:t>
            </w:r>
          </w:p>
        </w:tc>
        <w:tc>
          <w:tcPr>
            <w:tcW w:w="1417" w:type="dxa"/>
          </w:tcPr>
          <w:p w14:paraId="1F57429A"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-0.0350</w:t>
            </w:r>
          </w:p>
        </w:tc>
        <w:tc>
          <w:tcPr>
            <w:tcW w:w="1134" w:type="dxa"/>
          </w:tcPr>
          <w:p w14:paraId="71A2CE02"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0.0983</w:t>
            </w:r>
          </w:p>
        </w:tc>
        <w:tc>
          <w:tcPr>
            <w:tcW w:w="993" w:type="dxa"/>
          </w:tcPr>
          <w:p w14:paraId="0DC6082F"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-0.0147</w:t>
            </w:r>
          </w:p>
        </w:tc>
        <w:tc>
          <w:tcPr>
            <w:tcW w:w="1417" w:type="dxa"/>
          </w:tcPr>
          <w:p w14:paraId="0134A475"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-0.0959</w:t>
            </w:r>
          </w:p>
        </w:tc>
        <w:tc>
          <w:tcPr>
            <w:tcW w:w="1134" w:type="dxa"/>
          </w:tcPr>
          <w:p w14:paraId="5B95C484"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-0.0411</w:t>
            </w:r>
          </w:p>
        </w:tc>
        <w:tc>
          <w:tcPr>
            <w:tcW w:w="992" w:type="dxa"/>
          </w:tcPr>
          <w:p w14:paraId="1BA0D5A5"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-0.184*</w:t>
            </w:r>
          </w:p>
        </w:tc>
        <w:tc>
          <w:tcPr>
            <w:tcW w:w="1418" w:type="dxa"/>
          </w:tcPr>
          <w:p w14:paraId="0430EA25"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-0.123</w:t>
            </w:r>
          </w:p>
        </w:tc>
        <w:tc>
          <w:tcPr>
            <w:tcW w:w="1134" w:type="dxa"/>
            <w:gridSpan w:val="2"/>
          </w:tcPr>
          <w:p w14:paraId="639340B1"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-0.140</w:t>
            </w:r>
          </w:p>
        </w:tc>
      </w:tr>
      <w:tr w:rsidR="00F8412C" w:rsidRPr="00E82A4D" w14:paraId="4982ADB1" w14:textId="77777777" w:rsidTr="00F8412C">
        <w:tc>
          <w:tcPr>
            <w:tcW w:w="2551" w:type="dxa"/>
            <w:vAlign w:val="center"/>
          </w:tcPr>
          <w:p w14:paraId="76E1C6B6" w14:textId="77777777" w:rsidR="00F8412C" w:rsidRPr="00E82A4D" w:rsidRDefault="00F8412C" w:rsidP="00F8412C">
            <w:pPr>
              <w:rPr>
                <w:rFonts w:asciiTheme="minorHAnsi" w:hAnsiTheme="minorHAnsi"/>
                <w:sz w:val="18"/>
                <w:szCs w:val="18"/>
              </w:rPr>
            </w:pPr>
            <w:r w:rsidRPr="00E82A4D">
              <w:rPr>
                <w:rFonts w:asciiTheme="minorHAnsi" w:hAnsiTheme="minorHAnsi"/>
                <w:sz w:val="18"/>
                <w:szCs w:val="18"/>
              </w:rPr>
              <w:t>Languages</w:t>
            </w:r>
          </w:p>
        </w:tc>
        <w:tc>
          <w:tcPr>
            <w:tcW w:w="1135" w:type="dxa"/>
          </w:tcPr>
          <w:p w14:paraId="4E912795"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0.0646</w:t>
            </w:r>
          </w:p>
        </w:tc>
        <w:tc>
          <w:tcPr>
            <w:tcW w:w="1417" w:type="dxa"/>
          </w:tcPr>
          <w:p w14:paraId="31A85586"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-0.0402</w:t>
            </w:r>
          </w:p>
        </w:tc>
        <w:tc>
          <w:tcPr>
            <w:tcW w:w="1134" w:type="dxa"/>
          </w:tcPr>
          <w:p w14:paraId="21E5B9B7"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0.0126</w:t>
            </w:r>
          </w:p>
        </w:tc>
        <w:tc>
          <w:tcPr>
            <w:tcW w:w="993" w:type="dxa"/>
          </w:tcPr>
          <w:p w14:paraId="051278A0"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0.0473</w:t>
            </w:r>
          </w:p>
        </w:tc>
        <w:tc>
          <w:tcPr>
            <w:tcW w:w="1417" w:type="dxa"/>
          </w:tcPr>
          <w:p w14:paraId="30AA4F1E"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-0.0268</w:t>
            </w:r>
          </w:p>
        </w:tc>
        <w:tc>
          <w:tcPr>
            <w:tcW w:w="1134" w:type="dxa"/>
          </w:tcPr>
          <w:p w14:paraId="10AA0632"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-0.00418</w:t>
            </w:r>
          </w:p>
        </w:tc>
        <w:tc>
          <w:tcPr>
            <w:tcW w:w="992" w:type="dxa"/>
          </w:tcPr>
          <w:p w14:paraId="65BC6CE6"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0.00813</w:t>
            </w:r>
          </w:p>
        </w:tc>
        <w:tc>
          <w:tcPr>
            <w:tcW w:w="1418" w:type="dxa"/>
          </w:tcPr>
          <w:p w14:paraId="08AAB15D"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-0.00541</w:t>
            </w:r>
          </w:p>
        </w:tc>
        <w:tc>
          <w:tcPr>
            <w:tcW w:w="1134" w:type="dxa"/>
            <w:gridSpan w:val="2"/>
          </w:tcPr>
          <w:p w14:paraId="1762EF4A"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0.0163</w:t>
            </w:r>
          </w:p>
        </w:tc>
      </w:tr>
      <w:tr w:rsidR="00F8412C" w:rsidRPr="00E82A4D" w14:paraId="4DD964E3" w14:textId="77777777" w:rsidTr="00F8412C">
        <w:tc>
          <w:tcPr>
            <w:tcW w:w="2551" w:type="dxa"/>
            <w:vAlign w:val="center"/>
          </w:tcPr>
          <w:p w14:paraId="354E47E7" w14:textId="77777777" w:rsidR="00F8412C" w:rsidRPr="00E82A4D" w:rsidRDefault="00F8412C" w:rsidP="00F8412C">
            <w:pPr>
              <w:rPr>
                <w:rFonts w:asciiTheme="minorHAnsi" w:hAnsiTheme="minorHAnsi"/>
                <w:sz w:val="18"/>
                <w:szCs w:val="18"/>
              </w:rPr>
            </w:pPr>
            <w:r w:rsidRPr="00E82A4D">
              <w:rPr>
                <w:rFonts w:asciiTheme="minorHAnsi" w:hAnsiTheme="minorHAnsi"/>
                <w:sz w:val="18"/>
                <w:szCs w:val="18"/>
              </w:rPr>
              <w:t>Clinical psychology</w:t>
            </w:r>
          </w:p>
        </w:tc>
        <w:tc>
          <w:tcPr>
            <w:tcW w:w="1135" w:type="dxa"/>
          </w:tcPr>
          <w:p w14:paraId="17293247"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0.720</w:t>
            </w:r>
          </w:p>
        </w:tc>
        <w:tc>
          <w:tcPr>
            <w:tcW w:w="1417" w:type="dxa"/>
          </w:tcPr>
          <w:p w14:paraId="227A7A9A"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0.0981</w:t>
            </w:r>
          </w:p>
        </w:tc>
        <w:tc>
          <w:tcPr>
            <w:tcW w:w="1134" w:type="dxa"/>
          </w:tcPr>
          <w:p w14:paraId="4FBE313F"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0.677**</w:t>
            </w:r>
          </w:p>
        </w:tc>
        <w:tc>
          <w:tcPr>
            <w:tcW w:w="993" w:type="dxa"/>
          </w:tcPr>
          <w:p w14:paraId="4E742CC8"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-0.0488</w:t>
            </w:r>
          </w:p>
        </w:tc>
        <w:tc>
          <w:tcPr>
            <w:tcW w:w="1417" w:type="dxa"/>
          </w:tcPr>
          <w:p w14:paraId="59E6C7E6"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-0.0308</w:t>
            </w:r>
          </w:p>
        </w:tc>
        <w:tc>
          <w:tcPr>
            <w:tcW w:w="1134" w:type="dxa"/>
          </w:tcPr>
          <w:p w14:paraId="058FBB31"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-0.0460</w:t>
            </w:r>
          </w:p>
        </w:tc>
        <w:tc>
          <w:tcPr>
            <w:tcW w:w="992" w:type="dxa"/>
          </w:tcPr>
          <w:p w14:paraId="760D0B35"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0.00688</w:t>
            </w:r>
          </w:p>
        </w:tc>
        <w:tc>
          <w:tcPr>
            <w:tcW w:w="1418" w:type="dxa"/>
          </w:tcPr>
          <w:p w14:paraId="6D73EA3C"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-0.104</w:t>
            </w:r>
          </w:p>
        </w:tc>
        <w:tc>
          <w:tcPr>
            <w:tcW w:w="1134" w:type="dxa"/>
            <w:gridSpan w:val="2"/>
          </w:tcPr>
          <w:p w14:paraId="12EDF4EA"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-0.0283</w:t>
            </w:r>
          </w:p>
        </w:tc>
      </w:tr>
      <w:tr w:rsidR="00F8412C" w:rsidRPr="00E82A4D" w14:paraId="70CD220B" w14:textId="77777777" w:rsidTr="00F8412C">
        <w:tc>
          <w:tcPr>
            <w:tcW w:w="2551" w:type="dxa"/>
            <w:vAlign w:val="center"/>
          </w:tcPr>
          <w:p w14:paraId="280034EE" w14:textId="77777777" w:rsidR="00F8412C" w:rsidRPr="00E82A4D" w:rsidRDefault="00F8412C" w:rsidP="00F8412C">
            <w:pPr>
              <w:rPr>
                <w:rFonts w:asciiTheme="minorHAnsi" w:hAnsiTheme="minorHAnsi"/>
                <w:sz w:val="18"/>
                <w:szCs w:val="18"/>
              </w:rPr>
            </w:pPr>
            <w:r w:rsidRPr="00E82A4D">
              <w:rPr>
                <w:rFonts w:asciiTheme="minorHAnsi" w:hAnsiTheme="minorHAnsi"/>
                <w:sz w:val="18"/>
                <w:szCs w:val="18"/>
              </w:rPr>
              <w:t>Other society and culture</w:t>
            </w:r>
          </w:p>
        </w:tc>
        <w:tc>
          <w:tcPr>
            <w:tcW w:w="1135" w:type="dxa"/>
          </w:tcPr>
          <w:p w14:paraId="2AFB477C"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-0.295</w:t>
            </w:r>
          </w:p>
        </w:tc>
        <w:tc>
          <w:tcPr>
            <w:tcW w:w="1417" w:type="dxa"/>
          </w:tcPr>
          <w:p w14:paraId="04F21C4B"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-0.119</w:t>
            </w:r>
          </w:p>
        </w:tc>
        <w:tc>
          <w:tcPr>
            <w:tcW w:w="1134" w:type="dxa"/>
          </w:tcPr>
          <w:p w14:paraId="57341E38"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-0.103</w:t>
            </w:r>
          </w:p>
        </w:tc>
        <w:tc>
          <w:tcPr>
            <w:tcW w:w="993" w:type="dxa"/>
          </w:tcPr>
          <w:p w14:paraId="0578344C"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-0.0955</w:t>
            </w:r>
          </w:p>
        </w:tc>
        <w:tc>
          <w:tcPr>
            <w:tcW w:w="1417" w:type="dxa"/>
          </w:tcPr>
          <w:p w14:paraId="6F7AF4F0"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-0.0813</w:t>
            </w:r>
          </w:p>
        </w:tc>
        <w:tc>
          <w:tcPr>
            <w:tcW w:w="1134" w:type="dxa"/>
          </w:tcPr>
          <w:p w14:paraId="5B139744"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-0.0915</w:t>
            </w:r>
          </w:p>
        </w:tc>
        <w:tc>
          <w:tcPr>
            <w:tcW w:w="992" w:type="dxa"/>
          </w:tcPr>
          <w:p w14:paraId="199F041E"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-0.302**</w:t>
            </w:r>
          </w:p>
        </w:tc>
        <w:tc>
          <w:tcPr>
            <w:tcW w:w="1418" w:type="dxa"/>
          </w:tcPr>
          <w:p w14:paraId="046DA268"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-0.320**</w:t>
            </w:r>
          </w:p>
        </w:tc>
        <w:tc>
          <w:tcPr>
            <w:tcW w:w="1134" w:type="dxa"/>
            <w:gridSpan w:val="2"/>
          </w:tcPr>
          <w:p w14:paraId="7CFC2966"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-0.280***</w:t>
            </w:r>
          </w:p>
        </w:tc>
      </w:tr>
      <w:tr w:rsidR="00F8412C" w:rsidRPr="00E82A4D" w14:paraId="3E8DA8A7" w14:textId="77777777" w:rsidTr="00F8412C">
        <w:tc>
          <w:tcPr>
            <w:tcW w:w="2551" w:type="dxa"/>
            <w:vAlign w:val="center"/>
          </w:tcPr>
          <w:p w14:paraId="089FE0BB" w14:textId="77777777" w:rsidR="00F8412C" w:rsidRPr="00E82A4D" w:rsidRDefault="00F8412C" w:rsidP="00F8412C">
            <w:pPr>
              <w:rPr>
                <w:rFonts w:asciiTheme="minorHAnsi" w:hAnsiTheme="minorHAnsi"/>
                <w:sz w:val="18"/>
                <w:szCs w:val="18"/>
              </w:rPr>
            </w:pPr>
            <w:r w:rsidRPr="00E82A4D">
              <w:rPr>
                <w:rFonts w:asciiTheme="minorHAnsi" w:hAnsiTheme="minorHAnsi"/>
                <w:sz w:val="18"/>
                <w:szCs w:val="18"/>
              </w:rPr>
              <w:t>Communication and media studies</w:t>
            </w:r>
          </w:p>
        </w:tc>
        <w:tc>
          <w:tcPr>
            <w:tcW w:w="1135" w:type="dxa"/>
          </w:tcPr>
          <w:p w14:paraId="787D2C96"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-0.147</w:t>
            </w:r>
          </w:p>
        </w:tc>
        <w:tc>
          <w:tcPr>
            <w:tcW w:w="1417" w:type="dxa"/>
          </w:tcPr>
          <w:p w14:paraId="752481B5"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-0.117</w:t>
            </w:r>
          </w:p>
        </w:tc>
        <w:tc>
          <w:tcPr>
            <w:tcW w:w="1134" w:type="dxa"/>
          </w:tcPr>
          <w:p w14:paraId="1490E97A"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-0.0282</w:t>
            </w:r>
          </w:p>
        </w:tc>
        <w:tc>
          <w:tcPr>
            <w:tcW w:w="993" w:type="dxa"/>
          </w:tcPr>
          <w:p w14:paraId="1659B661"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-0.0147</w:t>
            </w:r>
          </w:p>
        </w:tc>
        <w:tc>
          <w:tcPr>
            <w:tcW w:w="1417" w:type="dxa"/>
          </w:tcPr>
          <w:p w14:paraId="0AB65E8A"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0.0227</w:t>
            </w:r>
          </w:p>
        </w:tc>
        <w:tc>
          <w:tcPr>
            <w:tcW w:w="1134" w:type="dxa"/>
          </w:tcPr>
          <w:p w14:paraId="1155898F"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-0.0169</w:t>
            </w:r>
          </w:p>
        </w:tc>
        <w:tc>
          <w:tcPr>
            <w:tcW w:w="992" w:type="dxa"/>
          </w:tcPr>
          <w:p w14:paraId="198AF9FC"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-0.0983</w:t>
            </w:r>
          </w:p>
        </w:tc>
        <w:tc>
          <w:tcPr>
            <w:tcW w:w="1418" w:type="dxa"/>
          </w:tcPr>
          <w:p w14:paraId="03A4F385"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-0.196***</w:t>
            </w:r>
          </w:p>
        </w:tc>
        <w:tc>
          <w:tcPr>
            <w:tcW w:w="1134" w:type="dxa"/>
            <w:gridSpan w:val="2"/>
          </w:tcPr>
          <w:p w14:paraId="6A1EE6EB"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-0.110</w:t>
            </w:r>
          </w:p>
        </w:tc>
      </w:tr>
      <w:tr w:rsidR="00F8412C" w:rsidRPr="00E82A4D" w14:paraId="124C4491" w14:textId="77777777" w:rsidTr="00F8412C">
        <w:tc>
          <w:tcPr>
            <w:tcW w:w="2551" w:type="dxa"/>
            <w:vAlign w:val="center"/>
          </w:tcPr>
          <w:p w14:paraId="5B8BDBFE" w14:textId="77777777" w:rsidR="00F8412C" w:rsidRPr="00E82A4D" w:rsidRDefault="00F8412C" w:rsidP="00F8412C">
            <w:pPr>
              <w:rPr>
                <w:rFonts w:asciiTheme="minorHAnsi" w:hAnsiTheme="minorHAnsi"/>
                <w:sz w:val="18"/>
                <w:szCs w:val="18"/>
              </w:rPr>
            </w:pPr>
            <w:r w:rsidRPr="00E82A4D">
              <w:rPr>
                <w:rFonts w:asciiTheme="minorHAnsi" w:hAnsiTheme="minorHAnsi"/>
                <w:sz w:val="18"/>
                <w:szCs w:val="18"/>
              </w:rPr>
              <w:t>Other creative arts</w:t>
            </w:r>
          </w:p>
        </w:tc>
        <w:tc>
          <w:tcPr>
            <w:tcW w:w="1135" w:type="dxa"/>
          </w:tcPr>
          <w:p w14:paraId="1F838A80"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0.145</w:t>
            </w:r>
          </w:p>
        </w:tc>
        <w:tc>
          <w:tcPr>
            <w:tcW w:w="1417" w:type="dxa"/>
          </w:tcPr>
          <w:p w14:paraId="14650135"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0.0317</w:t>
            </w:r>
          </w:p>
        </w:tc>
        <w:tc>
          <w:tcPr>
            <w:tcW w:w="1134" w:type="dxa"/>
          </w:tcPr>
          <w:p w14:paraId="01EC0448"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0.0905</w:t>
            </w:r>
          </w:p>
        </w:tc>
        <w:tc>
          <w:tcPr>
            <w:tcW w:w="993" w:type="dxa"/>
          </w:tcPr>
          <w:p w14:paraId="566CF035"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0.152***</w:t>
            </w:r>
          </w:p>
        </w:tc>
        <w:tc>
          <w:tcPr>
            <w:tcW w:w="1417" w:type="dxa"/>
          </w:tcPr>
          <w:p w14:paraId="2C4807FC"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0.137</w:t>
            </w:r>
          </w:p>
        </w:tc>
        <w:tc>
          <w:tcPr>
            <w:tcW w:w="1134" w:type="dxa"/>
          </w:tcPr>
          <w:p w14:paraId="62671A26" w14:textId="77777777" w:rsidR="00F8412C" w:rsidRPr="00E82A4D" w:rsidRDefault="00F8412C" w:rsidP="00F8412C">
            <w:pPr>
              <w:widowControl w:val="0"/>
              <w:autoSpaceDE w:val="0"/>
              <w:autoSpaceDN w:val="0"/>
              <w:adjustRightInd w:val="0"/>
              <w:jc w:val="center"/>
              <w:rPr>
                <w:rFonts w:asciiTheme="minorHAnsi" w:hAnsiTheme="minorHAnsi"/>
                <w:sz w:val="18"/>
                <w:szCs w:val="18"/>
              </w:rPr>
            </w:pPr>
            <w:r w:rsidRPr="00E82A4D">
              <w:rPr>
                <w:rFonts w:asciiTheme="minorHAnsi" w:hAnsiTheme="minorHAnsi"/>
                <w:sz w:val="18"/>
                <w:szCs w:val="18"/>
              </w:rPr>
              <w:t>0.124*</w:t>
            </w:r>
          </w:p>
        </w:tc>
        <w:tc>
          <w:tcPr>
            <w:tcW w:w="992" w:type="dxa"/>
          </w:tcPr>
          <w:p w14:paraId="28630836"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0.0134</w:t>
            </w:r>
          </w:p>
        </w:tc>
        <w:tc>
          <w:tcPr>
            <w:tcW w:w="1418" w:type="dxa"/>
          </w:tcPr>
          <w:p w14:paraId="7A3EC260"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0.0116</w:t>
            </w:r>
          </w:p>
        </w:tc>
        <w:tc>
          <w:tcPr>
            <w:tcW w:w="1134" w:type="dxa"/>
            <w:gridSpan w:val="2"/>
          </w:tcPr>
          <w:p w14:paraId="54B3D702"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-0.00581</w:t>
            </w:r>
          </w:p>
        </w:tc>
      </w:tr>
      <w:tr w:rsidR="00F8412C" w:rsidRPr="00E82A4D" w14:paraId="6F596C3C" w14:textId="77777777" w:rsidTr="00F8412C">
        <w:tc>
          <w:tcPr>
            <w:tcW w:w="2551" w:type="dxa"/>
            <w:vAlign w:val="center"/>
          </w:tcPr>
          <w:p w14:paraId="12EF242D" w14:textId="77777777" w:rsidR="00F8412C" w:rsidRPr="00E82A4D" w:rsidRDefault="00F8412C" w:rsidP="00F8412C">
            <w:pPr>
              <w:rPr>
                <w:rFonts w:asciiTheme="minorHAnsi" w:hAnsiTheme="minorHAnsi"/>
                <w:sz w:val="18"/>
                <w:szCs w:val="18"/>
              </w:rPr>
            </w:pPr>
          </w:p>
        </w:tc>
        <w:tc>
          <w:tcPr>
            <w:tcW w:w="1135" w:type="dxa"/>
            <w:vAlign w:val="bottom"/>
          </w:tcPr>
          <w:p w14:paraId="7B4BA058" w14:textId="77777777" w:rsidR="00F8412C" w:rsidRPr="00E82A4D" w:rsidRDefault="00F8412C" w:rsidP="00F8412C">
            <w:pPr>
              <w:jc w:val="center"/>
              <w:rPr>
                <w:rFonts w:asciiTheme="minorHAnsi" w:hAnsiTheme="minorHAnsi"/>
                <w:color w:val="000000"/>
                <w:sz w:val="18"/>
                <w:szCs w:val="18"/>
              </w:rPr>
            </w:pPr>
          </w:p>
        </w:tc>
        <w:tc>
          <w:tcPr>
            <w:tcW w:w="1417" w:type="dxa"/>
            <w:vAlign w:val="bottom"/>
          </w:tcPr>
          <w:p w14:paraId="1F53538C" w14:textId="77777777" w:rsidR="00F8412C" w:rsidRPr="00E82A4D" w:rsidRDefault="00F8412C" w:rsidP="00F8412C">
            <w:pPr>
              <w:jc w:val="center"/>
              <w:rPr>
                <w:rFonts w:asciiTheme="minorHAnsi" w:hAnsiTheme="minorHAnsi"/>
                <w:sz w:val="18"/>
                <w:szCs w:val="18"/>
              </w:rPr>
            </w:pPr>
          </w:p>
        </w:tc>
        <w:tc>
          <w:tcPr>
            <w:tcW w:w="1134" w:type="dxa"/>
            <w:vAlign w:val="bottom"/>
          </w:tcPr>
          <w:p w14:paraId="5AB8D3D6" w14:textId="77777777" w:rsidR="00F8412C" w:rsidRPr="00E82A4D" w:rsidRDefault="00F8412C" w:rsidP="00F8412C">
            <w:pPr>
              <w:jc w:val="center"/>
              <w:rPr>
                <w:rFonts w:asciiTheme="minorHAnsi" w:hAnsiTheme="minorHAnsi"/>
                <w:sz w:val="18"/>
                <w:szCs w:val="18"/>
              </w:rPr>
            </w:pPr>
          </w:p>
        </w:tc>
        <w:tc>
          <w:tcPr>
            <w:tcW w:w="993" w:type="dxa"/>
            <w:vAlign w:val="bottom"/>
          </w:tcPr>
          <w:p w14:paraId="7FA3987F" w14:textId="77777777" w:rsidR="00F8412C" w:rsidRPr="00E82A4D" w:rsidRDefault="00F8412C" w:rsidP="00F8412C">
            <w:pPr>
              <w:jc w:val="center"/>
              <w:rPr>
                <w:rFonts w:asciiTheme="minorHAnsi" w:hAnsiTheme="minorHAnsi"/>
                <w:color w:val="000000"/>
                <w:sz w:val="18"/>
                <w:szCs w:val="18"/>
              </w:rPr>
            </w:pPr>
          </w:p>
        </w:tc>
        <w:tc>
          <w:tcPr>
            <w:tcW w:w="1417" w:type="dxa"/>
            <w:vAlign w:val="bottom"/>
          </w:tcPr>
          <w:p w14:paraId="421E4596" w14:textId="77777777" w:rsidR="00F8412C" w:rsidRPr="00E82A4D" w:rsidRDefault="00F8412C" w:rsidP="00F8412C">
            <w:pPr>
              <w:jc w:val="center"/>
              <w:rPr>
                <w:rFonts w:asciiTheme="minorHAnsi" w:hAnsiTheme="minorHAnsi"/>
                <w:sz w:val="18"/>
                <w:szCs w:val="18"/>
              </w:rPr>
            </w:pPr>
          </w:p>
        </w:tc>
        <w:tc>
          <w:tcPr>
            <w:tcW w:w="1134" w:type="dxa"/>
            <w:vAlign w:val="bottom"/>
          </w:tcPr>
          <w:p w14:paraId="1E60524D" w14:textId="77777777" w:rsidR="00F8412C" w:rsidRPr="00E82A4D" w:rsidRDefault="00F8412C" w:rsidP="00F8412C">
            <w:pPr>
              <w:jc w:val="center"/>
              <w:rPr>
                <w:rFonts w:asciiTheme="minorHAnsi" w:hAnsiTheme="minorHAnsi"/>
                <w:sz w:val="18"/>
                <w:szCs w:val="18"/>
              </w:rPr>
            </w:pPr>
          </w:p>
        </w:tc>
        <w:tc>
          <w:tcPr>
            <w:tcW w:w="992" w:type="dxa"/>
          </w:tcPr>
          <w:p w14:paraId="70422066" w14:textId="77777777" w:rsidR="00F8412C" w:rsidRPr="005F39C9" w:rsidRDefault="00F8412C" w:rsidP="00F8412C">
            <w:pPr>
              <w:jc w:val="center"/>
              <w:rPr>
                <w:rFonts w:asciiTheme="minorHAnsi" w:hAnsiTheme="minorHAnsi"/>
                <w:sz w:val="18"/>
                <w:szCs w:val="18"/>
              </w:rPr>
            </w:pPr>
          </w:p>
        </w:tc>
        <w:tc>
          <w:tcPr>
            <w:tcW w:w="1418" w:type="dxa"/>
          </w:tcPr>
          <w:p w14:paraId="33E1CD62" w14:textId="77777777" w:rsidR="00F8412C" w:rsidRPr="005F39C9" w:rsidRDefault="00F8412C" w:rsidP="00F8412C">
            <w:pPr>
              <w:jc w:val="center"/>
              <w:rPr>
                <w:rFonts w:asciiTheme="minorHAnsi" w:hAnsiTheme="minorHAnsi"/>
                <w:sz w:val="18"/>
                <w:szCs w:val="18"/>
              </w:rPr>
            </w:pPr>
          </w:p>
        </w:tc>
        <w:tc>
          <w:tcPr>
            <w:tcW w:w="1134" w:type="dxa"/>
            <w:gridSpan w:val="2"/>
          </w:tcPr>
          <w:p w14:paraId="78910AD4" w14:textId="77777777" w:rsidR="00F8412C" w:rsidRPr="005F39C9" w:rsidRDefault="00F8412C" w:rsidP="00F8412C">
            <w:pPr>
              <w:jc w:val="center"/>
              <w:rPr>
                <w:rFonts w:asciiTheme="minorHAnsi" w:hAnsiTheme="minorHAnsi"/>
                <w:sz w:val="18"/>
                <w:szCs w:val="18"/>
              </w:rPr>
            </w:pPr>
          </w:p>
        </w:tc>
      </w:tr>
      <w:tr w:rsidR="00F8412C" w:rsidRPr="00E82A4D" w14:paraId="7F6CD2F1" w14:textId="77777777" w:rsidTr="00F8412C">
        <w:tc>
          <w:tcPr>
            <w:tcW w:w="2551" w:type="dxa"/>
            <w:vAlign w:val="center"/>
          </w:tcPr>
          <w:p w14:paraId="549A3880" w14:textId="77777777" w:rsidR="00F8412C" w:rsidRPr="00E82A4D" w:rsidRDefault="00F8412C" w:rsidP="00F8412C">
            <w:pPr>
              <w:rPr>
                <w:rFonts w:asciiTheme="minorHAnsi" w:hAnsiTheme="minorHAnsi"/>
                <w:sz w:val="18"/>
                <w:szCs w:val="18"/>
              </w:rPr>
            </w:pPr>
            <w:r w:rsidRPr="00E82A4D">
              <w:rPr>
                <w:rFonts w:asciiTheme="minorHAnsi" w:hAnsiTheme="minorHAnsi"/>
                <w:sz w:val="18"/>
                <w:szCs w:val="18"/>
              </w:rPr>
              <w:t>Constant</w:t>
            </w:r>
          </w:p>
        </w:tc>
        <w:tc>
          <w:tcPr>
            <w:tcW w:w="1135" w:type="dxa"/>
          </w:tcPr>
          <w:p w14:paraId="3B766655"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11.84***</w:t>
            </w:r>
          </w:p>
        </w:tc>
        <w:tc>
          <w:tcPr>
            <w:tcW w:w="1417" w:type="dxa"/>
          </w:tcPr>
          <w:p w14:paraId="4840B0EE"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12.22***</w:t>
            </w:r>
          </w:p>
        </w:tc>
        <w:tc>
          <w:tcPr>
            <w:tcW w:w="1134" w:type="dxa"/>
          </w:tcPr>
          <w:p w14:paraId="74D0836F"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12.27***</w:t>
            </w:r>
          </w:p>
        </w:tc>
        <w:tc>
          <w:tcPr>
            <w:tcW w:w="993" w:type="dxa"/>
          </w:tcPr>
          <w:p w14:paraId="7E4F2584" w14:textId="77777777" w:rsidR="00F8412C" w:rsidRPr="00E82A4D" w:rsidRDefault="00F8412C" w:rsidP="00F8412C">
            <w:pPr>
              <w:jc w:val="center"/>
              <w:rPr>
                <w:rFonts w:asciiTheme="minorHAnsi" w:hAnsiTheme="minorHAnsi"/>
                <w:color w:val="000000"/>
                <w:sz w:val="18"/>
                <w:szCs w:val="18"/>
              </w:rPr>
            </w:pPr>
            <w:r w:rsidRPr="00E82A4D">
              <w:rPr>
                <w:rFonts w:asciiTheme="minorHAnsi" w:hAnsiTheme="minorHAnsi"/>
                <w:sz w:val="18"/>
                <w:szCs w:val="18"/>
              </w:rPr>
              <w:t>10.95***</w:t>
            </w:r>
          </w:p>
        </w:tc>
        <w:tc>
          <w:tcPr>
            <w:tcW w:w="1417" w:type="dxa"/>
          </w:tcPr>
          <w:p w14:paraId="3D5F443F" w14:textId="77777777" w:rsidR="00F8412C" w:rsidRPr="00E82A4D" w:rsidRDefault="00F8412C" w:rsidP="00F8412C">
            <w:pPr>
              <w:jc w:val="center"/>
              <w:rPr>
                <w:rFonts w:asciiTheme="minorHAnsi" w:hAnsiTheme="minorHAnsi"/>
                <w:sz w:val="18"/>
                <w:szCs w:val="18"/>
              </w:rPr>
            </w:pPr>
            <w:r w:rsidRPr="00E82A4D">
              <w:rPr>
                <w:rFonts w:asciiTheme="minorHAnsi" w:hAnsiTheme="minorHAnsi"/>
                <w:sz w:val="18"/>
                <w:szCs w:val="18"/>
              </w:rPr>
              <w:t>10.85***</w:t>
            </w:r>
          </w:p>
        </w:tc>
        <w:tc>
          <w:tcPr>
            <w:tcW w:w="1134" w:type="dxa"/>
          </w:tcPr>
          <w:p w14:paraId="0AC9F224" w14:textId="77777777" w:rsidR="00F8412C" w:rsidRPr="00E82A4D" w:rsidRDefault="00F8412C" w:rsidP="00F8412C">
            <w:pPr>
              <w:jc w:val="center"/>
              <w:rPr>
                <w:rFonts w:asciiTheme="minorHAnsi" w:hAnsiTheme="minorHAnsi"/>
                <w:sz w:val="18"/>
                <w:szCs w:val="18"/>
              </w:rPr>
            </w:pPr>
            <w:r w:rsidRPr="00E82A4D">
              <w:rPr>
                <w:rFonts w:asciiTheme="minorHAnsi" w:hAnsiTheme="minorHAnsi"/>
                <w:sz w:val="18"/>
                <w:szCs w:val="18"/>
              </w:rPr>
              <w:t>10.96***</w:t>
            </w:r>
          </w:p>
        </w:tc>
        <w:tc>
          <w:tcPr>
            <w:tcW w:w="992" w:type="dxa"/>
          </w:tcPr>
          <w:p w14:paraId="005B0CF9"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11.11***</w:t>
            </w:r>
          </w:p>
        </w:tc>
        <w:tc>
          <w:tcPr>
            <w:tcW w:w="1418" w:type="dxa"/>
          </w:tcPr>
          <w:p w14:paraId="400D6148"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11.10***</w:t>
            </w:r>
          </w:p>
        </w:tc>
        <w:tc>
          <w:tcPr>
            <w:tcW w:w="1134" w:type="dxa"/>
            <w:gridSpan w:val="2"/>
          </w:tcPr>
          <w:p w14:paraId="5C59E32B"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11.12***</w:t>
            </w:r>
          </w:p>
        </w:tc>
      </w:tr>
      <w:tr w:rsidR="00F8412C" w:rsidRPr="00E82A4D" w14:paraId="58485F17" w14:textId="77777777" w:rsidTr="00F8412C">
        <w:tc>
          <w:tcPr>
            <w:tcW w:w="2551" w:type="dxa"/>
            <w:vAlign w:val="center"/>
          </w:tcPr>
          <w:p w14:paraId="0CE55E17" w14:textId="77777777" w:rsidR="00F8412C" w:rsidRPr="00E82A4D" w:rsidRDefault="00F8412C" w:rsidP="00F8412C">
            <w:pPr>
              <w:rPr>
                <w:rFonts w:asciiTheme="minorHAnsi" w:hAnsiTheme="minorHAnsi"/>
                <w:sz w:val="18"/>
                <w:szCs w:val="18"/>
              </w:rPr>
            </w:pPr>
          </w:p>
        </w:tc>
        <w:tc>
          <w:tcPr>
            <w:tcW w:w="1135" w:type="dxa"/>
            <w:vAlign w:val="bottom"/>
          </w:tcPr>
          <w:p w14:paraId="5657599E" w14:textId="77777777" w:rsidR="00F8412C" w:rsidRPr="00E82A4D" w:rsidRDefault="00F8412C" w:rsidP="00F8412C">
            <w:pPr>
              <w:jc w:val="center"/>
              <w:rPr>
                <w:rFonts w:asciiTheme="minorHAnsi" w:hAnsiTheme="minorHAnsi"/>
                <w:color w:val="000000"/>
                <w:sz w:val="18"/>
                <w:szCs w:val="18"/>
              </w:rPr>
            </w:pPr>
          </w:p>
        </w:tc>
        <w:tc>
          <w:tcPr>
            <w:tcW w:w="1417" w:type="dxa"/>
            <w:vAlign w:val="bottom"/>
          </w:tcPr>
          <w:p w14:paraId="7015E441" w14:textId="77777777" w:rsidR="00F8412C" w:rsidRPr="00E82A4D" w:rsidRDefault="00F8412C" w:rsidP="00F8412C">
            <w:pPr>
              <w:jc w:val="center"/>
              <w:rPr>
                <w:rFonts w:asciiTheme="minorHAnsi" w:hAnsiTheme="minorHAnsi"/>
                <w:sz w:val="18"/>
                <w:szCs w:val="18"/>
              </w:rPr>
            </w:pPr>
          </w:p>
        </w:tc>
        <w:tc>
          <w:tcPr>
            <w:tcW w:w="1134" w:type="dxa"/>
            <w:vAlign w:val="bottom"/>
          </w:tcPr>
          <w:p w14:paraId="12E273FF" w14:textId="77777777" w:rsidR="00F8412C" w:rsidRPr="00E82A4D" w:rsidRDefault="00F8412C" w:rsidP="00F8412C">
            <w:pPr>
              <w:jc w:val="center"/>
              <w:rPr>
                <w:rFonts w:asciiTheme="minorHAnsi" w:hAnsiTheme="minorHAnsi"/>
                <w:sz w:val="18"/>
                <w:szCs w:val="18"/>
              </w:rPr>
            </w:pPr>
          </w:p>
        </w:tc>
        <w:tc>
          <w:tcPr>
            <w:tcW w:w="993" w:type="dxa"/>
            <w:vAlign w:val="bottom"/>
          </w:tcPr>
          <w:p w14:paraId="1488C426" w14:textId="77777777" w:rsidR="00F8412C" w:rsidRPr="00E82A4D" w:rsidRDefault="00F8412C" w:rsidP="00F8412C">
            <w:pPr>
              <w:jc w:val="center"/>
              <w:rPr>
                <w:rFonts w:asciiTheme="minorHAnsi" w:hAnsiTheme="minorHAnsi"/>
                <w:color w:val="000000"/>
                <w:sz w:val="18"/>
                <w:szCs w:val="18"/>
              </w:rPr>
            </w:pPr>
          </w:p>
        </w:tc>
        <w:tc>
          <w:tcPr>
            <w:tcW w:w="1417" w:type="dxa"/>
            <w:vAlign w:val="bottom"/>
          </w:tcPr>
          <w:p w14:paraId="5DD9965B" w14:textId="77777777" w:rsidR="00F8412C" w:rsidRPr="00E82A4D" w:rsidRDefault="00F8412C" w:rsidP="00F8412C">
            <w:pPr>
              <w:jc w:val="center"/>
              <w:rPr>
                <w:rFonts w:asciiTheme="minorHAnsi" w:hAnsiTheme="minorHAnsi"/>
                <w:sz w:val="18"/>
                <w:szCs w:val="18"/>
              </w:rPr>
            </w:pPr>
          </w:p>
        </w:tc>
        <w:tc>
          <w:tcPr>
            <w:tcW w:w="1134" w:type="dxa"/>
            <w:vAlign w:val="bottom"/>
          </w:tcPr>
          <w:p w14:paraId="7F6A15DE" w14:textId="77777777" w:rsidR="00F8412C" w:rsidRPr="00E82A4D" w:rsidRDefault="00F8412C" w:rsidP="00F8412C">
            <w:pPr>
              <w:jc w:val="center"/>
              <w:rPr>
                <w:rFonts w:asciiTheme="minorHAnsi" w:hAnsiTheme="minorHAnsi"/>
                <w:sz w:val="18"/>
                <w:szCs w:val="18"/>
              </w:rPr>
            </w:pPr>
          </w:p>
        </w:tc>
        <w:tc>
          <w:tcPr>
            <w:tcW w:w="992" w:type="dxa"/>
          </w:tcPr>
          <w:p w14:paraId="23D5ECAC" w14:textId="77777777" w:rsidR="00F8412C" w:rsidRPr="005F39C9" w:rsidRDefault="00F8412C" w:rsidP="00F8412C">
            <w:pPr>
              <w:jc w:val="center"/>
              <w:rPr>
                <w:rFonts w:asciiTheme="minorHAnsi" w:hAnsiTheme="minorHAnsi"/>
                <w:sz w:val="18"/>
                <w:szCs w:val="18"/>
              </w:rPr>
            </w:pPr>
          </w:p>
        </w:tc>
        <w:tc>
          <w:tcPr>
            <w:tcW w:w="1418" w:type="dxa"/>
          </w:tcPr>
          <w:p w14:paraId="60E5423F" w14:textId="77777777" w:rsidR="00F8412C" w:rsidRPr="005F39C9" w:rsidRDefault="00F8412C" w:rsidP="00F8412C">
            <w:pPr>
              <w:jc w:val="center"/>
              <w:rPr>
                <w:rFonts w:asciiTheme="minorHAnsi" w:hAnsiTheme="minorHAnsi"/>
                <w:sz w:val="18"/>
                <w:szCs w:val="18"/>
              </w:rPr>
            </w:pPr>
          </w:p>
        </w:tc>
        <w:tc>
          <w:tcPr>
            <w:tcW w:w="1134" w:type="dxa"/>
            <w:gridSpan w:val="2"/>
          </w:tcPr>
          <w:p w14:paraId="562B5AD4" w14:textId="77777777" w:rsidR="00F8412C" w:rsidRPr="005F39C9" w:rsidRDefault="00F8412C" w:rsidP="00F8412C">
            <w:pPr>
              <w:jc w:val="center"/>
              <w:rPr>
                <w:rFonts w:asciiTheme="minorHAnsi" w:hAnsiTheme="minorHAnsi"/>
                <w:sz w:val="18"/>
                <w:szCs w:val="18"/>
              </w:rPr>
            </w:pPr>
          </w:p>
        </w:tc>
      </w:tr>
      <w:tr w:rsidR="00F8412C" w:rsidRPr="00E82A4D" w14:paraId="6BA9383E" w14:textId="77777777" w:rsidTr="00F8412C">
        <w:tc>
          <w:tcPr>
            <w:tcW w:w="2551" w:type="dxa"/>
            <w:vAlign w:val="center"/>
          </w:tcPr>
          <w:p w14:paraId="6B74DAA8" w14:textId="77777777" w:rsidR="00F8412C" w:rsidRPr="00E82A4D" w:rsidRDefault="00F8412C" w:rsidP="00F8412C">
            <w:pPr>
              <w:rPr>
                <w:rFonts w:asciiTheme="minorHAnsi" w:hAnsiTheme="minorHAnsi"/>
                <w:i/>
                <w:sz w:val="18"/>
                <w:szCs w:val="18"/>
              </w:rPr>
            </w:pPr>
            <w:r w:rsidRPr="00E82A4D">
              <w:rPr>
                <w:rFonts w:asciiTheme="minorHAnsi" w:hAnsiTheme="minorHAnsi"/>
                <w:i/>
                <w:sz w:val="18"/>
                <w:szCs w:val="18"/>
              </w:rPr>
              <w:t>Observations</w:t>
            </w:r>
          </w:p>
        </w:tc>
        <w:tc>
          <w:tcPr>
            <w:tcW w:w="1135" w:type="dxa"/>
          </w:tcPr>
          <w:p w14:paraId="7CF54F0C"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127</w:t>
            </w:r>
          </w:p>
        </w:tc>
        <w:tc>
          <w:tcPr>
            <w:tcW w:w="1417" w:type="dxa"/>
          </w:tcPr>
          <w:p w14:paraId="69E66E7A"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127</w:t>
            </w:r>
          </w:p>
        </w:tc>
        <w:tc>
          <w:tcPr>
            <w:tcW w:w="1134" w:type="dxa"/>
          </w:tcPr>
          <w:p w14:paraId="4829268C"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127</w:t>
            </w:r>
          </w:p>
        </w:tc>
        <w:tc>
          <w:tcPr>
            <w:tcW w:w="993" w:type="dxa"/>
          </w:tcPr>
          <w:p w14:paraId="6DB895BC" w14:textId="77777777" w:rsidR="00F8412C" w:rsidRPr="00E82A4D" w:rsidRDefault="00F8412C" w:rsidP="00F8412C">
            <w:pPr>
              <w:jc w:val="center"/>
              <w:rPr>
                <w:rFonts w:asciiTheme="minorHAnsi" w:hAnsiTheme="minorHAnsi"/>
                <w:color w:val="000000"/>
                <w:sz w:val="18"/>
                <w:szCs w:val="18"/>
              </w:rPr>
            </w:pPr>
            <w:r w:rsidRPr="00E82A4D">
              <w:rPr>
                <w:rFonts w:asciiTheme="minorHAnsi" w:hAnsiTheme="minorHAnsi"/>
                <w:sz w:val="18"/>
                <w:szCs w:val="18"/>
              </w:rPr>
              <w:t>280</w:t>
            </w:r>
          </w:p>
        </w:tc>
        <w:tc>
          <w:tcPr>
            <w:tcW w:w="1417" w:type="dxa"/>
          </w:tcPr>
          <w:p w14:paraId="5D553512" w14:textId="77777777" w:rsidR="00F8412C" w:rsidRPr="00E82A4D" w:rsidRDefault="00F8412C" w:rsidP="00F8412C">
            <w:pPr>
              <w:jc w:val="center"/>
              <w:rPr>
                <w:rFonts w:asciiTheme="minorHAnsi" w:hAnsiTheme="minorHAnsi"/>
                <w:color w:val="000000"/>
                <w:sz w:val="18"/>
                <w:szCs w:val="18"/>
              </w:rPr>
            </w:pPr>
            <w:r w:rsidRPr="00E82A4D">
              <w:rPr>
                <w:rFonts w:asciiTheme="minorHAnsi" w:hAnsiTheme="minorHAnsi"/>
                <w:sz w:val="18"/>
                <w:szCs w:val="18"/>
              </w:rPr>
              <w:t>280</w:t>
            </w:r>
          </w:p>
        </w:tc>
        <w:tc>
          <w:tcPr>
            <w:tcW w:w="1134" w:type="dxa"/>
          </w:tcPr>
          <w:p w14:paraId="28E1E369" w14:textId="77777777" w:rsidR="00F8412C" w:rsidRPr="00E82A4D" w:rsidRDefault="00F8412C" w:rsidP="00F8412C">
            <w:pPr>
              <w:jc w:val="center"/>
              <w:rPr>
                <w:rFonts w:asciiTheme="minorHAnsi" w:hAnsiTheme="minorHAnsi"/>
                <w:color w:val="000000"/>
                <w:sz w:val="18"/>
                <w:szCs w:val="18"/>
              </w:rPr>
            </w:pPr>
            <w:r w:rsidRPr="00E82A4D">
              <w:rPr>
                <w:rFonts w:asciiTheme="minorHAnsi" w:hAnsiTheme="minorHAnsi"/>
                <w:sz w:val="18"/>
                <w:szCs w:val="18"/>
              </w:rPr>
              <w:t>280</w:t>
            </w:r>
          </w:p>
        </w:tc>
        <w:tc>
          <w:tcPr>
            <w:tcW w:w="992" w:type="dxa"/>
          </w:tcPr>
          <w:p w14:paraId="7CDDEDE3"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241</w:t>
            </w:r>
          </w:p>
        </w:tc>
        <w:tc>
          <w:tcPr>
            <w:tcW w:w="1418" w:type="dxa"/>
          </w:tcPr>
          <w:p w14:paraId="68FC06E3"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241</w:t>
            </w:r>
          </w:p>
        </w:tc>
        <w:tc>
          <w:tcPr>
            <w:tcW w:w="1134" w:type="dxa"/>
            <w:gridSpan w:val="2"/>
          </w:tcPr>
          <w:p w14:paraId="27A1222F" w14:textId="77777777" w:rsidR="00F8412C" w:rsidRPr="005F39C9" w:rsidRDefault="00F8412C" w:rsidP="00F8412C">
            <w:pPr>
              <w:widowControl w:val="0"/>
              <w:autoSpaceDE w:val="0"/>
              <w:autoSpaceDN w:val="0"/>
              <w:adjustRightInd w:val="0"/>
              <w:jc w:val="center"/>
              <w:rPr>
                <w:rFonts w:asciiTheme="minorHAnsi" w:hAnsiTheme="minorHAnsi"/>
                <w:sz w:val="18"/>
                <w:szCs w:val="18"/>
              </w:rPr>
            </w:pPr>
            <w:r w:rsidRPr="005F39C9">
              <w:rPr>
                <w:rFonts w:asciiTheme="minorHAnsi" w:hAnsiTheme="minorHAnsi"/>
                <w:sz w:val="18"/>
                <w:szCs w:val="18"/>
              </w:rPr>
              <w:t>241</w:t>
            </w:r>
          </w:p>
        </w:tc>
      </w:tr>
      <w:tr w:rsidR="00F8412C" w:rsidRPr="00E82A4D" w14:paraId="5656A804" w14:textId="77777777" w:rsidTr="00F8412C">
        <w:tc>
          <w:tcPr>
            <w:tcW w:w="2551" w:type="dxa"/>
            <w:vAlign w:val="center"/>
          </w:tcPr>
          <w:p w14:paraId="55DF9430" w14:textId="77777777" w:rsidR="00F8412C" w:rsidRPr="00E82A4D" w:rsidRDefault="00F8412C" w:rsidP="00F8412C">
            <w:pPr>
              <w:rPr>
                <w:rFonts w:asciiTheme="minorHAnsi" w:hAnsiTheme="minorHAnsi"/>
                <w:i/>
                <w:sz w:val="18"/>
                <w:szCs w:val="18"/>
              </w:rPr>
            </w:pPr>
            <w:r w:rsidRPr="00E82A4D">
              <w:rPr>
                <w:rFonts w:asciiTheme="minorHAnsi" w:hAnsiTheme="minorHAnsi"/>
                <w:i/>
                <w:sz w:val="18"/>
                <w:szCs w:val="18"/>
              </w:rPr>
              <w:t>R</w:t>
            </w:r>
            <w:r w:rsidRPr="00E82A4D">
              <w:rPr>
                <w:rFonts w:asciiTheme="minorHAnsi" w:hAnsiTheme="minorHAnsi"/>
                <w:i/>
                <w:sz w:val="18"/>
                <w:szCs w:val="18"/>
                <w:vertAlign w:val="superscript"/>
              </w:rPr>
              <w:t>2</w:t>
            </w:r>
          </w:p>
        </w:tc>
        <w:tc>
          <w:tcPr>
            <w:tcW w:w="1135" w:type="dxa"/>
            <w:vAlign w:val="bottom"/>
          </w:tcPr>
          <w:p w14:paraId="7D44E467" w14:textId="77777777" w:rsidR="00F8412C" w:rsidRPr="00E82A4D" w:rsidRDefault="00F8412C" w:rsidP="00F8412C">
            <w:pPr>
              <w:jc w:val="center"/>
              <w:rPr>
                <w:rFonts w:asciiTheme="minorHAnsi" w:hAnsiTheme="minorHAnsi"/>
                <w:color w:val="000000"/>
                <w:sz w:val="18"/>
                <w:szCs w:val="18"/>
              </w:rPr>
            </w:pPr>
            <w:r w:rsidRPr="005F39C9">
              <w:rPr>
                <w:rFonts w:asciiTheme="minorHAnsi" w:hAnsiTheme="minorHAnsi"/>
                <w:color w:val="000000"/>
                <w:sz w:val="18"/>
                <w:szCs w:val="18"/>
              </w:rPr>
              <w:t>0.78</w:t>
            </w:r>
          </w:p>
        </w:tc>
        <w:tc>
          <w:tcPr>
            <w:tcW w:w="1417" w:type="dxa"/>
            <w:vAlign w:val="bottom"/>
          </w:tcPr>
          <w:p w14:paraId="56FB43FE" w14:textId="77777777" w:rsidR="00F8412C" w:rsidRPr="00E82A4D" w:rsidRDefault="00F8412C" w:rsidP="00F8412C">
            <w:pPr>
              <w:jc w:val="center"/>
              <w:rPr>
                <w:rFonts w:asciiTheme="minorHAnsi" w:hAnsiTheme="minorHAnsi"/>
                <w:color w:val="000000"/>
                <w:sz w:val="18"/>
                <w:szCs w:val="18"/>
              </w:rPr>
            </w:pPr>
            <w:r w:rsidRPr="005F39C9">
              <w:rPr>
                <w:rFonts w:asciiTheme="minorHAnsi" w:hAnsiTheme="minorHAnsi"/>
                <w:color w:val="000000"/>
                <w:sz w:val="18"/>
                <w:szCs w:val="18"/>
              </w:rPr>
              <w:t>0.64</w:t>
            </w:r>
          </w:p>
        </w:tc>
        <w:tc>
          <w:tcPr>
            <w:tcW w:w="1134" w:type="dxa"/>
            <w:vAlign w:val="bottom"/>
          </w:tcPr>
          <w:p w14:paraId="006C5BCB" w14:textId="77777777" w:rsidR="00F8412C" w:rsidRPr="00E82A4D" w:rsidRDefault="00F8412C" w:rsidP="00F8412C">
            <w:pPr>
              <w:jc w:val="center"/>
              <w:rPr>
                <w:rFonts w:asciiTheme="minorHAnsi" w:hAnsiTheme="minorHAnsi"/>
                <w:color w:val="000000"/>
                <w:sz w:val="18"/>
                <w:szCs w:val="18"/>
              </w:rPr>
            </w:pPr>
            <w:r w:rsidRPr="005F39C9">
              <w:rPr>
                <w:rFonts w:asciiTheme="minorHAnsi" w:hAnsiTheme="minorHAnsi"/>
                <w:color w:val="000000"/>
                <w:sz w:val="18"/>
                <w:szCs w:val="18"/>
              </w:rPr>
              <w:t>--</w:t>
            </w:r>
          </w:p>
        </w:tc>
        <w:tc>
          <w:tcPr>
            <w:tcW w:w="993" w:type="dxa"/>
            <w:vAlign w:val="bottom"/>
          </w:tcPr>
          <w:p w14:paraId="580A192A" w14:textId="77777777" w:rsidR="00F8412C" w:rsidRPr="00E82A4D" w:rsidRDefault="00F8412C" w:rsidP="00F8412C">
            <w:pPr>
              <w:jc w:val="center"/>
              <w:rPr>
                <w:rFonts w:asciiTheme="minorHAnsi" w:hAnsiTheme="minorHAnsi"/>
                <w:color w:val="000000"/>
                <w:sz w:val="18"/>
                <w:szCs w:val="18"/>
              </w:rPr>
            </w:pPr>
            <w:r w:rsidRPr="00E82A4D">
              <w:rPr>
                <w:rFonts w:asciiTheme="minorHAnsi" w:hAnsiTheme="minorHAnsi"/>
                <w:color w:val="000000"/>
                <w:sz w:val="18"/>
                <w:szCs w:val="18"/>
              </w:rPr>
              <w:t>0.72</w:t>
            </w:r>
          </w:p>
        </w:tc>
        <w:tc>
          <w:tcPr>
            <w:tcW w:w="1417" w:type="dxa"/>
            <w:vAlign w:val="bottom"/>
          </w:tcPr>
          <w:p w14:paraId="167456B9" w14:textId="77777777" w:rsidR="00F8412C" w:rsidRPr="00E82A4D" w:rsidRDefault="00F8412C" w:rsidP="00F8412C">
            <w:pPr>
              <w:jc w:val="center"/>
              <w:rPr>
                <w:rFonts w:asciiTheme="minorHAnsi" w:hAnsiTheme="minorHAnsi"/>
                <w:color w:val="000000"/>
                <w:sz w:val="18"/>
                <w:szCs w:val="18"/>
              </w:rPr>
            </w:pPr>
            <w:r w:rsidRPr="00E82A4D">
              <w:rPr>
                <w:rFonts w:asciiTheme="minorHAnsi" w:hAnsiTheme="minorHAnsi"/>
                <w:color w:val="000000"/>
                <w:sz w:val="18"/>
                <w:szCs w:val="18"/>
              </w:rPr>
              <w:t>0.70</w:t>
            </w:r>
          </w:p>
        </w:tc>
        <w:tc>
          <w:tcPr>
            <w:tcW w:w="1134" w:type="dxa"/>
            <w:vAlign w:val="bottom"/>
          </w:tcPr>
          <w:p w14:paraId="082FBCD2" w14:textId="77777777" w:rsidR="00F8412C" w:rsidRPr="00E82A4D" w:rsidRDefault="00F8412C" w:rsidP="00F8412C">
            <w:pPr>
              <w:jc w:val="center"/>
              <w:rPr>
                <w:rFonts w:asciiTheme="minorHAnsi" w:hAnsiTheme="minorHAnsi"/>
                <w:color w:val="000000"/>
                <w:sz w:val="18"/>
                <w:szCs w:val="18"/>
              </w:rPr>
            </w:pPr>
            <w:r w:rsidRPr="00E82A4D">
              <w:rPr>
                <w:rFonts w:asciiTheme="minorHAnsi" w:hAnsiTheme="minorHAnsi"/>
                <w:color w:val="000000"/>
                <w:sz w:val="18"/>
                <w:szCs w:val="18"/>
              </w:rPr>
              <w:t>--</w:t>
            </w:r>
          </w:p>
        </w:tc>
        <w:tc>
          <w:tcPr>
            <w:tcW w:w="992" w:type="dxa"/>
          </w:tcPr>
          <w:p w14:paraId="2A6B6DF3" w14:textId="77777777" w:rsidR="00F8412C" w:rsidRPr="005F39C9" w:rsidRDefault="00F8412C" w:rsidP="00F8412C">
            <w:pPr>
              <w:jc w:val="center"/>
              <w:rPr>
                <w:rFonts w:asciiTheme="minorHAnsi" w:hAnsiTheme="minorHAnsi"/>
                <w:color w:val="000000"/>
                <w:sz w:val="18"/>
                <w:szCs w:val="18"/>
              </w:rPr>
            </w:pPr>
            <w:r w:rsidRPr="005F39C9">
              <w:rPr>
                <w:rFonts w:asciiTheme="minorHAnsi" w:hAnsiTheme="minorHAnsi"/>
                <w:color w:val="000000"/>
                <w:sz w:val="18"/>
                <w:szCs w:val="18"/>
              </w:rPr>
              <w:t>0.75</w:t>
            </w:r>
          </w:p>
        </w:tc>
        <w:tc>
          <w:tcPr>
            <w:tcW w:w="1418" w:type="dxa"/>
          </w:tcPr>
          <w:p w14:paraId="7665DCD0" w14:textId="77777777" w:rsidR="00F8412C" w:rsidRPr="005F39C9" w:rsidRDefault="00F8412C" w:rsidP="00F8412C">
            <w:pPr>
              <w:jc w:val="center"/>
              <w:rPr>
                <w:rFonts w:asciiTheme="minorHAnsi" w:hAnsiTheme="minorHAnsi"/>
                <w:color w:val="000000"/>
                <w:sz w:val="18"/>
                <w:szCs w:val="18"/>
              </w:rPr>
            </w:pPr>
            <w:r w:rsidRPr="005F39C9">
              <w:rPr>
                <w:rFonts w:asciiTheme="minorHAnsi" w:hAnsiTheme="minorHAnsi"/>
                <w:color w:val="000000"/>
                <w:sz w:val="18"/>
                <w:szCs w:val="18"/>
              </w:rPr>
              <w:t>0.72</w:t>
            </w:r>
          </w:p>
        </w:tc>
        <w:tc>
          <w:tcPr>
            <w:tcW w:w="1134" w:type="dxa"/>
            <w:gridSpan w:val="2"/>
          </w:tcPr>
          <w:p w14:paraId="3CD51A17" w14:textId="77777777" w:rsidR="00F8412C" w:rsidRPr="005F39C9" w:rsidRDefault="00F8412C" w:rsidP="00F8412C">
            <w:pPr>
              <w:jc w:val="center"/>
              <w:rPr>
                <w:rFonts w:asciiTheme="minorHAnsi" w:hAnsiTheme="minorHAnsi"/>
                <w:color w:val="000000"/>
                <w:sz w:val="18"/>
                <w:szCs w:val="18"/>
              </w:rPr>
            </w:pPr>
            <w:r w:rsidRPr="005F39C9">
              <w:rPr>
                <w:rFonts w:asciiTheme="minorHAnsi" w:hAnsiTheme="minorHAnsi"/>
                <w:color w:val="000000"/>
                <w:sz w:val="18"/>
                <w:szCs w:val="18"/>
              </w:rPr>
              <w:t>--</w:t>
            </w:r>
          </w:p>
        </w:tc>
      </w:tr>
    </w:tbl>
    <w:p w14:paraId="55787C1E" w14:textId="77777777" w:rsidR="00F8412C" w:rsidRPr="00E82A4D" w:rsidRDefault="00F8412C" w:rsidP="00F8412C">
      <w:pPr>
        <w:spacing w:after="120"/>
        <w:rPr>
          <w:rFonts w:cs="Arial"/>
          <w:sz w:val="18"/>
        </w:rPr>
      </w:pPr>
      <w:r w:rsidRPr="00E82A4D">
        <w:rPr>
          <w:rFonts w:cs="Arial"/>
          <w:sz w:val="18"/>
        </w:rPr>
        <w:t xml:space="preserve">Source: Deloitte Access Economics (2016). </w:t>
      </w:r>
    </w:p>
    <w:p w14:paraId="0A3E5C80" w14:textId="77777777" w:rsidR="00F8412C" w:rsidRDefault="00F8412C" w:rsidP="00FC3C09">
      <w:pPr>
        <w:spacing w:after="120"/>
        <w:rPr>
          <w:rFonts w:cs="Arial"/>
          <w:sz w:val="18"/>
        </w:rPr>
      </w:pPr>
      <w:r w:rsidRPr="00E82A4D">
        <w:rPr>
          <w:rFonts w:cs="Arial"/>
          <w:sz w:val="18"/>
        </w:rPr>
        <w:t xml:space="preserve">Note: *,**,*** indicate statistical significance at the 10%, 5% and 1% level respectively. Standard errors are clustered at the university institution level for OLS and Quartile regressions. Unless otherwise specified, the unit of observation is by level, </w:t>
      </w:r>
      <w:r>
        <w:rPr>
          <w:rFonts w:cs="Arial"/>
          <w:sz w:val="18"/>
        </w:rPr>
        <w:t xml:space="preserve">field and university.  </w:t>
      </w:r>
    </w:p>
    <w:p w14:paraId="156F4690" w14:textId="77777777" w:rsidR="00F8412C" w:rsidRPr="00FC3C09" w:rsidRDefault="00F8412C" w:rsidP="00FC3C09">
      <w:pPr>
        <w:spacing w:after="120"/>
        <w:rPr>
          <w:rFonts w:cs="Arial"/>
          <w:sz w:val="18"/>
        </w:rPr>
        <w:sectPr w:rsidR="00F8412C" w:rsidRPr="00FC3C09" w:rsidSect="00FC3C09">
          <w:pgSz w:w="16840" w:h="11907" w:orient="landscape" w:code="9"/>
          <w:pgMar w:top="1560" w:right="2098" w:bottom="1134" w:left="1134" w:header="567" w:footer="567" w:gutter="0"/>
          <w:cols w:space="708"/>
          <w:titlePg/>
          <w:docGrid w:linePitch="360"/>
        </w:sectPr>
      </w:pPr>
    </w:p>
    <w:p w14:paraId="68F2AE4B" w14:textId="77777777" w:rsidR="00F7176E" w:rsidRDefault="00F7176E" w:rsidP="00F7176E">
      <w:pPr>
        <w:pStyle w:val="Appendix"/>
      </w:pPr>
      <w:bookmarkStart w:id="371" w:name="_Toc467168818"/>
      <w:bookmarkStart w:id="372" w:name="_Toc467176054"/>
      <w:bookmarkStart w:id="373" w:name="_Toc467176514"/>
      <w:bookmarkStart w:id="374" w:name="_Toc467168866"/>
      <w:bookmarkStart w:id="375" w:name="_Toc467176102"/>
      <w:bookmarkStart w:id="376" w:name="_Toc467176562"/>
      <w:bookmarkStart w:id="377" w:name="_Toc467168965"/>
      <w:bookmarkStart w:id="378" w:name="_Toc467176201"/>
      <w:bookmarkStart w:id="379" w:name="_Toc467176661"/>
      <w:bookmarkStart w:id="380" w:name="_Toc467168975"/>
      <w:bookmarkStart w:id="381" w:name="_Toc467176211"/>
      <w:bookmarkStart w:id="382" w:name="_Toc467176671"/>
      <w:bookmarkStart w:id="383" w:name="_Toc467168991"/>
      <w:bookmarkStart w:id="384" w:name="_Toc467176227"/>
      <w:bookmarkStart w:id="385" w:name="_Toc467176687"/>
      <w:bookmarkStart w:id="386" w:name="_Toc467168992"/>
      <w:bookmarkStart w:id="387" w:name="_Toc467176228"/>
      <w:bookmarkStart w:id="388" w:name="_Toc467176688"/>
      <w:bookmarkStart w:id="389" w:name="_Toc467168993"/>
      <w:bookmarkStart w:id="390" w:name="_Toc467176229"/>
      <w:bookmarkStart w:id="391" w:name="_Toc467176689"/>
      <w:bookmarkStart w:id="392" w:name="_Toc469927343"/>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r>
        <w:lastRenderedPageBreak/>
        <w:t>: Fields in data collection template and qualitative questions</w:t>
      </w:r>
      <w:bookmarkEnd w:id="392"/>
    </w:p>
    <w:p w14:paraId="411564FD" w14:textId="77777777" w:rsidR="00F7176E" w:rsidRDefault="00F7176E" w:rsidP="00F7176E">
      <w:pPr>
        <w:pStyle w:val="HeadingB"/>
      </w:pPr>
      <w:r>
        <w:t>Data definitions</w:t>
      </w:r>
    </w:p>
    <w:p w14:paraId="6CD00D68" w14:textId="77777777" w:rsidR="00F7176E" w:rsidRDefault="00F7176E" w:rsidP="00F7176E">
      <w:pPr>
        <w:pStyle w:val="AppendixTableCaption"/>
      </w:pPr>
      <w:bookmarkStart w:id="393" w:name="_Toc469927405"/>
      <w:r>
        <w:t>: Definitions and explanations</w:t>
      </w:r>
      <w:bookmarkEnd w:id="393"/>
      <w:r>
        <w:t xml:space="preserve"> </w:t>
      </w:r>
    </w:p>
    <w:tbl>
      <w:tblPr>
        <w:tblStyle w:val="TableAE"/>
        <w:tblW w:w="5000" w:type="pct"/>
        <w:tblLayout w:type="fixed"/>
        <w:tblLook w:val="04A0" w:firstRow="1" w:lastRow="0" w:firstColumn="1" w:lastColumn="0" w:noHBand="0" w:noVBand="1"/>
      </w:tblPr>
      <w:tblGrid>
        <w:gridCol w:w="2037"/>
        <w:gridCol w:w="6400"/>
      </w:tblGrid>
      <w:tr w:rsidR="00F7176E" w:rsidRPr="009B7AE4" w14:paraId="54E8765E" w14:textId="77777777" w:rsidTr="00A00AC0">
        <w:trPr>
          <w:cnfStyle w:val="100000000000" w:firstRow="1" w:lastRow="0" w:firstColumn="0" w:lastColumn="0" w:oddVBand="0" w:evenVBand="0" w:oddHBand="0" w:evenHBand="0" w:firstRowFirstColumn="0" w:firstRowLastColumn="0" w:lastRowFirstColumn="0" w:lastRowLastColumn="0"/>
          <w:trHeight w:val="510"/>
          <w:tblHeader/>
        </w:trPr>
        <w:tc>
          <w:tcPr>
            <w:tcW w:w="1207" w:type="pct"/>
            <w:noWrap/>
          </w:tcPr>
          <w:p w14:paraId="049F4446" w14:textId="77777777" w:rsidR="00F7176E" w:rsidRPr="009B7AE4" w:rsidRDefault="00F7176E" w:rsidP="00A00AC0">
            <w:pPr>
              <w:pStyle w:val="TableHeadingCentre"/>
              <w:rPr>
                <w:lang w:eastAsia="en-AU"/>
              </w:rPr>
            </w:pPr>
            <w:r>
              <w:rPr>
                <w:lang w:eastAsia="en-AU"/>
              </w:rPr>
              <w:t>Field</w:t>
            </w:r>
          </w:p>
        </w:tc>
        <w:tc>
          <w:tcPr>
            <w:tcW w:w="3793" w:type="pct"/>
          </w:tcPr>
          <w:p w14:paraId="6D0ADDB6" w14:textId="77777777" w:rsidR="00F7176E" w:rsidRPr="009B7AE4" w:rsidRDefault="00F7176E" w:rsidP="00A00AC0">
            <w:pPr>
              <w:pStyle w:val="TableHeadingCentre"/>
              <w:rPr>
                <w:lang w:eastAsia="en-AU"/>
              </w:rPr>
            </w:pPr>
            <w:r>
              <w:rPr>
                <w:lang w:eastAsia="en-AU"/>
              </w:rPr>
              <w:t>Definition / Explanation</w:t>
            </w:r>
          </w:p>
        </w:tc>
      </w:tr>
      <w:tr w:rsidR="00F7176E" w:rsidRPr="009B7AE4" w14:paraId="48D8A068" w14:textId="77777777" w:rsidTr="00A00AC0">
        <w:trPr>
          <w:trHeight w:val="80"/>
        </w:trPr>
        <w:tc>
          <w:tcPr>
            <w:tcW w:w="5000" w:type="pct"/>
            <w:gridSpan w:val="2"/>
            <w:shd w:val="clear" w:color="auto" w:fill="D9D9D9" w:themeFill="background1" w:themeFillShade="D9"/>
            <w:noWrap/>
          </w:tcPr>
          <w:p w14:paraId="7511D9AC" w14:textId="77777777" w:rsidR="00F7176E" w:rsidRPr="009B7AE4" w:rsidRDefault="00F7176E" w:rsidP="00A00AC0">
            <w:pPr>
              <w:pStyle w:val="TabletextLeft"/>
              <w:rPr>
                <w:b/>
                <w:lang w:eastAsia="en-AU"/>
              </w:rPr>
            </w:pPr>
            <w:r>
              <w:rPr>
                <w:b/>
                <w:lang w:eastAsia="en-AU"/>
              </w:rPr>
              <w:t>Discipline</w:t>
            </w:r>
          </w:p>
        </w:tc>
      </w:tr>
      <w:tr w:rsidR="00F7176E" w:rsidRPr="009B7AE4" w14:paraId="3A6E5698" w14:textId="77777777" w:rsidTr="00A00AC0">
        <w:trPr>
          <w:trHeight w:val="510"/>
        </w:trPr>
        <w:tc>
          <w:tcPr>
            <w:tcW w:w="1207" w:type="pct"/>
            <w:noWrap/>
          </w:tcPr>
          <w:p w14:paraId="398E989D" w14:textId="77777777" w:rsidR="00F7176E" w:rsidRPr="009B7AE4" w:rsidRDefault="00F7176E" w:rsidP="00A00AC0">
            <w:pPr>
              <w:pStyle w:val="TabletextLeft"/>
              <w:rPr>
                <w:lang w:eastAsia="en-AU"/>
              </w:rPr>
            </w:pPr>
            <w:r w:rsidRPr="009B7AE4">
              <w:rPr>
                <w:lang w:eastAsia="en-AU"/>
              </w:rPr>
              <w:t>Discipline</w:t>
            </w:r>
          </w:p>
        </w:tc>
        <w:tc>
          <w:tcPr>
            <w:tcW w:w="3793" w:type="pct"/>
          </w:tcPr>
          <w:p w14:paraId="2E8188EA" w14:textId="77777777" w:rsidR="00F7176E" w:rsidRPr="009B7AE4" w:rsidRDefault="00F7176E" w:rsidP="00A00AC0">
            <w:pPr>
              <w:pStyle w:val="TabletextLeft"/>
              <w:rPr>
                <w:lang w:eastAsia="en-AU"/>
              </w:rPr>
            </w:pPr>
            <w:r w:rsidRPr="009B7AE4">
              <w:rPr>
                <w:lang w:eastAsia="en-AU"/>
              </w:rPr>
              <w:t xml:space="preserve">Discipline are defined as the narrow, or in some cases detailed, fields of education in the Australian Standard Classification of Education (ASCED). </w:t>
            </w:r>
          </w:p>
        </w:tc>
      </w:tr>
      <w:tr w:rsidR="00F7176E" w:rsidRPr="009B7AE4" w14:paraId="40457CC9" w14:textId="77777777" w:rsidTr="00A00AC0">
        <w:trPr>
          <w:trHeight w:val="80"/>
        </w:trPr>
        <w:tc>
          <w:tcPr>
            <w:tcW w:w="5000" w:type="pct"/>
            <w:gridSpan w:val="2"/>
            <w:shd w:val="clear" w:color="auto" w:fill="D9D9D9" w:themeFill="background1" w:themeFillShade="D9"/>
            <w:noWrap/>
          </w:tcPr>
          <w:p w14:paraId="35FCDA0A" w14:textId="77777777" w:rsidR="00F7176E" w:rsidRPr="009B7AE4" w:rsidRDefault="00F7176E" w:rsidP="00A00AC0">
            <w:pPr>
              <w:pStyle w:val="TabletextLeft"/>
              <w:rPr>
                <w:b/>
                <w:lang w:eastAsia="en-AU"/>
              </w:rPr>
            </w:pPr>
            <w:r w:rsidRPr="009B7AE4">
              <w:rPr>
                <w:b/>
                <w:lang w:eastAsia="en-AU"/>
              </w:rPr>
              <w:t>Budgetary unit-level costs</w:t>
            </w:r>
          </w:p>
        </w:tc>
      </w:tr>
      <w:tr w:rsidR="00F7176E" w:rsidRPr="009B7AE4" w14:paraId="06CD153A" w14:textId="77777777" w:rsidTr="00A00AC0">
        <w:trPr>
          <w:trHeight w:val="510"/>
        </w:trPr>
        <w:tc>
          <w:tcPr>
            <w:tcW w:w="1207" w:type="pct"/>
            <w:noWrap/>
          </w:tcPr>
          <w:p w14:paraId="44D10BFA" w14:textId="77777777" w:rsidR="00F7176E" w:rsidRDefault="00F7176E" w:rsidP="00A00AC0">
            <w:pPr>
              <w:pStyle w:val="TabletextLeft"/>
              <w:rPr>
                <w:rFonts w:ascii="Arial" w:hAnsi="Arial" w:cs="Arial"/>
                <w:lang w:eastAsia="en-AU"/>
              </w:rPr>
            </w:pPr>
            <w:r w:rsidRPr="009168DF">
              <w:t xml:space="preserve">Sub-bachelor </w:t>
            </w:r>
          </w:p>
        </w:tc>
        <w:tc>
          <w:tcPr>
            <w:tcW w:w="3793" w:type="pct"/>
          </w:tcPr>
          <w:p w14:paraId="22C5514F" w14:textId="77777777" w:rsidR="00F7176E" w:rsidRPr="009B7AE4" w:rsidRDefault="00F7176E" w:rsidP="00A00AC0">
            <w:pPr>
              <w:pStyle w:val="TabletextLeft"/>
              <w:rPr>
                <w:rFonts w:ascii="Arial" w:hAnsi="Arial" w:cs="Arial"/>
                <w:lang w:eastAsia="en-AU"/>
              </w:rPr>
            </w:pPr>
            <w:r w:rsidRPr="009168DF">
              <w:t>Sub-bachelor covers all courses delivered at the diploma, advanced diploma, associate degree level and other undergraduate courses.</w:t>
            </w:r>
          </w:p>
        </w:tc>
      </w:tr>
      <w:tr w:rsidR="00F7176E" w:rsidRPr="009B7AE4" w14:paraId="19E9D8CB" w14:textId="77777777" w:rsidTr="00A00AC0">
        <w:trPr>
          <w:trHeight w:val="510"/>
        </w:trPr>
        <w:tc>
          <w:tcPr>
            <w:tcW w:w="1207" w:type="pct"/>
            <w:noWrap/>
          </w:tcPr>
          <w:p w14:paraId="04B3F72A" w14:textId="77777777" w:rsidR="00F7176E" w:rsidRDefault="00F7176E" w:rsidP="00A00AC0">
            <w:pPr>
              <w:pStyle w:val="TabletextLeft"/>
              <w:rPr>
                <w:rFonts w:ascii="Arial" w:hAnsi="Arial" w:cs="Arial"/>
                <w:lang w:eastAsia="en-AU"/>
              </w:rPr>
            </w:pPr>
            <w:r w:rsidRPr="009168DF">
              <w:t>Bachelor</w:t>
            </w:r>
          </w:p>
        </w:tc>
        <w:tc>
          <w:tcPr>
            <w:tcW w:w="3793" w:type="pct"/>
          </w:tcPr>
          <w:p w14:paraId="071DB65E" w14:textId="77777777" w:rsidR="00F7176E" w:rsidRPr="009B7AE4" w:rsidRDefault="00F7176E" w:rsidP="00A00AC0">
            <w:pPr>
              <w:pStyle w:val="TabletextLeft"/>
              <w:rPr>
                <w:rFonts w:ascii="Arial" w:hAnsi="Arial" w:cs="Arial"/>
                <w:lang w:eastAsia="en-AU"/>
              </w:rPr>
            </w:pPr>
            <w:r w:rsidRPr="009168DF">
              <w:t xml:space="preserve">Bachelor covers all courses delivered at a Bachelor degree level.  This includes Bachelor's Pass, Bachelor's Honours and Bachelor's Graduate Entry.  </w:t>
            </w:r>
          </w:p>
        </w:tc>
      </w:tr>
      <w:tr w:rsidR="00F7176E" w:rsidRPr="009B7AE4" w14:paraId="708DB993" w14:textId="77777777" w:rsidTr="00A00AC0">
        <w:trPr>
          <w:trHeight w:val="510"/>
        </w:trPr>
        <w:tc>
          <w:tcPr>
            <w:tcW w:w="1207" w:type="pct"/>
            <w:noWrap/>
          </w:tcPr>
          <w:p w14:paraId="3B2E9067" w14:textId="77777777" w:rsidR="00F7176E" w:rsidRDefault="00F7176E" w:rsidP="00A00AC0">
            <w:pPr>
              <w:pStyle w:val="TabletextLeft"/>
              <w:rPr>
                <w:rFonts w:ascii="Arial" w:hAnsi="Arial" w:cs="Arial"/>
                <w:lang w:eastAsia="en-AU"/>
              </w:rPr>
            </w:pPr>
            <w:r w:rsidRPr="009168DF">
              <w:t>Postgraduate coursework</w:t>
            </w:r>
          </w:p>
        </w:tc>
        <w:tc>
          <w:tcPr>
            <w:tcW w:w="3793" w:type="pct"/>
          </w:tcPr>
          <w:p w14:paraId="0466A327" w14:textId="77777777" w:rsidR="00F7176E" w:rsidRPr="009B7AE4" w:rsidRDefault="00F7176E" w:rsidP="00A00AC0">
            <w:pPr>
              <w:pStyle w:val="TabletextLeft"/>
              <w:rPr>
                <w:rFonts w:ascii="Arial" w:hAnsi="Arial" w:cs="Arial"/>
                <w:lang w:eastAsia="en-AU"/>
              </w:rPr>
            </w:pPr>
            <w:r w:rsidRPr="009168DF">
              <w:t xml:space="preserve">Postgraduate coursework includes all postgraduate degrees that are delivered predominantly through coursework, including Masters and coursework PhDs. Where a coursework postgraduate degree includes a research component, this should be included as postgraduate coursework.  </w:t>
            </w:r>
          </w:p>
        </w:tc>
      </w:tr>
      <w:tr w:rsidR="00F7176E" w:rsidRPr="009B7AE4" w14:paraId="63F2E828" w14:textId="77777777" w:rsidTr="00A00AC0">
        <w:trPr>
          <w:trHeight w:val="510"/>
        </w:trPr>
        <w:tc>
          <w:tcPr>
            <w:tcW w:w="1207" w:type="pct"/>
            <w:noWrap/>
          </w:tcPr>
          <w:p w14:paraId="08153544" w14:textId="77777777" w:rsidR="00F7176E" w:rsidRDefault="00F7176E" w:rsidP="00A00AC0">
            <w:pPr>
              <w:pStyle w:val="TabletextLeft"/>
              <w:rPr>
                <w:rFonts w:ascii="Arial" w:hAnsi="Arial" w:cs="Arial"/>
                <w:lang w:eastAsia="en-AU"/>
              </w:rPr>
            </w:pPr>
            <w:r w:rsidRPr="009168DF">
              <w:t>Academic staff</w:t>
            </w:r>
          </w:p>
        </w:tc>
        <w:tc>
          <w:tcPr>
            <w:tcW w:w="3793" w:type="pct"/>
          </w:tcPr>
          <w:p w14:paraId="30A924BB" w14:textId="77777777" w:rsidR="00F7176E" w:rsidRPr="009B7AE4" w:rsidRDefault="00F7176E" w:rsidP="00A00AC0">
            <w:pPr>
              <w:pStyle w:val="TabletextLeft"/>
              <w:rPr>
                <w:rFonts w:ascii="Arial" w:hAnsi="Arial" w:cs="Arial"/>
                <w:lang w:eastAsia="en-AU"/>
              </w:rPr>
            </w:pPr>
            <w:r w:rsidRPr="009168DF">
              <w:t>Members of staff, whether full-time or part-time, who are employed wholly or principally in teaching and/or research or to whom such persons are responsible in relation to their teaching or research. It excludes members of staff (e.g. technicians, research assistants, etc.) employed wholly or principally in support of other members of staff who are employed in research.  It also excludes casual academic staff.</w:t>
            </w:r>
          </w:p>
        </w:tc>
      </w:tr>
      <w:tr w:rsidR="00F7176E" w:rsidRPr="009B7AE4" w14:paraId="4D5C1F30" w14:textId="77777777" w:rsidTr="00A00AC0">
        <w:trPr>
          <w:trHeight w:val="510"/>
        </w:trPr>
        <w:tc>
          <w:tcPr>
            <w:tcW w:w="1207" w:type="pct"/>
            <w:noWrap/>
          </w:tcPr>
          <w:p w14:paraId="78C138A5" w14:textId="77777777" w:rsidR="00F7176E" w:rsidRDefault="00F7176E" w:rsidP="00A00AC0">
            <w:pPr>
              <w:pStyle w:val="TabletextLeft"/>
              <w:rPr>
                <w:rFonts w:ascii="Arial" w:hAnsi="Arial" w:cs="Arial"/>
                <w:lang w:eastAsia="en-AU"/>
              </w:rPr>
            </w:pPr>
            <w:r w:rsidRPr="009168DF">
              <w:t>Casual academic staff</w:t>
            </w:r>
          </w:p>
        </w:tc>
        <w:tc>
          <w:tcPr>
            <w:tcW w:w="3793" w:type="pct"/>
          </w:tcPr>
          <w:p w14:paraId="27A70449" w14:textId="77777777" w:rsidR="00F7176E" w:rsidRPr="009B7AE4" w:rsidRDefault="00F7176E" w:rsidP="00A00AC0">
            <w:pPr>
              <w:pStyle w:val="TabletextLeft"/>
              <w:rPr>
                <w:rFonts w:ascii="Arial" w:hAnsi="Arial" w:cs="Arial"/>
                <w:lang w:eastAsia="en-AU"/>
              </w:rPr>
            </w:pPr>
            <w:r w:rsidRPr="009168DF">
              <w:t>Casual academic teaching staff are employed on an hourly basis (</w:t>
            </w:r>
            <w:r w:rsidR="00374D2C" w:rsidRPr="009168DF">
              <w:t>e.g.</w:t>
            </w:r>
            <w:r w:rsidRPr="009168DF">
              <w:t xml:space="preserve"> tutors).</w:t>
            </w:r>
          </w:p>
        </w:tc>
      </w:tr>
      <w:tr w:rsidR="00F7176E" w:rsidRPr="009B7AE4" w14:paraId="4383FF0C" w14:textId="77777777" w:rsidTr="00A00AC0">
        <w:trPr>
          <w:trHeight w:val="510"/>
        </w:trPr>
        <w:tc>
          <w:tcPr>
            <w:tcW w:w="1207" w:type="pct"/>
            <w:noWrap/>
          </w:tcPr>
          <w:p w14:paraId="622556E4" w14:textId="77777777" w:rsidR="00F7176E" w:rsidRDefault="00F7176E" w:rsidP="00A00AC0">
            <w:pPr>
              <w:pStyle w:val="TabletextLeft"/>
              <w:rPr>
                <w:rFonts w:ascii="Arial" w:hAnsi="Arial" w:cs="Arial"/>
                <w:lang w:eastAsia="en-AU"/>
              </w:rPr>
            </w:pPr>
            <w:r w:rsidRPr="009168DF">
              <w:t>Non-academic staff</w:t>
            </w:r>
          </w:p>
        </w:tc>
        <w:tc>
          <w:tcPr>
            <w:tcW w:w="3793" w:type="pct"/>
          </w:tcPr>
          <w:p w14:paraId="4D835C98" w14:textId="77777777" w:rsidR="00F7176E" w:rsidRPr="009B7AE4" w:rsidRDefault="00F7176E" w:rsidP="00A00AC0">
            <w:pPr>
              <w:pStyle w:val="TabletextLeft"/>
              <w:rPr>
                <w:rFonts w:ascii="Arial" w:hAnsi="Arial" w:cs="Arial"/>
                <w:lang w:eastAsia="en-AU"/>
              </w:rPr>
            </w:pPr>
            <w:r w:rsidRPr="009168DF">
              <w:t>Members of staff who are not academic staff, e.g. administrative staff or IT staff.  Should amount to total staff minus academic staff and casual academic staff.</w:t>
            </w:r>
          </w:p>
        </w:tc>
      </w:tr>
      <w:tr w:rsidR="00F7176E" w:rsidRPr="009B7AE4" w14:paraId="60939EF9" w14:textId="77777777" w:rsidTr="00A00AC0">
        <w:trPr>
          <w:trHeight w:val="510"/>
        </w:trPr>
        <w:tc>
          <w:tcPr>
            <w:tcW w:w="1207" w:type="pct"/>
            <w:noWrap/>
          </w:tcPr>
          <w:p w14:paraId="39DC424E" w14:textId="77777777" w:rsidR="00F7176E" w:rsidRDefault="00F7176E" w:rsidP="00A00AC0">
            <w:pPr>
              <w:pStyle w:val="TabletextLeft"/>
              <w:rPr>
                <w:rFonts w:ascii="Arial" w:hAnsi="Arial" w:cs="Arial"/>
                <w:lang w:eastAsia="en-AU"/>
              </w:rPr>
            </w:pPr>
            <w:r w:rsidRPr="009168DF">
              <w:t>Teaching</w:t>
            </w:r>
          </w:p>
        </w:tc>
        <w:tc>
          <w:tcPr>
            <w:tcW w:w="3793" w:type="pct"/>
          </w:tcPr>
          <w:p w14:paraId="51E88719" w14:textId="05CF4FA0" w:rsidR="00F7176E" w:rsidRPr="009B7AE4" w:rsidRDefault="00F7176E" w:rsidP="00E91E54">
            <w:pPr>
              <w:pStyle w:val="TabletextLeft"/>
              <w:rPr>
                <w:rFonts w:ascii="Arial" w:hAnsi="Arial" w:cs="Arial"/>
                <w:lang w:eastAsia="en-AU"/>
              </w:rPr>
            </w:pPr>
            <w:r w:rsidRPr="009168DF">
              <w:t xml:space="preserve">Teaching time includes all of the following: lecturing, tutoring, demonstrating, reading and preparation for classes (lecture and tutorial content, handouts, workbooks, placing material on the Web, laboratories), all forms of marking and assessment, discussion and feedback to students (both face-to-face and electronically), administration of subjects, course advice and enrolment, organisation and supervision of practicum (including work experience and excursions), supervision of Honours students and committee work related to teaching.  100% of the time spent by staff members involved in </w:t>
            </w:r>
            <w:r w:rsidR="00995626">
              <w:t>teaching and scholarship</w:t>
            </w:r>
            <w:r w:rsidRPr="009168DF">
              <w:t xml:space="preserve"> is linked to teaching </w:t>
            </w:r>
            <w:r w:rsidR="00E91E54">
              <w:t>and</w:t>
            </w:r>
            <w:r w:rsidRPr="009168DF">
              <w:t xml:space="preserve"> </w:t>
            </w:r>
            <w:r w:rsidR="00E91E54">
              <w:t xml:space="preserve">scholarship </w:t>
            </w:r>
            <w:r w:rsidRPr="009168DF">
              <w:t>activities.</w:t>
            </w:r>
          </w:p>
        </w:tc>
      </w:tr>
      <w:tr w:rsidR="00F7176E" w:rsidRPr="009B7AE4" w14:paraId="62F721D3" w14:textId="77777777" w:rsidTr="00A00AC0">
        <w:trPr>
          <w:trHeight w:val="510"/>
        </w:trPr>
        <w:tc>
          <w:tcPr>
            <w:tcW w:w="1207" w:type="pct"/>
            <w:noWrap/>
          </w:tcPr>
          <w:p w14:paraId="1A46AEF2" w14:textId="77777777" w:rsidR="00F7176E" w:rsidRDefault="00F7176E" w:rsidP="00A00AC0">
            <w:pPr>
              <w:pStyle w:val="TabletextLeft"/>
              <w:rPr>
                <w:rFonts w:ascii="Arial" w:hAnsi="Arial" w:cs="Arial"/>
                <w:lang w:eastAsia="en-AU"/>
              </w:rPr>
            </w:pPr>
            <w:r w:rsidRPr="009168DF">
              <w:lastRenderedPageBreak/>
              <w:t>Teaching &amp; Research</w:t>
            </w:r>
          </w:p>
        </w:tc>
        <w:tc>
          <w:tcPr>
            <w:tcW w:w="3793" w:type="pct"/>
          </w:tcPr>
          <w:p w14:paraId="24B23064" w14:textId="77777777" w:rsidR="00F7176E" w:rsidRPr="009B7AE4" w:rsidRDefault="00F7176E" w:rsidP="00A00AC0">
            <w:pPr>
              <w:pStyle w:val="TabletextLeft"/>
              <w:rPr>
                <w:rFonts w:ascii="Arial" w:hAnsi="Arial" w:cs="Arial"/>
                <w:lang w:eastAsia="en-AU"/>
              </w:rPr>
            </w:pPr>
            <w:r w:rsidRPr="009168DF">
              <w:t xml:space="preserve">Time spent by staff members that are involved in both teaching and research activities.  This category recognises that staff may be involved in a variety of activities including teaching, supervising research students and engaging in research and scholarship. </w:t>
            </w:r>
          </w:p>
        </w:tc>
      </w:tr>
      <w:tr w:rsidR="00F7176E" w:rsidRPr="009B7AE4" w14:paraId="0DB0401A" w14:textId="77777777" w:rsidTr="00A00AC0">
        <w:trPr>
          <w:trHeight w:val="510"/>
        </w:trPr>
        <w:tc>
          <w:tcPr>
            <w:tcW w:w="1207" w:type="pct"/>
            <w:noWrap/>
          </w:tcPr>
          <w:p w14:paraId="3DD99004" w14:textId="77777777" w:rsidR="00F7176E" w:rsidRDefault="00F7176E" w:rsidP="00A00AC0">
            <w:pPr>
              <w:pStyle w:val="TabletextLeft"/>
              <w:rPr>
                <w:rFonts w:ascii="Arial" w:hAnsi="Arial" w:cs="Arial"/>
                <w:lang w:eastAsia="en-AU"/>
              </w:rPr>
            </w:pPr>
            <w:r w:rsidRPr="009168DF">
              <w:t>Proportion of FTEs time spent on teaching (excluding research)</w:t>
            </w:r>
          </w:p>
        </w:tc>
        <w:tc>
          <w:tcPr>
            <w:tcW w:w="3793" w:type="pct"/>
          </w:tcPr>
          <w:p w14:paraId="5E76C6AA" w14:textId="77777777" w:rsidR="00F7176E" w:rsidRPr="009B7AE4" w:rsidRDefault="00F7176E" w:rsidP="00A00AC0">
            <w:pPr>
              <w:pStyle w:val="TabletextLeft"/>
              <w:rPr>
                <w:rFonts w:ascii="Arial" w:hAnsi="Arial" w:cs="Arial"/>
                <w:lang w:eastAsia="en-AU"/>
              </w:rPr>
            </w:pPr>
            <w:r w:rsidRPr="009168DF">
              <w:t xml:space="preserve">The proportion of time spent on teaching activities should be greater than 0% and less than 100%, otherwise these FTEs would be captured by other categories. </w:t>
            </w:r>
          </w:p>
        </w:tc>
      </w:tr>
      <w:tr w:rsidR="00F7176E" w:rsidRPr="009B7AE4" w14:paraId="4902C788" w14:textId="77777777" w:rsidTr="00A00AC0">
        <w:trPr>
          <w:trHeight w:val="510"/>
        </w:trPr>
        <w:tc>
          <w:tcPr>
            <w:tcW w:w="1207" w:type="pct"/>
            <w:noWrap/>
          </w:tcPr>
          <w:p w14:paraId="3D97DED7" w14:textId="77777777" w:rsidR="00F7176E" w:rsidRDefault="00F7176E" w:rsidP="00A00AC0">
            <w:pPr>
              <w:pStyle w:val="TabletextLeft"/>
              <w:rPr>
                <w:rFonts w:ascii="Arial" w:hAnsi="Arial" w:cs="Arial"/>
                <w:lang w:eastAsia="en-AU"/>
              </w:rPr>
            </w:pPr>
            <w:r w:rsidRPr="009168DF">
              <w:t>Employee benefits and on-costs (i.e. total wage bill)</w:t>
            </w:r>
          </w:p>
        </w:tc>
        <w:tc>
          <w:tcPr>
            <w:tcW w:w="3793" w:type="pct"/>
          </w:tcPr>
          <w:p w14:paraId="064CBD31" w14:textId="77777777" w:rsidR="00F7176E" w:rsidRPr="009B7AE4" w:rsidRDefault="00F7176E" w:rsidP="00A00AC0">
            <w:pPr>
              <w:pStyle w:val="TabletextLeft"/>
              <w:rPr>
                <w:rFonts w:ascii="Arial" w:hAnsi="Arial" w:cs="Arial"/>
                <w:lang w:eastAsia="en-AU"/>
              </w:rPr>
            </w:pPr>
            <w:r w:rsidRPr="009168DF">
              <w:t>All staff-related expenses. The wage bill should include all expenditure on staff compensation including gross salaries and salary on-costs such as superannuation and leave entitlements (i.e. annual leave, personal leave and long service leave).</w:t>
            </w:r>
          </w:p>
        </w:tc>
      </w:tr>
      <w:tr w:rsidR="00F7176E" w:rsidRPr="009B7AE4" w14:paraId="1A33BD1A" w14:textId="77777777" w:rsidTr="00A00AC0">
        <w:trPr>
          <w:trHeight w:val="510"/>
        </w:trPr>
        <w:tc>
          <w:tcPr>
            <w:tcW w:w="1207" w:type="pct"/>
            <w:noWrap/>
          </w:tcPr>
          <w:p w14:paraId="0AAD983B" w14:textId="77777777" w:rsidR="00F7176E" w:rsidRDefault="00F7176E" w:rsidP="00A00AC0">
            <w:pPr>
              <w:pStyle w:val="TabletextLeft"/>
              <w:rPr>
                <w:rFonts w:ascii="Arial" w:hAnsi="Arial" w:cs="Arial"/>
                <w:lang w:eastAsia="en-AU"/>
              </w:rPr>
            </w:pPr>
            <w:r w:rsidRPr="009168DF">
              <w:t>Cost of materials, utilities, equipment</w:t>
            </w:r>
          </w:p>
        </w:tc>
        <w:tc>
          <w:tcPr>
            <w:tcW w:w="3793" w:type="pct"/>
          </w:tcPr>
          <w:p w14:paraId="40B5D185" w14:textId="77777777" w:rsidR="00F7176E" w:rsidRPr="009B7AE4" w:rsidRDefault="00F7176E" w:rsidP="00A00AC0">
            <w:pPr>
              <w:pStyle w:val="TabletextLeft"/>
              <w:rPr>
                <w:rFonts w:ascii="Arial" w:hAnsi="Arial" w:cs="Arial"/>
                <w:lang w:eastAsia="en-AU"/>
              </w:rPr>
            </w:pPr>
            <w:r w:rsidRPr="009168DF">
              <w:t xml:space="preserve">Cost of teaching-related expenses such as materials, utilities and equipment at the budgetary unit level by </w:t>
            </w:r>
            <w:r w:rsidR="00374D2C" w:rsidRPr="009168DF">
              <w:t>discipline</w:t>
            </w:r>
            <w:r w:rsidRPr="009168DF">
              <w:t xml:space="preserve"> </w:t>
            </w:r>
          </w:p>
        </w:tc>
      </w:tr>
      <w:tr w:rsidR="00F7176E" w:rsidRPr="009B7AE4" w14:paraId="4C483AE0" w14:textId="77777777" w:rsidTr="00A00AC0">
        <w:trPr>
          <w:trHeight w:val="510"/>
        </w:trPr>
        <w:tc>
          <w:tcPr>
            <w:tcW w:w="1207" w:type="pct"/>
            <w:noWrap/>
          </w:tcPr>
          <w:p w14:paraId="4DEA437E" w14:textId="77777777" w:rsidR="00F7176E" w:rsidRDefault="00F7176E" w:rsidP="00A00AC0">
            <w:pPr>
              <w:pStyle w:val="TabletextLeft"/>
              <w:rPr>
                <w:rFonts w:ascii="Arial" w:hAnsi="Arial" w:cs="Arial"/>
                <w:lang w:eastAsia="en-AU"/>
              </w:rPr>
            </w:pPr>
            <w:r w:rsidRPr="009168DF">
              <w:t>Expenses that relate to labs/practicum/field work</w:t>
            </w:r>
          </w:p>
        </w:tc>
        <w:tc>
          <w:tcPr>
            <w:tcW w:w="3793" w:type="pct"/>
          </w:tcPr>
          <w:p w14:paraId="2F2C29B1" w14:textId="77777777" w:rsidR="00F7176E" w:rsidRPr="009B7AE4" w:rsidRDefault="00F7176E" w:rsidP="00A00AC0">
            <w:pPr>
              <w:pStyle w:val="TabletextLeft"/>
              <w:rPr>
                <w:rFonts w:ascii="Arial" w:hAnsi="Arial" w:cs="Arial"/>
                <w:lang w:eastAsia="en-AU"/>
              </w:rPr>
            </w:pPr>
            <w:r w:rsidRPr="009168DF">
              <w:t>Cost of teaching-related expenses associated with the applied, practical component of courses by discipline.</w:t>
            </w:r>
          </w:p>
        </w:tc>
      </w:tr>
      <w:tr w:rsidR="00F7176E" w:rsidRPr="009B7AE4" w14:paraId="326FC987" w14:textId="77777777" w:rsidTr="00A00AC0">
        <w:trPr>
          <w:trHeight w:val="510"/>
        </w:trPr>
        <w:tc>
          <w:tcPr>
            <w:tcW w:w="1207" w:type="pct"/>
            <w:noWrap/>
          </w:tcPr>
          <w:p w14:paraId="0A077979" w14:textId="77777777" w:rsidR="00F7176E" w:rsidRDefault="00F7176E" w:rsidP="00A00AC0">
            <w:pPr>
              <w:pStyle w:val="TabletextLeft"/>
              <w:rPr>
                <w:rFonts w:ascii="Arial" w:hAnsi="Arial" w:cs="Arial"/>
                <w:lang w:eastAsia="en-AU"/>
              </w:rPr>
            </w:pPr>
            <w:r w:rsidRPr="009168DF">
              <w:t>Other budgetary unit-level expenses</w:t>
            </w:r>
          </w:p>
        </w:tc>
        <w:tc>
          <w:tcPr>
            <w:tcW w:w="3793" w:type="pct"/>
          </w:tcPr>
          <w:p w14:paraId="5BCBBF1E" w14:textId="77777777" w:rsidR="00F7176E" w:rsidRPr="009B7AE4" w:rsidRDefault="00F7176E" w:rsidP="00A00AC0">
            <w:pPr>
              <w:pStyle w:val="TabletextLeft"/>
              <w:rPr>
                <w:rFonts w:ascii="Arial" w:hAnsi="Arial" w:cs="Arial"/>
                <w:lang w:eastAsia="en-AU"/>
              </w:rPr>
            </w:pPr>
            <w:r w:rsidRPr="009168DF">
              <w:t>All remaining budgetary level unit costs by discipline, i.e. costs not captured by 'budgetary level staff costs', 'cost of materials, utilities and equipment' and 'expenses relating to labs/practicum/field work'.</w:t>
            </w:r>
          </w:p>
        </w:tc>
      </w:tr>
      <w:tr w:rsidR="00F7176E" w:rsidRPr="009B7AE4" w14:paraId="14A8339B" w14:textId="77777777" w:rsidTr="00A00AC0">
        <w:trPr>
          <w:trHeight w:val="82"/>
        </w:trPr>
        <w:tc>
          <w:tcPr>
            <w:tcW w:w="1207" w:type="pct"/>
            <w:shd w:val="clear" w:color="auto" w:fill="D9D9D9" w:themeFill="background1" w:themeFillShade="D9"/>
            <w:noWrap/>
          </w:tcPr>
          <w:p w14:paraId="0592FB8A" w14:textId="77777777" w:rsidR="00F7176E" w:rsidRPr="009B7AE4" w:rsidRDefault="00F7176E" w:rsidP="00A00AC0">
            <w:pPr>
              <w:pStyle w:val="TabletextLeft"/>
              <w:rPr>
                <w:b/>
              </w:rPr>
            </w:pPr>
            <w:r w:rsidRPr="009B7AE4">
              <w:rPr>
                <w:b/>
              </w:rPr>
              <w:t>Central costs</w:t>
            </w:r>
            <w:r>
              <w:rPr>
                <w:rStyle w:val="FootnoteReference"/>
                <w:b/>
              </w:rPr>
              <w:footnoteReference w:id="37"/>
            </w:r>
          </w:p>
        </w:tc>
        <w:tc>
          <w:tcPr>
            <w:tcW w:w="3793" w:type="pct"/>
            <w:shd w:val="clear" w:color="auto" w:fill="D9D9D9" w:themeFill="background1" w:themeFillShade="D9"/>
          </w:tcPr>
          <w:p w14:paraId="72C89926" w14:textId="77777777" w:rsidR="00F7176E" w:rsidRPr="009B7AE4" w:rsidRDefault="00F7176E" w:rsidP="00A00AC0">
            <w:pPr>
              <w:pStyle w:val="TabletextLeft"/>
              <w:rPr>
                <w:b/>
              </w:rPr>
            </w:pPr>
          </w:p>
        </w:tc>
      </w:tr>
      <w:tr w:rsidR="00F7176E" w:rsidRPr="009B7AE4" w14:paraId="7D610A1F" w14:textId="77777777" w:rsidTr="00A00AC0">
        <w:trPr>
          <w:trHeight w:val="510"/>
        </w:trPr>
        <w:tc>
          <w:tcPr>
            <w:tcW w:w="1207" w:type="pct"/>
            <w:noWrap/>
          </w:tcPr>
          <w:p w14:paraId="13D06AE6" w14:textId="77777777" w:rsidR="00F7176E" w:rsidRDefault="00F7176E" w:rsidP="00A00AC0">
            <w:pPr>
              <w:pStyle w:val="TabletextLeft"/>
              <w:rPr>
                <w:rFonts w:ascii="Arial" w:hAnsi="Arial" w:cs="Arial"/>
                <w:lang w:eastAsia="en-AU"/>
              </w:rPr>
            </w:pPr>
            <w:r w:rsidRPr="00540380">
              <w:t>Central admin staff costs</w:t>
            </w:r>
          </w:p>
        </w:tc>
        <w:tc>
          <w:tcPr>
            <w:tcW w:w="3793" w:type="pct"/>
          </w:tcPr>
          <w:p w14:paraId="3DA1A5C3" w14:textId="77777777" w:rsidR="00F7176E" w:rsidRPr="009B7AE4" w:rsidRDefault="00F7176E" w:rsidP="00A00AC0">
            <w:pPr>
              <w:pStyle w:val="TabletextLeft"/>
              <w:rPr>
                <w:rFonts w:ascii="Arial" w:hAnsi="Arial" w:cs="Arial"/>
                <w:lang w:eastAsia="en-AU"/>
              </w:rPr>
            </w:pPr>
            <w:r w:rsidRPr="00540380">
              <w:t>As in the case of budgetary level unit staff costs, the wage bill should include all expenditure on staff compensation including gross salaries and salary on-costs such as superannuation and leave entitlements (i.e. annual leave, personal leave and long service leave).</w:t>
            </w:r>
          </w:p>
        </w:tc>
      </w:tr>
      <w:tr w:rsidR="00F7176E" w:rsidRPr="009B7AE4" w14:paraId="5FFF2F6F" w14:textId="77777777" w:rsidTr="00A00AC0">
        <w:trPr>
          <w:trHeight w:val="510"/>
        </w:trPr>
        <w:tc>
          <w:tcPr>
            <w:tcW w:w="1207" w:type="pct"/>
            <w:noWrap/>
          </w:tcPr>
          <w:p w14:paraId="0ECE30C4" w14:textId="77777777" w:rsidR="00F7176E" w:rsidRDefault="00F7176E" w:rsidP="00A00AC0">
            <w:pPr>
              <w:pStyle w:val="TabletextLeft"/>
              <w:rPr>
                <w:rFonts w:ascii="Arial" w:hAnsi="Arial" w:cs="Arial"/>
                <w:lang w:eastAsia="en-AU"/>
              </w:rPr>
            </w:pPr>
            <w:r w:rsidRPr="00540380">
              <w:t>Depreciation, amortisation, repairs, maintenance, borrowing, bad debts</w:t>
            </w:r>
          </w:p>
        </w:tc>
        <w:tc>
          <w:tcPr>
            <w:tcW w:w="3793" w:type="pct"/>
          </w:tcPr>
          <w:p w14:paraId="17317917" w14:textId="77777777" w:rsidR="00F7176E" w:rsidRPr="009B7AE4" w:rsidRDefault="00F7176E" w:rsidP="00A00AC0">
            <w:pPr>
              <w:pStyle w:val="TabletextLeft"/>
              <w:rPr>
                <w:rFonts w:ascii="Arial" w:hAnsi="Arial" w:cs="Arial"/>
                <w:lang w:eastAsia="en-AU"/>
              </w:rPr>
            </w:pPr>
            <w:r w:rsidRPr="00540380">
              <w:t>Cost associated with asset and capital management.</w:t>
            </w:r>
          </w:p>
        </w:tc>
      </w:tr>
      <w:tr w:rsidR="00F7176E" w:rsidRPr="009B7AE4" w14:paraId="27A85186" w14:textId="77777777" w:rsidTr="00A00AC0">
        <w:trPr>
          <w:trHeight w:val="510"/>
        </w:trPr>
        <w:tc>
          <w:tcPr>
            <w:tcW w:w="1207" w:type="pct"/>
            <w:noWrap/>
          </w:tcPr>
          <w:p w14:paraId="5BCBAB7C" w14:textId="77777777" w:rsidR="00F7176E" w:rsidRDefault="00F7176E" w:rsidP="00A00AC0">
            <w:pPr>
              <w:pStyle w:val="TabletextLeft"/>
              <w:rPr>
                <w:rFonts w:ascii="Arial" w:hAnsi="Arial" w:cs="Arial"/>
                <w:lang w:eastAsia="en-AU"/>
              </w:rPr>
            </w:pPr>
            <w:r w:rsidRPr="00540380">
              <w:t>Other central costs</w:t>
            </w:r>
          </w:p>
        </w:tc>
        <w:tc>
          <w:tcPr>
            <w:tcW w:w="3793" w:type="pct"/>
          </w:tcPr>
          <w:p w14:paraId="2F7E9F0C" w14:textId="77777777" w:rsidR="00F7176E" w:rsidRPr="009B7AE4" w:rsidRDefault="00F7176E" w:rsidP="00A00AC0">
            <w:pPr>
              <w:pStyle w:val="TabletextLeft"/>
              <w:rPr>
                <w:rFonts w:ascii="Arial" w:hAnsi="Arial" w:cs="Arial"/>
                <w:lang w:eastAsia="en-AU"/>
              </w:rPr>
            </w:pPr>
            <w:r w:rsidRPr="00540380">
              <w:t>All remaining central costs, i.e. costs not captured in 'central staff costs' or 'depreciation, amortisation, repairs, etc'</w:t>
            </w:r>
          </w:p>
        </w:tc>
      </w:tr>
    </w:tbl>
    <w:p w14:paraId="7F4C4410" w14:textId="77777777" w:rsidR="00F7176E" w:rsidRDefault="00F7176E" w:rsidP="00F7176E">
      <w:pPr>
        <w:pStyle w:val="HeadingB"/>
      </w:pPr>
      <w:r>
        <w:lastRenderedPageBreak/>
        <w:t>Data collection template</w:t>
      </w:r>
    </w:p>
    <w:p w14:paraId="2BDC1778" w14:textId="77777777" w:rsidR="00F7176E" w:rsidRPr="0002535B" w:rsidRDefault="00F7176E" w:rsidP="00F7176E">
      <w:pPr>
        <w:pStyle w:val="AppendixTableCaption"/>
      </w:pPr>
      <w:bookmarkStart w:id="394" w:name="_Toc469927406"/>
      <w:r>
        <w:t>: Overview of input fields in data collection template</w:t>
      </w:r>
      <w:bookmarkEnd w:id="394"/>
      <w:r>
        <w:t xml:space="preserve"> </w:t>
      </w:r>
    </w:p>
    <w:tbl>
      <w:tblPr>
        <w:tblStyle w:val="TableAE"/>
        <w:tblW w:w="5000" w:type="pct"/>
        <w:tblLayout w:type="fixed"/>
        <w:tblLook w:val="04A0" w:firstRow="1" w:lastRow="0" w:firstColumn="1" w:lastColumn="0" w:noHBand="0" w:noVBand="1"/>
      </w:tblPr>
      <w:tblGrid>
        <w:gridCol w:w="7129"/>
        <w:gridCol w:w="1308"/>
      </w:tblGrid>
      <w:tr w:rsidR="00F7176E" w:rsidRPr="009B7AE4" w14:paraId="453CA0AD" w14:textId="77777777" w:rsidTr="00A00AC0">
        <w:trPr>
          <w:cnfStyle w:val="100000000000" w:firstRow="1" w:lastRow="0" w:firstColumn="0" w:lastColumn="0" w:oddVBand="0" w:evenVBand="0" w:oddHBand="0" w:evenHBand="0" w:firstRowFirstColumn="0" w:firstRowLastColumn="0" w:lastRowFirstColumn="0" w:lastRowLastColumn="0"/>
          <w:trHeight w:val="510"/>
          <w:tblHeader/>
        </w:trPr>
        <w:tc>
          <w:tcPr>
            <w:tcW w:w="4225" w:type="pct"/>
            <w:noWrap/>
          </w:tcPr>
          <w:p w14:paraId="357D2199" w14:textId="77777777" w:rsidR="00F7176E" w:rsidRPr="009B7AE4" w:rsidRDefault="00F7176E" w:rsidP="00A00AC0">
            <w:pPr>
              <w:pStyle w:val="TableHeadingCentre"/>
              <w:rPr>
                <w:lang w:eastAsia="en-AU"/>
              </w:rPr>
            </w:pPr>
          </w:p>
        </w:tc>
        <w:tc>
          <w:tcPr>
            <w:tcW w:w="775" w:type="pct"/>
          </w:tcPr>
          <w:p w14:paraId="1C7EBD9B" w14:textId="77777777" w:rsidR="00F7176E" w:rsidRPr="009B7AE4" w:rsidRDefault="00F8412C" w:rsidP="00A00AC0">
            <w:pPr>
              <w:pStyle w:val="TableHeadingCentre"/>
              <w:rPr>
                <w:lang w:eastAsia="en-AU"/>
              </w:rPr>
            </w:pPr>
            <w:r>
              <w:rPr>
                <w:lang w:eastAsia="en-AU"/>
              </w:rPr>
              <w:t>Field</w:t>
            </w:r>
          </w:p>
        </w:tc>
      </w:tr>
      <w:tr w:rsidR="00F7176E" w:rsidRPr="009B7AE4" w14:paraId="6D2D904A" w14:textId="77777777" w:rsidTr="00A00AC0">
        <w:trPr>
          <w:trHeight w:val="82"/>
        </w:trPr>
        <w:tc>
          <w:tcPr>
            <w:tcW w:w="4225" w:type="pct"/>
            <w:shd w:val="clear" w:color="auto" w:fill="BFBFBF" w:themeFill="background1" w:themeFillShade="BF"/>
            <w:noWrap/>
          </w:tcPr>
          <w:p w14:paraId="41ECDD9F" w14:textId="77777777" w:rsidR="00F7176E" w:rsidRPr="009B7AE4" w:rsidRDefault="00F7176E" w:rsidP="00A00AC0">
            <w:pPr>
              <w:pStyle w:val="TabletextLeft"/>
              <w:rPr>
                <w:b/>
              </w:rPr>
            </w:pPr>
            <w:r>
              <w:rPr>
                <w:b/>
              </w:rPr>
              <w:t>Budgetary unit-level costs</w:t>
            </w:r>
          </w:p>
        </w:tc>
        <w:tc>
          <w:tcPr>
            <w:tcW w:w="775" w:type="pct"/>
            <w:shd w:val="clear" w:color="auto" w:fill="BFBFBF" w:themeFill="background1" w:themeFillShade="BF"/>
          </w:tcPr>
          <w:p w14:paraId="36FEEF42" w14:textId="77777777" w:rsidR="00F7176E" w:rsidRPr="009B7AE4" w:rsidRDefault="00F7176E" w:rsidP="00A00AC0">
            <w:pPr>
              <w:pStyle w:val="TabletextLeft"/>
              <w:rPr>
                <w:b/>
              </w:rPr>
            </w:pPr>
          </w:p>
        </w:tc>
      </w:tr>
      <w:tr w:rsidR="00F7176E" w:rsidRPr="009B7AE4" w14:paraId="22640623" w14:textId="77777777" w:rsidTr="00A00AC0">
        <w:trPr>
          <w:trHeight w:val="294"/>
        </w:trPr>
        <w:tc>
          <w:tcPr>
            <w:tcW w:w="4225" w:type="pct"/>
            <w:shd w:val="clear" w:color="auto" w:fill="F2F2F2" w:themeFill="background1" w:themeFillShade="F2"/>
            <w:noWrap/>
            <w:vAlign w:val="bottom"/>
          </w:tcPr>
          <w:p w14:paraId="08055482" w14:textId="77777777" w:rsidR="00F7176E" w:rsidRPr="0002535B" w:rsidRDefault="00F7176E" w:rsidP="00A00AC0">
            <w:pPr>
              <w:pStyle w:val="TabletextLeft"/>
              <w:rPr>
                <w:b/>
                <w:lang w:eastAsia="en-AU"/>
              </w:rPr>
            </w:pPr>
            <w:r w:rsidRPr="0002535B">
              <w:rPr>
                <w:b/>
              </w:rPr>
              <w:t>Number of staff (in Full-Time Equivalents (FTEs))</w:t>
            </w:r>
          </w:p>
        </w:tc>
        <w:tc>
          <w:tcPr>
            <w:tcW w:w="775" w:type="pct"/>
            <w:shd w:val="clear" w:color="auto" w:fill="F2F2F2" w:themeFill="background1" w:themeFillShade="F2"/>
          </w:tcPr>
          <w:p w14:paraId="4F87A8D0" w14:textId="77777777" w:rsidR="00F7176E" w:rsidRPr="009B7AE4" w:rsidRDefault="00F7176E" w:rsidP="00A00AC0">
            <w:pPr>
              <w:pStyle w:val="TabletextLeft"/>
              <w:rPr>
                <w:rFonts w:ascii="Arial" w:hAnsi="Arial" w:cs="Arial"/>
                <w:lang w:eastAsia="en-AU"/>
              </w:rPr>
            </w:pPr>
          </w:p>
        </w:tc>
      </w:tr>
      <w:tr w:rsidR="00F7176E" w:rsidRPr="009B7AE4" w14:paraId="4C9492F1" w14:textId="77777777" w:rsidTr="00A00AC0">
        <w:trPr>
          <w:trHeight w:val="152"/>
        </w:trPr>
        <w:tc>
          <w:tcPr>
            <w:tcW w:w="4225" w:type="pct"/>
            <w:noWrap/>
            <w:vAlign w:val="bottom"/>
          </w:tcPr>
          <w:p w14:paraId="724C26A2" w14:textId="77777777" w:rsidR="00F7176E" w:rsidRPr="0002535B" w:rsidRDefault="00F7176E" w:rsidP="00A00AC0">
            <w:pPr>
              <w:pStyle w:val="TabletextLeft"/>
              <w:rPr>
                <w:b/>
                <w:lang w:eastAsia="en-AU"/>
              </w:rPr>
            </w:pPr>
            <w:r w:rsidRPr="0002535B">
              <w:rPr>
                <w:b/>
                <w:i/>
                <w:iCs/>
              </w:rPr>
              <w:t>Academic staff</w:t>
            </w:r>
          </w:p>
        </w:tc>
        <w:tc>
          <w:tcPr>
            <w:tcW w:w="775" w:type="pct"/>
          </w:tcPr>
          <w:p w14:paraId="6E72FE59" w14:textId="77777777" w:rsidR="00F7176E" w:rsidRPr="009B7AE4" w:rsidRDefault="00F7176E" w:rsidP="00A00AC0">
            <w:pPr>
              <w:pStyle w:val="TabletextLeft"/>
              <w:rPr>
                <w:rFonts w:ascii="Arial" w:hAnsi="Arial" w:cs="Arial"/>
                <w:lang w:eastAsia="en-AU"/>
              </w:rPr>
            </w:pPr>
          </w:p>
        </w:tc>
      </w:tr>
      <w:tr w:rsidR="00F7176E" w:rsidRPr="009B7AE4" w14:paraId="2868A25D" w14:textId="77777777" w:rsidTr="00A00AC0">
        <w:trPr>
          <w:trHeight w:val="80"/>
        </w:trPr>
        <w:tc>
          <w:tcPr>
            <w:tcW w:w="4225" w:type="pct"/>
            <w:noWrap/>
            <w:vAlign w:val="bottom"/>
          </w:tcPr>
          <w:p w14:paraId="7AD61611" w14:textId="77777777" w:rsidR="00F7176E" w:rsidRDefault="00F7176E" w:rsidP="00A00AC0">
            <w:pPr>
              <w:pStyle w:val="TabletextLeft"/>
              <w:rPr>
                <w:lang w:eastAsia="en-AU"/>
              </w:rPr>
            </w:pPr>
            <w:r>
              <w:rPr>
                <w:i/>
                <w:iCs/>
              </w:rPr>
              <w:t>Number of academic staff, Teaching only (100% of time spent on Teaching) (FTEs)</w:t>
            </w:r>
          </w:p>
        </w:tc>
        <w:tc>
          <w:tcPr>
            <w:tcW w:w="775" w:type="pct"/>
          </w:tcPr>
          <w:p w14:paraId="0219874F" w14:textId="77777777" w:rsidR="00F7176E" w:rsidRPr="009B7AE4" w:rsidRDefault="00F7176E" w:rsidP="00A00AC0">
            <w:pPr>
              <w:pStyle w:val="TabletextLeft"/>
              <w:jc w:val="center"/>
              <w:rPr>
                <w:rFonts w:ascii="Arial" w:hAnsi="Arial" w:cs="Arial"/>
                <w:lang w:eastAsia="en-AU"/>
              </w:rPr>
            </w:pPr>
            <w:r w:rsidRPr="0002535B">
              <w:rPr>
                <w:rFonts w:asciiTheme="minorHAnsi" w:hAnsiTheme="minorHAnsi" w:cs="Arial"/>
                <w:lang w:eastAsia="en-AU"/>
              </w:rPr>
              <w:t>---</w:t>
            </w:r>
          </w:p>
        </w:tc>
      </w:tr>
      <w:tr w:rsidR="00F7176E" w:rsidRPr="009B7AE4" w14:paraId="2CC3E977" w14:textId="77777777" w:rsidTr="00A00AC0">
        <w:trPr>
          <w:trHeight w:val="80"/>
        </w:trPr>
        <w:tc>
          <w:tcPr>
            <w:tcW w:w="4225" w:type="pct"/>
            <w:noWrap/>
            <w:vAlign w:val="bottom"/>
          </w:tcPr>
          <w:p w14:paraId="51299A42" w14:textId="77777777" w:rsidR="00F7176E" w:rsidRDefault="00F7176E" w:rsidP="00A00AC0">
            <w:pPr>
              <w:pStyle w:val="TabletextLeft"/>
              <w:ind w:left="318"/>
              <w:rPr>
                <w:lang w:eastAsia="en-AU"/>
              </w:rPr>
            </w:pPr>
            <w:r>
              <w:t>Share of these FTEs related to sub-bachelor teaching activities (%)</w:t>
            </w:r>
          </w:p>
        </w:tc>
        <w:tc>
          <w:tcPr>
            <w:tcW w:w="775" w:type="pct"/>
          </w:tcPr>
          <w:p w14:paraId="440FC9F7" w14:textId="77777777" w:rsidR="00F7176E" w:rsidRPr="009B7AE4" w:rsidRDefault="00F7176E" w:rsidP="00A00AC0">
            <w:pPr>
              <w:pStyle w:val="TabletextLeft"/>
              <w:jc w:val="center"/>
              <w:rPr>
                <w:rFonts w:ascii="Arial" w:hAnsi="Arial" w:cs="Arial"/>
                <w:lang w:eastAsia="en-AU"/>
              </w:rPr>
            </w:pPr>
            <w:r w:rsidRPr="0002535B">
              <w:rPr>
                <w:rFonts w:asciiTheme="minorHAnsi" w:hAnsiTheme="minorHAnsi" w:cs="Arial"/>
                <w:lang w:eastAsia="en-AU"/>
              </w:rPr>
              <w:t>---</w:t>
            </w:r>
          </w:p>
        </w:tc>
      </w:tr>
      <w:tr w:rsidR="00F7176E" w:rsidRPr="009B7AE4" w14:paraId="04C58B2F" w14:textId="77777777" w:rsidTr="00A00AC0">
        <w:trPr>
          <w:trHeight w:val="80"/>
        </w:trPr>
        <w:tc>
          <w:tcPr>
            <w:tcW w:w="4225" w:type="pct"/>
            <w:noWrap/>
            <w:vAlign w:val="bottom"/>
          </w:tcPr>
          <w:p w14:paraId="72E040CF" w14:textId="77777777" w:rsidR="00F7176E" w:rsidRDefault="00F7176E" w:rsidP="00A00AC0">
            <w:pPr>
              <w:pStyle w:val="TabletextLeft"/>
              <w:ind w:left="318"/>
              <w:rPr>
                <w:lang w:eastAsia="en-AU"/>
              </w:rPr>
            </w:pPr>
            <w:r>
              <w:t>Share of these FTEs related to bachelor teaching activities (%)</w:t>
            </w:r>
          </w:p>
        </w:tc>
        <w:tc>
          <w:tcPr>
            <w:tcW w:w="775" w:type="pct"/>
          </w:tcPr>
          <w:p w14:paraId="20234973" w14:textId="77777777" w:rsidR="00F7176E" w:rsidRPr="009B7AE4" w:rsidRDefault="00F7176E" w:rsidP="00A00AC0">
            <w:pPr>
              <w:pStyle w:val="TabletextLeft"/>
              <w:jc w:val="center"/>
              <w:rPr>
                <w:rFonts w:ascii="Arial" w:hAnsi="Arial" w:cs="Arial"/>
                <w:lang w:eastAsia="en-AU"/>
              </w:rPr>
            </w:pPr>
            <w:r w:rsidRPr="0002535B">
              <w:rPr>
                <w:rFonts w:asciiTheme="minorHAnsi" w:hAnsiTheme="minorHAnsi" w:cs="Arial"/>
                <w:lang w:eastAsia="en-AU"/>
              </w:rPr>
              <w:t>---</w:t>
            </w:r>
          </w:p>
        </w:tc>
      </w:tr>
      <w:tr w:rsidR="00F7176E" w:rsidRPr="009B7AE4" w14:paraId="7FA626EA" w14:textId="77777777" w:rsidTr="00A00AC0">
        <w:trPr>
          <w:trHeight w:val="80"/>
        </w:trPr>
        <w:tc>
          <w:tcPr>
            <w:tcW w:w="4225" w:type="pct"/>
            <w:noWrap/>
            <w:vAlign w:val="bottom"/>
          </w:tcPr>
          <w:p w14:paraId="29794BB7" w14:textId="77777777" w:rsidR="00F7176E" w:rsidRDefault="00F7176E" w:rsidP="00A00AC0">
            <w:pPr>
              <w:pStyle w:val="TabletextLeft"/>
              <w:ind w:left="318"/>
              <w:rPr>
                <w:lang w:eastAsia="en-AU"/>
              </w:rPr>
            </w:pPr>
            <w:r>
              <w:t>Share of these FTEs related to coursework postgraduate teaching activities (%)</w:t>
            </w:r>
          </w:p>
        </w:tc>
        <w:tc>
          <w:tcPr>
            <w:tcW w:w="775" w:type="pct"/>
          </w:tcPr>
          <w:p w14:paraId="2D5A6374" w14:textId="77777777" w:rsidR="00F7176E" w:rsidRPr="009B7AE4" w:rsidRDefault="00F7176E" w:rsidP="00A00AC0">
            <w:pPr>
              <w:pStyle w:val="TabletextLeft"/>
              <w:jc w:val="center"/>
              <w:rPr>
                <w:rFonts w:ascii="Arial" w:hAnsi="Arial" w:cs="Arial"/>
                <w:lang w:eastAsia="en-AU"/>
              </w:rPr>
            </w:pPr>
            <w:r w:rsidRPr="0002535B">
              <w:rPr>
                <w:rFonts w:asciiTheme="minorHAnsi" w:hAnsiTheme="minorHAnsi" w:cs="Arial"/>
                <w:lang w:eastAsia="en-AU"/>
              </w:rPr>
              <w:t>---</w:t>
            </w:r>
          </w:p>
        </w:tc>
      </w:tr>
      <w:tr w:rsidR="00F7176E" w:rsidRPr="009B7AE4" w14:paraId="6225C1BA" w14:textId="77777777" w:rsidTr="00A00AC0">
        <w:trPr>
          <w:trHeight w:val="80"/>
        </w:trPr>
        <w:tc>
          <w:tcPr>
            <w:tcW w:w="4225" w:type="pct"/>
            <w:noWrap/>
            <w:vAlign w:val="bottom"/>
          </w:tcPr>
          <w:p w14:paraId="242FCDAE" w14:textId="77777777" w:rsidR="00F7176E" w:rsidRDefault="00F7176E" w:rsidP="00A00AC0">
            <w:pPr>
              <w:pStyle w:val="TabletextLeft"/>
              <w:rPr>
                <w:lang w:eastAsia="en-AU"/>
              </w:rPr>
            </w:pPr>
            <w:r>
              <w:rPr>
                <w:i/>
                <w:iCs/>
              </w:rPr>
              <w:t>Number of academic staff, involved in both Teaching &amp; Research (FTEs)</w:t>
            </w:r>
          </w:p>
        </w:tc>
        <w:tc>
          <w:tcPr>
            <w:tcW w:w="775" w:type="pct"/>
          </w:tcPr>
          <w:p w14:paraId="58F24AA0" w14:textId="77777777" w:rsidR="00F7176E" w:rsidRPr="009B7AE4" w:rsidRDefault="00F7176E" w:rsidP="00A00AC0">
            <w:pPr>
              <w:pStyle w:val="TabletextLeft"/>
              <w:jc w:val="center"/>
              <w:rPr>
                <w:rFonts w:ascii="Arial" w:hAnsi="Arial" w:cs="Arial"/>
                <w:lang w:eastAsia="en-AU"/>
              </w:rPr>
            </w:pPr>
            <w:r w:rsidRPr="0002535B">
              <w:rPr>
                <w:rFonts w:asciiTheme="minorHAnsi" w:hAnsiTheme="minorHAnsi" w:cs="Arial"/>
                <w:lang w:eastAsia="en-AU"/>
              </w:rPr>
              <w:t>---</w:t>
            </w:r>
          </w:p>
        </w:tc>
      </w:tr>
      <w:tr w:rsidR="00F7176E" w:rsidRPr="009B7AE4" w14:paraId="4B74F142" w14:textId="77777777" w:rsidTr="00A00AC0">
        <w:trPr>
          <w:trHeight w:val="80"/>
        </w:trPr>
        <w:tc>
          <w:tcPr>
            <w:tcW w:w="4225" w:type="pct"/>
            <w:noWrap/>
            <w:vAlign w:val="bottom"/>
          </w:tcPr>
          <w:p w14:paraId="5D85E219" w14:textId="77777777" w:rsidR="00F7176E" w:rsidRPr="0002535B" w:rsidRDefault="00F7176E" w:rsidP="00A00AC0">
            <w:pPr>
              <w:pStyle w:val="TabletextLeft"/>
              <w:rPr>
                <w:b/>
                <w:lang w:eastAsia="en-AU"/>
              </w:rPr>
            </w:pPr>
            <w:r w:rsidRPr="0002535B">
              <w:rPr>
                <w:b/>
                <w:i/>
                <w:iCs/>
              </w:rPr>
              <w:t>Casual academic staff (i.e. research assistants, tutors)</w:t>
            </w:r>
          </w:p>
        </w:tc>
        <w:tc>
          <w:tcPr>
            <w:tcW w:w="775" w:type="pct"/>
          </w:tcPr>
          <w:p w14:paraId="743FB7A4" w14:textId="77777777" w:rsidR="00F7176E" w:rsidRPr="009B7AE4" w:rsidRDefault="00F7176E" w:rsidP="00A00AC0">
            <w:pPr>
              <w:pStyle w:val="TabletextLeft"/>
              <w:rPr>
                <w:rFonts w:ascii="Arial" w:hAnsi="Arial" w:cs="Arial"/>
                <w:lang w:eastAsia="en-AU"/>
              </w:rPr>
            </w:pPr>
          </w:p>
        </w:tc>
      </w:tr>
      <w:tr w:rsidR="00F7176E" w:rsidRPr="009B7AE4" w14:paraId="2CADBF82" w14:textId="77777777" w:rsidTr="00A00AC0">
        <w:trPr>
          <w:trHeight w:val="80"/>
        </w:trPr>
        <w:tc>
          <w:tcPr>
            <w:tcW w:w="4225" w:type="pct"/>
            <w:noWrap/>
            <w:vAlign w:val="bottom"/>
          </w:tcPr>
          <w:p w14:paraId="6058535B" w14:textId="77777777" w:rsidR="00F7176E" w:rsidRDefault="00F7176E" w:rsidP="00A00AC0">
            <w:pPr>
              <w:pStyle w:val="TabletextLeft"/>
              <w:rPr>
                <w:lang w:eastAsia="en-AU"/>
              </w:rPr>
            </w:pPr>
            <w:r>
              <w:rPr>
                <w:i/>
                <w:iCs/>
              </w:rPr>
              <w:t>Number of casual academic staff, Teaching only (100% of time spent on Teaching) (FTEs)</w:t>
            </w:r>
          </w:p>
        </w:tc>
        <w:tc>
          <w:tcPr>
            <w:tcW w:w="775" w:type="pct"/>
          </w:tcPr>
          <w:p w14:paraId="3782B6DB" w14:textId="77777777" w:rsidR="00F7176E" w:rsidRPr="009B7AE4" w:rsidRDefault="00F7176E" w:rsidP="00A00AC0">
            <w:pPr>
              <w:pStyle w:val="TabletextLeft"/>
              <w:jc w:val="center"/>
              <w:rPr>
                <w:rFonts w:ascii="Arial" w:hAnsi="Arial" w:cs="Arial"/>
                <w:lang w:eastAsia="en-AU"/>
              </w:rPr>
            </w:pPr>
            <w:r w:rsidRPr="0002535B">
              <w:rPr>
                <w:rFonts w:asciiTheme="minorHAnsi" w:hAnsiTheme="minorHAnsi" w:cs="Arial"/>
                <w:lang w:eastAsia="en-AU"/>
              </w:rPr>
              <w:t>---</w:t>
            </w:r>
          </w:p>
        </w:tc>
      </w:tr>
      <w:tr w:rsidR="00F7176E" w:rsidRPr="009B7AE4" w14:paraId="0EA27FD5" w14:textId="77777777" w:rsidTr="00A00AC0">
        <w:trPr>
          <w:trHeight w:val="80"/>
        </w:trPr>
        <w:tc>
          <w:tcPr>
            <w:tcW w:w="4225" w:type="pct"/>
            <w:noWrap/>
            <w:vAlign w:val="bottom"/>
          </w:tcPr>
          <w:p w14:paraId="2098B0CD" w14:textId="77777777" w:rsidR="00F7176E" w:rsidRDefault="00F7176E" w:rsidP="00A00AC0">
            <w:pPr>
              <w:pStyle w:val="TabletextLeft"/>
              <w:rPr>
                <w:lang w:eastAsia="en-AU"/>
              </w:rPr>
            </w:pPr>
            <w:r>
              <w:rPr>
                <w:i/>
                <w:iCs/>
              </w:rPr>
              <w:t>Number of casual academic staff, involved in both Teaching &amp; Research (FTEs)</w:t>
            </w:r>
          </w:p>
        </w:tc>
        <w:tc>
          <w:tcPr>
            <w:tcW w:w="775" w:type="pct"/>
          </w:tcPr>
          <w:p w14:paraId="1CC36265" w14:textId="77777777" w:rsidR="00F7176E" w:rsidRPr="009B7AE4" w:rsidRDefault="00F7176E" w:rsidP="00A00AC0">
            <w:pPr>
              <w:pStyle w:val="TabletextLeft"/>
              <w:jc w:val="center"/>
              <w:rPr>
                <w:rFonts w:ascii="Arial" w:hAnsi="Arial" w:cs="Arial"/>
                <w:lang w:eastAsia="en-AU"/>
              </w:rPr>
            </w:pPr>
            <w:r w:rsidRPr="0002535B">
              <w:rPr>
                <w:rFonts w:asciiTheme="minorHAnsi" w:hAnsiTheme="minorHAnsi" w:cs="Arial"/>
                <w:lang w:eastAsia="en-AU"/>
              </w:rPr>
              <w:t>---</w:t>
            </w:r>
          </w:p>
        </w:tc>
      </w:tr>
      <w:tr w:rsidR="00F7176E" w:rsidRPr="009B7AE4" w14:paraId="2FB97ED2" w14:textId="77777777" w:rsidTr="00A00AC0">
        <w:trPr>
          <w:trHeight w:val="80"/>
        </w:trPr>
        <w:tc>
          <w:tcPr>
            <w:tcW w:w="4225" w:type="pct"/>
            <w:noWrap/>
            <w:vAlign w:val="bottom"/>
          </w:tcPr>
          <w:p w14:paraId="0B0EB844" w14:textId="77777777" w:rsidR="00F7176E" w:rsidRPr="0002535B" w:rsidRDefault="00F7176E" w:rsidP="00A00AC0">
            <w:pPr>
              <w:pStyle w:val="TabletextLeft"/>
              <w:rPr>
                <w:b/>
                <w:lang w:eastAsia="en-AU"/>
              </w:rPr>
            </w:pPr>
            <w:r w:rsidRPr="0002535B">
              <w:rPr>
                <w:b/>
                <w:i/>
                <w:iCs/>
              </w:rPr>
              <w:t>Non-academic staff (i.e. admin staff, IT staff, etc)</w:t>
            </w:r>
          </w:p>
        </w:tc>
        <w:tc>
          <w:tcPr>
            <w:tcW w:w="775" w:type="pct"/>
          </w:tcPr>
          <w:p w14:paraId="4EBFD0C9" w14:textId="77777777" w:rsidR="00F7176E" w:rsidRPr="009B7AE4" w:rsidRDefault="00F7176E" w:rsidP="00A00AC0">
            <w:pPr>
              <w:pStyle w:val="TabletextLeft"/>
              <w:rPr>
                <w:rFonts w:ascii="Arial" w:hAnsi="Arial" w:cs="Arial"/>
                <w:lang w:eastAsia="en-AU"/>
              </w:rPr>
            </w:pPr>
          </w:p>
        </w:tc>
      </w:tr>
      <w:tr w:rsidR="00F7176E" w:rsidRPr="009B7AE4" w14:paraId="1B1ACCCE" w14:textId="77777777" w:rsidTr="00A00AC0">
        <w:trPr>
          <w:trHeight w:val="671"/>
        </w:trPr>
        <w:tc>
          <w:tcPr>
            <w:tcW w:w="4225" w:type="pct"/>
            <w:noWrap/>
            <w:vAlign w:val="bottom"/>
          </w:tcPr>
          <w:p w14:paraId="7A4302EC" w14:textId="77777777" w:rsidR="00F7176E" w:rsidRDefault="00F7176E" w:rsidP="00A00AC0">
            <w:pPr>
              <w:pStyle w:val="TabletextLeft"/>
              <w:rPr>
                <w:lang w:eastAsia="en-AU"/>
              </w:rPr>
            </w:pPr>
            <w:r>
              <w:rPr>
                <w:i/>
                <w:iCs/>
              </w:rPr>
              <w:t>Number of non-academic staff, Teaching only (100% of time spent on Teaching) (FTEs)</w:t>
            </w:r>
          </w:p>
        </w:tc>
        <w:tc>
          <w:tcPr>
            <w:tcW w:w="775" w:type="pct"/>
          </w:tcPr>
          <w:p w14:paraId="77D40042" w14:textId="77777777" w:rsidR="00F7176E" w:rsidRPr="0002535B" w:rsidRDefault="00F7176E" w:rsidP="00A00AC0">
            <w:pPr>
              <w:pStyle w:val="TabletextLeft"/>
              <w:jc w:val="center"/>
              <w:rPr>
                <w:rFonts w:asciiTheme="minorHAnsi" w:hAnsiTheme="minorHAnsi" w:cs="Arial"/>
                <w:lang w:eastAsia="en-AU"/>
              </w:rPr>
            </w:pPr>
            <w:r w:rsidRPr="0002535B">
              <w:rPr>
                <w:rFonts w:asciiTheme="minorHAnsi" w:hAnsiTheme="minorHAnsi" w:cs="Arial"/>
                <w:lang w:eastAsia="en-AU"/>
              </w:rPr>
              <w:t>---</w:t>
            </w:r>
          </w:p>
        </w:tc>
      </w:tr>
      <w:tr w:rsidR="00F7176E" w:rsidRPr="009B7AE4" w14:paraId="03264B48" w14:textId="77777777" w:rsidTr="00A00AC0">
        <w:trPr>
          <w:trHeight w:val="80"/>
        </w:trPr>
        <w:tc>
          <w:tcPr>
            <w:tcW w:w="4225" w:type="pct"/>
            <w:noWrap/>
            <w:vAlign w:val="bottom"/>
          </w:tcPr>
          <w:p w14:paraId="6E2FB2CE" w14:textId="77777777" w:rsidR="00F7176E" w:rsidRDefault="00F7176E" w:rsidP="00A00AC0">
            <w:pPr>
              <w:pStyle w:val="TabletextLeft"/>
              <w:rPr>
                <w:lang w:eastAsia="en-AU"/>
              </w:rPr>
            </w:pPr>
            <w:r>
              <w:rPr>
                <w:i/>
                <w:iCs/>
              </w:rPr>
              <w:t>Number of non-academic staff, involved in both Teaching &amp; Research (FTEs)</w:t>
            </w:r>
          </w:p>
        </w:tc>
        <w:tc>
          <w:tcPr>
            <w:tcW w:w="775" w:type="pct"/>
          </w:tcPr>
          <w:p w14:paraId="36EB7CFA" w14:textId="77777777" w:rsidR="00F7176E" w:rsidRPr="0002535B" w:rsidRDefault="00F7176E" w:rsidP="00A00AC0">
            <w:pPr>
              <w:pStyle w:val="TabletextLeft"/>
              <w:jc w:val="center"/>
              <w:rPr>
                <w:rFonts w:asciiTheme="minorHAnsi" w:hAnsiTheme="minorHAnsi" w:cs="Arial"/>
                <w:lang w:eastAsia="en-AU"/>
              </w:rPr>
            </w:pPr>
            <w:r w:rsidRPr="0002535B">
              <w:rPr>
                <w:rFonts w:asciiTheme="minorHAnsi" w:hAnsiTheme="minorHAnsi" w:cs="Arial"/>
                <w:lang w:eastAsia="en-AU"/>
              </w:rPr>
              <w:t>---</w:t>
            </w:r>
          </w:p>
        </w:tc>
      </w:tr>
      <w:tr w:rsidR="00F7176E" w:rsidRPr="009B7AE4" w14:paraId="2C737ADD" w14:textId="77777777" w:rsidTr="00A00AC0">
        <w:trPr>
          <w:trHeight w:val="80"/>
        </w:trPr>
        <w:tc>
          <w:tcPr>
            <w:tcW w:w="4225" w:type="pct"/>
            <w:shd w:val="clear" w:color="auto" w:fill="F2F2F2" w:themeFill="background1" w:themeFillShade="F2"/>
            <w:noWrap/>
          </w:tcPr>
          <w:p w14:paraId="6F22AF11" w14:textId="77777777" w:rsidR="00F7176E" w:rsidRPr="0002535B" w:rsidRDefault="00F7176E" w:rsidP="00A00AC0">
            <w:pPr>
              <w:pStyle w:val="TabletextLeft"/>
              <w:rPr>
                <w:b/>
                <w:lang w:eastAsia="en-AU"/>
              </w:rPr>
            </w:pPr>
            <w:r w:rsidRPr="0002535B">
              <w:rPr>
                <w:b/>
                <w:lang w:eastAsia="en-AU"/>
              </w:rPr>
              <w:t>Staff Costs - Employee benefits and on-costs (i.e. total wage bill)</w:t>
            </w:r>
          </w:p>
        </w:tc>
        <w:tc>
          <w:tcPr>
            <w:tcW w:w="775" w:type="pct"/>
            <w:shd w:val="clear" w:color="auto" w:fill="F2F2F2" w:themeFill="background1" w:themeFillShade="F2"/>
          </w:tcPr>
          <w:p w14:paraId="20A31BF0" w14:textId="77777777" w:rsidR="00F7176E" w:rsidRPr="009B7AE4" w:rsidRDefault="00F7176E" w:rsidP="00A00AC0">
            <w:pPr>
              <w:pStyle w:val="TabletextLeft"/>
              <w:rPr>
                <w:rFonts w:ascii="Arial" w:hAnsi="Arial" w:cs="Arial"/>
                <w:lang w:eastAsia="en-AU"/>
              </w:rPr>
            </w:pPr>
          </w:p>
        </w:tc>
      </w:tr>
      <w:tr w:rsidR="00F7176E" w:rsidRPr="009B7AE4" w14:paraId="5F5E6F2A" w14:textId="77777777" w:rsidTr="00A00AC0">
        <w:trPr>
          <w:trHeight w:val="80"/>
        </w:trPr>
        <w:tc>
          <w:tcPr>
            <w:tcW w:w="4225" w:type="pct"/>
            <w:noWrap/>
            <w:vAlign w:val="bottom"/>
          </w:tcPr>
          <w:p w14:paraId="653D3E5C" w14:textId="77777777" w:rsidR="00F7176E" w:rsidRDefault="00F7176E" w:rsidP="00A00AC0">
            <w:pPr>
              <w:pStyle w:val="TabletextLeft"/>
              <w:rPr>
                <w:lang w:eastAsia="en-AU"/>
              </w:rPr>
            </w:pPr>
            <w:r>
              <w:rPr>
                <w:b/>
                <w:bCs/>
                <w:i/>
                <w:iCs/>
              </w:rPr>
              <w:t>Academic staff costs</w:t>
            </w:r>
          </w:p>
        </w:tc>
        <w:tc>
          <w:tcPr>
            <w:tcW w:w="775" w:type="pct"/>
          </w:tcPr>
          <w:p w14:paraId="798E3399" w14:textId="77777777" w:rsidR="00F7176E" w:rsidRPr="009B7AE4" w:rsidRDefault="00F7176E" w:rsidP="00A00AC0">
            <w:pPr>
              <w:pStyle w:val="TabletextLeft"/>
              <w:rPr>
                <w:rFonts w:ascii="Arial" w:hAnsi="Arial" w:cs="Arial"/>
                <w:lang w:eastAsia="en-AU"/>
              </w:rPr>
            </w:pPr>
          </w:p>
        </w:tc>
      </w:tr>
      <w:tr w:rsidR="00F7176E" w:rsidRPr="009B7AE4" w14:paraId="34920C52" w14:textId="77777777" w:rsidTr="00A00AC0">
        <w:trPr>
          <w:trHeight w:val="80"/>
        </w:trPr>
        <w:tc>
          <w:tcPr>
            <w:tcW w:w="4225" w:type="pct"/>
            <w:noWrap/>
            <w:vAlign w:val="bottom"/>
          </w:tcPr>
          <w:p w14:paraId="44DB7E64" w14:textId="77777777" w:rsidR="00F7176E" w:rsidRDefault="00F7176E" w:rsidP="00A00AC0">
            <w:pPr>
              <w:pStyle w:val="TabletextLeft"/>
              <w:rPr>
                <w:lang w:eastAsia="en-AU"/>
              </w:rPr>
            </w:pPr>
            <w:r>
              <w:t>Academic staff costs, Teaching only ($)</w:t>
            </w:r>
          </w:p>
        </w:tc>
        <w:tc>
          <w:tcPr>
            <w:tcW w:w="775" w:type="pct"/>
          </w:tcPr>
          <w:p w14:paraId="338C9DE4" w14:textId="77777777" w:rsidR="00F7176E" w:rsidRPr="009B7AE4" w:rsidRDefault="00F7176E" w:rsidP="00A00AC0">
            <w:pPr>
              <w:pStyle w:val="TabletextLeft"/>
              <w:jc w:val="center"/>
              <w:rPr>
                <w:rFonts w:ascii="Arial" w:hAnsi="Arial" w:cs="Arial"/>
                <w:lang w:eastAsia="en-AU"/>
              </w:rPr>
            </w:pPr>
            <w:r w:rsidRPr="0002535B">
              <w:rPr>
                <w:rFonts w:asciiTheme="minorHAnsi" w:hAnsiTheme="minorHAnsi" w:cs="Arial"/>
                <w:lang w:eastAsia="en-AU"/>
              </w:rPr>
              <w:t>---</w:t>
            </w:r>
          </w:p>
        </w:tc>
      </w:tr>
      <w:tr w:rsidR="00F7176E" w:rsidRPr="009B7AE4" w14:paraId="0448744B" w14:textId="77777777" w:rsidTr="00A00AC0">
        <w:trPr>
          <w:trHeight w:val="80"/>
        </w:trPr>
        <w:tc>
          <w:tcPr>
            <w:tcW w:w="4225" w:type="pct"/>
            <w:noWrap/>
            <w:vAlign w:val="bottom"/>
          </w:tcPr>
          <w:p w14:paraId="61EF6D1E" w14:textId="77777777" w:rsidR="00F7176E" w:rsidRDefault="00F7176E" w:rsidP="00A00AC0">
            <w:pPr>
              <w:pStyle w:val="TabletextLeft"/>
              <w:rPr>
                <w:lang w:eastAsia="en-AU"/>
              </w:rPr>
            </w:pPr>
            <w:r>
              <w:t>Academic staff costs, Teaching &amp; Research ($)</w:t>
            </w:r>
          </w:p>
        </w:tc>
        <w:tc>
          <w:tcPr>
            <w:tcW w:w="775" w:type="pct"/>
          </w:tcPr>
          <w:p w14:paraId="393A151B" w14:textId="77777777" w:rsidR="00F7176E" w:rsidRPr="009B7AE4" w:rsidRDefault="00F7176E" w:rsidP="00A00AC0">
            <w:pPr>
              <w:pStyle w:val="TabletextLeft"/>
              <w:jc w:val="center"/>
              <w:rPr>
                <w:rFonts w:ascii="Arial" w:hAnsi="Arial" w:cs="Arial"/>
                <w:lang w:eastAsia="en-AU"/>
              </w:rPr>
            </w:pPr>
            <w:r w:rsidRPr="0002535B">
              <w:rPr>
                <w:rFonts w:asciiTheme="minorHAnsi" w:hAnsiTheme="minorHAnsi" w:cs="Arial"/>
                <w:lang w:eastAsia="en-AU"/>
              </w:rPr>
              <w:t>---</w:t>
            </w:r>
          </w:p>
        </w:tc>
      </w:tr>
      <w:tr w:rsidR="00F7176E" w:rsidRPr="009B7AE4" w14:paraId="2F92CB2A" w14:textId="77777777" w:rsidTr="00A00AC0">
        <w:trPr>
          <w:trHeight w:val="80"/>
        </w:trPr>
        <w:tc>
          <w:tcPr>
            <w:tcW w:w="4225" w:type="pct"/>
            <w:noWrap/>
            <w:vAlign w:val="bottom"/>
          </w:tcPr>
          <w:p w14:paraId="6AA21FA9" w14:textId="77777777" w:rsidR="00F7176E" w:rsidRDefault="00F7176E" w:rsidP="00A00AC0">
            <w:pPr>
              <w:pStyle w:val="TabletextLeft"/>
              <w:rPr>
                <w:lang w:eastAsia="en-AU"/>
              </w:rPr>
            </w:pPr>
            <w:r>
              <w:rPr>
                <w:b/>
                <w:bCs/>
                <w:i/>
                <w:iCs/>
              </w:rPr>
              <w:t>Casual academic staff costs</w:t>
            </w:r>
          </w:p>
        </w:tc>
        <w:tc>
          <w:tcPr>
            <w:tcW w:w="775" w:type="pct"/>
          </w:tcPr>
          <w:p w14:paraId="68A57BFF" w14:textId="77777777" w:rsidR="00F7176E" w:rsidRPr="009B7AE4" w:rsidRDefault="00F7176E" w:rsidP="00A00AC0">
            <w:pPr>
              <w:pStyle w:val="TabletextLeft"/>
              <w:jc w:val="center"/>
              <w:rPr>
                <w:rFonts w:ascii="Arial" w:hAnsi="Arial" w:cs="Arial"/>
                <w:lang w:eastAsia="en-AU"/>
              </w:rPr>
            </w:pPr>
          </w:p>
        </w:tc>
      </w:tr>
      <w:tr w:rsidR="00F7176E" w:rsidRPr="009B7AE4" w14:paraId="75B1289D" w14:textId="77777777" w:rsidTr="00A00AC0">
        <w:trPr>
          <w:trHeight w:val="80"/>
        </w:trPr>
        <w:tc>
          <w:tcPr>
            <w:tcW w:w="4225" w:type="pct"/>
            <w:noWrap/>
            <w:vAlign w:val="bottom"/>
          </w:tcPr>
          <w:p w14:paraId="2D88E8D2" w14:textId="77777777" w:rsidR="00F7176E" w:rsidRDefault="00F7176E" w:rsidP="00A00AC0">
            <w:pPr>
              <w:pStyle w:val="TabletextLeft"/>
              <w:rPr>
                <w:lang w:eastAsia="en-AU"/>
              </w:rPr>
            </w:pPr>
            <w:r>
              <w:t>Casual academic staff costs, Teaching only ($)</w:t>
            </w:r>
          </w:p>
        </w:tc>
        <w:tc>
          <w:tcPr>
            <w:tcW w:w="775" w:type="pct"/>
          </w:tcPr>
          <w:p w14:paraId="78587C9A" w14:textId="77777777" w:rsidR="00F7176E" w:rsidRPr="009B7AE4" w:rsidRDefault="00F7176E" w:rsidP="00A00AC0">
            <w:pPr>
              <w:pStyle w:val="TabletextLeft"/>
              <w:jc w:val="center"/>
              <w:rPr>
                <w:rFonts w:ascii="Arial" w:hAnsi="Arial" w:cs="Arial"/>
                <w:lang w:eastAsia="en-AU"/>
              </w:rPr>
            </w:pPr>
            <w:r w:rsidRPr="0002535B">
              <w:rPr>
                <w:rFonts w:asciiTheme="minorHAnsi" w:hAnsiTheme="minorHAnsi" w:cs="Arial"/>
                <w:lang w:eastAsia="en-AU"/>
              </w:rPr>
              <w:t>---</w:t>
            </w:r>
          </w:p>
        </w:tc>
      </w:tr>
      <w:tr w:rsidR="00F7176E" w:rsidRPr="009B7AE4" w14:paraId="3FC4D320" w14:textId="77777777" w:rsidTr="00A00AC0">
        <w:trPr>
          <w:trHeight w:val="80"/>
        </w:trPr>
        <w:tc>
          <w:tcPr>
            <w:tcW w:w="4225" w:type="pct"/>
            <w:noWrap/>
            <w:vAlign w:val="bottom"/>
          </w:tcPr>
          <w:p w14:paraId="286FF4DD" w14:textId="77777777" w:rsidR="00F7176E" w:rsidRDefault="00F7176E" w:rsidP="00A00AC0">
            <w:pPr>
              <w:pStyle w:val="TabletextLeft"/>
              <w:rPr>
                <w:lang w:eastAsia="en-AU"/>
              </w:rPr>
            </w:pPr>
            <w:r>
              <w:t>Casual academic staff costs, Teaching &amp; Research ($)</w:t>
            </w:r>
          </w:p>
        </w:tc>
        <w:tc>
          <w:tcPr>
            <w:tcW w:w="775" w:type="pct"/>
          </w:tcPr>
          <w:p w14:paraId="6A11966D" w14:textId="77777777" w:rsidR="00F7176E" w:rsidRPr="009B7AE4" w:rsidRDefault="00F7176E" w:rsidP="00A00AC0">
            <w:pPr>
              <w:pStyle w:val="TabletextLeft"/>
              <w:jc w:val="center"/>
              <w:rPr>
                <w:rFonts w:ascii="Arial" w:hAnsi="Arial" w:cs="Arial"/>
                <w:lang w:eastAsia="en-AU"/>
              </w:rPr>
            </w:pPr>
            <w:r w:rsidRPr="0002535B">
              <w:rPr>
                <w:rFonts w:asciiTheme="minorHAnsi" w:hAnsiTheme="minorHAnsi" w:cs="Arial"/>
                <w:lang w:eastAsia="en-AU"/>
              </w:rPr>
              <w:t>---</w:t>
            </w:r>
          </w:p>
        </w:tc>
      </w:tr>
      <w:tr w:rsidR="00F7176E" w:rsidRPr="009B7AE4" w14:paraId="6AC5B4C7" w14:textId="77777777" w:rsidTr="00A00AC0">
        <w:trPr>
          <w:trHeight w:val="80"/>
        </w:trPr>
        <w:tc>
          <w:tcPr>
            <w:tcW w:w="4225" w:type="pct"/>
            <w:noWrap/>
            <w:vAlign w:val="bottom"/>
          </w:tcPr>
          <w:p w14:paraId="7CE4524E" w14:textId="77777777" w:rsidR="00F7176E" w:rsidRDefault="00F7176E" w:rsidP="00A00AC0">
            <w:pPr>
              <w:pStyle w:val="TabletextLeft"/>
              <w:rPr>
                <w:lang w:eastAsia="en-AU"/>
              </w:rPr>
            </w:pPr>
            <w:r>
              <w:rPr>
                <w:b/>
                <w:bCs/>
                <w:i/>
                <w:iCs/>
              </w:rPr>
              <w:t>Non-academic staff costs</w:t>
            </w:r>
          </w:p>
        </w:tc>
        <w:tc>
          <w:tcPr>
            <w:tcW w:w="775" w:type="pct"/>
          </w:tcPr>
          <w:p w14:paraId="5E3678D0" w14:textId="77777777" w:rsidR="00F7176E" w:rsidRPr="009B7AE4" w:rsidRDefault="00F7176E" w:rsidP="00A00AC0">
            <w:pPr>
              <w:pStyle w:val="TabletextLeft"/>
              <w:rPr>
                <w:rFonts w:ascii="Arial" w:hAnsi="Arial" w:cs="Arial"/>
                <w:lang w:eastAsia="en-AU"/>
              </w:rPr>
            </w:pPr>
          </w:p>
        </w:tc>
      </w:tr>
      <w:tr w:rsidR="00F7176E" w:rsidRPr="009B7AE4" w14:paraId="63EE459D" w14:textId="77777777" w:rsidTr="00A00AC0">
        <w:trPr>
          <w:trHeight w:val="80"/>
        </w:trPr>
        <w:tc>
          <w:tcPr>
            <w:tcW w:w="4225" w:type="pct"/>
            <w:noWrap/>
            <w:vAlign w:val="bottom"/>
          </w:tcPr>
          <w:p w14:paraId="3DB521BE" w14:textId="77777777" w:rsidR="00F7176E" w:rsidRDefault="00F7176E" w:rsidP="00A00AC0">
            <w:pPr>
              <w:pStyle w:val="TabletextLeft"/>
              <w:rPr>
                <w:lang w:eastAsia="en-AU"/>
              </w:rPr>
            </w:pPr>
            <w:r>
              <w:t>Non-academic staff costs, Teaching only ($)</w:t>
            </w:r>
          </w:p>
        </w:tc>
        <w:tc>
          <w:tcPr>
            <w:tcW w:w="775" w:type="pct"/>
          </w:tcPr>
          <w:p w14:paraId="68DC3BC8" w14:textId="77777777" w:rsidR="00F7176E" w:rsidRPr="009B7AE4" w:rsidRDefault="00F7176E" w:rsidP="00A00AC0">
            <w:pPr>
              <w:pStyle w:val="TabletextLeft"/>
              <w:jc w:val="center"/>
              <w:rPr>
                <w:rFonts w:ascii="Arial" w:hAnsi="Arial" w:cs="Arial"/>
                <w:lang w:eastAsia="en-AU"/>
              </w:rPr>
            </w:pPr>
            <w:r w:rsidRPr="0002535B">
              <w:rPr>
                <w:rFonts w:asciiTheme="minorHAnsi" w:hAnsiTheme="minorHAnsi" w:cs="Arial"/>
                <w:lang w:eastAsia="en-AU"/>
              </w:rPr>
              <w:t>---</w:t>
            </w:r>
          </w:p>
        </w:tc>
      </w:tr>
      <w:tr w:rsidR="00F7176E" w:rsidRPr="009B7AE4" w14:paraId="1211F63C" w14:textId="77777777" w:rsidTr="00A00AC0">
        <w:trPr>
          <w:trHeight w:val="80"/>
        </w:trPr>
        <w:tc>
          <w:tcPr>
            <w:tcW w:w="4225" w:type="pct"/>
            <w:noWrap/>
            <w:vAlign w:val="bottom"/>
          </w:tcPr>
          <w:p w14:paraId="46F18FB2" w14:textId="77777777" w:rsidR="00F7176E" w:rsidRDefault="00F7176E" w:rsidP="00A00AC0">
            <w:pPr>
              <w:pStyle w:val="TabletextLeft"/>
              <w:rPr>
                <w:lang w:eastAsia="en-AU"/>
              </w:rPr>
            </w:pPr>
            <w:r>
              <w:t>Non-academic staff costs, Teaching &amp; Research ($)</w:t>
            </w:r>
          </w:p>
        </w:tc>
        <w:tc>
          <w:tcPr>
            <w:tcW w:w="775" w:type="pct"/>
          </w:tcPr>
          <w:p w14:paraId="3C227C93" w14:textId="77777777" w:rsidR="00F7176E" w:rsidRPr="009B7AE4" w:rsidRDefault="00F7176E" w:rsidP="00A00AC0">
            <w:pPr>
              <w:pStyle w:val="TabletextLeft"/>
              <w:jc w:val="center"/>
              <w:rPr>
                <w:rFonts w:ascii="Arial" w:hAnsi="Arial" w:cs="Arial"/>
                <w:lang w:eastAsia="en-AU"/>
              </w:rPr>
            </w:pPr>
            <w:r w:rsidRPr="0002535B">
              <w:rPr>
                <w:rFonts w:asciiTheme="minorHAnsi" w:hAnsiTheme="minorHAnsi" w:cs="Arial"/>
                <w:lang w:eastAsia="en-AU"/>
              </w:rPr>
              <w:t>---</w:t>
            </w:r>
          </w:p>
        </w:tc>
      </w:tr>
      <w:tr w:rsidR="00F7176E" w:rsidRPr="009B7AE4" w14:paraId="2FBEE625" w14:textId="77777777" w:rsidTr="00A00AC0">
        <w:trPr>
          <w:trHeight w:val="80"/>
        </w:trPr>
        <w:tc>
          <w:tcPr>
            <w:tcW w:w="4225" w:type="pct"/>
            <w:shd w:val="clear" w:color="auto" w:fill="F2F2F2" w:themeFill="background1" w:themeFillShade="F2"/>
            <w:noWrap/>
            <w:vAlign w:val="bottom"/>
          </w:tcPr>
          <w:p w14:paraId="562025AD" w14:textId="77777777" w:rsidR="00F7176E" w:rsidRPr="0002535B" w:rsidRDefault="00F7176E" w:rsidP="00A00AC0">
            <w:pPr>
              <w:pStyle w:val="TabletextLeft"/>
              <w:rPr>
                <w:b/>
                <w:lang w:eastAsia="en-AU"/>
              </w:rPr>
            </w:pPr>
            <w:r w:rsidRPr="0002535B">
              <w:rPr>
                <w:b/>
              </w:rPr>
              <w:t>Other Budgetary Unit-Level Costs</w:t>
            </w:r>
          </w:p>
        </w:tc>
        <w:tc>
          <w:tcPr>
            <w:tcW w:w="775" w:type="pct"/>
            <w:shd w:val="clear" w:color="auto" w:fill="F2F2F2" w:themeFill="background1" w:themeFillShade="F2"/>
          </w:tcPr>
          <w:p w14:paraId="2A523B6F" w14:textId="77777777" w:rsidR="00F7176E" w:rsidRPr="0002535B" w:rsidRDefault="00F7176E" w:rsidP="00A00AC0">
            <w:pPr>
              <w:pStyle w:val="TabletextLeft"/>
              <w:rPr>
                <w:rFonts w:ascii="Arial" w:hAnsi="Arial" w:cs="Arial"/>
                <w:b/>
                <w:lang w:eastAsia="en-AU"/>
              </w:rPr>
            </w:pPr>
          </w:p>
        </w:tc>
      </w:tr>
      <w:tr w:rsidR="00F7176E" w:rsidRPr="009B7AE4" w14:paraId="5B45A5D5" w14:textId="77777777" w:rsidTr="00A00AC0">
        <w:trPr>
          <w:trHeight w:val="80"/>
        </w:trPr>
        <w:tc>
          <w:tcPr>
            <w:tcW w:w="4225" w:type="pct"/>
            <w:noWrap/>
            <w:vAlign w:val="bottom"/>
          </w:tcPr>
          <w:p w14:paraId="498FE498" w14:textId="77777777" w:rsidR="00F7176E" w:rsidRPr="0002535B" w:rsidRDefault="00F7176E" w:rsidP="00A00AC0">
            <w:pPr>
              <w:pStyle w:val="TabletextLeft"/>
              <w:rPr>
                <w:lang w:eastAsia="en-AU"/>
              </w:rPr>
            </w:pPr>
            <w:r w:rsidRPr="0002535B">
              <w:rPr>
                <w:i/>
                <w:iCs/>
              </w:rPr>
              <w:t>Cost of materials, utilities, equipment ($)</w:t>
            </w:r>
          </w:p>
        </w:tc>
        <w:tc>
          <w:tcPr>
            <w:tcW w:w="775" w:type="pct"/>
          </w:tcPr>
          <w:p w14:paraId="30417C2D" w14:textId="77777777" w:rsidR="00F7176E" w:rsidRPr="009B7AE4" w:rsidRDefault="00F7176E" w:rsidP="00A00AC0">
            <w:pPr>
              <w:pStyle w:val="TabletextLeft"/>
              <w:jc w:val="center"/>
              <w:rPr>
                <w:rFonts w:ascii="Arial" w:hAnsi="Arial" w:cs="Arial"/>
                <w:lang w:eastAsia="en-AU"/>
              </w:rPr>
            </w:pPr>
            <w:r w:rsidRPr="0002535B">
              <w:rPr>
                <w:rFonts w:asciiTheme="minorHAnsi" w:hAnsiTheme="minorHAnsi" w:cs="Arial"/>
                <w:lang w:eastAsia="en-AU"/>
              </w:rPr>
              <w:t>---</w:t>
            </w:r>
          </w:p>
        </w:tc>
      </w:tr>
      <w:tr w:rsidR="00F7176E" w:rsidRPr="009B7AE4" w14:paraId="62EDD4FF" w14:textId="77777777" w:rsidTr="00A00AC0">
        <w:trPr>
          <w:trHeight w:val="80"/>
        </w:trPr>
        <w:tc>
          <w:tcPr>
            <w:tcW w:w="4225" w:type="pct"/>
            <w:noWrap/>
            <w:vAlign w:val="bottom"/>
          </w:tcPr>
          <w:p w14:paraId="19F7D444" w14:textId="77777777" w:rsidR="00F7176E" w:rsidRPr="0002535B" w:rsidRDefault="00F7176E" w:rsidP="00A00AC0">
            <w:pPr>
              <w:pStyle w:val="TabletextLeft"/>
              <w:ind w:left="318"/>
              <w:rPr>
                <w:lang w:eastAsia="en-AU"/>
              </w:rPr>
            </w:pPr>
            <w:r w:rsidRPr="0002535B">
              <w:t>Share of above attributable to sub-bachelor teaching activities (%)</w:t>
            </w:r>
          </w:p>
        </w:tc>
        <w:tc>
          <w:tcPr>
            <w:tcW w:w="775" w:type="pct"/>
          </w:tcPr>
          <w:p w14:paraId="53970028" w14:textId="77777777" w:rsidR="00F7176E" w:rsidRPr="009B7AE4" w:rsidRDefault="00F7176E" w:rsidP="00A00AC0">
            <w:pPr>
              <w:pStyle w:val="TabletextLeft"/>
              <w:jc w:val="center"/>
              <w:rPr>
                <w:rFonts w:ascii="Arial" w:hAnsi="Arial" w:cs="Arial"/>
                <w:lang w:eastAsia="en-AU"/>
              </w:rPr>
            </w:pPr>
            <w:r w:rsidRPr="0002535B">
              <w:rPr>
                <w:rFonts w:asciiTheme="minorHAnsi" w:hAnsiTheme="minorHAnsi" w:cs="Arial"/>
                <w:lang w:eastAsia="en-AU"/>
              </w:rPr>
              <w:t>---</w:t>
            </w:r>
          </w:p>
        </w:tc>
      </w:tr>
      <w:tr w:rsidR="00F7176E" w:rsidRPr="009B7AE4" w14:paraId="4BBF9455" w14:textId="77777777" w:rsidTr="00A00AC0">
        <w:trPr>
          <w:trHeight w:val="80"/>
        </w:trPr>
        <w:tc>
          <w:tcPr>
            <w:tcW w:w="4225" w:type="pct"/>
            <w:noWrap/>
            <w:vAlign w:val="bottom"/>
          </w:tcPr>
          <w:p w14:paraId="59112C01" w14:textId="77777777" w:rsidR="00F7176E" w:rsidRPr="0002535B" w:rsidRDefault="00F7176E" w:rsidP="00A00AC0">
            <w:pPr>
              <w:pStyle w:val="TabletextLeft"/>
              <w:ind w:left="318"/>
              <w:rPr>
                <w:lang w:eastAsia="en-AU"/>
              </w:rPr>
            </w:pPr>
            <w:r w:rsidRPr="0002535B">
              <w:t>Share of above attributable to bachelor teaching activities (%)</w:t>
            </w:r>
          </w:p>
        </w:tc>
        <w:tc>
          <w:tcPr>
            <w:tcW w:w="775" w:type="pct"/>
          </w:tcPr>
          <w:p w14:paraId="02D1F563" w14:textId="77777777" w:rsidR="00F7176E" w:rsidRPr="009B7AE4" w:rsidRDefault="00F7176E" w:rsidP="00A00AC0">
            <w:pPr>
              <w:pStyle w:val="TabletextLeft"/>
              <w:jc w:val="center"/>
              <w:rPr>
                <w:rFonts w:ascii="Arial" w:hAnsi="Arial" w:cs="Arial"/>
                <w:lang w:eastAsia="en-AU"/>
              </w:rPr>
            </w:pPr>
            <w:r w:rsidRPr="0002535B">
              <w:rPr>
                <w:rFonts w:asciiTheme="minorHAnsi" w:hAnsiTheme="minorHAnsi" w:cs="Arial"/>
                <w:lang w:eastAsia="en-AU"/>
              </w:rPr>
              <w:t>---</w:t>
            </w:r>
          </w:p>
        </w:tc>
      </w:tr>
      <w:tr w:rsidR="00F7176E" w:rsidRPr="009B7AE4" w14:paraId="13020ADF" w14:textId="77777777" w:rsidTr="00A00AC0">
        <w:trPr>
          <w:trHeight w:val="80"/>
        </w:trPr>
        <w:tc>
          <w:tcPr>
            <w:tcW w:w="4225" w:type="pct"/>
            <w:noWrap/>
            <w:vAlign w:val="bottom"/>
          </w:tcPr>
          <w:p w14:paraId="0FAA51A8" w14:textId="77777777" w:rsidR="00F7176E" w:rsidRPr="0002535B" w:rsidRDefault="00F7176E" w:rsidP="00A00AC0">
            <w:pPr>
              <w:pStyle w:val="TabletextLeft"/>
              <w:ind w:left="318"/>
              <w:rPr>
                <w:lang w:eastAsia="en-AU"/>
              </w:rPr>
            </w:pPr>
            <w:r w:rsidRPr="0002535B">
              <w:t>Share of above attributable to coursework postgraduate teaching activities (%)</w:t>
            </w:r>
          </w:p>
        </w:tc>
        <w:tc>
          <w:tcPr>
            <w:tcW w:w="775" w:type="pct"/>
          </w:tcPr>
          <w:p w14:paraId="140B5D2C" w14:textId="77777777" w:rsidR="00F7176E" w:rsidRPr="009B7AE4" w:rsidRDefault="00F7176E" w:rsidP="00A00AC0">
            <w:pPr>
              <w:pStyle w:val="TabletextLeft"/>
              <w:jc w:val="center"/>
              <w:rPr>
                <w:rFonts w:ascii="Arial" w:hAnsi="Arial" w:cs="Arial"/>
                <w:lang w:eastAsia="en-AU"/>
              </w:rPr>
            </w:pPr>
            <w:r w:rsidRPr="0002535B">
              <w:rPr>
                <w:rFonts w:asciiTheme="minorHAnsi" w:hAnsiTheme="minorHAnsi" w:cs="Arial"/>
                <w:lang w:eastAsia="en-AU"/>
              </w:rPr>
              <w:t>---</w:t>
            </w:r>
          </w:p>
        </w:tc>
      </w:tr>
      <w:tr w:rsidR="00F7176E" w:rsidRPr="009B7AE4" w14:paraId="144DB7F4" w14:textId="77777777" w:rsidTr="00A00AC0">
        <w:trPr>
          <w:trHeight w:val="80"/>
        </w:trPr>
        <w:tc>
          <w:tcPr>
            <w:tcW w:w="4225" w:type="pct"/>
            <w:noWrap/>
            <w:vAlign w:val="bottom"/>
          </w:tcPr>
          <w:p w14:paraId="5067D518" w14:textId="77777777" w:rsidR="00F7176E" w:rsidRPr="0002535B" w:rsidRDefault="00F7176E" w:rsidP="00A00AC0">
            <w:pPr>
              <w:pStyle w:val="TabletextLeft"/>
              <w:rPr>
                <w:lang w:eastAsia="en-AU"/>
              </w:rPr>
            </w:pPr>
            <w:r w:rsidRPr="0002535B">
              <w:rPr>
                <w:i/>
                <w:iCs/>
              </w:rPr>
              <w:t>Expenses that relate to labs/practicum/field work ($)</w:t>
            </w:r>
          </w:p>
        </w:tc>
        <w:tc>
          <w:tcPr>
            <w:tcW w:w="775" w:type="pct"/>
          </w:tcPr>
          <w:p w14:paraId="3A66C985" w14:textId="77777777" w:rsidR="00F7176E" w:rsidRPr="009B7AE4" w:rsidRDefault="00F7176E" w:rsidP="00A00AC0">
            <w:pPr>
              <w:pStyle w:val="TabletextLeft"/>
              <w:jc w:val="center"/>
              <w:rPr>
                <w:rFonts w:ascii="Arial" w:hAnsi="Arial" w:cs="Arial"/>
                <w:lang w:eastAsia="en-AU"/>
              </w:rPr>
            </w:pPr>
            <w:r w:rsidRPr="0002535B">
              <w:rPr>
                <w:rFonts w:asciiTheme="minorHAnsi" w:hAnsiTheme="minorHAnsi" w:cs="Arial"/>
                <w:lang w:eastAsia="en-AU"/>
              </w:rPr>
              <w:t>---</w:t>
            </w:r>
          </w:p>
        </w:tc>
      </w:tr>
      <w:tr w:rsidR="00F7176E" w:rsidRPr="009B7AE4" w14:paraId="5694D3FF" w14:textId="77777777" w:rsidTr="00A00AC0">
        <w:trPr>
          <w:trHeight w:val="80"/>
        </w:trPr>
        <w:tc>
          <w:tcPr>
            <w:tcW w:w="4225" w:type="pct"/>
            <w:noWrap/>
            <w:vAlign w:val="bottom"/>
          </w:tcPr>
          <w:p w14:paraId="0496CDCE" w14:textId="77777777" w:rsidR="00F7176E" w:rsidRPr="0002535B" w:rsidRDefault="00F7176E" w:rsidP="00A00AC0">
            <w:pPr>
              <w:pStyle w:val="TabletextLeft"/>
              <w:ind w:left="318"/>
              <w:rPr>
                <w:lang w:eastAsia="en-AU"/>
              </w:rPr>
            </w:pPr>
            <w:r w:rsidRPr="0002535B">
              <w:t>Share of above attributable to sub-bachelor teaching activities (%)</w:t>
            </w:r>
          </w:p>
        </w:tc>
        <w:tc>
          <w:tcPr>
            <w:tcW w:w="775" w:type="pct"/>
          </w:tcPr>
          <w:p w14:paraId="28621A39" w14:textId="77777777" w:rsidR="00F7176E" w:rsidRPr="009B7AE4" w:rsidRDefault="00F7176E" w:rsidP="00A00AC0">
            <w:pPr>
              <w:pStyle w:val="TabletextLeft"/>
              <w:jc w:val="center"/>
              <w:rPr>
                <w:rFonts w:ascii="Arial" w:hAnsi="Arial" w:cs="Arial"/>
                <w:lang w:eastAsia="en-AU"/>
              </w:rPr>
            </w:pPr>
            <w:r w:rsidRPr="0002535B">
              <w:rPr>
                <w:rFonts w:asciiTheme="minorHAnsi" w:hAnsiTheme="minorHAnsi" w:cs="Arial"/>
                <w:lang w:eastAsia="en-AU"/>
              </w:rPr>
              <w:t>---</w:t>
            </w:r>
          </w:p>
        </w:tc>
      </w:tr>
      <w:tr w:rsidR="00F7176E" w:rsidRPr="009B7AE4" w14:paraId="43F42571" w14:textId="77777777" w:rsidTr="00A00AC0">
        <w:trPr>
          <w:trHeight w:val="80"/>
        </w:trPr>
        <w:tc>
          <w:tcPr>
            <w:tcW w:w="4225" w:type="pct"/>
            <w:noWrap/>
            <w:vAlign w:val="bottom"/>
          </w:tcPr>
          <w:p w14:paraId="2695CEEE" w14:textId="77777777" w:rsidR="00F7176E" w:rsidRPr="0002535B" w:rsidRDefault="00F7176E" w:rsidP="00A00AC0">
            <w:pPr>
              <w:pStyle w:val="TabletextLeft"/>
              <w:ind w:left="318"/>
              <w:rPr>
                <w:lang w:eastAsia="en-AU"/>
              </w:rPr>
            </w:pPr>
            <w:r w:rsidRPr="0002535B">
              <w:t>Share of above attributable to bachelor teaching activities (%)</w:t>
            </w:r>
          </w:p>
        </w:tc>
        <w:tc>
          <w:tcPr>
            <w:tcW w:w="775" w:type="pct"/>
          </w:tcPr>
          <w:p w14:paraId="5C304C83" w14:textId="77777777" w:rsidR="00F7176E" w:rsidRPr="009B7AE4" w:rsidRDefault="00F7176E" w:rsidP="00A00AC0">
            <w:pPr>
              <w:pStyle w:val="TabletextLeft"/>
              <w:jc w:val="center"/>
              <w:rPr>
                <w:rFonts w:ascii="Arial" w:hAnsi="Arial" w:cs="Arial"/>
                <w:lang w:eastAsia="en-AU"/>
              </w:rPr>
            </w:pPr>
            <w:r w:rsidRPr="0002535B">
              <w:rPr>
                <w:rFonts w:asciiTheme="minorHAnsi" w:hAnsiTheme="minorHAnsi" w:cs="Arial"/>
                <w:lang w:eastAsia="en-AU"/>
              </w:rPr>
              <w:t>---</w:t>
            </w:r>
          </w:p>
        </w:tc>
      </w:tr>
      <w:tr w:rsidR="00F7176E" w:rsidRPr="009B7AE4" w14:paraId="3CA836AB" w14:textId="77777777" w:rsidTr="00A00AC0">
        <w:trPr>
          <w:trHeight w:val="80"/>
        </w:trPr>
        <w:tc>
          <w:tcPr>
            <w:tcW w:w="4225" w:type="pct"/>
            <w:noWrap/>
            <w:vAlign w:val="bottom"/>
          </w:tcPr>
          <w:p w14:paraId="084D3074" w14:textId="77777777" w:rsidR="00F7176E" w:rsidRPr="0002535B" w:rsidRDefault="00F7176E" w:rsidP="00A00AC0">
            <w:pPr>
              <w:pStyle w:val="TabletextLeft"/>
              <w:ind w:left="318"/>
              <w:rPr>
                <w:lang w:eastAsia="en-AU"/>
              </w:rPr>
            </w:pPr>
            <w:r w:rsidRPr="0002535B">
              <w:t>Share of above attributable to coursework postgraduate teaching activities (%)</w:t>
            </w:r>
          </w:p>
        </w:tc>
        <w:tc>
          <w:tcPr>
            <w:tcW w:w="775" w:type="pct"/>
          </w:tcPr>
          <w:p w14:paraId="144881CC" w14:textId="77777777" w:rsidR="00F7176E" w:rsidRPr="009B7AE4" w:rsidRDefault="00F7176E" w:rsidP="00A00AC0">
            <w:pPr>
              <w:pStyle w:val="TabletextLeft"/>
              <w:jc w:val="center"/>
              <w:rPr>
                <w:rFonts w:ascii="Arial" w:hAnsi="Arial" w:cs="Arial"/>
                <w:lang w:eastAsia="en-AU"/>
              </w:rPr>
            </w:pPr>
            <w:r w:rsidRPr="0002535B">
              <w:rPr>
                <w:rFonts w:asciiTheme="minorHAnsi" w:hAnsiTheme="minorHAnsi" w:cs="Arial"/>
                <w:lang w:eastAsia="en-AU"/>
              </w:rPr>
              <w:t>---</w:t>
            </w:r>
          </w:p>
        </w:tc>
      </w:tr>
      <w:tr w:rsidR="00F7176E" w:rsidRPr="009B7AE4" w14:paraId="5E010EDF" w14:textId="77777777" w:rsidTr="00A00AC0">
        <w:trPr>
          <w:trHeight w:val="80"/>
        </w:trPr>
        <w:tc>
          <w:tcPr>
            <w:tcW w:w="4225" w:type="pct"/>
            <w:noWrap/>
            <w:vAlign w:val="bottom"/>
          </w:tcPr>
          <w:p w14:paraId="1C460382" w14:textId="77777777" w:rsidR="00F7176E" w:rsidRPr="0002535B" w:rsidRDefault="00F7176E" w:rsidP="00A00AC0">
            <w:pPr>
              <w:pStyle w:val="TabletextLeft"/>
              <w:rPr>
                <w:lang w:eastAsia="en-AU"/>
              </w:rPr>
            </w:pPr>
            <w:r w:rsidRPr="0002535B">
              <w:rPr>
                <w:i/>
                <w:iCs/>
              </w:rPr>
              <w:t>Other budgetary unit-level expenses ($)</w:t>
            </w:r>
          </w:p>
        </w:tc>
        <w:tc>
          <w:tcPr>
            <w:tcW w:w="775" w:type="pct"/>
          </w:tcPr>
          <w:p w14:paraId="45014D58" w14:textId="77777777" w:rsidR="00F7176E" w:rsidRPr="009B7AE4" w:rsidRDefault="00F7176E" w:rsidP="00A00AC0">
            <w:pPr>
              <w:pStyle w:val="TabletextLeft"/>
              <w:jc w:val="center"/>
              <w:rPr>
                <w:rFonts w:ascii="Arial" w:hAnsi="Arial" w:cs="Arial"/>
                <w:lang w:eastAsia="en-AU"/>
              </w:rPr>
            </w:pPr>
            <w:r w:rsidRPr="0002535B">
              <w:rPr>
                <w:rFonts w:asciiTheme="minorHAnsi" w:hAnsiTheme="minorHAnsi" w:cs="Arial"/>
                <w:lang w:eastAsia="en-AU"/>
              </w:rPr>
              <w:t>---</w:t>
            </w:r>
          </w:p>
        </w:tc>
      </w:tr>
      <w:tr w:rsidR="00F7176E" w:rsidRPr="009B7AE4" w14:paraId="0DFF724B" w14:textId="77777777" w:rsidTr="00A00AC0">
        <w:trPr>
          <w:trHeight w:val="80"/>
        </w:trPr>
        <w:tc>
          <w:tcPr>
            <w:tcW w:w="4225" w:type="pct"/>
            <w:noWrap/>
            <w:vAlign w:val="bottom"/>
          </w:tcPr>
          <w:p w14:paraId="69A45C0C" w14:textId="77777777" w:rsidR="00F7176E" w:rsidRDefault="00F7176E" w:rsidP="00A00AC0">
            <w:pPr>
              <w:pStyle w:val="TabletextLeft"/>
              <w:ind w:left="318"/>
              <w:rPr>
                <w:lang w:eastAsia="en-AU"/>
              </w:rPr>
            </w:pPr>
            <w:r>
              <w:t>Share of above attributable to sub-bachelor teaching activities (%)</w:t>
            </w:r>
          </w:p>
        </w:tc>
        <w:tc>
          <w:tcPr>
            <w:tcW w:w="775" w:type="pct"/>
          </w:tcPr>
          <w:p w14:paraId="616C2CCC" w14:textId="77777777" w:rsidR="00F7176E" w:rsidRPr="009B7AE4" w:rsidRDefault="00F7176E" w:rsidP="00A00AC0">
            <w:pPr>
              <w:pStyle w:val="TabletextLeft"/>
              <w:jc w:val="center"/>
              <w:rPr>
                <w:rFonts w:ascii="Arial" w:hAnsi="Arial" w:cs="Arial"/>
                <w:lang w:eastAsia="en-AU"/>
              </w:rPr>
            </w:pPr>
            <w:r w:rsidRPr="0002535B">
              <w:rPr>
                <w:rFonts w:asciiTheme="minorHAnsi" w:hAnsiTheme="minorHAnsi" w:cs="Arial"/>
                <w:lang w:eastAsia="en-AU"/>
              </w:rPr>
              <w:t>---</w:t>
            </w:r>
          </w:p>
        </w:tc>
      </w:tr>
      <w:tr w:rsidR="00F7176E" w:rsidRPr="009B7AE4" w14:paraId="7DCC5753" w14:textId="77777777" w:rsidTr="00A00AC0">
        <w:trPr>
          <w:trHeight w:val="80"/>
        </w:trPr>
        <w:tc>
          <w:tcPr>
            <w:tcW w:w="4225" w:type="pct"/>
            <w:noWrap/>
            <w:vAlign w:val="bottom"/>
          </w:tcPr>
          <w:p w14:paraId="1BD0551B" w14:textId="77777777" w:rsidR="00F7176E" w:rsidRDefault="00F7176E" w:rsidP="00A00AC0">
            <w:pPr>
              <w:pStyle w:val="TabletextLeft"/>
              <w:ind w:left="318"/>
              <w:rPr>
                <w:lang w:eastAsia="en-AU"/>
              </w:rPr>
            </w:pPr>
            <w:r>
              <w:t>Share of above attributable to bachelor teaching activities (%)</w:t>
            </w:r>
          </w:p>
        </w:tc>
        <w:tc>
          <w:tcPr>
            <w:tcW w:w="775" w:type="pct"/>
          </w:tcPr>
          <w:p w14:paraId="225DA695" w14:textId="77777777" w:rsidR="00F7176E" w:rsidRPr="009B7AE4" w:rsidRDefault="00F7176E" w:rsidP="00A00AC0">
            <w:pPr>
              <w:pStyle w:val="TabletextLeft"/>
              <w:jc w:val="center"/>
              <w:rPr>
                <w:rFonts w:ascii="Arial" w:hAnsi="Arial" w:cs="Arial"/>
                <w:lang w:eastAsia="en-AU"/>
              </w:rPr>
            </w:pPr>
            <w:r w:rsidRPr="0002535B">
              <w:rPr>
                <w:rFonts w:asciiTheme="minorHAnsi" w:hAnsiTheme="minorHAnsi" w:cs="Arial"/>
                <w:lang w:eastAsia="en-AU"/>
              </w:rPr>
              <w:t>---</w:t>
            </w:r>
          </w:p>
        </w:tc>
      </w:tr>
      <w:tr w:rsidR="00F7176E" w:rsidRPr="009B7AE4" w14:paraId="0CAB142A" w14:textId="77777777" w:rsidTr="00A00AC0">
        <w:trPr>
          <w:trHeight w:val="80"/>
        </w:trPr>
        <w:tc>
          <w:tcPr>
            <w:tcW w:w="4225" w:type="pct"/>
            <w:noWrap/>
            <w:vAlign w:val="bottom"/>
          </w:tcPr>
          <w:p w14:paraId="233F0A02" w14:textId="77777777" w:rsidR="00F7176E" w:rsidRDefault="00F7176E" w:rsidP="00A00AC0">
            <w:pPr>
              <w:pStyle w:val="TabletextLeft"/>
              <w:ind w:left="318"/>
              <w:rPr>
                <w:lang w:eastAsia="en-AU"/>
              </w:rPr>
            </w:pPr>
            <w:r>
              <w:lastRenderedPageBreak/>
              <w:t>Share of above attributable to coursework postgraduate teaching activities (%)</w:t>
            </w:r>
          </w:p>
        </w:tc>
        <w:tc>
          <w:tcPr>
            <w:tcW w:w="775" w:type="pct"/>
          </w:tcPr>
          <w:p w14:paraId="446FB622" w14:textId="77777777" w:rsidR="00F7176E" w:rsidRPr="009B7AE4" w:rsidRDefault="00F7176E" w:rsidP="00A00AC0">
            <w:pPr>
              <w:pStyle w:val="TabletextLeft"/>
              <w:jc w:val="center"/>
              <w:rPr>
                <w:rFonts w:ascii="Arial" w:hAnsi="Arial" w:cs="Arial"/>
                <w:lang w:eastAsia="en-AU"/>
              </w:rPr>
            </w:pPr>
            <w:r w:rsidRPr="0002535B">
              <w:rPr>
                <w:rFonts w:asciiTheme="minorHAnsi" w:hAnsiTheme="minorHAnsi" w:cs="Arial"/>
                <w:lang w:eastAsia="en-AU"/>
              </w:rPr>
              <w:t>---</w:t>
            </w:r>
          </w:p>
        </w:tc>
      </w:tr>
      <w:tr w:rsidR="00F7176E" w:rsidRPr="009B7AE4" w14:paraId="0D5A6F4F" w14:textId="77777777" w:rsidTr="00A00AC0">
        <w:trPr>
          <w:trHeight w:val="80"/>
        </w:trPr>
        <w:tc>
          <w:tcPr>
            <w:tcW w:w="4225" w:type="pct"/>
            <w:shd w:val="clear" w:color="auto" w:fill="BFBFBF" w:themeFill="background1" w:themeFillShade="BF"/>
            <w:noWrap/>
            <w:vAlign w:val="bottom"/>
          </w:tcPr>
          <w:p w14:paraId="1A31529F" w14:textId="77777777" w:rsidR="00F7176E" w:rsidRPr="0002535B" w:rsidRDefault="00F7176E" w:rsidP="00A00AC0">
            <w:pPr>
              <w:pStyle w:val="TabletextLeft"/>
              <w:rPr>
                <w:b/>
              </w:rPr>
            </w:pPr>
            <w:r w:rsidRPr="0002535B">
              <w:rPr>
                <w:b/>
              </w:rPr>
              <w:t>Central costs</w:t>
            </w:r>
          </w:p>
        </w:tc>
        <w:tc>
          <w:tcPr>
            <w:tcW w:w="775" w:type="pct"/>
            <w:shd w:val="clear" w:color="auto" w:fill="BFBFBF" w:themeFill="background1" w:themeFillShade="BF"/>
          </w:tcPr>
          <w:p w14:paraId="713B5C8D" w14:textId="77777777" w:rsidR="00F7176E" w:rsidRPr="0002535B" w:rsidRDefault="00F7176E" w:rsidP="00A00AC0">
            <w:pPr>
              <w:pStyle w:val="TabletextLeft"/>
              <w:jc w:val="center"/>
              <w:rPr>
                <w:rFonts w:asciiTheme="minorHAnsi" w:hAnsiTheme="minorHAnsi" w:cs="Arial"/>
                <w:b/>
                <w:lang w:eastAsia="en-AU"/>
              </w:rPr>
            </w:pPr>
          </w:p>
        </w:tc>
      </w:tr>
      <w:tr w:rsidR="00F7176E" w:rsidRPr="009B7AE4" w14:paraId="44B69F1C" w14:textId="77777777" w:rsidTr="00A00AC0">
        <w:trPr>
          <w:trHeight w:val="80"/>
        </w:trPr>
        <w:tc>
          <w:tcPr>
            <w:tcW w:w="4225" w:type="pct"/>
            <w:shd w:val="clear" w:color="auto" w:fill="F2F2F2" w:themeFill="background1" w:themeFillShade="F2"/>
            <w:noWrap/>
            <w:vAlign w:val="bottom"/>
          </w:tcPr>
          <w:p w14:paraId="616CD455" w14:textId="77777777" w:rsidR="00F7176E" w:rsidRPr="0002535B" w:rsidRDefault="00F7176E" w:rsidP="00A00AC0">
            <w:pPr>
              <w:pStyle w:val="TabletextLeft"/>
              <w:rPr>
                <w:b/>
              </w:rPr>
            </w:pPr>
            <w:r w:rsidRPr="0002535B">
              <w:rPr>
                <w:b/>
              </w:rPr>
              <w:t>Number of admin staff (in FTEs)</w:t>
            </w:r>
          </w:p>
        </w:tc>
        <w:tc>
          <w:tcPr>
            <w:tcW w:w="775" w:type="pct"/>
            <w:shd w:val="clear" w:color="auto" w:fill="F2F2F2" w:themeFill="background1" w:themeFillShade="F2"/>
          </w:tcPr>
          <w:p w14:paraId="271AA848" w14:textId="77777777" w:rsidR="00F7176E" w:rsidRPr="0002535B" w:rsidRDefault="00F7176E" w:rsidP="00A00AC0">
            <w:pPr>
              <w:pStyle w:val="TabletextLeft"/>
              <w:jc w:val="center"/>
              <w:rPr>
                <w:rFonts w:asciiTheme="minorHAnsi" w:hAnsiTheme="minorHAnsi" w:cs="Arial"/>
                <w:b/>
                <w:lang w:eastAsia="en-AU"/>
              </w:rPr>
            </w:pPr>
          </w:p>
        </w:tc>
      </w:tr>
      <w:tr w:rsidR="00F7176E" w:rsidRPr="009B7AE4" w14:paraId="6404ECB4" w14:textId="77777777" w:rsidTr="00A00AC0">
        <w:trPr>
          <w:trHeight w:val="80"/>
        </w:trPr>
        <w:tc>
          <w:tcPr>
            <w:tcW w:w="4225" w:type="pct"/>
            <w:noWrap/>
            <w:vAlign w:val="bottom"/>
          </w:tcPr>
          <w:p w14:paraId="2D02BD8E" w14:textId="77777777" w:rsidR="00F7176E" w:rsidRDefault="00F7176E" w:rsidP="00A00AC0">
            <w:pPr>
              <w:pStyle w:val="TabletextLeft"/>
            </w:pPr>
            <w:r>
              <w:rPr>
                <w:i/>
                <w:iCs/>
              </w:rPr>
              <w:t>Number of admin staff relating to teaching (e.g. student enrolments, learning assistance etc.) (FTEs)</w:t>
            </w:r>
          </w:p>
        </w:tc>
        <w:tc>
          <w:tcPr>
            <w:tcW w:w="775" w:type="pct"/>
          </w:tcPr>
          <w:p w14:paraId="5D2EB5E5" w14:textId="77777777" w:rsidR="00F7176E" w:rsidRPr="0002535B" w:rsidRDefault="00F7176E" w:rsidP="00A00AC0">
            <w:pPr>
              <w:pStyle w:val="TabletextLeft"/>
              <w:jc w:val="center"/>
              <w:rPr>
                <w:rFonts w:asciiTheme="minorHAnsi" w:hAnsiTheme="minorHAnsi" w:cs="Arial"/>
                <w:lang w:eastAsia="en-AU"/>
              </w:rPr>
            </w:pPr>
            <w:r w:rsidRPr="0002535B">
              <w:rPr>
                <w:rFonts w:asciiTheme="minorHAnsi" w:hAnsiTheme="minorHAnsi" w:cs="Arial"/>
                <w:lang w:eastAsia="en-AU"/>
              </w:rPr>
              <w:t>---</w:t>
            </w:r>
          </w:p>
        </w:tc>
      </w:tr>
      <w:tr w:rsidR="00F7176E" w:rsidRPr="009B7AE4" w14:paraId="2AF2E995" w14:textId="77777777" w:rsidTr="00A00AC0">
        <w:trPr>
          <w:trHeight w:val="80"/>
        </w:trPr>
        <w:tc>
          <w:tcPr>
            <w:tcW w:w="4225" w:type="pct"/>
            <w:noWrap/>
            <w:vAlign w:val="bottom"/>
          </w:tcPr>
          <w:p w14:paraId="2BF99F6A" w14:textId="77777777" w:rsidR="00F7176E" w:rsidRDefault="00F7176E" w:rsidP="00A00AC0">
            <w:pPr>
              <w:pStyle w:val="TabletextLeft"/>
              <w:ind w:left="318"/>
            </w:pPr>
            <w:r>
              <w:t>Share of these FTEs related to sub-bachelor teaching activities (%)</w:t>
            </w:r>
          </w:p>
        </w:tc>
        <w:tc>
          <w:tcPr>
            <w:tcW w:w="775" w:type="pct"/>
          </w:tcPr>
          <w:p w14:paraId="2265802C" w14:textId="77777777" w:rsidR="00F7176E" w:rsidRPr="0002535B" w:rsidRDefault="00F7176E" w:rsidP="00A00AC0">
            <w:pPr>
              <w:pStyle w:val="TabletextLeft"/>
              <w:jc w:val="center"/>
              <w:rPr>
                <w:rFonts w:asciiTheme="minorHAnsi" w:hAnsiTheme="minorHAnsi" w:cs="Arial"/>
                <w:lang w:eastAsia="en-AU"/>
              </w:rPr>
            </w:pPr>
            <w:r w:rsidRPr="0002535B">
              <w:rPr>
                <w:rFonts w:asciiTheme="minorHAnsi" w:hAnsiTheme="minorHAnsi" w:cs="Arial"/>
                <w:lang w:eastAsia="en-AU"/>
              </w:rPr>
              <w:t>---</w:t>
            </w:r>
          </w:p>
        </w:tc>
      </w:tr>
      <w:tr w:rsidR="00F7176E" w:rsidRPr="009B7AE4" w14:paraId="43F7566B" w14:textId="77777777" w:rsidTr="00A00AC0">
        <w:trPr>
          <w:trHeight w:val="80"/>
        </w:trPr>
        <w:tc>
          <w:tcPr>
            <w:tcW w:w="4225" w:type="pct"/>
            <w:noWrap/>
            <w:vAlign w:val="bottom"/>
          </w:tcPr>
          <w:p w14:paraId="43F7CB8D" w14:textId="77777777" w:rsidR="00F7176E" w:rsidRDefault="00F7176E" w:rsidP="00A00AC0">
            <w:pPr>
              <w:pStyle w:val="TabletextLeft"/>
              <w:ind w:left="318"/>
            </w:pPr>
            <w:r>
              <w:t>Share of these FTEs related to bachelor teaching activities (%)</w:t>
            </w:r>
          </w:p>
        </w:tc>
        <w:tc>
          <w:tcPr>
            <w:tcW w:w="775" w:type="pct"/>
          </w:tcPr>
          <w:p w14:paraId="1448B292" w14:textId="77777777" w:rsidR="00F7176E" w:rsidRPr="0002535B" w:rsidRDefault="00F7176E" w:rsidP="00A00AC0">
            <w:pPr>
              <w:pStyle w:val="TabletextLeft"/>
              <w:jc w:val="center"/>
              <w:rPr>
                <w:rFonts w:asciiTheme="minorHAnsi" w:hAnsiTheme="minorHAnsi" w:cs="Arial"/>
                <w:lang w:eastAsia="en-AU"/>
              </w:rPr>
            </w:pPr>
            <w:r w:rsidRPr="0002535B">
              <w:rPr>
                <w:rFonts w:asciiTheme="minorHAnsi" w:hAnsiTheme="minorHAnsi" w:cs="Arial"/>
                <w:lang w:eastAsia="en-AU"/>
              </w:rPr>
              <w:t>---</w:t>
            </w:r>
          </w:p>
        </w:tc>
      </w:tr>
      <w:tr w:rsidR="00F7176E" w:rsidRPr="009B7AE4" w14:paraId="25BC84DD" w14:textId="77777777" w:rsidTr="00A00AC0">
        <w:trPr>
          <w:trHeight w:val="80"/>
        </w:trPr>
        <w:tc>
          <w:tcPr>
            <w:tcW w:w="4225" w:type="pct"/>
            <w:noWrap/>
            <w:vAlign w:val="bottom"/>
          </w:tcPr>
          <w:p w14:paraId="02BB1660" w14:textId="77777777" w:rsidR="00F7176E" w:rsidRDefault="00F7176E" w:rsidP="00A00AC0">
            <w:pPr>
              <w:pStyle w:val="TabletextLeft"/>
              <w:ind w:left="318"/>
            </w:pPr>
            <w:r>
              <w:t>Share of these FTEs related to coursework postgraduate teaching activities (%)</w:t>
            </w:r>
          </w:p>
        </w:tc>
        <w:tc>
          <w:tcPr>
            <w:tcW w:w="775" w:type="pct"/>
          </w:tcPr>
          <w:p w14:paraId="5E5609A2" w14:textId="77777777" w:rsidR="00F7176E" w:rsidRPr="0002535B" w:rsidRDefault="00F7176E" w:rsidP="00A00AC0">
            <w:pPr>
              <w:pStyle w:val="TabletextLeft"/>
              <w:jc w:val="center"/>
              <w:rPr>
                <w:rFonts w:asciiTheme="minorHAnsi" w:hAnsiTheme="minorHAnsi" w:cs="Arial"/>
                <w:lang w:eastAsia="en-AU"/>
              </w:rPr>
            </w:pPr>
            <w:r w:rsidRPr="0002535B">
              <w:rPr>
                <w:rFonts w:asciiTheme="minorHAnsi" w:hAnsiTheme="minorHAnsi" w:cs="Arial"/>
                <w:lang w:eastAsia="en-AU"/>
              </w:rPr>
              <w:t>---</w:t>
            </w:r>
          </w:p>
        </w:tc>
      </w:tr>
      <w:tr w:rsidR="00F7176E" w:rsidRPr="009B7AE4" w14:paraId="79A3D0D7" w14:textId="77777777" w:rsidTr="00A00AC0">
        <w:trPr>
          <w:trHeight w:val="80"/>
        </w:trPr>
        <w:tc>
          <w:tcPr>
            <w:tcW w:w="4225" w:type="pct"/>
            <w:shd w:val="clear" w:color="auto" w:fill="F2F2F2" w:themeFill="background1" w:themeFillShade="F2"/>
            <w:noWrap/>
            <w:vAlign w:val="bottom"/>
          </w:tcPr>
          <w:p w14:paraId="4C41EA2D" w14:textId="77777777" w:rsidR="00F7176E" w:rsidRPr="0002535B" w:rsidRDefault="00F7176E" w:rsidP="00A00AC0">
            <w:pPr>
              <w:pStyle w:val="TabletextLeft"/>
              <w:rPr>
                <w:b/>
              </w:rPr>
            </w:pPr>
            <w:r w:rsidRPr="0002535B">
              <w:rPr>
                <w:b/>
              </w:rPr>
              <w:t>Admin staff costs - Employee benefits and on-costs (i.e. total wage bill)</w:t>
            </w:r>
          </w:p>
        </w:tc>
        <w:tc>
          <w:tcPr>
            <w:tcW w:w="775" w:type="pct"/>
            <w:shd w:val="clear" w:color="auto" w:fill="F2F2F2" w:themeFill="background1" w:themeFillShade="F2"/>
          </w:tcPr>
          <w:p w14:paraId="17C19CA9" w14:textId="77777777" w:rsidR="00F7176E" w:rsidRPr="0002535B" w:rsidRDefault="00F7176E" w:rsidP="00A00AC0">
            <w:pPr>
              <w:pStyle w:val="TabletextLeft"/>
              <w:jc w:val="center"/>
              <w:rPr>
                <w:rFonts w:asciiTheme="minorHAnsi" w:hAnsiTheme="minorHAnsi" w:cs="Arial"/>
                <w:lang w:eastAsia="en-AU"/>
              </w:rPr>
            </w:pPr>
          </w:p>
        </w:tc>
      </w:tr>
      <w:tr w:rsidR="00F7176E" w:rsidRPr="009B7AE4" w14:paraId="232E02CE" w14:textId="77777777" w:rsidTr="00A00AC0">
        <w:trPr>
          <w:trHeight w:val="80"/>
        </w:trPr>
        <w:tc>
          <w:tcPr>
            <w:tcW w:w="4225" w:type="pct"/>
            <w:noWrap/>
            <w:vAlign w:val="bottom"/>
          </w:tcPr>
          <w:p w14:paraId="1C8FB2F5" w14:textId="77777777" w:rsidR="00F7176E" w:rsidRDefault="00F7176E" w:rsidP="00A00AC0">
            <w:pPr>
              <w:pStyle w:val="TabletextLeft"/>
            </w:pPr>
            <w:r>
              <w:t>Central admin staff costs (total wage bill) ($)</w:t>
            </w:r>
          </w:p>
        </w:tc>
        <w:tc>
          <w:tcPr>
            <w:tcW w:w="775" w:type="pct"/>
          </w:tcPr>
          <w:p w14:paraId="4FD11561" w14:textId="77777777" w:rsidR="00F7176E" w:rsidRPr="0002535B" w:rsidRDefault="00F7176E" w:rsidP="00A00AC0">
            <w:pPr>
              <w:pStyle w:val="TabletextLeft"/>
              <w:jc w:val="center"/>
              <w:rPr>
                <w:rFonts w:asciiTheme="minorHAnsi" w:hAnsiTheme="minorHAnsi" w:cs="Arial"/>
                <w:lang w:eastAsia="en-AU"/>
              </w:rPr>
            </w:pPr>
            <w:r w:rsidRPr="0002535B">
              <w:rPr>
                <w:rFonts w:asciiTheme="minorHAnsi" w:hAnsiTheme="minorHAnsi" w:cs="Arial"/>
                <w:lang w:eastAsia="en-AU"/>
              </w:rPr>
              <w:t>---</w:t>
            </w:r>
          </w:p>
        </w:tc>
      </w:tr>
      <w:tr w:rsidR="00F7176E" w:rsidRPr="009B7AE4" w14:paraId="0DAD9C8C" w14:textId="77777777" w:rsidTr="00A00AC0">
        <w:trPr>
          <w:trHeight w:val="80"/>
        </w:trPr>
        <w:tc>
          <w:tcPr>
            <w:tcW w:w="4225" w:type="pct"/>
            <w:shd w:val="clear" w:color="auto" w:fill="F2F2F2" w:themeFill="background1" w:themeFillShade="F2"/>
            <w:noWrap/>
            <w:vAlign w:val="bottom"/>
          </w:tcPr>
          <w:p w14:paraId="372E6723" w14:textId="77777777" w:rsidR="00F7176E" w:rsidRPr="0002535B" w:rsidRDefault="00F7176E" w:rsidP="00A00AC0">
            <w:pPr>
              <w:pStyle w:val="TabletextLeft"/>
              <w:rPr>
                <w:b/>
              </w:rPr>
            </w:pPr>
            <w:r w:rsidRPr="0002535B">
              <w:rPr>
                <w:b/>
              </w:rPr>
              <w:t>Other Costs</w:t>
            </w:r>
          </w:p>
        </w:tc>
        <w:tc>
          <w:tcPr>
            <w:tcW w:w="775" w:type="pct"/>
            <w:shd w:val="clear" w:color="auto" w:fill="F2F2F2" w:themeFill="background1" w:themeFillShade="F2"/>
          </w:tcPr>
          <w:p w14:paraId="0A377C70" w14:textId="77777777" w:rsidR="00F7176E" w:rsidRPr="0002535B" w:rsidRDefault="00F7176E" w:rsidP="00A00AC0">
            <w:pPr>
              <w:pStyle w:val="TabletextLeft"/>
              <w:jc w:val="center"/>
              <w:rPr>
                <w:rFonts w:asciiTheme="minorHAnsi" w:hAnsiTheme="minorHAnsi" w:cs="Arial"/>
                <w:b/>
                <w:lang w:eastAsia="en-AU"/>
              </w:rPr>
            </w:pPr>
          </w:p>
        </w:tc>
      </w:tr>
      <w:tr w:rsidR="00F7176E" w:rsidRPr="009B7AE4" w14:paraId="60A4EB92" w14:textId="77777777" w:rsidTr="00A00AC0">
        <w:trPr>
          <w:trHeight w:val="80"/>
        </w:trPr>
        <w:tc>
          <w:tcPr>
            <w:tcW w:w="4225" w:type="pct"/>
            <w:noWrap/>
            <w:vAlign w:val="bottom"/>
          </w:tcPr>
          <w:p w14:paraId="585B61C0" w14:textId="77777777" w:rsidR="00F7176E" w:rsidRDefault="00F7176E" w:rsidP="00A00AC0">
            <w:pPr>
              <w:pStyle w:val="TabletextLeft"/>
            </w:pPr>
            <w:r>
              <w:rPr>
                <w:i/>
                <w:iCs/>
              </w:rPr>
              <w:t>Depreciation, amortisation, repairs, maintenance, borrowing, bad debts ($)</w:t>
            </w:r>
          </w:p>
        </w:tc>
        <w:tc>
          <w:tcPr>
            <w:tcW w:w="775" w:type="pct"/>
          </w:tcPr>
          <w:p w14:paraId="44C1FA1C" w14:textId="77777777" w:rsidR="00F7176E" w:rsidRPr="0002535B" w:rsidRDefault="00F7176E" w:rsidP="00A00AC0">
            <w:pPr>
              <w:pStyle w:val="TabletextLeft"/>
              <w:jc w:val="center"/>
              <w:rPr>
                <w:rFonts w:asciiTheme="minorHAnsi" w:hAnsiTheme="minorHAnsi" w:cs="Arial"/>
                <w:lang w:eastAsia="en-AU"/>
              </w:rPr>
            </w:pPr>
            <w:r w:rsidRPr="0002535B">
              <w:rPr>
                <w:rFonts w:asciiTheme="minorHAnsi" w:hAnsiTheme="minorHAnsi" w:cs="Arial"/>
                <w:lang w:eastAsia="en-AU"/>
              </w:rPr>
              <w:t>---</w:t>
            </w:r>
          </w:p>
        </w:tc>
      </w:tr>
      <w:tr w:rsidR="00F7176E" w:rsidRPr="009B7AE4" w14:paraId="7C459E5B" w14:textId="77777777" w:rsidTr="00A00AC0">
        <w:trPr>
          <w:trHeight w:val="80"/>
        </w:trPr>
        <w:tc>
          <w:tcPr>
            <w:tcW w:w="4225" w:type="pct"/>
            <w:noWrap/>
            <w:vAlign w:val="bottom"/>
          </w:tcPr>
          <w:p w14:paraId="31EE335B" w14:textId="77777777" w:rsidR="00F7176E" w:rsidRDefault="00F7176E" w:rsidP="00A00AC0">
            <w:pPr>
              <w:pStyle w:val="TabletextLeft"/>
              <w:ind w:left="318"/>
            </w:pPr>
            <w:r>
              <w:t>Share of above attributable to sub-bachelor teaching activities (%)</w:t>
            </w:r>
          </w:p>
        </w:tc>
        <w:tc>
          <w:tcPr>
            <w:tcW w:w="775" w:type="pct"/>
          </w:tcPr>
          <w:p w14:paraId="1A34F271" w14:textId="77777777" w:rsidR="00F7176E" w:rsidRPr="0002535B" w:rsidRDefault="00F7176E" w:rsidP="00A00AC0">
            <w:pPr>
              <w:pStyle w:val="TabletextLeft"/>
              <w:jc w:val="center"/>
              <w:rPr>
                <w:rFonts w:asciiTheme="minorHAnsi" w:hAnsiTheme="minorHAnsi" w:cs="Arial"/>
                <w:lang w:eastAsia="en-AU"/>
              </w:rPr>
            </w:pPr>
            <w:r w:rsidRPr="0002535B">
              <w:rPr>
                <w:rFonts w:asciiTheme="minorHAnsi" w:hAnsiTheme="minorHAnsi" w:cs="Arial"/>
                <w:lang w:eastAsia="en-AU"/>
              </w:rPr>
              <w:t>---</w:t>
            </w:r>
          </w:p>
        </w:tc>
      </w:tr>
      <w:tr w:rsidR="00F7176E" w:rsidRPr="009B7AE4" w14:paraId="518A027F" w14:textId="77777777" w:rsidTr="00A00AC0">
        <w:trPr>
          <w:trHeight w:val="80"/>
        </w:trPr>
        <w:tc>
          <w:tcPr>
            <w:tcW w:w="4225" w:type="pct"/>
            <w:noWrap/>
            <w:vAlign w:val="bottom"/>
          </w:tcPr>
          <w:p w14:paraId="15D909F0" w14:textId="77777777" w:rsidR="00F7176E" w:rsidRDefault="00F7176E" w:rsidP="00A00AC0">
            <w:pPr>
              <w:pStyle w:val="TabletextLeft"/>
              <w:ind w:left="318"/>
            </w:pPr>
            <w:r>
              <w:t>Share of above attributable to bachelor teaching activities (%)</w:t>
            </w:r>
          </w:p>
        </w:tc>
        <w:tc>
          <w:tcPr>
            <w:tcW w:w="775" w:type="pct"/>
          </w:tcPr>
          <w:p w14:paraId="425EFFD9" w14:textId="77777777" w:rsidR="00F7176E" w:rsidRPr="0002535B" w:rsidRDefault="00F7176E" w:rsidP="00A00AC0">
            <w:pPr>
              <w:pStyle w:val="TabletextLeft"/>
              <w:jc w:val="center"/>
              <w:rPr>
                <w:rFonts w:asciiTheme="minorHAnsi" w:hAnsiTheme="minorHAnsi" w:cs="Arial"/>
                <w:lang w:eastAsia="en-AU"/>
              </w:rPr>
            </w:pPr>
            <w:r w:rsidRPr="0002535B">
              <w:rPr>
                <w:rFonts w:asciiTheme="minorHAnsi" w:hAnsiTheme="minorHAnsi" w:cs="Arial"/>
                <w:lang w:eastAsia="en-AU"/>
              </w:rPr>
              <w:t>---</w:t>
            </w:r>
          </w:p>
        </w:tc>
      </w:tr>
      <w:tr w:rsidR="00F7176E" w:rsidRPr="009B7AE4" w14:paraId="54391630" w14:textId="77777777" w:rsidTr="00A00AC0">
        <w:trPr>
          <w:trHeight w:val="80"/>
        </w:trPr>
        <w:tc>
          <w:tcPr>
            <w:tcW w:w="4225" w:type="pct"/>
            <w:noWrap/>
            <w:vAlign w:val="bottom"/>
          </w:tcPr>
          <w:p w14:paraId="368E93BC" w14:textId="77777777" w:rsidR="00F7176E" w:rsidRDefault="00F7176E" w:rsidP="00A00AC0">
            <w:pPr>
              <w:pStyle w:val="TabletextLeft"/>
              <w:ind w:left="318"/>
            </w:pPr>
            <w:r>
              <w:t>Share of above attributable to coursework postgraduate teaching activities (%)</w:t>
            </w:r>
          </w:p>
        </w:tc>
        <w:tc>
          <w:tcPr>
            <w:tcW w:w="775" w:type="pct"/>
          </w:tcPr>
          <w:p w14:paraId="16C665B9" w14:textId="77777777" w:rsidR="00F7176E" w:rsidRPr="0002535B" w:rsidRDefault="00F7176E" w:rsidP="00A00AC0">
            <w:pPr>
              <w:pStyle w:val="TabletextLeft"/>
              <w:jc w:val="center"/>
              <w:rPr>
                <w:rFonts w:asciiTheme="minorHAnsi" w:hAnsiTheme="minorHAnsi" w:cs="Arial"/>
                <w:lang w:eastAsia="en-AU"/>
              </w:rPr>
            </w:pPr>
            <w:r w:rsidRPr="0002535B">
              <w:rPr>
                <w:rFonts w:asciiTheme="minorHAnsi" w:hAnsiTheme="minorHAnsi" w:cs="Arial"/>
                <w:lang w:eastAsia="en-AU"/>
              </w:rPr>
              <w:t>---</w:t>
            </w:r>
          </w:p>
        </w:tc>
      </w:tr>
      <w:tr w:rsidR="00F7176E" w:rsidRPr="009B7AE4" w14:paraId="7BE933BD" w14:textId="77777777" w:rsidTr="00A00AC0">
        <w:trPr>
          <w:trHeight w:val="80"/>
        </w:trPr>
        <w:tc>
          <w:tcPr>
            <w:tcW w:w="4225" w:type="pct"/>
            <w:noWrap/>
            <w:vAlign w:val="bottom"/>
          </w:tcPr>
          <w:p w14:paraId="2D15212E" w14:textId="77777777" w:rsidR="00F7176E" w:rsidRDefault="00F7176E" w:rsidP="00A00AC0">
            <w:pPr>
              <w:pStyle w:val="TabletextLeft"/>
            </w:pPr>
            <w:r>
              <w:rPr>
                <w:i/>
                <w:iCs/>
              </w:rPr>
              <w:t>Other central costs ($)</w:t>
            </w:r>
          </w:p>
        </w:tc>
        <w:tc>
          <w:tcPr>
            <w:tcW w:w="775" w:type="pct"/>
          </w:tcPr>
          <w:p w14:paraId="1EA6B136" w14:textId="77777777" w:rsidR="00F7176E" w:rsidRPr="0002535B" w:rsidRDefault="00F7176E" w:rsidP="00A00AC0">
            <w:pPr>
              <w:pStyle w:val="TabletextLeft"/>
              <w:jc w:val="center"/>
              <w:rPr>
                <w:rFonts w:asciiTheme="minorHAnsi" w:hAnsiTheme="minorHAnsi" w:cs="Arial"/>
                <w:lang w:eastAsia="en-AU"/>
              </w:rPr>
            </w:pPr>
            <w:r w:rsidRPr="0002535B">
              <w:rPr>
                <w:rFonts w:asciiTheme="minorHAnsi" w:hAnsiTheme="minorHAnsi" w:cs="Arial"/>
                <w:lang w:eastAsia="en-AU"/>
              </w:rPr>
              <w:t>---</w:t>
            </w:r>
          </w:p>
        </w:tc>
      </w:tr>
      <w:tr w:rsidR="00F7176E" w:rsidRPr="009B7AE4" w14:paraId="1957EEC3" w14:textId="77777777" w:rsidTr="00A00AC0">
        <w:trPr>
          <w:trHeight w:val="80"/>
        </w:trPr>
        <w:tc>
          <w:tcPr>
            <w:tcW w:w="4225" w:type="pct"/>
            <w:noWrap/>
            <w:vAlign w:val="bottom"/>
          </w:tcPr>
          <w:p w14:paraId="3C72D2AB" w14:textId="77777777" w:rsidR="00F7176E" w:rsidRDefault="00F7176E" w:rsidP="00A00AC0">
            <w:pPr>
              <w:pStyle w:val="TabletextLeft"/>
              <w:ind w:left="318"/>
            </w:pPr>
            <w:r>
              <w:t>Share of above attributable to sub-bachelor teaching activities (%)</w:t>
            </w:r>
          </w:p>
        </w:tc>
        <w:tc>
          <w:tcPr>
            <w:tcW w:w="775" w:type="pct"/>
          </w:tcPr>
          <w:p w14:paraId="1C08D173" w14:textId="77777777" w:rsidR="00F7176E" w:rsidRPr="0002535B" w:rsidRDefault="00F7176E" w:rsidP="00A00AC0">
            <w:pPr>
              <w:pStyle w:val="TabletextLeft"/>
              <w:jc w:val="center"/>
              <w:rPr>
                <w:rFonts w:asciiTheme="minorHAnsi" w:hAnsiTheme="minorHAnsi" w:cs="Arial"/>
                <w:lang w:eastAsia="en-AU"/>
              </w:rPr>
            </w:pPr>
            <w:r w:rsidRPr="0002535B">
              <w:rPr>
                <w:rFonts w:asciiTheme="minorHAnsi" w:hAnsiTheme="minorHAnsi" w:cs="Arial"/>
                <w:lang w:eastAsia="en-AU"/>
              </w:rPr>
              <w:t>---</w:t>
            </w:r>
          </w:p>
        </w:tc>
      </w:tr>
      <w:tr w:rsidR="00F7176E" w:rsidRPr="009B7AE4" w14:paraId="3D2BB2F4" w14:textId="77777777" w:rsidTr="00A00AC0">
        <w:trPr>
          <w:trHeight w:val="80"/>
        </w:trPr>
        <w:tc>
          <w:tcPr>
            <w:tcW w:w="4225" w:type="pct"/>
            <w:noWrap/>
            <w:vAlign w:val="bottom"/>
          </w:tcPr>
          <w:p w14:paraId="5D6F7B57" w14:textId="77777777" w:rsidR="00F7176E" w:rsidRDefault="00F7176E" w:rsidP="00A00AC0">
            <w:pPr>
              <w:pStyle w:val="TabletextLeft"/>
              <w:ind w:left="318"/>
            </w:pPr>
            <w:r>
              <w:t>Share of above attributable to bachelor teaching activities (%)</w:t>
            </w:r>
          </w:p>
        </w:tc>
        <w:tc>
          <w:tcPr>
            <w:tcW w:w="775" w:type="pct"/>
          </w:tcPr>
          <w:p w14:paraId="18DBA3E8" w14:textId="77777777" w:rsidR="00F7176E" w:rsidRPr="0002535B" w:rsidRDefault="00F7176E" w:rsidP="00A00AC0">
            <w:pPr>
              <w:pStyle w:val="TabletextLeft"/>
              <w:jc w:val="center"/>
              <w:rPr>
                <w:rFonts w:asciiTheme="minorHAnsi" w:hAnsiTheme="minorHAnsi" w:cs="Arial"/>
                <w:lang w:eastAsia="en-AU"/>
              </w:rPr>
            </w:pPr>
            <w:r w:rsidRPr="0002535B">
              <w:rPr>
                <w:rFonts w:asciiTheme="minorHAnsi" w:hAnsiTheme="minorHAnsi" w:cs="Arial"/>
                <w:lang w:eastAsia="en-AU"/>
              </w:rPr>
              <w:t>---</w:t>
            </w:r>
          </w:p>
        </w:tc>
      </w:tr>
      <w:tr w:rsidR="00F7176E" w:rsidRPr="009B7AE4" w14:paraId="0326C0C0" w14:textId="77777777" w:rsidTr="00A00AC0">
        <w:trPr>
          <w:trHeight w:val="80"/>
        </w:trPr>
        <w:tc>
          <w:tcPr>
            <w:tcW w:w="4225" w:type="pct"/>
            <w:noWrap/>
            <w:vAlign w:val="bottom"/>
          </w:tcPr>
          <w:p w14:paraId="507D12E8" w14:textId="77777777" w:rsidR="00F7176E" w:rsidRDefault="00F7176E" w:rsidP="00A00AC0">
            <w:pPr>
              <w:pStyle w:val="TabletextLeft"/>
              <w:ind w:left="318"/>
            </w:pPr>
            <w:r>
              <w:t>Share of above attributable to coursework postgraduate teaching activities (%)</w:t>
            </w:r>
          </w:p>
        </w:tc>
        <w:tc>
          <w:tcPr>
            <w:tcW w:w="775" w:type="pct"/>
          </w:tcPr>
          <w:p w14:paraId="694B2712" w14:textId="77777777" w:rsidR="00F7176E" w:rsidRPr="0002535B" w:rsidRDefault="00F7176E" w:rsidP="00A00AC0">
            <w:pPr>
              <w:pStyle w:val="TabletextLeft"/>
              <w:jc w:val="center"/>
              <w:rPr>
                <w:rFonts w:asciiTheme="minorHAnsi" w:hAnsiTheme="minorHAnsi" w:cs="Arial"/>
                <w:lang w:eastAsia="en-AU"/>
              </w:rPr>
            </w:pPr>
            <w:r w:rsidRPr="0002535B">
              <w:rPr>
                <w:rFonts w:asciiTheme="minorHAnsi" w:hAnsiTheme="minorHAnsi" w:cs="Arial"/>
                <w:lang w:eastAsia="en-AU"/>
              </w:rPr>
              <w:t>---</w:t>
            </w:r>
          </w:p>
        </w:tc>
      </w:tr>
    </w:tbl>
    <w:p w14:paraId="00BD25C0" w14:textId="77777777" w:rsidR="00F7176E" w:rsidRPr="00EC2E79" w:rsidRDefault="00F7176E" w:rsidP="00F7176E">
      <w:pPr>
        <w:pStyle w:val="HeadingB"/>
      </w:pPr>
      <w:r>
        <w:t>Qualitative questions</w:t>
      </w:r>
    </w:p>
    <w:p w14:paraId="735DD95E" w14:textId="77777777" w:rsidR="00F7176E" w:rsidRPr="00180A80" w:rsidRDefault="00F7176E" w:rsidP="00F7176E">
      <w:pPr>
        <w:pStyle w:val="BodyText"/>
        <w:rPr>
          <w:rStyle w:val="Boldword"/>
          <w:rFonts w:asciiTheme="minorHAnsi" w:hAnsiTheme="minorHAnsi"/>
          <w:b w:val="0"/>
          <w:szCs w:val="22"/>
        </w:rPr>
      </w:pPr>
      <w:r w:rsidRPr="00180A80">
        <w:t>First, do you have current uncertainties about terminology or approach to complet</w:t>
      </w:r>
      <w:r>
        <w:t>ing</w:t>
      </w:r>
      <w:r w:rsidRPr="00180A80">
        <w:t xml:space="preserve"> the data collection tool?</w:t>
      </w:r>
    </w:p>
    <w:p w14:paraId="7268D8D6" w14:textId="77777777" w:rsidR="00F7176E" w:rsidRPr="00180A80" w:rsidRDefault="00F7176E" w:rsidP="00F7176E">
      <w:pPr>
        <w:pStyle w:val="BodyText"/>
        <w:rPr>
          <w:rStyle w:val="Boldword"/>
          <w:rFonts w:asciiTheme="minorHAnsi" w:hAnsiTheme="minorHAnsi"/>
          <w:i/>
          <w:szCs w:val="22"/>
        </w:rPr>
      </w:pPr>
      <w:r w:rsidRPr="00180A80">
        <w:rPr>
          <w:rStyle w:val="Boldword"/>
          <w:rFonts w:asciiTheme="minorHAnsi" w:hAnsiTheme="minorHAnsi"/>
          <w:i/>
          <w:szCs w:val="22"/>
        </w:rPr>
        <w:t>Contextual points specific to your university:</w:t>
      </w:r>
    </w:p>
    <w:p w14:paraId="3B5373EB" w14:textId="77777777" w:rsidR="00F7176E" w:rsidRPr="00180A80" w:rsidRDefault="00F7176E" w:rsidP="00F7176E">
      <w:pPr>
        <w:pStyle w:val="Bullet1"/>
        <w:rPr>
          <w:rFonts w:asciiTheme="minorHAnsi" w:hAnsiTheme="minorHAnsi"/>
          <w:szCs w:val="22"/>
        </w:rPr>
      </w:pPr>
      <w:r w:rsidRPr="00180A80">
        <w:rPr>
          <w:rFonts w:asciiTheme="minorHAnsi" w:hAnsiTheme="minorHAnsi"/>
          <w:szCs w:val="22"/>
        </w:rPr>
        <w:t>How are budgetary unit-level</w:t>
      </w:r>
      <w:r w:rsidRPr="00180A80">
        <w:rPr>
          <w:rStyle w:val="FootnoteReference"/>
          <w:rFonts w:asciiTheme="minorHAnsi" w:hAnsiTheme="minorHAnsi"/>
          <w:szCs w:val="22"/>
        </w:rPr>
        <w:footnoteReference w:id="38"/>
      </w:r>
      <w:r w:rsidRPr="00180A80">
        <w:rPr>
          <w:rFonts w:asciiTheme="minorHAnsi" w:hAnsiTheme="minorHAnsi"/>
          <w:szCs w:val="22"/>
        </w:rPr>
        <w:t xml:space="preserve"> costs allocated? </w:t>
      </w:r>
    </w:p>
    <w:p w14:paraId="0B92C0B0" w14:textId="77777777" w:rsidR="00F7176E" w:rsidRPr="00180A80" w:rsidRDefault="00F7176E" w:rsidP="00F7176E">
      <w:pPr>
        <w:pStyle w:val="Bullet2"/>
        <w:ind w:left="1287" w:hanging="360"/>
        <w:rPr>
          <w:rFonts w:asciiTheme="minorHAnsi" w:hAnsiTheme="minorHAnsi"/>
          <w:szCs w:val="22"/>
        </w:rPr>
      </w:pPr>
      <w:r w:rsidRPr="00180A80">
        <w:rPr>
          <w:rFonts w:asciiTheme="minorHAnsi" w:hAnsiTheme="minorHAnsi"/>
          <w:szCs w:val="22"/>
        </w:rPr>
        <w:t xml:space="preserve">Which cost allocation proxies (e.g. student numbers, staff numbers, square metre, etc) are used? </w:t>
      </w:r>
    </w:p>
    <w:p w14:paraId="17F6C9E6" w14:textId="77777777" w:rsidR="00F7176E" w:rsidRPr="00180A80" w:rsidRDefault="00F7176E" w:rsidP="00F7176E">
      <w:pPr>
        <w:pStyle w:val="Bullet2"/>
        <w:ind w:left="1287" w:hanging="360"/>
        <w:rPr>
          <w:rFonts w:asciiTheme="minorHAnsi" w:hAnsiTheme="minorHAnsi"/>
          <w:szCs w:val="22"/>
        </w:rPr>
      </w:pPr>
      <w:r w:rsidRPr="00180A80">
        <w:rPr>
          <w:rFonts w:asciiTheme="minorHAnsi" w:hAnsiTheme="minorHAnsi"/>
          <w:szCs w:val="22"/>
        </w:rPr>
        <w:t>Or instead, do you have a specific funding formula and what is it?</w:t>
      </w:r>
    </w:p>
    <w:p w14:paraId="71AC4B9A" w14:textId="77777777" w:rsidR="00F7176E" w:rsidRPr="00180A80" w:rsidRDefault="00F7176E" w:rsidP="00F7176E">
      <w:pPr>
        <w:pStyle w:val="Bullet1"/>
        <w:rPr>
          <w:rFonts w:asciiTheme="minorHAnsi" w:hAnsiTheme="minorHAnsi"/>
          <w:szCs w:val="22"/>
        </w:rPr>
      </w:pPr>
      <w:r w:rsidRPr="00180A80">
        <w:rPr>
          <w:rFonts w:asciiTheme="minorHAnsi" w:hAnsiTheme="minorHAnsi"/>
          <w:szCs w:val="22"/>
        </w:rPr>
        <w:t>How are central costs</w:t>
      </w:r>
      <w:r w:rsidRPr="00180A80">
        <w:rPr>
          <w:rStyle w:val="FootnoteReference"/>
          <w:rFonts w:asciiTheme="minorHAnsi" w:hAnsiTheme="minorHAnsi"/>
          <w:szCs w:val="22"/>
        </w:rPr>
        <w:footnoteReference w:id="39"/>
      </w:r>
      <w:r w:rsidRPr="00180A80">
        <w:rPr>
          <w:rFonts w:asciiTheme="minorHAnsi" w:hAnsiTheme="minorHAnsi"/>
          <w:szCs w:val="22"/>
        </w:rPr>
        <w:t xml:space="preserve"> allocated?  I.e. how do you allocate central costs (1) between teaching, research training and research and (2) across fields of education (FoEs)? </w:t>
      </w:r>
    </w:p>
    <w:p w14:paraId="79DD44FC" w14:textId="77777777" w:rsidR="00F7176E" w:rsidRPr="00180A80" w:rsidRDefault="00F7176E" w:rsidP="00F7176E">
      <w:pPr>
        <w:pStyle w:val="Bullet2"/>
        <w:ind w:left="1287" w:hanging="360"/>
        <w:rPr>
          <w:rFonts w:asciiTheme="minorHAnsi" w:hAnsiTheme="minorHAnsi"/>
          <w:szCs w:val="22"/>
        </w:rPr>
      </w:pPr>
      <w:r w:rsidRPr="00180A80">
        <w:rPr>
          <w:rFonts w:asciiTheme="minorHAnsi" w:hAnsiTheme="minorHAnsi"/>
          <w:szCs w:val="22"/>
        </w:rPr>
        <w:t xml:space="preserve">Which cost allocation proxies (e.g. student numbers, staff numbers, square metres, etc) are used? </w:t>
      </w:r>
    </w:p>
    <w:p w14:paraId="38AC6312" w14:textId="77777777" w:rsidR="00F7176E" w:rsidRPr="00180A80" w:rsidRDefault="00F7176E" w:rsidP="00F7176E">
      <w:pPr>
        <w:pStyle w:val="Bullet2"/>
        <w:ind w:left="1287" w:hanging="360"/>
        <w:rPr>
          <w:rFonts w:asciiTheme="minorHAnsi" w:hAnsiTheme="minorHAnsi"/>
          <w:szCs w:val="22"/>
        </w:rPr>
      </w:pPr>
      <w:r w:rsidRPr="00180A80">
        <w:rPr>
          <w:rFonts w:asciiTheme="minorHAnsi" w:hAnsiTheme="minorHAnsi"/>
          <w:szCs w:val="22"/>
        </w:rPr>
        <w:t>Or instead, do you have a specific funding formula?</w:t>
      </w:r>
    </w:p>
    <w:p w14:paraId="48617631" w14:textId="77777777" w:rsidR="00F7176E" w:rsidRPr="00180A80" w:rsidRDefault="00F7176E" w:rsidP="00F7176E">
      <w:pPr>
        <w:pStyle w:val="Bullet1"/>
        <w:rPr>
          <w:rFonts w:asciiTheme="minorHAnsi" w:hAnsiTheme="minorHAnsi"/>
          <w:szCs w:val="22"/>
        </w:rPr>
      </w:pPr>
      <w:r w:rsidRPr="00180A80">
        <w:rPr>
          <w:rFonts w:asciiTheme="minorHAnsi" w:hAnsiTheme="minorHAnsi"/>
          <w:szCs w:val="22"/>
        </w:rPr>
        <w:lastRenderedPageBreak/>
        <w:t>Does the data collection template cover all teaching related costs?  E.g. for medicine, how do you deal with the costs of teaching provided by hospitals?</w:t>
      </w:r>
    </w:p>
    <w:p w14:paraId="5E0008AC" w14:textId="77777777" w:rsidR="00F7176E" w:rsidRPr="00180A80" w:rsidRDefault="00F7176E" w:rsidP="00F7176E">
      <w:pPr>
        <w:pStyle w:val="Bullet1"/>
        <w:rPr>
          <w:rFonts w:asciiTheme="minorHAnsi" w:hAnsiTheme="minorHAnsi"/>
          <w:szCs w:val="22"/>
        </w:rPr>
      </w:pPr>
      <w:r w:rsidRPr="00180A80">
        <w:rPr>
          <w:rFonts w:asciiTheme="minorHAnsi" w:hAnsiTheme="minorHAnsi"/>
          <w:szCs w:val="22"/>
        </w:rPr>
        <w:t>If you have used average faculty or school costs to derive FoE-specific costs and have no additional data to adjust estimates to reflect the actual costs of individual FoEs, can you provide qualitative and quantitative information to explain significant cost differences between FoEs?</w:t>
      </w:r>
    </w:p>
    <w:p w14:paraId="42598447" w14:textId="77777777" w:rsidR="00F7176E" w:rsidRPr="00180A80" w:rsidRDefault="00F7176E" w:rsidP="00F7176E">
      <w:pPr>
        <w:pStyle w:val="Bullet1"/>
        <w:rPr>
          <w:rStyle w:val="Boldword"/>
          <w:rFonts w:asciiTheme="minorHAnsi" w:hAnsiTheme="minorHAnsi"/>
          <w:b w:val="0"/>
          <w:szCs w:val="22"/>
        </w:rPr>
      </w:pPr>
      <w:r w:rsidRPr="00180A80">
        <w:rPr>
          <w:rFonts w:asciiTheme="minorHAnsi" w:hAnsiTheme="minorHAnsi"/>
          <w:szCs w:val="22"/>
        </w:rPr>
        <w:t>Are there any other contextual factors that we should be aware of?</w:t>
      </w:r>
    </w:p>
    <w:p w14:paraId="7F3470CE" w14:textId="77777777" w:rsidR="00F7176E" w:rsidRPr="00180A80" w:rsidRDefault="00F7176E" w:rsidP="00F7176E">
      <w:pPr>
        <w:pStyle w:val="BodyText"/>
        <w:rPr>
          <w:rStyle w:val="Boldword"/>
          <w:rFonts w:asciiTheme="minorHAnsi" w:hAnsiTheme="minorHAnsi"/>
          <w:i/>
          <w:szCs w:val="22"/>
        </w:rPr>
      </w:pPr>
      <w:r w:rsidRPr="00180A80">
        <w:rPr>
          <w:rStyle w:val="Boldword"/>
          <w:rFonts w:asciiTheme="minorHAnsi" w:hAnsiTheme="minorHAnsi"/>
          <w:i/>
          <w:szCs w:val="22"/>
        </w:rPr>
        <w:t>Decision-making relating to the cost of teaching and scholarship:</w:t>
      </w:r>
    </w:p>
    <w:p w14:paraId="19D886F3" w14:textId="77777777" w:rsidR="00F7176E" w:rsidRPr="00180A80" w:rsidRDefault="00F7176E" w:rsidP="00F7176E">
      <w:pPr>
        <w:pStyle w:val="Bullet1"/>
        <w:rPr>
          <w:rFonts w:asciiTheme="minorHAnsi" w:hAnsiTheme="minorHAnsi"/>
          <w:szCs w:val="22"/>
        </w:rPr>
      </w:pPr>
      <w:r w:rsidRPr="00180A80">
        <w:rPr>
          <w:rFonts w:asciiTheme="minorHAnsi" w:hAnsiTheme="minorHAnsi"/>
          <w:szCs w:val="22"/>
        </w:rPr>
        <w:t>Are there any FoEs where costs differ widely from current funding levels?</w:t>
      </w:r>
    </w:p>
    <w:p w14:paraId="22BDD259" w14:textId="77777777" w:rsidR="00F7176E" w:rsidRPr="00180A80" w:rsidRDefault="00F7176E" w:rsidP="00F7176E">
      <w:pPr>
        <w:pStyle w:val="Bullet2"/>
        <w:ind w:left="1287" w:hanging="360"/>
        <w:rPr>
          <w:rFonts w:asciiTheme="minorHAnsi" w:hAnsiTheme="minorHAnsi"/>
          <w:szCs w:val="22"/>
        </w:rPr>
      </w:pPr>
      <w:r>
        <w:rPr>
          <w:rFonts w:asciiTheme="minorHAnsi" w:hAnsiTheme="minorHAnsi"/>
          <w:szCs w:val="22"/>
        </w:rPr>
        <w:t>What are the implications of this from a management perspective</w:t>
      </w:r>
      <w:r w:rsidRPr="00180A80">
        <w:rPr>
          <w:rFonts w:asciiTheme="minorHAnsi" w:hAnsiTheme="minorHAnsi"/>
          <w:szCs w:val="22"/>
        </w:rPr>
        <w:t xml:space="preserve">? </w:t>
      </w:r>
    </w:p>
    <w:p w14:paraId="673B7167" w14:textId="77777777" w:rsidR="00F7176E" w:rsidRPr="00180A80" w:rsidRDefault="00F7176E" w:rsidP="00F7176E">
      <w:pPr>
        <w:pStyle w:val="Bullet2"/>
        <w:ind w:left="1287" w:hanging="360"/>
        <w:rPr>
          <w:rFonts w:asciiTheme="minorHAnsi" w:hAnsiTheme="minorHAnsi"/>
          <w:szCs w:val="22"/>
        </w:rPr>
      </w:pPr>
      <w:r w:rsidRPr="00180A80">
        <w:rPr>
          <w:rFonts w:asciiTheme="minorHAnsi" w:hAnsiTheme="minorHAnsi"/>
          <w:szCs w:val="22"/>
        </w:rPr>
        <w:t>If so, how can it be observed in the recorded cost data provided as part of this study?</w:t>
      </w:r>
    </w:p>
    <w:p w14:paraId="6E7A6AC9" w14:textId="77777777" w:rsidR="00F7176E" w:rsidRPr="00180A80" w:rsidRDefault="00F7176E" w:rsidP="00F7176E">
      <w:pPr>
        <w:pStyle w:val="Bullet1"/>
        <w:rPr>
          <w:rFonts w:asciiTheme="minorHAnsi" w:hAnsiTheme="minorHAnsi"/>
          <w:szCs w:val="22"/>
        </w:rPr>
      </w:pPr>
      <w:r w:rsidRPr="00180A80">
        <w:rPr>
          <w:rFonts w:asciiTheme="minorHAnsi" w:hAnsiTheme="minorHAnsi"/>
          <w:szCs w:val="22"/>
        </w:rPr>
        <w:t>Would you group the FoEs differently?  If so, why?</w:t>
      </w:r>
    </w:p>
    <w:p w14:paraId="695F9036" w14:textId="77777777" w:rsidR="00F7176E" w:rsidRPr="00180A80" w:rsidRDefault="00F7176E" w:rsidP="00F7176E">
      <w:pPr>
        <w:pStyle w:val="Bullet1"/>
        <w:rPr>
          <w:rFonts w:asciiTheme="minorHAnsi" w:hAnsiTheme="minorHAnsi"/>
          <w:szCs w:val="22"/>
        </w:rPr>
      </w:pPr>
      <w:r w:rsidRPr="00180A80">
        <w:rPr>
          <w:rFonts w:asciiTheme="minorHAnsi" w:hAnsiTheme="minorHAnsi"/>
          <w:szCs w:val="22"/>
        </w:rPr>
        <w:t>Do the current funding levels influence internal allocations in your institution? For example, if standard subjects are taught using a two hour lecture and two hours of tutorials each week, are there subjects with fewer/more hours because of what the funding formula dictates? If so, which FoEs are affected by this?</w:t>
      </w:r>
    </w:p>
    <w:p w14:paraId="122C56BD" w14:textId="77777777" w:rsidR="00F7176E" w:rsidRPr="00180A80" w:rsidRDefault="00F7176E" w:rsidP="00F7176E">
      <w:pPr>
        <w:pStyle w:val="Bullet1"/>
        <w:numPr>
          <w:ilvl w:val="0"/>
          <w:numId w:val="0"/>
        </w:numPr>
        <w:ind w:left="360" w:hanging="360"/>
        <w:rPr>
          <w:rStyle w:val="Boldword"/>
          <w:rFonts w:asciiTheme="minorHAnsi" w:hAnsiTheme="minorHAnsi"/>
          <w:szCs w:val="22"/>
        </w:rPr>
      </w:pPr>
      <w:r w:rsidRPr="00180A80">
        <w:rPr>
          <w:rStyle w:val="Boldword"/>
          <w:rFonts w:asciiTheme="minorHAnsi" w:hAnsiTheme="minorHAnsi"/>
          <w:i/>
          <w:szCs w:val="22"/>
        </w:rPr>
        <w:t>General discussion questions:</w:t>
      </w:r>
    </w:p>
    <w:p w14:paraId="4A085272" w14:textId="77777777" w:rsidR="00F7176E" w:rsidRPr="00180A80" w:rsidRDefault="00F7176E" w:rsidP="00F7176E">
      <w:pPr>
        <w:pStyle w:val="Bullet1"/>
        <w:rPr>
          <w:rFonts w:asciiTheme="minorHAnsi" w:hAnsiTheme="minorHAnsi"/>
          <w:szCs w:val="22"/>
        </w:rPr>
      </w:pPr>
      <w:r w:rsidRPr="00180A80">
        <w:rPr>
          <w:rFonts w:asciiTheme="minorHAnsi" w:hAnsiTheme="minorHAnsi"/>
          <w:szCs w:val="22"/>
        </w:rPr>
        <w:t xml:space="preserve">Is there volatility in </w:t>
      </w:r>
      <w:r>
        <w:rPr>
          <w:rFonts w:asciiTheme="minorHAnsi" w:hAnsiTheme="minorHAnsi"/>
          <w:szCs w:val="22"/>
        </w:rPr>
        <w:t>costs</w:t>
      </w:r>
      <w:r w:rsidRPr="00180A80">
        <w:rPr>
          <w:rFonts w:asciiTheme="minorHAnsi" w:hAnsiTheme="minorHAnsi"/>
          <w:szCs w:val="22"/>
        </w:rPr>
        <w:t xml:space="preserve"> over time that we should be aware of when taking a snapshot of a single year’s data?</w:t>
      </w:r>
    </w:p>
    <w:p w14:paraId="3C4FCBB0" w14:textId="77777777" w:rsidR="00F7176E" w:rsidRDefault="00F7176E" w:rsidP="00F7176E">
      <w:pPr>
        <w:pStyle w:val="Bullet1"/>
        <w:rPr>
          <w:rFonts w:asciiTheme="minorHAnsi" w:hAnsiTheme="minorHAnsi"/>
          <w:szCs w:val="22"/>
        </w:rPr>
      </w:pPr>
      <w:r w:rsidRPr="00180A80">
        <w:rPr>
          <w:rFonts w:asciiTheme="minorHAnsi" w:hAnsiTheme="minorHAnsi"/>
          <w:szCs w:val="22"/>
        </w:rPr>
        <w:t xml:space="preserve">What are the main points we should be aware of when benchmarking these costs against similar international jurisdictions? </w:t>
      </w:r>
    </w:p>
    <w:p w14:paraId="5C45E478" w14:textId="77777777" w:rsidR="00F7176E" w:rsidRPr="00180A80" w:rsidRDefault="00F7176E" w:rsidP="00F7176E">
      <w:pPr>
        <w:pStyle w:val="Bullet1"/>
        <w:rPr>
          <w:rFonts w:asciiTheme="minorHAnsi" w:hAnsiTheme="minorHAnsi"/>
          <w:szCs w:val="22"/>
        </w:rPr>
      </w:pPr>
      <w:r>
        <w:t>How have key cost drivers evolved since 2011?</w:t>
      </w:r>
    </w:p>
    <w:p w14:paraId="005ABF04" w14:textId="77777777" w:rsidR="00F7176E" w:rsidRDefault="00F7176E" w:rsidP="00F7176E">
      <w:pPr>
        <w:pStyle w:val="BodyText"/>
      </w:pPr>
      <w:r w:rsidRPr="00180A80">
        <w:rPr>
          <w:rFonts w:asciiTheme="minorHAnsi" w:hAnsiTheme="minorHAnsi"/>
          <w:szCs w:val="22"/>
        </w:rPr>
        <w:t>Do you have any further observations on the cost collection exercise?</w:t>
      </w:r>
    </w:p>
    <w:p w14:paraId="345EB3C0" w14:textId="77777777" w:rsidR="006B29A4" w:rsidRPr="00A65BA3" w:rsidRDefault="006B29A4" w:rsidP="00D8727B">
      <w:pPr>
        <w:pStyle w:val="BSubheading-Bluedk"/>
        <w:keepNext/>
        <w:keepLines/>
        <w:pageBreakBefore/>
        <w:rPr>
          <w:rFonts w:ascii="Calibri" w:hAnsi="Calibri"/>
          <w:sz w:val="44"/>
        </w:rPr>
      </w:pPr>
      <w:bookmarkStart w:id="395" w:name="_Toc469927344"/>
      <w:r w:rsidRPr="00A65BA3">
        <w:rPr>
          <w:rFonts w:ascii="Calibri" w:hAnsi="Calibri"/>
          <w:sz w:val="44"/>
        </w:rPr>
        <w:lastRenderedPageBreak/>
        <w:t>Limitation of our work</w:t>
      </w:r>
      <w:bookmarkEnd w:id="357"/>
      <w:bookmarkEnd w:id="358"/>
      <w:bookmarkEnd w:id="395"/>
    </w:p>
    <w:p w14:paraId="3022A88A" w14:textId="77777777" w:rsidR="006B29A4" w:rsidRPr="00A65BA3" w:rsidRDefault="006B29A4" w:rsidP="00D8727B">
      <w:pPr>
        <w:pStyle w:val="HeadingB"/>
        <w:spacing w:after="240"/>
      </w:pPr>
      <w:r w:rsidRPr="00A65BA3">
        <w:t>General use restriction</w:t>
      </w:r>
    </w:p>
    <w:p w14:paraId="3CA88B8D" w14:textId="77777777" w:rsidR="00F41CBD" w:rsidRPr="001578D1" w:rsidRDefault="00F41CBD" w:rsidP="001578D1">
      <w:pPr>
        <w:pStyle w:val="Bodycopy"/>
        <w:keepNext/>
        <w:keepLines/>
        <w:rPr>
          <w:rFonts w:asciiTheme="minorHAnsi" w:hAnsiTheme="minorHAnsi"/>
          <w:sz w:val="22"/>
          <w:szCs w:val="22"/>
        </w:rPr>
      </w:pPr>
      <w:r w:rsidRPr="00A65BA3">
        <w:rPr>
          <w:rFonts w:asciiTheme="minorHAnsi" w:hAnsiTheme="minorHAnsi"/>
          <w:sz w:val="22"/>
          <w:szCs w:val="22"/>
        </w:rPr>
        <w:t xml:space="preserve">This report is prepared solely for the use of </w:t>
      </w:r>
      <w:r w:rsidR="00FC6024" w:rsidRPr="00A65BA3">
        <w:rPr>
          <w:rFonts w:asciiTheme="minorHAnsi" w:hAnsiTheme="minorHAnsi"/>
          <w:sz w:val="22"/>
          <w:szCs w:val="22"/>
        </w:rPr>
        <w:t>the Australian Government Department of Education and Training</w:t>
      </w:r>
      <w:r w:rsidRPr="00A65BA3">
        <w:rPr>
          <w:rFonts w:asciiTheme="minorHAnsi" w:hAnsiTheme="minorHAnsi"/>
          <w:sz w:val="22"/>
          <w:szCs w:val="22"/>
        </w:rPr>
        <w:t xml:space="preserve">.  This report is not intended to and should not be used or relied upon by anyone else and we accept no duty of care to any other person or entity.  The report has been prepared for the purpose of </w:t>
      </w:r>
      <w:r w:rsidR="00FC6024" w:rsidRPr="00A65BA3">
        <w:rPr>
          <w:rFonts w:asciiTheme="minorHAnsi" w:hAnsiTheme="minorHAnsi"/>
          <w:sz w:val="22"/>
          <w:szCs w:val="22"/>
        </w:rPr>
        <w:t>analysing the relative and reasonable cost of delivery of higher education</w:t>
      </w:r>
      <w:r w:rsidRPr="00A65BA3">
        <w:rPr>
          <w:rFonts w:asciiTheme="minorHAnsi" w:hAnsiTheme="minorHAnsi"/>
          <w:sz w:val="22"/>
          <w:szCs w:val="22"/>
        </w:rPr>
        <w:t>.  You should not refer to or use our name or the advice for any other purpose.</w:t>
      </w:r>
    </w:p>
    <w:p w14:paraId="28FE7CC3" w14:textId="77777777" w:rsidR="00ED79CD" w:rsidRPr="00A65BA3" w:rsidRDefault="00ED79CD" w:rsidP="001578D1">
      <w:pPr>
        <w:pStyle w:val="Bodycopy"/>
      </w:pPr>
    </w:p>
    <w:p w14:paraId="460504D4" w14:textId="77777777" w:rsidR="00ED79CD" w:rsidRPr="00A65BA3" w:rsidRDefault="00ED79CD" w:rsidP="006B29A4">
      <w:pPr>
        <w:pStyle w:val="Bodycopy"/>
      </w:pPr>
    </w:p>
    <w:p w14:paraId="49971780" w14:textId="77777777" w:rsidR="00ED79CD" w:rsidRPr="00A65BA3" w:rsidRDefault="00ED79CD" w:rsidP="006B29A4">
      <w:pPr>
        <w:pStyle w:val="Bodycopy"/>
      </w:pPr>
    </w:p>
    <w:p w14:paraId="446D6536" w14:textId="77777777" w:rsidR="006B29A4" w:rsidRPr="00A65BA3" w:rsidRDefault="006B29A4" w:rsidP="006B29A4">
      <w:pPr>
        <w:rPr>
          <w:b/>
          <w:bCs/>
          <w:iCs/>
          <w:color w:val="00A1DE"/>
          <w:sz w:val="40"/>
          <w:szCs w:val="40"/>
        </w:rPr>
        <w:sectPr w:rsidR="006B29A4" w:rsidRPr="00A65BA3" w:rsidSect="00F8412C">
          <w:headerReference w:type="default" r:id="rId93"/>
          <w:headerReference w:type="first" r:id="rId94"/>
          <w:footerReference w:type="first" r:id="rId95"/>
          <w:type w:val="continuous"/>
          <w:pgSz w:w="11907" w:h="16840" w:code="9"/>
          <w:pgMar w:top="2268" w:right="1134" w:bottom="1134" w:left="2552" w:header="567" w:footer="567" w:gutter="0"/>
          <w:cols w:space="708"/>
          <w:titlePg/>
          <w:docGrid w:linePitch="360"/>
        </w:sectPr>
      </w:pPr>
    </w:p>
    <w:p w14:paraId="33D0AF0C" w14:textId="77777777" w:rsidR="006B29A4" w:rsidRPr="00A65BA3" w:rsidRDefault="006B29A4" w:rsidP="006B29A4">
      <w:pPr>
        <w:pStyle w:val="DBody"/>
        <w:rPr>
          <w:b/>
          <w:color w:val="00A1DE" w:themeColor="accent2"/>
          <w:sz w:val="24"/>
          <w:lang w:val="en-AU"/>
        </w:rPr>
        <w:sectPr w:rsidR="006B29A4" w:rsidRPr="00A65BA3" w:rsidSect="009722F8">
          <w:headerReference w:type="even" r:id="rId96"/>
          <w:type w:val="continuous"/>
          <w:pgSz w:w="11907" w:h="16840" w:code="9"/>
          <w:pgMar w:top="6345" w:right="1134" w:bottom="567" w:left="1134" w:header="567" w:footer="500" w:gutter="0"/>
          <w:cols w:num="2" w:space="708"/>
          <w:docGrid w:linePitch="360"/>
        </w:sectPr>
      </w:pPr>
    </w:p>
    <w:p w14:paraId="67D81E72" w14:textId="77777777" w:rsidR="006B29A4" w:rsidRPr="00A65BA3" w:rsidRDefault="006B29A4" w:rsidP="006B29A4">
      <w:pPr>
        <w:pStyle w:val="DBody"/>
        <w:rPr>
          <w:rFonts w:ascii="Calibri" w:hAnsi="Calibri"/>
          <w:b/>
          <w:color w:val="92D400"/>
          <w:lang w:val="en-AU"/>
        </w:rPr>
      </w:pPr>
      <w:r w:rsidRPr="00A65BA3">
        <w:rPr>
          <w:rFonts w:ascii="Calibri" w:hAnsi="Calibri"/>
          <w:b/>
          <w:color w:val="92D400"/>
          <w:sz w:val="24"/>
          <w:lang w:val="en-AU"/>
        </w:rPr>
        <w:lastRenderedPageBreak/>
        <w:t>Contact us</w:t>
      </w:r>
    </w:p>
    <w:p w14:paraId="6914F95E" w14:textId="77777777" w:rsidR="00C62E60" w:rsidRPr="00A65BA3" w:rsidRDefault="006B29A4" w:rsidP="00C62E60">
      <w:pPr>
        <w:pStyle w:val="DBody"/>
        <w:spacing w:after="0"/>
        <w:rPr>
          <w:rFonts w:ascii="Calibri" w:hAnsi="Calibri"/>
          <w:lang w:val="en-AU"/>
        </w:rPr>
      </w:pPr>
      <w:r w:rsidRPr="00A65BA3">
        <w:rPr>
          <w:rFonts w:ascii="Calibri" w:hAnsi="Calibri"/>
          <w:lang w:val="en-AU"/>
        </w:rPr>
        <w:t>Deloitte Access Economics</w:t>
      </w:r>
      <w:r w:rsidR="00805D5E" w:rsidRPr="00A65BA3">
        <w:rPr>
          <w:rFonts w:ascii="Calibri" w:hAnsi="Calibri"/>
          <w:lang w:val="en-AU"/>
        </w:rPr>
        <w:br/>
        <w:t xml:space="preserve">ACN: </w:t>
      </w:r>
      <w:r w:rsidR="00FA3628" w:rsidRPr="00A65BA3">
        <w:rPr>
          <w:rFonts w:ascii="Calibri" w:hAnsi="Calibri"/>
          <w:lang w:val="en-AU"/>
        </w:rPr>
        <w:t>1</w:t>
      </w:r>
      <w:r w:rsidR="00805D5E" w:rsidRPr="00A65BA3">
        <w:rPr>
          <w:rFonts w:ascii="Calibri" w:hAnsi="Calibri"/>
          <w:lang w:val="en-AU"/>
        </w:rPr>
        <w:t>49 633 116</w:t>
      </w:r>
      <w:r w:rsidRPr="00A65BA3">
        <w:rPr>
          <w:rFonts w:ascii="Calibri" w:hAnsi="Calibri"/>
          <w:lang w:val="en-AU"/>
        </w:rPr>
        <w:br/>
      </w:r>
      <w:r w:rsidRPr="00A65BA3">
        <w:rPr>
          <w:rFonts w:ascii="Calibri" w:hAnsi="Calibri"/>
          <w:lang w:val="en-AU"/>
        </w:rPr>
        <w:br/>
      </w:r>
      <w:r w:rsidR="00C62E60" w:rsidRPr="00A65BA3">
        <w:rPr>
          <w:rFonts w:ascii="Calibri" w:hAnsi="Calibri"/>
          <w:lang w:val="en-AU"/>
        </w:rPr>
        <w:t>Level 2</w:t>
      </w:r>
      <w:r w:rsidR="00C62E60" w:rsidRPr="00A65BA3">
        <w:rPr>
          <w:rFonts w:ascii="Calibri" w:hAnsi="Calibri"/>
          <w:lang w:val="en-AU"/>
        </w:rPr>
        <w:br/>
        <w:t>8 Brindabella Circuit</w:t>
      </w:r>
    </w:p>
    <w:p w14:paraId="64AF71F3" w14:textId="77777777" w:rsidR="006B29A4" w:rsidRPr="00A65BA3" w:rsidRDefault="00C62E60" w:rsidP="00C62E60">
      <w:pPr>
        <w:pStyle w:val="DBody"/>
        <w:spacing w:before="0" w:after="0"/>
      </w:pPr>
      <w:r w:rsidRPr="00A65BA3">
        <w:rPr>
          <w:rFonts w:ascii="Calibri" w:hAnsi="Calibri"/>
          <w:lang w:val="en-AU"/>
        </w:rPr>
        <w:t>Brindabella Business Park</w:t>
      </w:r>
      <w:r w:rsidRPr="00A65BA3">
        <w:rPr>
          <w:rFonts w:ascii="Calibri" w:hAnsi="Calibri"/>
          <w:lang w:val="en-AU"/>
        </w:rPr>
        <w:br/>
        <w:t>Canberra Airport   ACT   2609</w:t>
      </w:r>
      <w:r w:rsidRPr="00A65BA3">
        <w:rPr>
          <w:rFonts w:ascii="Calibri" w:hAnsi="Calibri"/>
          <w:lang w:val="en-AU"/>
        </w:rPr>
        <w:br/>
      </w:r>
      <w:r w:rsidRPr="00A65BA3">
        <w:rPr>
          <w:rFonts w:ascii="Calibri" w:hAnsi="Calibri"/>
          <w:lang w:val="en-AU"/>
        </w:rPr>
        <w:br/>
        <w:t>Tel: +61 2 6263 7000</w:t>
      </w:r>
      <w:r w:rsidR="001D0FDF" w:rsidRPr="00A65BA3">
        <w:rPr>
          <w:rFonts w:ascii="Calibri" w:hAnsi="Calibri"/>
          <w:lang w:val="en-AU"/>
        </w:rPr>
        <w:br/>
      </w:r>
      <w:r w:rsidR="006B29A4" w:rsidRPr="00A65BA3">
        <w:rPr>
          <w:rFonts w:ascii="Calibri" w:hAnsi="Calibri"/>
          <w:lang w:val="en-AU"/>
        </w:rPr>
        <w:br/>
      </w:r>
      <w:hyperlink r:id="rId97" w:history="1">
        <w:r w:rsidR="006546AD" w:rsidRPr="00A65BA3">
          <w:rPr>
            <w:rStyle w:val="Hyperlink"/>
            <w:rFonts w:ascii="Calibri" w:hAnsi="Calibri"/>
          </w:rPr>
          <w:t>www.deloitteaccesseconomics</w:t>
        </w:r>
      </w:hyperlink>
      <w:r w:rsidR="00D319B7" w:rsidRPr="00A65BA3">
        <w:rPr>
          <w:rStyle w:val="Hyperlink"/>
          <w:rFonts w:ascii="Calibri" w:hAnsi="Calibri"/>
        </w:rPr>
        <w:t>.com.au</w:t>
      </w:r>
    </w:p>
    <w:p w14:paraId="39B35936" w14:textId="77777777" w:rsidR="00ED79CD" w:rsidRPr="00A65BA3" w:rsidRDefault="00ED79CD" w:rsidP="00471F42">
      <w:pPr>
        <w:pStyle w:val="BoldPara"/>
      </w:pPr>
    </w:p>
    <w:p w14:paraId="30722F9B" w14:textId="77777777" w:rsidR="00471F42" w:rsidRPr="00A65BA3" w:rsidRDefault="00471F42" w:rsidP="006B29A4">
      <w:pPr>
        <w:pStyle w:val="DBody"/>
        <w:rPr>
          <w:rFonts w:ascii="Calibri" w:hAnsi="Calibri"/>
          <w:lang w:val="en-AU"/>
        </w:rPr>
      </w:pPr>
    </w:p>
    <w:p w14:paraId="27990F9F" w14:textId="77777777" w:rsidR="00471F42" w:rsidRPr="00A65BA3" w:rsidRDefault="006B29A4" w:rsidP="00471F42">
      <w:pPr>
        <w:pStyle w:val="BodyText"/>
        <w:jc w:val="left"/>
        <w:rPr>
          <w:sz w:val="18"/>
          <w:szCs w:val="18"/>
        </w:rPr>
      </w:pPr>
      <w:r w:rsidRPr="00A65BA3">
        <w:br w:type="column"/>
      </w:r>
      <w:r w:rsidR="00471F42" w:rsidRPr="00A65BA3">
        <w:rPr>
          <w:rStyle w:val="BoldParaChar"/>
          <w:sz w:val="18"/>
          <w:szCs w:val="18"/>
        </w:rPr>
        <w:t>Deloitte Access Economics</w:t>
      </w:r>
      <w:r w:rsidR="00471F42" w:rsidRPr="00A65BA3">
        <w:rPr>
          <w:sz w:val="18"/>
          <w:szCs w:val="18"/>
        </w:rPr>
        <w:t xml:space="preserve"> is Australia’s pre-eminent economics advisory practice and a member of Delo</w:t>
      </w:r>
      <w:r w:rsidR="004A5FDA" w:rsidRPr="00A65BA3">
        <w:rPr>
          <w:sz w:val="18"/>
          <w:szCs w:val="18"/>
        </w:rPr>
        <w:t>itte's global economics group.  For more information, please visit our website www.deloitteaccesseconomics.com.au</w:t>
      </w:r>
    </w:p>
    <w:p w14:paraId="35F91716" w14:textId="77777777" w:rsidR="00471F42" w:rsidRPr="00A65BA3" w:rsidRDefault="00471F42" w:rsidP="00471F42">
      <w:pPr>
        <w:pStyle w:val="BoldPara"/>
        <w:spacing w:before="120"/>
        <w:rPr>
          <w:sz w:val="18"/>
          <w:szCs w:val="18"/>
        </w:rPr>
      </w:pPr>
      <w:r w:rsidRPr="00A65BA3">
        <w:rPr>
          <w:sz w:val="18"/>
          <w:szCs w:val="18"/>
        </w:rPr>
        <w:t>About Deloitte</w:t>
      </w:r>
    </w:p>
    <w:p w14:paraId="2FF7760B" w14:textId="77777777" w:rsidR="00DD29CE" w:rsidRPr="00A65BA3" w:rsidRDefault="00DD29CE" w:rsidP="00DD29CE">
      <w:pPr>
        <w:pStyle w:val="BodyText"/>
        <w:spacing w:before="120"/>
        <w:jc w:val="left"/>
        <w:rPr>
          <w:sz w:val="18"/>
          <w:szCs w:val="18"/>
        </w:rPr>
      </w:pPr>
      <w:r w:rsidRPr="00A65BA3">
        <w:rPr>
          <w:sz w:val="18"/>
          <w:szCs w:val="18"/>
        </w:rPr>
        <w:t xml:space="preserve">Deloitte refers to one or more of Deloitte Touche Tohmatsu Limited, a UK private company limited by guarantee, and its network of member firms, each of which is a legally separate and independent entity. Please see </w:t>
      </w:r>
      <w:hyperlink r:id="rId98" w:history="1">
        <w:r w:rsidRPr="00A65BA3">
          <w:rPr>
            <w:sz w:val="18"/>
            <w:szCs w:val="18"/>
          </w:rPr>
          <w:t>www.deloitte.com/au/about</w:t>
        </w:r>
      </w:hyperlink>
      <w:r w:rsidRPr="00A65BA3">
        <w:rPr>
          <w:sz w:val="18"/>
          <w:szCs w:val="18"/>
        </w:rPr>
        <w:t xml:space="preserve"> for a detailed description of the legal structure of Deloitte Touche Tohmatsu Limited and its member firms.</w:t>
      </w:r>
    </w:p>
    <w:p w14:paraId="43784FAC" w14:textId="77777777" w:rsidR="00471F42" w:rsidRPr="00A65BA3" w:rsidRDefault="00471F42" w:rsidP="00471F42">
      <w:pPr>
        <w:pStyle w:val="BodyText"/>
        <w:spacing w:before="120"/>
        <w:jc w:val="left"/>
        <w:rPr>
          <w:sz w:val="18"/>
          <w:szCs w:val="18"/>
        </w:rPr>
      </w:pPr>
      <w:r w:rsidRPr="00A65BA3">
        <w:rPr>
          <w:sz w:val="18"/>
          <w:szCs w:val="18"/>
        </w:rPr>
        <w:t>Deloitte provides audit, tax, consulting, and financial advisory services to public and private clients spanning multiple industries. With a globally connected network of member firms in more than 150 countries, Deloitte brings world-class capabilities and deep local expertise to help clients succeed wherever they ope</w:t>
      </w:r>
      <w:r w:rsidR="00DD29CE" w:rsidRPr="00A65BA3">
        <w:rPr>
          <w:sz w:val="18"/>
          <w:szCs w:val="18"/>
        </w:rPr>
        <w:t>rate. Deloitte's approximately 200</w:t>
      </w:r>
      <w:r w:rsidRPr="00A65BA3">
        <w:rPr>
          <w:sz w:val="18"/>
          <w:szCs w:val="18"/>
        </w:rPr>
        <w:t>,000 professionals are committed to becoming the standard of excellence.</w:t>
      </w:r>
    </w:p>
    <w:p w14:paraId="799564DA" w14:textId="77777777" w:rsidR="00471F42" w:rsidRPr="00A65BA3" w:rsidRDefault="00471F42" w:rsidP="00471F42">
      <w:pPr>
        <w:pStyle w:val="BoldPara"/>
        <w:spacing w:before="120"/>
        <w:rPr>
          <w:sz w:val="18"/>
          <w:szCs w:val="18"/>
        </w:rPr>
      </w:pPr>
      <w:r w:rsidRPr="00A65BA3">
        <w:rPr>
          <w:sz w:val="18"/>
          <w:szCs w:val="18"/>
        </w:rPr>
        <w:t>About Deloitte Australia</w:t>
      </w:r>
    </w:p>
    <w:p w14:paraId="734B0A8F" w14:textId="77777777" w:rsidR="00471F42" w:rsidRPr="00A65BA3" w:rsidRDefault="00471F42" w:rsidP="00471F42">
      <w:pPr>
        <w:pStyle w:val="BodyText"/>
        <w:spacing w:before="120"/>
        <w:jc w:val="left"/>
        <w:rPr>
          <w:sz w:val="18"/>
          <w:szCs w:val="18"/>
        </w:rPr>
      </w:pPr>
      <w:r w:rsidRPr="00A65BA3">
        <w:rPr>
          <w:sz w:val="18"/>
          <w:szCs w:val="18"/>
        </w:rPr>
        <w:t xml:space="preserve">In Australia, the member firm is the Australian partnership of Deloitte Touche Tohmatsu. As one of Australia’s leading professional services firms. Deloitte Touche Tohmatsu and its affiliates provide audit, tax, consulting, and financial advisory services through approximately </w:t>
      </w:r>
      <w:r w:rsidR="00DD29CE" w:rsidRPr="00A65BA3">
        <w:rPr>
          <w:sz w:val="18"/>
          <w:szCs w:val="18"/>
        </w:rPr>
        <w:t>6</w:t>
      </w:r>
      <w:r w:rsidRPr="00A65BA3">
        <w:rPr>
          <w:sz w:val="18"/>
          <w:szCs w:val="18"/>
        </w:rPr>
        <w:t>,</w:t>
      </w:r>
      <w:r w:rsidR="00DD29CE" w:rsidRPr="00A65BA3">
        <w:rPr>
          <w:sz w:val="18"/>
          <w:szCs w:val="18"/>
        </w:rPr>
        <w:t>0</w:t>
      </w:r>
      <w:r w:rsidRPr="00A65BA3">
        <w:rPr>
          <w:sz w:val="18"/>
          <w:szCs w:val="18"/>
        </w:rPr>
        <w:t xml:space="preserve">00 people across the country. Focused on the creation of value and growth, and known as an employer of choice for innovative human resources programs, we are dedicated to helping our clients and our people excel. For more information, please visit our web site at </w:t>
      </w:r>
      <w:hyperlink r:id="rId99" w:tooltip="outbind://134-00000000D9F0381E780C36468130C157C6E02F0F070089EF0B7E64D67E4497677FBE48F7C85200000026A9650000C02BFF51A79832439D10343FF5D9363C000001F3CF140000/Local%20Settings/Temporary%20Internet%20Files/OLK19/www.deloitte.com.au" w:history="1">
        <w:r w:rsidRPr="00A65BA3">
          <w:rPr>
            <w:sz w:val="18"/>
            <w:szCs w:val="18"/>
          </w:rPr>
          <w:t>www.deloitte.com.au</w:t>
        </w:r>
      </w:hyperlink>
      <w:r w:rsidRPr="00A65BA3">
        <w:rPr>
          <w:sz w:val="18"/>
          <w:szCs w:val="18"/>
        </w:rPr>
        <w:t>.</w:t>
      </w:r>
    </w:p>
    <w:p w14:paraId="20E10A76" w14:textId="77777777" w:rsidR="00471F42" w:rsidRPr="00A65BA3" w:rsidRDefault="00471F42" w:rsidP="00471F42">
      <w:pPr>
        <w:spacing w:before="120" w:line="180" w:lineRule="exact"/>
        <w:rPr>
          <w:sz w:val="18"/>
          <w:szCs w:val="18"/>
        </w:rPr>
      </w:pPr>
      <w:r w:rsidRPr="00A65BA3">
        <w:rPr>
          <w:sz w:val="18"/>
          <w:szCs w:val="18"/>
        </w:rPr>
        <w:t>Liability limited by a scheme approved under Professional Standards Legislation.</w:t>
      </w:r>
    </w:p>
    <w:p w14:paraId="745B03BE" w14:textId="77777777" w:rsidR="00471F42" w:rsidRPr="00A65BA3" w:rsidRDefault="00471F42" w:rsidP="00471F42">
      <w:pPr>
        <w:spacing w:before="120" w:line="180" w:lineRule="exact"/>
        <w:rPr>
          <w:sz w:val="18"/>
          <w:szCs w:val="18"/>
        </w:rPr>
      </w:pPr>
      <w:r w:rsidRPr="00A65BA3">
        <w:rPr>
          <w:sz w:val="18"/>
          <w:szCs w:val="18"/>
        </w:rPr>
        <w:t>Member of Deloitte Touche Tohmatsu Limited</w:t>
      </w:r>
    </w:p>
    <w:p w14:paraId="62AB76AC" w14:textId="77777777" w:rsidR="00471F42" w:rsidRPr="00471F42" w:rsidRDefault="00471F42" w:rsidP="00471F42">
      <w:pPr>
        <w:spacing w:before="120" w:line="180" w:lineRule="exact"/>
        <w:rPr>
          <w:sz w:val="18"/>
          <w:szCs w:val="18"/>
        </w:rPr>
      </w:pPr>
      <w:r w:rsidRPr="00A65BA3">
        <w:rPr>
          <w:sz w:val="18"/>
          <w:szCs w:val="18"/>
        </w:rPr>
        <w:t xml:space="preserve">© </w:t>
      </w:r>
      <w:r w:rsidR="000232A6" w:rsidRPr="00A65BA3">
        <w:rPr>
          <w:sz w:val="18"/>
          <w:szCs w:val="18"/>
        </w:rPr>
        <w:fldChar w:fldCharType="begin"/>
      </w:r>
      <w:r w:rsidR="000232A6" w:rsidRPr="00A65BA3">
        <w:rPr>
          <w:sz w:val="18"/>
          <w:szCs w:val="18"/>
        </w:rPr>
        <w:instrText xml:space="preserve"> DATE  [\@ "yyyy"] \* MERGEFORMAT </w:instrText>
      </w:r>
      <w:r w:rsidR="000232A6" w:rsidRPr="00A65BA3">
        <w:rPr>
          <w:sz w:val="18"/>
          <w:szCs w:val="18"/>
        </w:rPr>
        <w:fldChar w:fldCharType="separate"/>
      </w:r>
      <w:r w:rsidR="00C65E81">
        <w:rPr>
          <w:noProof/>
          <w:sz w:val="18"/>
          <w:szCs w:val="18"/>
        </w:rPr>
        <w:t>2017</w:t>
      </w:r>
      <w:r w:rsidR="000232A6" w:rsidRPr="00A65BA3">
        <w:rPr>
          <w:sz w:val="18"/>
          <w:szCs w:val="18"/>
        </w:rPr>
        <w:fldChar w:fldCharType="end"/>
      </w:r>
      <w:r w:rsidRPr="00A65BA3">
        <w:rPr>
          <w:sz w:val="18"/>
          <w:szCs w:val="18"/>
        </w:rPr>
        <w:t xml:space="preserve"> Deloitte Access Economics Pty Ltd</w:t>
      </w:r>
    </w:p>
    <w:p w14:paraId="66F49EFD" w14:textId="77777777" w:rsidR="006B29A4" w:rsidRPr="00471F42" w:rsidRDefault="006B29A4" w:rsidP="00471F42">
      <w:pPr>
        <w:rPr>
          <w:sz w:val="18"/>
          <w:szCs w:val="18"/>
        </w:rPr>
      </w:pPr>
    </w:p>
    <w:sectPr w:rsidR="006B29A4" w:rsidRPr="00471F42" w:rsidSect="006B29A4">
      <w:footerReference w:type="default" r:id="rId100"/>
      <w:pgSz w:w="11906" w:h="16838" w:code="9"/>
      <w:pgMar w:top="2268" w:right="1134" w:bottom="1134" w:left="2552" w:header="720" w:footer="720" w:gutter="0"/>
      <w:pgNumType w:start="1"/>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07D4D1" w14:textId="77777777" w:rsidR="00C65E81" w:rsidRDefault="00C65E81" w:rsidP="00680968">
      <w:pPr>
        <w:pStyle w:val="Tabletotals"/>
      </w:pPr>
      <w:r>
        <w:separator/>
      </w:r>
    </w:p>
  </w:endnote>
  <w:endnote w:type="continuationSeparator" w:id="0">
    <w:p w14:paraId="688745D4" w14:textId="77777777" w:rsidR="00C65E81" w:rsidRDefault="00C65E81" w:rsidP="00680968">
      <w:pPr>
        <w:pStyle w:val="Tabletotals"/>
      </w:pPr>
      <w:r>
        <w:continuationSeparator/>
      </w:r>
    </w:p>
  </w:endnote>
  <w:endnote w:type="continuationNotice" w:id="1">
    <w:p w14:paraId="096F8305" w14:textId="77777777" w:rsidR="00C65E81" w:rsidRDefault="00C65E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 w:fontKey="{966EF18D-B547-47E9-8D59-C1345A451E81}"/>
    <w:embedBold r:id="rId2" w:fontKey="{E75E2A98-86FB-4F05-8E21-833B295FCF51}"/>
    <w:embedItalic r:id="rId3" w:fontKey="{0C21A079-31A0-4E5A-AF64-F7BFB700DADF}"/>
    <w:embedBoldItalic r:id="rId4" w:fontKey="{3014E5FC-F024-4EEF-BBF2-5035AE652DAB}"/>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Swis721 Md BT">
    <w:altName w:val="Arial"/>
    <w:charset w:val="00"/>
    <w:family w:val="swiss"/>
    <w:pitch w:val="variable"/>
    <w:sig w:usb0="00000087" w:usb1="00000000" w:usb2="00000000" w:usb3="00000000" w:csb0="0000001B" w:csb1="00000000"/>
  </w:font>
  <w:font w:name="Swis721 LtCn BT">
    <w:altName w:val="Arial Narrow"/>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embedRegular r:id="rId5" w:subsetted="1" w:fontKey="{92962044-81AC-4D5C-90AA-989E6DF87D39}"/>
    <w:embedItalic r:id="rId6" w:subsetted="1" w:fontKey="{CB65B316-E104-4F21-BFF7-07B386BBDBF3}"/>
    <w:embedBoldItalic r:id="rId7" w:subsetted="1" w:fontKey="{40B8392A-6DF4-4ADA-9511-E6B2D345757E}"/>
  </w:font>
  <w:font w:name="Segoe UI Symbol">
    <w:panose1 w:val="020B0502040204020203"/>
    <w:charset w:val="00"/>
    <w:family w:val="swiss"/>
    <w:pitch w:val="variable"/>
    <w:sig w:usb0="800001E3" w:usb1="1200FFEF" w:usb2="00040000" w:usb3="00000000" w:csb0="00000001" w:csb1="00000000"/>
    <w:embedRegular r:id="rId8" w:subsetted="1" w:fontKey="{4151E16D-1CE5-43EB-B1AD-B159E795B2F9}"/>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1FBE1" w14:textId="77777777" w:rsidR="00C65E81" w:rsidRDefault="00C65E81">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DEB0B" w14:textId="77777777" w:rsidR="00C65E81" w:rsidRDefault="00C65E81" w:rsidP="00DD230E">
    <w:pPr>
      <w:pStyle w:val="Footer"/>
      <w:tabs>
        <w:tab w:val="left" w:pos="7070"/>
        <w:tab w:val="right" w:pos="8221"/>
      </w:tabs>
      <w:rPr>
        <w:noProof/>
      </w:rPr>
    </w:pPr>
    <w:r>
      <w:tab/>
    </w:r>
    <w:r>
      <w:tab/>
    </w:r>
    <w:r>
      <w:tab/>
    </w:r>
    <w:r>
      <w:rPr>
        <w:noProof/>
        <w:lang w:eastAsia="en-AU"/>
      </w:rPr>
      <mc:AlternateContent>
        <mc:Choice Requires="wps">
          <w:drawing>
            <wp:anchor distT="0" distB="0" distL="114300" distR="114300" simplePos="0" relativeHeight="251744768" behindDoc="0" locked="0" layoutInCell="1" allowOverlap="1" wp14:anchorId="00ABBA87" wp14:editId="571F7C06">
              <wp:simplePos x="0" y="0"/>
              <wp:positionH relativeFrom="column">
                <wp:posOffset>-472440</wp:posOffset>
              </wp:positionH>
              <wp:positionV relativeFrom="paragraph">
                <wp:posOffset>0</wp:posOffset>
              </wp:positionV>
              <wp:extent cx="2083435" cy="231140"/>
              <wp:effectExtent l="3810" t="0" r="635" b="0"/>
              <wp:wrapNone/>
              <wp:docPr id="43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435" cy="23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6BCAE2" w14:textId="77777777" w:rsidR="00C65E81" w:rsidRPr="00270B23" w:rsidRDefault="00C65E81" w:rsidP="00DD230E">
                          <w:pPr>
                            <w:rPr>
                              <w:sz w:val="18"/>
                            </w:rPr>
                          </w:pPr>
                          <w:r w:rsidRPr="00603DFA">
                            <w:rPr>
                              <w:rFonts w:cs="Calibri"/>
                              <w:color w:val="002776"/>
                              <w:sz w:val="18"/>
                            </w:rPr>
                            <w:t>Deloitte</w:t>
                          </w:r>
                          <w:r w:rsidRPr="00603DFA">
                            <w:rPr>
                              <w:rFonts w:cs="Calibri"/>
                              <w:sz w:val="18"/>
                            </w:rPr>
                            <w:t xml:space="preserve"> </w:t>
                          </w:r>
                          <w:r w:rsidRPr="00603DFA">
                            <w:rPr>
                              <w:rFonts w:cs="Calibri"/>
                              <w:color w:val="827F77"/>
                              <w:sz w:val="18"/>
                            </w:rPr>
                            <w:t>Access Economics</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00ABBA87" id="_x0000_t202" coordsize="21600,21600" o:spt="202" path="m,l,21600r21600,l21600,xe">
              <v:stroke joinstyle="miter"/>
              <v:path gradientshapeok="t" o:connecttype="rect"/>
            </v:shapetype>
            <v:shape id="_x0000_s1027" type="#_x0000_t202" style="position:absolute;margin-left:-37.2pt;margin-top:0;width:164.05pt;height:18.2pt;z-index:25174476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" stroked="f">
              <v:textbox style="mso-fit-shape-to-text:t">
                <w:txbxContent>
                  <w:p w14:paraId="716BCAE2" w14:textId="77777777" w:rsidR="00C65E81" w:rsidRPr="00270B23" w:rsidRDefault="00C65E81" w:rsidP="00DD230E">
                    <w:pPr>
                      <w:rPr>
                        <w:sz w:val="18"/>
                      </w:rPr>
                    </w:pPr>
                    <w:r w:rsidRPr="00603DFA">
                      <w:rPr>
                        <w:rFonts w:cs="Calibri"/>
                        <w:color w:val="002776"/>
                        <w:sz w:val="18"/>
                      </w:rPr>
                      <w:t>Deloitte</w:t>
                    </w:r>
                    <w:r w:rsidRPr="00603DFA">
                      <w:rPr>
                        <w:rFonts w:cs="Calibri"/>
                        <w:sz w:val="18"/>
                      </w:rPr>
                      <w:t xml:space="preserve"> </w:t>
                    </w:r>
                    <w:r w:rsidRPr="00603DFA">
                      <w:rPr>
                        <w:rFonts w:cs="Calibri"/>
                        <w:color w:val="827F77"/>
                        <w:sz w:val="18"/>
                      </w:rPr>
                      <w:t>Access Economics</w:t>
                    </w:r>
                  </w:p>
                </w:txbxContent>
              </v:textbox>
            </v:shape>
          </w:pict>
        </mc:Fallback>
      </mc:AlternateContent>
    </w:r>
    <w:r>
      <w:fldChar w:fldCharType="begin"/>
    </w:r>
    <w:r>
      <w:instrText xml:space="preserve"> PAGE   \* MERGEFORMAT </w:instrText>
    </w:r>
    <w:r>
      <w:fldChar w:fldCharType="separate"/>
    </w:r>
    <w:r w:rsidR="00595C6E">
      <w:rPr>
        <w:noProof/>
      </w:rPr>
      <w:t>106</w:t>
    </w:r>
    <w:r>
      <w:rPr>
        <w:noProof/>
      </w:rPr>
      <w:fldChar w:fldCharType="end"/>
    </w:r>
  </w:p>
  <w:p w14:paraId="531EE2E1" w14:textId="3C9B46FD" w:rsidR="00C65E81" w:rsidRPr="00270B23" w:rsidRDefault="00C65E81" w:rsidP="00DD230E">
    <w:pPr>
      <w:pStyle w:val="FooterLine1"/>
    </w:pPr>
  </w:p>
  <w:p w14:paraId="62F2C26E" w14:textId="50A1EF2D" w:rsidR="00C65E81" w:rsidRPr="009C2BE6" w:rsidRDefault="00C65E81" w:rsidP="00DD230E">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9B8626" w14:textId="56A7CF94" w:rsidR="00C65E81" w:rsidRPr="006B29A4" w:rsidRDefault="00C65E81" w:rsidP="006B29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3C17F" w14:textId="7ED33249" w:rsidR="00C65E81" w:rsidRDefault="00C65E8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A9DAAF" w14:textId="4F2BF450" w:rsidR="00C65E81" w:rsidRDefault="00C65E81">
    <w:pPr>
      <w:pStyle w:val="Footer"/>
    </w:pPr>
    <w:r w:rsidRPr="00042200">
      <w:rPr>
        <w:noProof/>
        <w:lang w:eastAsia="en-AU"/>
      </w:rPr>
      <w:drawing>
        <wp:anchor distT="0" distB="0" distL="114300" distR="114300" simplePos="0" relativeHeight="251677184" behindDoc="0" locked="0" layoutInCell="1" allowOverlap="1" wp14:anchorId="58822A6E" wp14:editId="14A2A73D">
          <wp:simplePos x="0" y="0"/>
          <wp:positionH relativeFrom="page">
            <wp:posOffset>5305425</wp:posOffset>
          </wp:positionH>
          <wp:positionV relativeFrom="page">
            <wp:posOffset>9991725</wp:posOffset>
          </wp:positionV>
          <wp:extent cx="1652270" cy="314325"/>
          <wp:effectExtent l="19050" t="0" r="5080" b="0"/>
          <wp:wrapNone/>
          <wp:docPr id="452" name="HDR_LOGO" descr="Deloitte_blue_RGB_1.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eloitte_blue_RGB_1.tif"/>
                  <pic:cNvPicPr/>
                </pic:nvPicPr>
                <pic:blipFill>
                  <a:blip r:embed="rId1"/>
                  <a:stretch>
                    <a:fillRect/>
                  </a:stretch>
                </pic:blipFill>
                <pic:spPr>
                  <a:xfrm>
                    <a:off x="0" y="0"/>
                    <a:ext cx="1652270" cy="314325"/>
                  </a:xfrm>
                  <a:prstGeom prst="rect">
                    <a:avLst/>
                  </a:prstGeom>
                </pic:spPr>
              </pic:pic>
            </a:graphicData>
          </a:graphic>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1526A9" w14:textId="1265241F" w:rsidR="00C65E81" w:rsidRPr="009C2BE6" w:rsidRDefault="00C65E81" w:rsidP="009C2BE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2BE0F" w14:textId="77777777" w:rsidR="00C65E81" w:rsidRPr="00ED79CD" w:rsidRDefault="00C65E81" w:rsidP="00D52DE2">
    <w:pPr>
      <w:rPr>
        <w:sz w:val="16"/>
        <w:szCs w:val="16"/>
      </w:rPr>
    </w:pPr>
    <w:r w:rsidRPr="00ED79CD">
      <w:rPr>
        <w:sz w:val="16"/>
        <w:szCs w:val="16"/>
      </w:rPr>
      <w:t>Liability limited by a scheme approved under Professional Standards Legislation.</w:t>
    </w:r>
  </w:p>
  <w:p w14:paraId="73D21432" w14:textId="77777777" w:rsidR="00C65E81" w:rsidRPr="00ED79CD" w:rsidRDefault="00C65E81" w:rsidP="00D52DE2">
    <w:pPr>
      <w:rPr>
        <w:sz w:val="16"/>
        <w:szCs w:val="16"/>
      </w:rPr>
    </w:pPr>
    <w:r w:rsidRPr="00ED79CD">
      <w:rPr>
        <w:sz w:val="16"/>
        <w:szCs w:val="16"/>
      </w:rPr>
      <w:t>Deloitte refers to one or more of Deloitte Touche Tohmatsu Limited, a UK private company limited by guarantee, and its network of member firms, each of which is a legally separate and independent entity. Please see www.deloitte.com/au/about for a detailed description of the legal structure of Deloitte Touche Tohmatsu Limited and its member firms.</w:t>
    </w:r>
    <w:r>
      <w:rPr>
        <w:sz w:val="16"/>
        <w:szCs w:val="16"/>
      </w:rPr>
      <w:t xml:space="preserve"> </w:t>
    </w:r>
    <w:r w:rsidRPr="00520AA3">
      <w:rPr>
        <w:sz w:val="16"/>
        <w:szCs w:val="16"/>
      </w:rPr>
      <w:t>The entity named herein is a legally separate and independent entity. In providing this document, the author only acts in the named capacity and does not act in any other capacity.  Nothing in this document, nor any related attachments or communications or services, have any capacity to bind any other entity under the ‘Deloitte’ network of member firms (including those operating in Australia).</w:t>
    </w:r>
  </w:p>
  <w:p w14:paraId="5D5DBEB2" w14:textId="77777777" w:rsidR="00C65E81" w:rsidRPr="00ED79CD" w:rsidRDefault="00C65E81" w:rsidP="00D52DE2">
    <w:pPr>
      <w:rPr>
        <w:sz w:val="16"/>
        <w:szCs w:val="16"/>
      </w:rPr>
    </w:pPr>
  </w:p>
  <w:p w14:paraId="7069884E" w14:textId="77777777" w:rsidR="00C65E81" w:rsidRDefault="00C65E81" w:rsidP="00D52DE2">
    <w:pPr>
      <w:rPr>
        <w:sz w:val="16"/>
        <w:szCs w:val="16"/>
      </w:rPr>
    </w:pPr>
    <w:r>
      <w:rPr>
        <w:sz w:val="16"/>
        <w:szCs w:val="16"/>
      </w:rPr>
      <w:t xml:space="preserve">© </w:t>
    </w:r>
    <w:r>
      <w:rPr>
        <w:sz w:val="16"/>
        <w:szCs w:val="16"/>
      </w:rPr>
      <w:fldChar w:fldCharType="begin"/>
    </w:r>
    <w:r>
      <w:rPr>
        <w:sz w:val="16"/>
        <w:szCs w:val="16"/>
      </w:rPr>
      <w:instrText xml:space="preserve"> DATE  [\@ "yyyy"] \* MERGEFORMAT </w:instrText>
    </w:r>
    <w:r>
      <w:rPr>
        <w:sz w:val="16"/>
        <w:szCs w:val="16"/>
      </w:rPr>
      <w:fldChar w:fldCharType="separate"/>
    </w:r>
    <w:r>
      <w:rPr>
        <w:noProof/>
        <w:sz w:val="16"/>
        <w:szCs w:val="16"/>
      </w:rPr>
      <w:t>2017</w:t>
    </w:r>
    <w:r>
      <w:rPr>
        <w:sz w:val="16"/>
        <w:szCs w:val="16"/>
      </w:rPr>
      <w:fldChar w:fldCharType="end"/>
    </w:r>
    <w:r w:rsidRPr="00ED79CD">
      <w:rPr>
        <w:sz w:val="16"/>
        <w:szCs w:val="16"/>
      </w:rPr>
      <w:t xml:space="preserve"> Deloitte Access Economics Pty Ltd</w:t>
    </w:r>
  </w:p>
  <w:p w14:paraId="1B9F09C8" w14:textId="64487116" w:rsidR="00C65E81" w:rsidRPr="00ED79CD" w:rsidRDefault="00C65E81" w:rsidP="00D52DE2">
    <w:pPr>
      <w:rPr>
        <w:sz w:val="16"/>
        <w:szCs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A8F682" w14:textId="77777777" w:rsidR="00C65E81" w:rsidRDefault="00C65E81" w:rsidP="00B65D22">
    <w:pPr>
      <w:pStyle w:val="Footer"/>
      <w:tabs>
        <w:tab w:val="clear" w:pos="4513"/>
        <w:tab w:val="clear" w:pos="9026"/>
        <w:tab w:val="left" w:pos="6237"/>
        <w:tab w:val="right" w:pos="8080"/>
      </w:tabs>
      <w:rPr>
        <w:noProof/>
      </w:rPr>
    </w:pPr>
    <w:r w:rsidRPr="00EA30B4">
      <w:rPr>
        <w:rFonts w:asciiTheme="minorHAnsi" w:hAnsiTheme="minorHAnsi" w:cstheme="minorHAnsi"/>
        <w:color w:val="002776"/>
      </w:rPr>
      <w:t>Deloitte</w:t>
    </w:r>
    <w:r w:rsidRPr="00CB3984">
      <w:rPr>
        <w:rFonts w:asciiTheme="minorHAnsi" w:hAnsiTheme="minorHAnsi" w:cstheme="minorHAnsi"/>
      </w:rPr>
      <w:t xml:space="preserve"> </w:t>
    </w:r>
    <w:r w:rsidRPr="0029312B">
      <w:rPr>
        <w:rFonts w:asciiTheme="minorHAnsi" w:hAnsiTheme="minorHAnsi" w:cstheme="minorHAnsi"/>
        <w:color w:val="827F77"/>
      </w:rPr>
      <w:t>Access Economics</w:t>
    </w:r>
    <w:r>
      <w:rPr>
        <w:rFonts w:asciiTheme="minorHAnsi" w:hAnsiTheme="minorHAnsi" w:cstheme="minorHAnsi"/>
        <w:color w:val="827F77"/>
      </w:rPr>
      <w:tab/>
    </w:r>
    <w:r>
      <w:rPr>
        <w:rFonts w:asciiTheme="minorHAnsi" w:hAnsiTheme="minorHAnsi" w:cstheme="minorHAnsi"/>
        <w:color w:val="827F77"/>
      </w:rPr>
      <w:tab/>
    </w:r>
    <w:r>
      <w:fldChar w:fldCharType="begin"/>
    </w:r>
    <w:r>
      <w:instrText xml:space="preserve"> PAGE   \* MERGEFORMAT </w:instrText>
    </w:r>
    <w:r>
      <w:fldChar w:fldCharType="separate"/>
    </w:r>
    <w:r w:rsidR="00595C6E">
      <w:rPr>
        <w:noProof/>
      </w:rPr>
      <w:t>i</w:t>
    </w:r>
    <w:r>
      <w:rPr>
        <w:noProof/>
      </w:rPr>
      <w:fldChar w:fldCharType="end"/>
    </w:r>
  </w:p>
  <w:p w14:paraId="3005A222" w14:textId="77777777" w:rsidR="00C65E81" w:rsidRPr="00644AF6" w:rsidRDefault="00C65E81" w:rsidP="00FC3C09">
    <w:pPr>
      <w:pStyle w:val="Footer"/>
      <w:tabs>
        <w:tab w:val="clear" w:pos="4513"/>
        <w:tab w:val="left" w:pos="6237"/>
      </w:tabs>
      <w:jc w:val="right"/>
    </w:pPr>
  </w:p>
  <w:p w14:paraId="6329C213" w14:textId="4D276492" w:rsidR="00C65E81" w:rsidRPr="009C2BE6" w:rsidRDefault="00C65E81" w:rsidP="009C2BE6">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D3351C" w14:textId="77777777" w:rsidR="00C65E81" w:rsidRDefault="00C65E81" w:rsidP="00DD230E">
    <w:pPr>
      <w:pStyle w:val="Footer"/>
      <w:tabs>
        <w:tab w:val="left" w:pos="7070"/>
        <w:tab w:val="right" w:pos="8221"/>
      </w:tabs>
      <w:rPr>
        <w:noProof/>
      </w:rPr>
    </w:pPr>
    <w:r>
      <w:tab/>
    </w:r>
    <w:r>
      <w:tab/>
    </w:r>
    <w:r>
      <w:tab/>
    </w:r>
    <w:r>
      <w:rPr>
        <w:noProof/>
        <w:lang w:eastAsia="en-AU"/>
      </w:rPr>
      <mc:AlternateContent>
        <mc:Choice Requires="wps">
          <w:drawing>
            <wp:anchor distT="0" distB="0" distL="114300" distR="114300" simplePos="0" relativeHeight="251774464" behindDoc="0" locked="0" layoutInCell="1" allowOverlap="1" wp14:anchorId="5A3C0A61" wp14:editId="4C671EB4">
              <wp:simplePos x="0" y="0"/>
              <wp:positionH relativeFrom="column">
                <wp:posOffset>-472440</wp:posOffset>
              </wp:positionH>
              <wp:positionV relativeFrom="paragraph">
                <wp:posOffset>0</wp:posOffset>
              </wp:positionV>
              <wp:extent cx="2083435" cy="231140"/>
              <wp:effectExtent l="3810" t="0" r="635" b="0"/>
              <wp:wrapNone/>
              <wp:docPr id="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435" cy="23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69D625" w14:textId="77777777" w:rsidR="00C65E81" w:rsidRPr="00270B23" w:rsidRDefault="00C65E81" w:rsidP="00FC0FA3">
                          <w:pPr>
                            <w:rPr>
                              <w:sz w:val="18"/>
                            </w:rPr>
                          </w:pPr>
                          <w:r w:rsidRPr="00603DFA">
                            <w:rPr>
                              <w:rFonts w:cs="Calibri"/>
                              <w:color w:val="002776"/>
                              <w:sz w:val="18"/>
                            </w:rPr>
                            <w:t>Deloitte</w:t>
                          </w:r>
                          <w:r w:rsidRPr="00603DFA">
                            <w:rPr>
                              <w:rFonts w:cs="Calibri"/>
                              <w:sz w:val="18"/>
                            </w:rPr>
                            <w:t xml:space="preserve"> </w:t>
                          </w:r>
                          <w:r w:rsidRPr="00603DFA">
                            <w:rPr>
                              <w:rFonts w:cs="Calibri"/>
                              <w:color w:val="827F77"/>
                              <w:sz w:val="18"/>
                            </w:rPr>
                            <w:t>Access Economics</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5A3C0A61" id="_x0000_t202" coordsize="21600,21600" o:spt="202" path="m,l,21600r21600,l21600,xe">
              <v:stroke joinstyle="miter"/>
              <v:path gradientshapeok="t" o:connecttype="rect"/>
            </v:shapetype>
            <v:shape id="Text Box 25" o:spid="_x0000_s1026" type="#_x0000_t202" style="position:absolute;margin-left:-37.2pt;margin-top:0;width:164.05pt;height:18.2pt;z-index:2517744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" stroked="f">
              <v:textbox style="mso-fit-shape-to-text:t">
                <w:txbxContent>
                  <w:p w14:paraId="1A69D625" w14:textId="77777777" w:rsidR="00C65E81" w:rsidRPr="00270B23" w:rsidRDefault="00C65E81" w:rsidP="00FC0FA3">
                    <w:pPr>
                      <w:rPr>
                        <w:sz w:val="18"/>
                      </w:rPr>
                    </w:pPr>
                    <w:r w:rsidRPr="00603DFA">
                      <w:rPr>
                        <w:rFonts w:cs="Calibri"/>
                        <w:color w:val="002776"/>
                        <w:sz w:val="18"/>
                      </w:rPr>
                      <w:t>Deloitte</w:t>
                    </w:r>
                    <w:r w:rsidRPr="00603DFA">
                      <w:rPr>
                        <w:rFonts w:cs="Calibri"/>
                        <w:sz w:val="18"/>
                      </w:rPr>
                      <w:t xml:space="preserve"> </w:t>
                    </w:r>
                    <w:r w:rsidRPr="00603DFA">
                      <w:rPr>
                        <w:rFonts w:cs="Calibri"/>
                        <w:color w:val="827F77"/>
                        <w:sz w:val="18"/>
                      </w:rPr>
                      <w:t>Access Economics</w:t>
                    </w:r>
                  </w:p>
                </w:txbxContent>
              </v:textbox>
            </v:shape>
          </w:pict>
        </mc:Fallback>
      </mc:AlternateContent>
    </w:r>
    <w:r>
      <w:fldChar w:fldCharType="begin"/>
    </w:r>
    <w:r>
      <w:instrText xml:space="preserve"> PAGE   \* MERGEFORMAT </w:instrText>
    </w:r>
    <w:r>
      <w:fldChar w:fldCharType="separate"/>
    </w:r>
    <w:r w:rsidR="00595C6E">
      <w:rPr>
        <w:noProof/>
      </w:rPr>
      <w:t>53</w:t>
    </w:r>
    <w:r>
      <w:rPr>
        <w:noProof/>
      </w:rPr>
      <w:fldChar w:fldCharType="end"/>
    </w:r>
  </w:p>
  <w:p w14:paraId="48A9352F" w14:textId="6D9598A8" w:rsidR="00C65E81" w:rsidRPr="00270B23" w:rsidRDefault="00C65E81" w:rsidP="00FC0FA3">
    <w:pPr>
      <w:pStyle w:val="FooterLine1"/>
    </w:pPr>
  </w:p>
  <w:p w14:paraId="1E6A26E4" w14:textId="77777777" w:rsidR="00C65E81" w:rsidRPr="009C2BE6" w:rsidRDefault="00C65E81" w:rsidP="009C2BE6">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9E9E1B" w14:textId="77777777" w:rsidR="00C65E81" w:rsidRDefault="00C65E81">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5C8BC" w14:textId="77777777" w:rsidR="00C65E81" w:rsidRDefault="00C65E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50E1E3" w14:textId="77777777" w:rsidR="00C65E81" w:rsidRDefault="00C65E81" w:rsidP="00680968">
      <w:pPr>
        <w:pStyle w:val="Tabletotals"/>
      </w:pPr>
      <w:r>
        <w:separator/>
      </w:r>
    </w:p>
  </w:footnote>
  <w:footnote w:type="continuationSeparator" w:id="0">
    <w:p w14:paraId="2B3A73C8" w14:textId="77777777" w:rsidR="00C65E81" w:rsidRDefault="00C65E81" w:rsidP="00680968">
      <w:pPr>
        <w:pStyle w:val="Tabletotals"/>
      </w:pPr>
      <w:r>
        <w:continuationSeparator/>
      </w:r>
    </w:p>
  </w:footnote>
  <w:footnote w:type="continuationNotice" w:id="1">
    <w:p w14:paraId="37FC01F3" w14:textId="77777777" w:rsidR="00C65E81" w:rsidRDefault="00C65E81"/>
  </w:footnote>
  <w:footnote w:id="2">
    <w:p w14:paraId="247EB08E" w14:textId="77777777" w:rsidR="00C65E81" w:rsidRDefault="00C65E81" w:rsidP="00FC6060">
      <w:pPr>
        <w:pStyle w:val="FootnoteText"/>
      </w:pPr>
      <w:r>
        <w:rPr>
          <w:rStyle w:val="FootnoteReference"/>
        </w:rPr>
        <w:footnoteRef/>
      </w:r>
      <w:r>
        <w:t xml:space="preserve"> Specifically, the chart shows the minimum and maximum values for each FOE (as the extremes of each box and whisker plot), the middle 50% of estimates (that is, the 25</w:t>
      </w:r>
      <w:r w:rsidRPr="007F6967">
        <w:rPr>
          <w:vertAlign w:val="superscript"/>
        </w:rPr>
        <w:t>th</w:t>
      </w:r>
      <w:r>
        <w:t xml:space="preserve"> percentile through to the 75% percentile, as the ‘box’ in each plot).</w:t>
      </w:r>
    </w:p>
  </w:footnote>
  <w:footnote w:id="3">
    <w:p w14:paraId="2B47F3D4" w14:textId="77777777" w:rsidR="00C65E81" w:rsidRDefault="00C65E81" w:rsidP="00FC6060">
      <w:pPr>
        <w:pStyle w:val="FootnoteText"/>
      </w:pPr>
      <w:r>
        <w:rPr>
          <w:rStyle w:val="FootnoteReference"/>
        </w:rPr>
        <w:footnoteRef/>
      </w:r>
      <w:r>
        <w:t xml:space="preserve"> Mean values are not shown in the chart, and may differ from the median values that are shown. This is particularly the case for FOEs with a relatively large spread of estimated costs.</w:t>
      </w:r>
    </w:p>
  </w:footnote>
  <w:footnote w:id="4">
    <w:p w14:paraId="0261E75B" w14:textId="77777777" w:rsidR="00C65E81" w:rsidRDefault="00C65E81" w:rsidP="00FC6060">
      <w:pPr>
        <w:pStyle w:val="FootnoteText"/>
      </w:pPr>
      <w:r>
        <w:rPr>
          <w:rStyle w:val="FootnoteReference"/>
        </w:rPr>
        <w:footnoteRef/>
      </w:r>
      <w:r>
        <w:t xml:space="preserve"> </w:t>
      </w:r>
      <w:r w:rsidRPr="00C931D3">
        <w:t>Observations that were excluded include outliers with EFTSL counts of less than one, or costs per EFTSL greater than $100,000 and EFTSL counts less than 10. Additionally, one observation with a cost per EFTSL greater than $300,000 was removed. In total, 58 observations were removed from the sample, across 14 universities and all 19 fields – that is, 4% of the total sample. Notably, 46 of these observations were at the sub-bachelor level.</w:t>
      </w:r>
    </w:p>
  </w:footnote>
  <w:footnote w:id="5">
    <w:p w14:paraId="00F551A6" w14:textId="2BFF3C04" w:rsidR="00C65E81" w:rsidRDefault="00C65E81" w:rsidP="00FC6060">
      <w:pPr>
        <w:pStyle w:val="FootnoteText"/>
      </w:pPr>
      <w:r>
        <w:rPr>
          <w:rStyle w:val="FootnoteReference"/>
        </w:rPr>
        <w:footnoteRef/>
      </w:r>
      <w:r>
        <w:t xml:space="preserve"> </w:t>
      </w:r>
      <w:r w:rsidRPr="00C931D3">
        <w:t xml:space="preserve">While it is difficult to ascertain the causal nature of this observation, a possible interpretation is that some degree of co-produced research costs is being captured in </w:t>
      </w:r>
      <w:r>
        <w:t>teaching and scholarship</w:t>
      </w:r>
      <w:r w:rsidRPr="00C931D3">
        <w:t xml:space="preserve"> costs reported by universities, possibly as a result of higher average staff salaries in these instances.</w:t>
      </w:r>
    </w:p>
  </w:footnote>
  <w:footnote w:id="6">
    <w:p w14:paraId="5E49FAA3" w14:textId="77777777" w:rsidR="00C65E81" w:rsidRDefault="00C65E81" w:rsidP="00A93544">
      <w:pPr>
        <w:pStyle w:val="FootnoteText"/>
        <w:ind w:left="142" w:hanging="142"/>
      </w:pPr>
      <w:r>
        <w:rPr>
          <w:rStyle w:val="FootnoteReference"/>
        </w:rPr>
        <w:footnoteRef/>
      </w:r>
      <w:r>
        <w:t xml:space="preserve"> Selection was based on: location of main campus, number and geographical spread of campuses, enrolments, number of faculties, and whether the institution undertook dual-sector teaching (i.e. TAFE). </w:t>
      </w:r>
    </w:p>
  </w:footnote>
  <w:footnote w:id="7">
    <w:p w14:paraId="57212BEE" w14:textId="77777777" w:rsidR="00C65E81" w:rsidRDefault="00C65E81" w:rsidP="00D74DB9">
      <w:pPr>
        <w:pStyle w:val="FootnoteText"/>
      </w:pPr>
      <w:r>
        <w:rPr>
          <w:rStyle w:val="FootnoteReference"/>
        </w:rPr>
        <w:footnoteRef/>
      </w:r>
      <w:r>
        <w:t xml:space="preserve"> Because universities are non-profit entities, surplus from operations is generally re-invested in the form of capital deepening, or other investments in capacity (e.g. research staff). In this regard, a deterioration in average net operating position over this time does not necessarily represent a decline in the financial health of public universities (see: Marshman and Larkins, 2016). To illustrate this point, an alternative measure of operating position—earnings before interest, tax, depreciation and amortisation (EBIDTA)—has grown over the period of 2010-2015 at an average annual rate of 2.9%.</w:t>
      </w:r>
    </w:p>
  </w:footnote>
  <w:footnote w:id="8">
    <w:p w14:paraId="2E9F25B3" w14:textId="77777777" w:rsidR="00C65E81" w:rsidRDefault="00C65E81" w:rsidP="00A93544">
      <w:pPr>
        <w:pStyle w:val="FootnoteText"/>
      </w:pPr>
      <w:r>
        <w:rPr>
          <w:rStyle w:val="FootnoteReference"/>
        </w:rPr>
        <w:footnoteRef/>
      </w:r>
      <w:r>
        <w:t xml:space="preserve"> These figures include aggregates for the higher education proportion of dual sector institutions.</w:t>
      </w:r>
    </w:p>
  </w:footnote>
  <w:footnote w:id="9">
    <w:p w14:paraId="2A760E82" w14:textId="77777777" w:rsidR="00C65E81" w:rsidRDefault="00C65E81" w:rsidP="00A93544">
      <w:pPr>
        <w:pStyle w:val="FootnoteText"/>
      </w:pPr>
      <w:r>
        <w:rPr>
          <w:rStyle w:val="FootnoteReference"/>
        </w:rPr>
        <w:footnoteRef/>
      </w:r>
      <w:r>
        <w:t xml:space="preserve"> Mode of enrolment determines whether course materials are delivered primarily in-person, online, or a mixture of both.</w:t>
      </w:r>
    </w:p>
  </w:footnote>
  <w:footnote w:id="10">
    <w:p w14:paraId="0E1759D6" w14:textId="77777777" w:rsidR="00C65E81" w:rsidRPr="00611E91" w:rsidRDefault="00C65E81" w:rsidP="00A93544">
      <w:pPr>
        <w:pStyle w:val="FootnoteText"/>
        <w:rPr>
          <w:szCs w:val="18"/>
        </w:rPr>
      </w:pPr>
      <w:r w:rsidRPr="00611E91">
        <w:rPr>
          <w:rStyle w:val="FootnoteReference"/>
          <w:szCs w:val="18"/>
        </w:rPr>
        <w:footnoteRef/>
      </w:r>
      <w:r w:rsidRPr="00611E91">
        <w:rPr>
          <w:szCs w:val="18"/>
        </w:rPr>
        <w:t xml:space="preserve"> HHI is measured on a scale of zero (least concentrated, many providers) to 100% (most concentrated, a single provider). For most disciplines, the HHI measure is low at around 10%, indicating that teaching is dispersed across a range of universities, not concentrated in a few. HHI is calculated here in share form, rather than percentage point form. In this form the HHI is a measure of concentration, ranging from </w:t>
      </w:r>
      <w:r>
        <w:rPr>
          <w:szCs w:val="18"/>
        </w:rPr>
        <w:t>zero</w:t>
      </w:r>
      <w:r w:rsidRPr="00611E91">
        <w:rPr>
          <w:szCs w:val="18"/>
        </w:rPr>
        <w:t xml:space="preserve"> (negligible concentration) to 1 (monopoly or full concentration). The HHI formula for a market with </w:t>
      </w:r>
      <w:r w:rsidRPr="00611E91">
        <w:rPr>
          <w:i/>
          <w:szCs w:val="18"/>
        </w:rPr>
        <w:t>N</w:t>
      </w:r>
      <w:r w:rsidRPr="00611E91">
        <w:rPr>
          <w:szCs w:val="18"/>
        </w:rPr>
        <w:t xml:space="preserve"> firms is </w:t>
      </w:r>
      <m:oMath>
        <m:r>
          <w:rPr>
            <w:rFonts w:ascii="Cambria Math" w:hAnsi="Cambria Math"/>
            <w:szCs w:val="18"/>
          </w:rPr>
          <m:t>HHI=</m:t>
        </m:r>
        <m:nary>
          <m:naryPr>
            <m:chr m:val="∑"/>
            <m:limLoc m:val="undOvr"/>
            <m:ctrlPr>
              <w:rPr>
                <w:rFonts w:ascii="Cambria Math" w:hAnsi="Cambria Math"/>
                <w:i/>
                <w:szCs w:val="18"/>
              </w:rPr>
            </m:ctrlPr>
          </m:naryPr>
          <m:sub>
            <m:r>
              <w:rPr>
                <w:rFonts w:ascii="Cambria Math" w:hAnsi="Cambria Math"/>
                <w:szCs w:val="18"/>
              </w:rPr>
              <m:t>n=1</m:t>
            </m:r>
          </m:sub>
          <m:sup>
            <m:r>
              <w:rPr>
                <w:rFonts w:ascii="Cambria Math" w:hAnsi="Cambria Math"/>
                <w:szCs w:val="18"/>
              </w:rPr>
              <m:t>N</m:t>
            </m:r>
          </m:sup>
          <m:e>
            <m:sSubSup>
              <m:sSubSupPr>
                <m:ctrlPr>
                  <w:rPr>
                    <w:rFonts w:ascii="Cambria Math" w:hAnsi="Cambria Math"/>
                    <w:i/>
                    <w:szCs w:val="18"/>
                  </w:rPr>
                </m:ctrlPr>
              </m:sSubSupPr>
              <m:e>
                <m:r>
                  <w:rPr>
                    <w:rFonts w:ascii="Cambria Math" w:hAnsi="Cambria Math"/>
                    <w:szCs w:val="18"/>
                  </w:rPr>
                  <m:t>S</m:t>
                </m:r>
              </m:e>
              <m:sub>
                <m:r>
                  <w:rPr>
                    <w:rFonts w:ascii="Cambria Math" w:hAnsi="Cambria Math"/>
                    <w:szCs w:val="18"/>
                  </w:rPr>
                  <m:t>n</m:t>
                </m:r>
              </m:sub>
              <m:sup>
                <m:r>
                  <w:rPr>
                    <w:rFonts w:ascii="Cambria Math" w:hAnsi="Cambria Math"/>
                    <w:szCs w:val="18"/>
                  </w:rPr>
                  <m:t>2</m:t>
                </m:r>
              </m:sup>
            </m:sSubSup>
          </m:e>
        </m:nary>
      </m:oMath>
      <w:r w:rsidRPr="00611E91">
        <w:rPr>
          <w:szCs w:val="18"/>
        </w:rPr>
        <w:t xml:space="preserve">, where </w:t>
      </w:r>
      <m:oMath>
        <m:sSubSup>
          <m:sSubSupPr>
            <m:ctrlPr>
              <w:rPr>
                <w:rFonts w:ascii="Cambria Math" w:hAnsi="Cambria Math"/>
                <w:i/>
                <w:szCs w:val="18"/>
              </w:rPr>
            </m:ctrlPr>
          </m:sSubSupPr>
          <m:e>
            <m:r>
              <w:rPr>
                <w:rFonts w:ascii="Cambria Math" w:hAnsi="Cambria Math"/>
                <w:szCs w:val="18"/>
              </w:rPr>
              <m:t>S</m:t>
            </m:r>
          </m:e>
          <m:sub>
            <m:r>
              <w:rPr>
                <w:rFonts w:ascii="Cambria Math" w:hAnsi="Cambria Math"/>
                <w:szCs w:val="18"/>
              </w:rPr>
              <m:t>n</m:t>
            </m:r>
          </m:sub>
          <m:sup/>
        </m:sSubSup>
      </m:oMath>
      <w:r w:rsidRPr="00611E91">
        <w:rPr>
          <w:szCs w:val="18"/>
        </w:rPr>
        <w:t xml:space="preserve"> is the market share of firm </w:t>
      </w:r>
      <w:r w:rsidRPr="00611E91">
        <w:rPr>
          <w:i/>
          <w:szCs w:val="18"/>
        </w:rPr>
        <w:t>n</w:t>
      </w:r>
      <w:r w:rsidRPr="00611E91">
        <w:rPr>
          <w:szCs w:val="18"/>
        </w:rPr>
        <w:t xml:space="preserve">. A market with 10 firms, with 10% market share each, will have a HHI of </w:t>
      </w:r>
      <m:oMath>
        <m:nary>
          <m:naryPr>
            <m:chr m:val="∑"/>
            <m:limLoc m:val="undOvr"/>
            <m:ctrlPr>
              <w:rPr>
                <w:rFonts w:ascii="Cambria Math" w:hAnsi="Cambria Math"/>
                <w:i/>
                <w:szCs w:val="18"/>
              </w:rPr>
            </m:ctrlPr>
          </m:naryPr>
          <m:sub>
            <m:r>
              <w:rPr>
                <w:rFonts w:ascii="Cambria Math" w:hAnsi="Cambria Math"/>
                <w:szCs w:val="18"/>
              </w:rPr>
              <m:t>n=1</m:t>
            </m:r>
          </m:sub>
          <m:sup>
            <m:r>
              <w:rPr>
                <w:rFonts w:ascii="Cambria Math" w:hAnsi="Cambria Math"/>
                <w:szCs w:val="18"/>
              </w:rPr>
              <m:t>10</m:t>
            </m:r>
          </m:sup>
          <m:e>
            <m:sSubSup>
              <m:sSubSupPr>
                <m:ctrlPr>
                  <w:rPr>
                    <w:rFonts w:ascii="Cambria Math" w:hAnsi="Cambria Math"/>
                    <w:i/>
                    <w:szCs w:val="18"/>
                  </w:rPr>
                </m:ctrlPr>
              </m:sSubSupPr>
              <m:e>
                <m:r>
                  <w:rPr>
                    <w:rFonts w:ascii="Cambria Math" w:hAnsi="Cambria Math"/>
                    <w:szCs w:val="18"/>
                  </w:rPr>
                  <m:t>0.1</m:t>
                </m:r>
              </m:e>
              <m:sub>
                <m:r>
                  <w:rPr>
                    <w:rFonts w:ascii="Cambria Math" w:hAnsi="Cambria Math"/>
                    <w:szCs w:val="18"/>
                  </w:rPr>
                  <m:t>n</m:t>
                </m:r>
              </m:sub>
              <m:sup>
                <m:r>
                  <w:rPr>
                    <w:rFonts w:ascii="Cambria Math" w:hAnsi="Cambria Math"/>
                    <w:szCs w:val="18"/>
                  </w:rPr>
                  <m:t>2</m:t>
                </m:r>
              </m:sup>
            </m:sSubSup>
          </m:e>
        </m:nary>
        <m:r>
          <w:rPr>
            <w:rFonts w:ascii="Cambria Math" w:hAnsi="Cambria Math"/>
            <w:szCs w:val="18"/>
          </w:rPr>
          <m:t>=0.10</m:t>
        </m:r>
      </m:oMath>
      <w:r w:rsidRPr="00611E91">
        <w:rPr>
          <w:szCs w:val="18"/>
        </w:rPr>
        <w:t xml:space="preserve"> or 10%. As can be seen from the formula, a market of 10 firms, some with large market share than others, will lead to a higher HHI, reflecting the higher degree of concentration.</w:t>
      </w:r>
    </w:p>
  </w:footnote>
  <w:footnote w:id="11">
    <w:p w14:paraId="30DE1A98" w14:textId="77777777" w:rsidR="00C65E81" w:rsidRDefault="00C65E81" w:rsidP="00DC51DD">
      <w:pPr>
        <w:pStyle w:val="FootnoteText"/>
      </w:pPr>
      <w:r>
        <w:rPr>
          <w:rStyle w:val="FootnoteReference"/>
        </w:rPr>
        <w:footnoteRef/>
      </w:r>
      <w:r>
        <w:t xml:space="preserve"> Specifically, the chart shows the minimum and maximum values for each FOE as the extremes of each box and whisker plot (after the top and bottom coding has been applied), the middle 50% of estimates (that is, the 25</w:t>
      </w:r>
      <w:r w:rsidRPr="007F6967">
        <w:rPr>
          <w:vertAlign w:val="superscript"/>
        </w:rPr>
        <w:t>th</w:t>
      </w:r>
      <w:r>
        <w:t xml:space="preserve"> percentile through to the 75% percentile, as the ‘box’ in each plot) and the median estimate (the vertical line within the box).</w:t>
      </w:r>
    </w:p>
  </w:footnote>
  <w:footnote w:id="12">
    <w:p w14:paraId="53AF075E" w14:textId="77777777" w:rsidR="00C65E81" w:rsidRDefault="00C65E81" w:rsidP="00DC51DD">
      <w:pPr>
        <w:pStyle w:val="FootnoteText"/>
      </w:pPr>
      <w:r>
        <w:rPr>
          <w:rStyle w:val="FootnoteReference"/>
        </w:rPr>
        <w:footnoteRef/>
      </w:r>
      <w:r>
        <w:t xml:space="preserve"> Mean values are not shown in the chart, and may differ from the median values that are shown. This is particularly the case for FOEs with a relatively large spread of estimated costs.</w:t>
      </w:r>
    </w:p>
  </w:footnote>
  <w:footnote w:id="13">
    <w:p w14:paraId="7CBA8C4B" w14:textId="77777777" w:rsidR="00C65E81" w:rsidRDefault="00C65E81" w:rsidP="00DC51DD">
      <w:pPr>
        <w:pStyle w:val="FootnoteText"/>
      </w:pPr>
      <w:r>
        <w:rPr>
          <w:rStyle w:val="FootnoteReference"/>
        </w:rPr>
        <w:footnoteRef/>
      </w:r>
      <w:r>
        <w:t xml:space="preserve"> For those academic staff classified as ‘teaching and research’ as well as non-academic staff tasked with supporting teaching and research academic staff.</w:t>
      </w:r>
    </w:p>
  </w:footnote>
  <w:footnote w:id="14">
    <w:p w14:paraId="1BA50FB6" w14:textId="77777777" w:rsidR="00C65E81" w:rsidRPr="006701DE" w:rsidRDefault="00C65E81" w:rsidP="006432B0">
      <w:pPr>
        <w:pStyle w:val="FootnoteText"/>
        <w:rPr>
          <w:sz w:val="17"/>
          <w:szCs w:val="17"/>
        </w:rPr>
      </w:pPr>
      <w:r w:rsidRPr="006701DE">
        <w:rPr>
          <w:rStyle w:val="FootnoteReference"/>
          <w:sz w:val="17"/>
          <w:szCs w:val="17"/>
        </w:rPr>
        <w:footnoteRef/>
      </w:r>
      <w:r w:rsidRPr="006701DE">
        <w:rPr>
          <w:sz w:val="17"/>
          <w:szCs w:val="17"/>
        </w:rPr>
        <w:t xml:space="preserve"> </w:t>
      </w:r>
      <w:r>
        <w:rPr>
          <w:sz w:val="17"/>
          <w:szCs w:val="17"/>
        </w:rPr>
        <w:t>T</w:t>
      </w:r>
      <w:r w:rsidRPr="006701DE">
        <w:rPr>
          <w:sz w:val="17"/>
          <w:szCs w:val="17"/>
        </w:rPr>
        <w:t>his does not necessarily suggest that institution specific characteristics (like location) may not also be a determinant of appropriate funding arrangements based on reasonable cost. Indeed, such variations based on institutional characteristics (to the extent that they are exogenously determined) may be appropriately estimated and incorporated into revised funding arrangements.</w:t>
      </w:r>
    </w:p>
  </w:footnote>
  <w:footnote w:id="15">
    <w:p w14:paraId="26587357" w14:textId="79AE32B3" w:rsidR="00C65E81" w:rsidRDefault="00C65E81" w:rsidP="006432B0">
      <w:pPr>
        <w:pStyle w:val="FootnoteText"/>
      </w:pPr>
      <w:r>
        <w:rPr>
          <w:rStyle w:val="FootnoteReference"/>
        </w:rPr>
        <w:footnoteRef/>
      </w:r>
      <w:r>
        <w:t xml:space="preserve"> </w:t>
      </w:r>
      <w:r w:rsidRPr="00DF69D2">
        <w:rPr>
          <w:sz w:val="17"/>
          <w:szCs w:val="17"/>
        </w:rPr>
        <w:t xml:space="preserve">For example, the optimal combination of inputs (i.e. academics) for a university that equally prioritises the quality of </w:t>
      </w:r>
      <w:r>
        <w:rPr>
          <w:sz w:val="17"/>
          <w:szCs w:val="17"/>
        </w:rPr>
        <w:t>teaching and scholarship</w:t>
      </w:r>
      <w:r w:rsidRPr="00DF69D2">
        <w:rPr>
          <w:sz w:val="17"/>
          <w:szCs w:val="17"/>
        </w:rPr>
        <w:t xml:space="preserve"> and research activity may differ from the optimal combination of inputs for a university that places a lower relative weight on research activities.</w:t>
      </w:r>
    </w:p>
  </w:footnote>
  <w:footnote w:id="16">
    <w:p w14:paraId="2A4D8941" w14:textId="2ADC07A5" w:rsidR="00C65E81" w:rsidRDefault="00C65E81">
      <w:pPr>
        <w:pStyle w:val="FootnoteText"/>
      </w:pPr>
      <w:r>
        <w:rPr>
          <w:rStyle w:val="FootnoteReference"/>
        </w:rPr>
        <w:footnoteRef/>
      </w:r>
      <w:r>
        <w:t xml:space="preserve"> Staff to student ratios are both an input and an indirect measure of teaching and scholarship quality. </w:t>
      </w:r>
    </w:p>
  </w:footnote>
  <w:footnote w:id="17">
    <w:p w14:paraId="7B974260" w14:textId="77777777" w:rsidR="00C65E81" w:rsidRDefault="00C65E81" w:rsidP="006432B0">
      <w:pPr>
        <w:pStyle w:val="FootnoteText"/>
      </w:pPr>
      <w:r>
        <w:rPr>
          <w:rStyle w:val="FootnoteReference"/>
        </w:rPr>
        <w:footnoteRef/>
      </w:r>
      <w:r>
        <w:t xml:space="preserve"> The log transformation is common in the analysis of cost data, the distribution of which can be skewed to the right.  The log transformation makes the cost data ‘more normal’.</w:t>
      </w:r>
    </w:p>
  </w:footnote>
  <w:footnote w:id="18">
    <w:p w14:paraId="74DA4CD1" w14:textId="77777777" w:rsidR="00C65E81" w:rsidRDefault="00C65E81" w:rsidP="006432B0">
      <w:pPr>
        <w:pStyle w:val="FootnoteText"/>
      </w:pPr>
      <w:r>
        <w:rPr>
          <w:rStyle w:val="FootnoteReference"/>
        </w:rPr>
        <w:footnoteRef/>
      </w:r>
      <w:r>
        <w:t xml:space="preserve"> D</w:t>
      </w:r>
      <w:r w:rsidRPr="003D3C23">
        <w:t xml:space="preserve">eviations from the </w:t>
      </w:r>
      <w:r>
        <w:t xml:space="preserve">portion of costs that is explained by the model is </w:t>
      </w:r>
      <w:r w:rsidRPr="003D3C23">
        <w:t>separated into two components</w:t>
      </w:r>
      <w:r>
        <w:t>:</w:t>
      </w:r>
      <w:r w:rsidRPr="003D3C23">
        <w:t xml:space="preserve"> one which reflects inefficiency and one which reflects random components.</w:t>
      </w:r>
    </w:p>
  </w:footnote>
  <w:footnote w:id="19">
    <w:p w14:paraId="75C1D626" w14:textId="77777777" w:rsidR="00C65E81" w:rsidRDefault="00C65E81">
      <w:pPr>
        <w:pStyle w:val="FootnoteText"/>
      </w:pPr>
      <w:r>
        <w:rPr>
          <w:rStyle w:val="FootnoteReference"/>
        </w:rPr>
        <w:footnoteRef/>
      </w:r>
      <w:r>
        <w:t xml:space="preserve"> The analysis here does not strictly use SFA to minimise costs but allows some inputs to be included as controls in the SFA regression.</w:t>
      </w:r>
    </w:p>
  </w:footnote>
  <w:footnote w:id="20">
    <w:p w14:paraId="2841631F" w14:textId="77777777" w:rsidR="00C65E81" w:rsidRDefault="00C65E81" w:rsidP="006432B0">
      <w:pPr>
        <w:pStyle w:val="FootnoteText"/>
      </w:pPr>
      <w:r>
        <w:rPr>
          <w:rStyle w:val="FootnoteReference"/>
        </w:rPr>
        <w:footnoteRef/>
      </w:r>
      <w:r>
        <w:t xml:space="preserve"> </w:t>
      </w:r>
      <w:r w:rsidRPr="00FD1B1A">
        <w:t>Similar notions are ap</w:t>
      </w:r>
      <w:r w:rsidRPr="001E493E">
        <w:t>plied to funding arrangements in schooling, where loadings are applied on the basis of higher</w:t>
      </w:r>
      <w:r w:rsidRPr="00DF25C2">
        <w:t xml:space="preserve"> reasonable costs faced by smaller schools, or schools located in regional or remote communities.</w:t>
      </w:r>
    </w:p>
  </w:footnote>
  <w:footnote w:id="21">
    <w:p w14:paraId="6F8464B7" w14:textId="77777777" w:rsidR="00C65E81" w:rsidRDefault="00C65E81">
      <w:pPr>
        <w:pStyle w:val="FootnoteText"/>
      </w:pPr>
      <w:r>
        <w:rPr>
          <w:rStyle w:val="FootnoteReference"/>
        </w:rPr>
        <w:footnoteRef/>
      </w:r>
      <w:r>
        <w:t xml:space="preserve"> The coefficients on the field of education variables change little if at all from column 1 to column 3 suggesting that fields of education and university are close to orthogonal.</w:t>
      </w:r>
    </w:p>
  </w:footnote>
  <w:footnote w:id="22">
    <w:p w14:paraId="4518B31F" w14:textId="5CC92DBD" w:rsidR="00C65E81" w:rsidRDefault="00C65E81" w:rsidP="00374D2C">
      <w:pPr>
        <w:pStyle w:val="FootnoteText"/>
      </w:pPr>
      <w:r>
        <w:rPr>
          <w:rStyle w:val="FootnoteReference"/>
        </w:rPr>
        <w:footnoteRef/>
      </w:r>
      <w:r>
        <w:t xml:space="preserve"> </w:t>
      </w:r>
      <w:r w:rsidRPr="00552614">
        <w:rPr>
          <w:rStyle w:val="Boldword"/>
          <w:b w:val="0"/>
          <w:color w:val="auto"/>
          <w:sz w:val="18"/>
          <w:szCs w:val="18"/>
        </w:rPr>
        <w:t xml:space="preserve">To the extent that universities differ in the degree to which they use other funding sources outside revenue from Commonwealth supported places to increase spending on </w:t>
      </w:r>
      <w:r>
        <w:rPr>
          <w:rStyle w:val="Boldword"/>
          <w:b w:val="0"/>
          <w:color w:val="auto"/>
          <w:sz w:val="18"/>
          <w:szCs w:val="18"/>
        </w:rPr>
        <w:t>teaching and scholarship, there is some scope for certain universities to have higher teaching and scholarship costs.</w:t>
      </w:r>
    </w:p>
  </w:footnote>
  <w:footnote w:id="23">
    <w:p w14:paraId="5F9C82CD" w14:textId="77777777" w:rsidR="00C65E81" w:rsidRDefault="00C65E81" w:rsidP="00374D2C">
      <w:pPr>
        <w:pStyle w:val="FootnoteText"/>
      </w:pPr>
      <w:r>
        <w:rPr>
          <w:rStyle w:val="FootnoteReference"/>
        </w:rPr>
        <w:footnoteRef/>
      </w:r>
      <w:r>
        <w:t xml:space="preserve"> The log of teaching staff to EFTSL was found to provide a better fit in explaining the log of costs per EFTSL than the ratio of teaching staff to EFTSL in levels. The use of log variables in regression models means that coefficient estimates are interpreted as marginal effects on variables in percentage (proportional) terms.</w:t>
      </w:r>
    </w:p>
  </w:footnote>
  <w:footnote w:id="24">
    <w:p w14:paraId="1252EAD0" w14:textId="77777777" w:rsidR="00C65E81" w:rsidRDefault="00C65E81" w:rsidP="00374D2C">
      <w:pPr>
        <w:pStyle w:val="FootnoteText"/>
      </w:pPr>
      <w:r>
        <w:rPr>
          <w:rStyle w:val="FootnoteReference"/>
        </w:rPr>
        <w:footnoteRef/>
      </w:r>
      <w:r>
        <w:t xml:space="preserve"> A rough approximation of the coefficients for linear variables in a log model is that they represent a percentage change i.e. 16.9% in this case. The actual impact is equal to exponential (0.169) -1 or 18.4% here. </w:t>
      </w:r>
    </w:p>
  </w:footnote>
  <w:footnote w:id="25">
    <w:p w14:paraId="1206D61A" w14:textId="77777777" w:rsidR="00C65E81" w:rsidRDefault="00C65E81" w:rsidP="00374D2C">
      <w:pPr>
        <w:pStyle w:val="FootnoteText"/>
      </w:pPr>
      <w:r>
        <w:rPr>
          <w:rStyle w:val="FootnoteReference"/>
        </w:rPr>
        <w:footnoteRef/>
      </w:r>
      <w:r>
        <w:t xml:space="preserve"> More specifically, the impact is calculated based on the marginal effect of changing the value of a variable from the first to third quartile of its distribution assuming all other variables are at their median values across all fields of education. </w:t>
      </w:r>
    </w:p>
  </w:footnote>
  <w:footnote w:id="26">
    <w:p w14:paraId="2B506130" w14:textId="77777777" w:rsidR="00C65E81" w:rsidRDefault="00C65E81" w:rsidP="00374D2C">
      <w:pPr>
        <w:pStyle w:val="FootnoteText"/>
      </w:pPr>
      <w:r>
        <w:rPr>
          <w:rStyle w:val="FootnoteReference"/>
        </w:rPr>
        <w:footnoteRef/>
      </w:r>
      <w:r>
        <w:t xml:space="preserve"> Future analysis would benefit from attempting to separate revenue effects from these differentials. That is, in part, differences in cost by field of education are likely to reflect differences in revenue, which are likely to influence costing decisions by universities. </w:t>
      </w:r>
    </w:p>
  </w:footnote>
  <w:footnote w:id="27">
    <w:p w14:paraId="45AD3BB0" w14:textId="2CECA5B8" w:rsidR="00C65E81" w:rsidRDefault="00C65E81" w:rsidP="00374D2C">
      <w:pPr>
        <w:pStyle w:val="FootnoteText"/>
      </w:pPr>
      <w:r>
        <w:rPr>
          <w:rStyle w:val="FootnoteReference"/>
        </w:rPr>
        <w:footnoteRef/>
      </w:r>
      <w:r>
        <w:t xml:space="preserve"> Another indicator of relative variation across fields is the width of the confidence intervals which are related to the standard error on the corresponding FOE indicator, which is in turn related to the spread of costs and number of universities in that field.</w:t>
      </w:r>
    </w:p>
  </w:footnote>
  <w:footnote w:id="28">
    <w:p w14:paraId="21D7B332" w14:textId="77777777" w:rsidR="00C65E81" w:rsidRDefault="00C65E81" w:rsidP="00374D2C">
      <w:pPr>
        <w:pStyle w:val="FootnoteText"/>
      </w:pPr>
      <w:r>
        <w:rPr>
          <w:rStyle w:val="FootnoteReference"/>
        </w:rPr>
        <w:footnoteRef/>
      </w:r>
      <w:r>
        <w:t xml:space="preserve"> The precision with which the coefficient on the field of education indicator is estimated is also a factor.</w:t>
      </w:r>
    </w:p>
  </w:footnote>
  <w:footnote w:id="29">
    <w:p w14:paraId="6B0239FC" w14:textId="77777777" w:rsidR="00C65E81" w:rsidRPr="000E1310" w:rsidRDefault="00C65E81" w:rsidP="00E1434C">
      <w:pPr>
        <w:pStyle w:val="FootnoteText"/>
        <w:rPr>
          <w:rFonts w:ascii="Calibri" w:hAnsi="Calibri"/>
        </w:rPr>
      </w:pPr>
      <w:r>
        <w:rPr>
          <w:rStyle w:val="FootnoteReference"/>
        </w:rPr>
        <w:footnoteRef/>
      </w:r>
      <w:r>
        <w:t xml:space="preserve"> </w:t>
      </w:r>
      <w:r w:rsidRPr="000E1310">
        <w:rPr>
          <w:rFonts w:ascii="Calibri" w:hAnsi="Calibri"/>
        </w:rPr>
        <w:t xml:space="preserve">The years were chosen for consistency with the years with costing data. </w:t>
      </w:r>
    </w:p>
  </w:footnote>
  <w:footnote w:id="30">
    <w:p w14:paraId="4F777AEC" w14:textId="77777777" w:rsidR="00C65E81" w:rsidRPr="00CD50D4" w:rsidRDefault="00C65E81" w:rsidP="00E1434C">
      <w:pPr>
        <w:pStyle w:val="FootnoteText"/>
        <w:rPr>
          <w:rFonts w:ascii="Calibri" w:hAnsi="Calibri"/>
        </w:rPr>
      </w:pPr>
      <w:r w:rsidRPr="00CD50D4">
        <w:rPr>
          <w:rStyle w:val="FootnoteReference"/>
          <w:rFonts w:ascii="Calibri" w:hAnsi="Calibri"/>
        </w:rPr>
        <w:footnoteRef/>
      </w:r>
      <w:r w:rsidRPr="00CD50D4">
        <w:rPr>
          <w:rFonts w:ascii="Calibri" w:hAnsi="Calibri"/>
        </w:rPr>
        <w:t xml:space="preserve"> Only 17 institutions were able to disaggregate their postgraduate and undergraduate costs. Another 5 pure postgraduate institutions were also included in the analysis.</w:t>
      </w:r>
    </w:p>
  </w:footnote>
  <w:footnote w:id="31">
    <w:p w14:paraId="35B38BAC" w14:textId="77777777" w:rsidR="00C65E81" w:rsidRPr="00A7122C" w:rsidRDefault="00C65E81" w:rsidP="00E1434C">
      <w:pPr>
        <w:pStyle w:val="FootnoteText"/>
        <w:rPr>
          <w:rFonts w:ascii="Calibri" w:hAnsi="Calibri"/>
        </w:rPr>
      </w:pPr>
      <w:r w:rsidRPr="00A7122C">
        <w:rPr>
          <w:rStyle w:val="FootnoteReference"/>
          <w:rFonts w:ascii="Calibri" w:hAnsi="Calibri"/>
        </w:rPr>
        <w:footnoteRef/>
      </w:r>
      <w:r w:rsidRPr="00A7122C">
        <w:rPr>
          <w:rFonts w:ascii="Calibri" w:hAnsi="Calibri"/>
        </w:rPr>
        <w:t xml:space="preserve"> Further disaggregation also available for natural and physical sciences, and health.</w:t>
      </w:r>
    </w:p>
  </w:footnote>
  <w:footnote w:id="32">
    <w:p w14:paraId="44021A74" w14:textId="77777777" w:rsidR="00C65E81" w:rsidRPr="00A86B99" w:rsidRDefault="00C65E81" w:rsidP="00E1434C">
      <w:pPr>
        <w:pStyle w:val="FootnoteText"/>
        <w:rPr>
          <w:rFonts w:ascii="Calibri" w:hAnsi="Calibri"/>
        </w:rPr>
      </w:pPr>
      <w:r w:rsidRPr="00A86B99">
        <w:rPr>
          <w:rStyle w:val="FootnoteReference"/>
          <w:rFonts w:ascii="Calibri" w:hAnsi="Calibri"/>
        </w:rPr>
        <w:footnoteRef/>
      </w:r>
      <w:r w:rsidRPr="00A86B99">
        <w:rPr>
          <w:rFonts w:ascii="Calibri" w:hAnsi="Calibri"/>
        </w:rPr>
        <w:t xml:space="preserve"> Total maximum funding defined as </w:t>
      </w:r>
      <w:r>
        <w:rPr>
          <w:rFonts w:ascii="Calibri" w:hAnsi="Calibri"/>
        </w:rPr>
        <w:t>m</w:t>
      </w:r>
      <w:r w:rsidRPr="00A86B99">
        <w:rPr>
          <w:rFonts w:ascii="Calibri" w:hAnsi="Calibri"/>
        </w:rPr>
        <w:t>aximum student contribution amounts + Commonwealth contribution amounts</w:t>
      </w:r>
    </w:p>
  </w:footnote>
  <w:footnote w:id="33">
    <w:p w14:paraId="1FBDAD3C" w14:textId="77777777" w:rsidR="00C65E81" w:rsidRDefault="00C65E81" w:rsidP="00E1434C">
      <w:pPr>
        <w:pStyle w:val="FootnoteText"/>
      </w:pPr>
      <w:r>
        <w:rPr>
          <w:rStyle w:val="FootnoteReference"/>
        </w:rPr>
        <w:footnoteRef/>
      </w:r>
      <w:r>
        <w:t xml:space="preserve"> </w:t>
      </w:r>
      <w:r w:rsidRPr="000E1310">
        <w:rPr>
          <w:rFonts w:ascii="Calibri" w:hAnsi="Calibri"/>
          <w:szCs w:val="18"/>
        </w:rPr>
        <w:t>In the 2016 QS rankings, 6 Australian universities and 1 New Zealand university is ranked in the top 50 for agriculture and for</w:t>
      </w:r>
      <w:r>
        <w:rPr>
          <w:rFonts w:ascii="Calibri" w:hAnsi="Calibri"/>
          <w:szCs w:val="18"/>
        </w:rPr>
        <w:t>estry, compared to 2 for the UK.</w:t>
      </w:r>
    </w:p>
  </w:footnote>
  <w:footnote w:id="34">
    <w:p w14:paraId="4AAB8926" w14:textId="77777777" w:rsidR="00C65E81" w:rsidRDefault="00C65E81" w:rsidP="00E1434C">
      <w:pPr>
        <w:pStyle w:val="FootnoteText"/>
      </w:pPr>
      <w:r>
        <w:rPr>
          <w:rStyle w:val="FootnoteReference"/>
        </w:rPr>
        <w:footnoteRef/>
      </w:r>
      <w:r>
        <w:t xml:space="preserve"> </w:t>
      </w:r>
      <w:r w:rsidRPr="000E1310">
        <w:rPr>
          <w:rFonts w:ascii="Calibri" w:hAnsi="Calibri"/>
        </w:rPr>
        <w:t xml:space="preserve">‘Academic department expenditure’ includes academic staff costs, other staff costs, and other operating expenses. While it excludes expenditure for activities funded by research grants and contracts, it does include other research activity undertaken by the academic staff. Consequently, these costs are not fully reflective of </w:t>
      </w:r>
      <w:r w:rsidRPr="00AD5E92">
        <w:rPr>
          <w:rFonts w:ascii="Calibri" w:hAnsi="Calibri"/>
        </w:rPr>
        <w:t>teaching</w:t>
      </w:r>
      <w:r w:rsidRPr="000E1310">
        <w:rPr>
          <w:rFonts w:ascii="Calibri" w:hAnsi="Calibri"/>
        </w:rPr>
        <w:t xml:space="preserve"> costs.</w:t>
      </w:r>
      <w:r>
        <w:rPr>
          <w:rFonts w:ascii="Calibri" w:hAnsi="Calibri"/>
        </w:rPr>
        <w:t xml:space="preserve"> Average department costs are </w:t>
      </w:r>
      <w:r w:rsidRPr="000E1310">
        <w:rPr>
          <w:rFonts w:ascii="Calibri" w:hAnsi="Calibri"/>
        </w:rPr>
        <w:t>calculated as total academic department expenditure divided by the EFTSL within a department.</w:t>
      </w:r>
    </w:p>
  </w:footnote>
  <w:footnote w:id="35">
    <w:p w14:paraId="31B9530B" w14:textId="77777777" w:rsidR="00C65E81" w:rsidRDefault="00C65E81">
      <w:pPr>
        <w:pStyle w:val="FootnoteText"/>
      </w:pPr>
      <w:r>
        <w:rPr>
          <w:rStyle w:val="FootnoteReference"/>
        </w:rPr>
        <w:footnoteRef/>
      </w:r>
      <w:r>
        <w:t xml:space="preserve"> For these reasons, some studies such as Horne and Hu (2008) argue in favour of the use of SFA rather than DEA in studying the efficiency of different Australian universities.</w:t>
      </w:r>
    </w:p>
  </w:footnote>
  <w:footnote w:id="36">
    <w:p w14:paraId="2DB3977A" w14:textId="77777777" w:rsidR="00C65E81" w:rsidRDefault="00C65E81" w:rsidP="009B2DA7">
      <w:pPr>
        <w:pStyle w:val="FootnoteText"/>
      </w:pPr>
      <w:r>
        <w:rPr>
          <w:rStyle w:val="FootnoteReference"/>
        </w:rPr>
        <w:footnoteRef/>
      </w:r>
      <w:r>
        <w:t xml:space="preserve"> An alternative is simply to add SESCEQ to the model as an output.</w:t>
      </w:r>
    </w:p>
  </w:footnote>
  <w:footnote w:id="37">
    <w:p w14:paraId="5DC6EBED" w14:textId="5D0A50DF" w:rsidR="00C65E81" w:rsidRDefault="00C65E81" w:rsidP="00F7176E">
      <w:pPr>
        <w:pStyle w:val="FootnoteText"/>
      </w:pPr>
      <w:r>
        <w:rPr>
          <w:rStyle w:val="FootnoteReference"/>
        </w:rPr>
        <w:footnoteRef/>
      </w:r>
      <w:r>
        <w:t xml:space="preserve"> </w:t>
      </w:r>
      <w:r w:rsidRPr="003A3FBC">
        <w:t>Note</w:t>
      </w:r>
      <w:r w:rsidRPr="009B7AE4">
        <w:t>: Central costs should include all teaching &amp; learning related costs (both staff costs and capital costs) that are not already captured by budgetary unit-level costs.  This includes costs arising from the provision of teaching (such as student enrolments, scholarships, learning assistance and student welfare, marketing, recruitment and admission of students) as well as other costs such as HR, governance and management and libraries.  Universities may have different approaches for allocating central costs.  Hence, individual cost categories may differ.  In such cases, the focus should be on providing total central costs by discipline by student type (i.e. undergraduate, postgraduate coursework and other).  If central costs are not assumed to differ by discipline or student type, universities should provide an average cost per student and explain the underlying approach (e.g. allocation by student load, gross revenue split, etc</w:t>
      </w:r>
      <w:r w:rsidR="003A3FBC">
        <w:t>.</w:t>
      </w:r>
      <w:r w:rsidRPr="009B7AE4">
        <w:t xml:space="preserve">). </w:t>
      </w:r>
      <w:r w:rsidRPr="009B7AE4">
        <w:tab/>
      </w:r>
    </w:p>
  </w:footnote>
  <w:footnote w:id="38">
    <w:p w14:paraId="3355BD50" w14:textId="77777777" w:rsidR="00C65E81" w:rsidRPr="00180A80" w:rsidRDefault="00C65E81" w:rsidP="00F7176E">
      <w:pPr>
        <w:pStyle w:val="Bullet2"/>
        <w:numPr>
          <w:ilvl w:val="0"/>
          <w:numId w:val="0"/>
        </w:numPr>
        <w:rPr>
          <w:rFonts w:asciiTheme="minorHAnsi" w:hAnsiTheme="minorHAnsi"/>
          <w:sz w:val="20"/>
        </w:rPr>
      </w:pPr>
      <w:r w:rsidRPr="00180A80">
        <w:rPr>
          <w:rStyle w:val="FootnoteReference"/>
          <w:rFonts w:asciiTheme="minorHAnsi" w:hAnsiTheme="minorHAnsi"/>
          <w:sz w:val="20"/>
        </w:rPr>
        <w:footnoteRef/>
      </w:r>
      <w:r w:rsidRPr="00180A80">
        <w:rPr>
          <w:rFonts w:asciiTheme="minorHAnsi" w:hAnsiTheme="minorHAnsi"/>
          <w:sz w:val="20"/>
        </w:rPr>
        <w:t xml:space="preserve"> </w:t>
      </w:r>
      <w:r w:rsidRPr="00180A80">
        <w:rPr>
          <w:rFonts w:asciiTheme="minorHAnsi" w:hAnsiTheme="minorHAnsi" w:cs="Arial"/>
          <w:sz w:val="20"/>
          <w:lang w:eastAsia="en-AU"/>
        </w:rPr>
        <w:t>Budgetary unit-level costs</w:t>
      </w:r>
      <w:r w:rsidRPr="00180A80">
        <w:rPr>
          <w:rFonts w:asciiTheme="minorHAnsi" w:hAnsiTheme="minorHAnsi"/>
          <w:sz w:val="20"/>
        </w:rPr>
        <w:t xml:space="preserve"> are defined as costs incurred directly by the relevant field of education. this includes </w:t>
      </w:r>
      <w:r w:rsidRPr="00180A80">
        <w:rPr>
          <w:rFonts w:asciiTheme="minorHAnsi" w:hAnsiTheme="minorHAnsi" w:cs="Arial"/>
          <w:sz w:val="20"/>
          <w:lang w:eastAsia="en-AU"/>
        </w:rPr>
        <w:t>staff costs (academic, casual, non-academic staff), and non-staff costs</w:t>
      </w:r>
      <w:r w:rsidRPr="00180A80">
        <w:rPr>
          <w:rFonts w:asciiTheme="minorHAnsi" w:hAnsiTheme="minorHAnsi"/>
          <w:sz w:val="20"/>
        </w:rPr>
        <w:t xml:space="preserve"> (materials, utilities and equipment, practicum payments etc.) and other budgetary unit-level expenses.</w:t>
      </w:r>
    </w:p>
  </w:footnote>
  <w:footnote w:id="39">
    <w:p w14:paraId="7B4C7436" w14:textId="77777777" w:rsidR="00C65E81" w:rsidRDefault="00C65E81" w:rsidP="00F7176E">
      <w:pPr>
        <w:pStyle w:val="Bullet2"/>
        <w:numPr>
          <w:ilvl w:val="0"/>
          <w:numId w:val="0"/>
        </w:numPr>
      </w:pPr>
      <w:r w:rsidRPr="00180A80">
        <w:rPr>
          <w:rStyle w:val="FootnoteReference"/>
          <w:rFonts w:asciiTheme="minorHAnsi" w:hAnsiTheme="minorHAnsi"/>
          <w:sz w:val="20"/>
        </w:rPr>
        <w:footnoteRef/>
      </w:r>
      <w:r w:rsidRPr="00180A80">
        <w:rPr>
          <w:rFonts w:asciiTheme="minorHAnsi" w:hAnsiTheme="minorHAnsi"/>
          <w:sz w:val="20"/>
        </w:rPr>
        <w:t xml:space="preserve"> </w:t>
      </w:r>
      <w:r w:rsidRPr="00180A80">
        <w:rPr>
          <w:rFonts w:asciiTheme="minorHAnsi" w:hAnsiTheme="minorHAnsi" w:cs="Arial"/>
          <w:sz w:val="20"/>
          <w:lang w:eastAsia="en-AU"/>
        </w:rPr>
        <w:t>Central costs are defined as university costs incurred centrally which are attributable to the field of education this includes staff costs</w:t>
      </w:r>
      <w:r w:rsidRPr="00180A80">
        <w:rPr>
          <w:rFonts w:asciiTheme="minorHAnsi" w:hAnsiTheme="minorHAnsi"/>
          <w:sz w:val="20"/>
        </w:rPr>
        <w:t xml:space="preserve">, and </w:t>
      </w:r>
      <w:r w:rsidRPr="00180A80">
        <w:rPr>
          <w:rFonts w:asciiTheme="minorHAnsi" w:hAnsiTheme="minorHAnsi" w:cs="Arial"/>
          <w:sz w:val="20"/>
          <w:lang w:eastAsia="en-AU"/>
        </w:rPr>
        <w:t>non-staff central costs</w:t>
      </w:r>
      <w:r w:rsidRPr="00180A80">
        <w:rPr>
          <w:rFonts w:asciiTheme="minorHAnsi" w:hAnsiTheme="minorHAnsi"/>
          <w:sz w:val="20"/>
        </w:rPr>
        <w:t>: (maintenance, repair, finance, insurance, depreciation, amortisation, accommodation costs, etc.).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401DE" w14:textId="77777777" w:rsidR="00C65E81" w:rsidRDefault="00C65E81">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FD13F" w14:textId="77777777" w:rsidR="00C65E81" w:rsidRPr="00962F39" w:rsidRDefault="00C65E81" w:rsidP="009722F8">
    <w:pPr>
      <w:pStyle w:val="Header"/>
    </w:pPr>
    <w:r>
      <w:t>Cost of delivery of higher education</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31A3DB" w14:textId="0B000E93" w:rsidR="00C65E81" w:rsidRPr="007F362F" w:rsidRDefault="00C65E81" w:rsidP="009722F8">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9B0BA" w14:textId="77777777" w:rsidR="00C65E81" w:rsidRPr="008B1D0E" w:rsidRDefault="00C65E81" w:rsidP="009722F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6843C" w14:textId="77777777" w:rsidR="00C65E81" w:rsidRDefault="00C65E81" w:rsidP="003D4C3E">
    <w:pPr>
      <w:pStyle w:val="Header"/>
      <w:rPr>
        <w:szCs w:val="28"/>
      </w:rPr>
    </w:pPr>
    <w:r>
      <w:fldChar w:fldCharType="begin"/>
    </w:r>
    <w:r>
      <w:instrText xml:space="preserve"> STYLEREF  "Report Title"  \* MERGEFORMAT </w:instrText>
    </w:r>
    <w:r>
      <w:rPr>
        <w:noProof/>
        <w:szCs w:val="28"/>
      </w:rPr>
      <w:fldChar w:fldCharType="end"/>
    </w:r>
  </w:p>
  <w:p w14:paraId="56ABD1A1" w14:textId="77777777" w:rsidR="00C65E81" w:rsidRDefault="00C65E81" w:rsidP="003D4C3E">
    <w:pPr>
      <w:pStyle w:val="HeaderLine2"/>
    </w:pPr>
    <w:r>
      <w:t>Cost of delivery of higher education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24F89" w14:textId="77777777" w:rsidR="00C65E81" w:rsidRDefault="00C65E8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45687" w14:textId="77777777" w:rsidR="00C65E81" w:rsidRPr="004E4C58" w:rsidRDefault="00C65E81" w:rsidP="00C45263">
    <w:pPr>
      <w:pStyle w:val="Header"/>
      <w:rPr>
        <w:szCs w:val="28"/>
      </w:rPr>
    </w:pPr>
    <w:r w:rsidRPr="00C773F3">
      <w:rPr>
        <w:szCs w:val="28"/>
      </w:rPr>
      <w:t>Cost of</w:t>
    </w:r>
    <w:r>
      <w:t xml:space="preserve"> delivery of higher education</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53742F" w14:textId="77777777" w:rsidR="00C65E81" w:rsidRDefault="00C65E8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95889" w14:textId="77777777" w:rsidR="00C65E81" w:rsidRPr="00042200" w:rsidRDefault="00C65E81" w:rsidP="00042200">
    <w:pPr>
      <w:pStyle w:val="Header"/>
      <w:rPr>
        <w:szCs w:val="28"/>
      </w:rPr>
    </w:pPr>
    <w:r w:rsidRPr="00C773F3">
      <w:rPr>
        <w:szCs w:val="28"/>
      </w:rPr>
      <w:t>Cost of</w:t>
    </w:r>
    <w:r>
      <w:t xml:space="preserve"> delivery of higher education</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BB7F5" w14:textId="77777777" w:rsidR="00C65E81" w:rsidRDefault="00C65E81">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57AE4" w14:textId="77777777" w:rsidR="00C65E81" w:rsidRPr="00042200" w:rsidRDefault="00C65E81" w:rsidP="00042200">
    <w:pPr>
      <w:pStyle w:val="Header"/>
      <w:rPr>
        <w:szCs w:val="28"/>
      </w:rPr>
    </w:pPr>
    <w:r w:rsidRPr="00C773F3">
      <w:rPr>
        <w:szCs w:val="28"/>
      </w:rPr>
      <w:t>Cost of</w:t>
    </w:r>
    <w:r>
      <w:t xml:space="preserve"> delivery of higher education</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4222C" w14:textId="77777777" w:rsidR="00C65E81" w:rsidRDefault="00C65E81">
    <w:pPr>
      <w:pStyle w:val="Header"/>
    </w:pPr>
  </w:p>
  <w:p w14:paraId="60CFEEE3" w14:textId="77777777" w:rsidR="00C65E81" w:rsidRDefault="00C65E8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8098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7043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76C0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31888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EB431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8053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3407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B8F7B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1A0B6C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B04A5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2430B"/>
    <w:multiLevelType w:val="multilevel"/>
    <w:tmpl w:val="A34AE908"/>
    <w:lvl w:ilvl="0">
      <w:start w:val="1"/>
      <w:numFmt w:val="none"/>
      <w:pStyle w:val="MajorHeading"/>
      <w:suff w:val="space"/>
      <w:lvlText w:val=""/>
      <w:lvlJc w:val="left"/>
      <w:pPr>
        <w:ind w:left="0" w:hanging="113"/>
      </w:pPr>
      <w:rPr>
        <w:rFonts w:hint="default"/>
      </w:rPr>
    </w:lvl>
    <w:lvl w:ilvl="1">
      <w:start w:val="1"/>
      <w:numFmt w:val="lowerRoman"/>
      <w:pStyle w:val="ExecTableCaption"/>
      <w:suff w:val="nothing"/>
      <w:lvlText w:val="Table %2"/>
      <w:lvlJc w:val="left"/>
      <w:pPr>
        <w:ind w:left="0" w:firstLine="0"/>
      </w:pPr>
      <w:rPr>
        <w:rFonts w:ascii="Calibri" w:hAnsi="Calibri" w:hint="default"/>
        <w:b/>
        <w:i w:val="0"/>
        <w:color w:val="002776"/>
        <w:sz w:val="22"/>
      </w:rPr>
    </w:lvl>
    <w:lvl w:ilvl="2">
      <w:start w:val="1"/>
      <w:numFmt w:val="lowerRoman"/>
      <w:lvlRestart w:val="1"/>
      <w:pStyle w:val="ExecChartCaption"/>
      <w:suff w:val="nothing"/>
      <w:lvlText w:val="Chart %3"/>
      <w:lvlJc w:val="left"/>
      <w:pPr>
        <w:ind w:left="0" w:firstLine="0"/>
      </w:pPr>
      <w:rPr>
        <w:rFonts w:ascii="Calibri" w:hAnsi="Calibri" w:hint="default"/>
        <w:b/>
        <w:i w:val="0"/>
        <w:color w:val="002776"/>
        <w:sz w:val="22"/>
      </w:rPr>
    </w:lvl>
    <w:lvl w:ilvl="3">
      <w:start w:val="1"/>
      <w:numFmt w:val="lowerRoman"/>
      <w:lvlRestart w:val="1"/>
      <w:pStyle w:val="ExecFigureCaption"/>
      <w:suff w:val="nothing"/>
      <w:lvlText w:val="Figure %4"/>
      <w:lvlJc w:val="left"/>
      <w:pPr>
        <w:ind w:left="0" w:firstLine="0"/>
      </w:pPr>
      <w:rPr>
        <w:rFonts w:ascii="Calibri" w:hAnsi="Calibri" w:hint="default"/>
        <w:b/>
        <w:i w:val="0"/>
        <w:color w:val="002776"/>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20104D1"/>
    <w:multiLevelType w:val="hybridMultilevel"/>
    <w:tmpl w:val="C7024314"/>
    <w:lvl w:ilvl="0" w:tplc="7D989CDA">
      <w:start w:val="1"/>
      <w:numFmt w:val="bullet"/>
      <w:pStyle w:val="Bullet3"/>
      <w:lvlText w:val="•"/>
      <w:lvlJc w:val="left"/>
      <w:pPr>
        <w:ind w:left="1068" w:hanging="360"/>
      </w:pPr>
      <w:rPr>
        <w:rFonts w:ascii="Calibri" w:hAnsi="Calibri" w:hint="default"/>
        <w:color w:val="92D400"/>
      </w:rPr>
    </w:lvl>
    <w:lvl w:ilvl="1" w:tplc="0C090003" w:tentative="1">
      <w:start w:val="1"/>
      <w:numFmt w:val="bullet"/>
      <w:lvlText w:val="o"/>
      <w:lvlJc w:val="left"/>
      <w:pPr>
        <w:ind w:left="1788" w:hanging="360"/>
      </w:pPr>
      <w:rPr>
        <w:rFonts w:ascii="Courier New" w:hAnsi="Courier New" w:cs="Courier New"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abstractNum w:abstractNumId="12" w15:restartNumberingAfterBreak="0">
    <w:nsid w:val="0A3D71DF"/>
    <w:multiLevelType w:val="singleLevel"/>
    <w:tmpl w:val="C5B2C534"/>
    <w:lvl w:ilvl="0">
      <w:start w:val="1"/>
      <w:numFmt w:val="lowerRoman"/>
      <w:pStyle w:val="IndentNumberedList"/>
      <w:lvlText w:val="%1"/>
      <w:lvlJc w:val="left"/>
      <w:pPr>
        <w:tabs>
          <w:tab w:val="num" w:pos="1134"/>
        </w:tabs>
        <w:ind w:left="1134" w:hanging="567"/>
      </w:pPr>
      <w:rPr>
        <w:rFonts w:ascii="Calibri" w:hAnsi="Calibri" w:cs="Arial" w:hint="default"/>
        <w:b w:val="0"/>
        <w:i w:val="0"/>
        <w:color w:val="000000"/>
        <w:sz w:val="22"/>
        <w:szCs w:val="24"/>
      </w:rPr>
    </w:lvl>
  </w:abstractNum>
  <w:abstractNum w:abstractNumId="13" w15:restartNumberingAfterBreak="0">
    <w:nsid w:val="182049B9"/>
    <w:multiLevelType w:val="hybridMultilevel"/>
    <w:tmpl w:val="B8506D88"/>
    <w:lvl w:ilvl="0" w:tplc="A4F8682C">
      <w:numFmt w:val="bullet"/>
      <w:pStyle w:val="IndentParaGreyBullet"/>
      <w:lvlText w:val="•"/>
      <w:lvlJc w:val="left"/>
      <w:pPr>
        <w:ind w:left="567" w:hanging="283"/>
      </w:pPr>
      <w:rPr>
        <w:rFonts w:ascii="Arial" w:eastAsia="Times New Roman" w:hAnsi="Aria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4" w15:restartNumberingAfterBreak="0">
    <w:nsid w:val="1C354B73"/>
    <w:multiLevelType w:val="singleLevel"/>
    <w:tmpl w:val="EE4A2D06"/>
    <w:name w:val="NumberedList"/>
    <w:lvl w:ilvl="0">
      <w:start w:val="1"/>
      <w:numFmt w:val="decimal"/>
      <w:lvlRestart w:val="0"/>
      <w:lvlText w:val="%1"/>
      <w:lvlJc w:val="left"/>
      <w:pPr>
        <w:tabs>
          <w:tab w:val="num" w:pos="567"/>
        </w:tabs>
        <w:ind w:left="567" w:hanging="567"/>
      </w:pPr>
      <w:rPr>
        <w:rFonts w:ascii="Arial" w:hAnsi="Arial" w:cs="Arial"/>
      </w:rPr>
    </w:lvl>
  </w:abstractNum>
  <w:abstractNum w:abstractNumId="15" w15:restartNumberingAfterBreak="0">
    <w:nsid w:val="209F2649"/>
    <w:multiLevelType w:val="singleLevel"/>
    <w:tmpl w:val="78AE38C0"/>
    <w:name w:val="AlphabeticList"/>
    <w:lvl w:ilvl="0">
      <w:start w:val="1"/>
      <w:numFmt w:val="upperLetter"/>
      <w:lvlRestart w:val="0"/>
      <w:lvlText w:val="%1"/>
      <w:lvlJc w:val="left"/>
      <w:pPr>
        <w:tabs>
          <w:tab w:val="num" w:pos="567"/>
        </w:tabs>
        <w:ind w:left="567" w:hanging="567"/>
      </w:pPr>
      <w:rPr>
        <w:rFonts w:ascii="Arial" w:hAnsi="Arial" w:cs="Arial" w:hint="default"/>
        <w:b w:val="0"/>
        <w:i w:val="0"/>
        <w:color w:val="000000"/>
        <w:sz w:val="22"/>
        <w:szCs w:val="22"/>
      </w:rPr>
    </w:lvl>
  </w:abstractNum>
  <w:abstractNum w:abstractNumId="16" w15:restartNumberingAfterBreak="0">
    <w:nsid w:val="293C1ADA"/>
    <w:multiLevelType w:val="multilevel"/>
    <w:tmpl w:val="E73809C6"/>
    <w:lvl w:ilvl="0">
      <w:start w:val="1"/>
      <w:numFmt w:val="decimal"/>
      <w:pStyle w:val="Heading1"/>
      <w:lvlText w:val="%1"/>
      <w:lvlJc w:val="left"/>
      <w:pPr>
        <w:ind w:left="360" w:hanging="360"/>
      </w:pPr>
      <w:rPr>
        <w:rFonts w:hint="default"/>
        <w:b/>
        <w:i w:val="0"/>
        <w:color w:val="002776"/>
        <w:sz w:val="56"/>
        <w:szCs w:val="56"/>
      </w:rPr>
    </w:lvl>
    <w:lvl w:ilvl="1">
      <w:start w:val="1"/>
      <w:numFmt w:val="decimal"/>
      <w:pStyle w:val="Heading2"/>
      <w:lvlText w:val="%1.%2"/>
      <w:lvlJc w:val="left"/>
      <w:pPr>
        <w:tabs>
          <w:tab w:val="num" w:pos="709"/>
        </w:tabs>
        <w:ind w:left="709" w:hanging="567"/>
      </w:pPr>
      <w:rPr>
        <w:rFonts w:ascii="Calibri" w:hAnsi="Calibri" w:cs="Arial" w:hint="default"/>
        <w:b/>
        <w:i w:val="0"/>
        <w:color w:val="00A1DE"/>
        <w:sz w:val="40"/>
        <w:szCs w:val="40"/>
      </w:rPr>
    </w:lvl>
    <w:lvl w:ilvl="2">
      <w:start w:val="1"/>
      <w:numFmt w:val="decimal"/>
      <w:pStyle w:val="Heading3"/>
      <w:lvlText w:val="%1.%2.%3"/>
      <w:lvlJc w:val="left"/>
      <w:pPr>
        <w:tabs>
          <w:tab w:val="num" w:pos="1134"/>
        </w:tabs>
        <w:ind w:left="1134" w:hanging="1134"/>
      </w:pPr>
      <w:rPr>
        <w:rFonts w:ascii="Calibri" w:hAnsi="Calibri" w:cs="Arial" w:hint="default"/>
        <w:b w:val="0"/>
        <w:i w:val="0"/>
        <w:color w:val="00A1DE"/>
        <w:sz w:val="26"/>
        <w:szCs w:val="24"/>
      </w:rPr>
    </w:lvl>
    <w:lvl w:ilvl="3">
      <w:start w:val="1"/>
      <w:numFmt w:val="decimal"/>
      <w:pStyle w:val="Heading4"/>
      <w:lvlText w:val="%1.%2.%3.%4"/>
      <w:lvlJc w:val="left"/>
      <w:pPr>
        <w:tabs>
          <w:tab w:val="num" w:pos="1134"/>
        </w:tabs>
        <w:ind w:left="1134" w:hanging="1134"/>
      </w:pPr>
      <w:rPr>
        <w:rFonts w:ascii="Calibri" w:hAnsi="Calibri" w:cs="Arial" w:hint="default"/>
        <w:b/>
        <w:i w:val="0"/>
        <w:color w:val="00A1DE"/>
        <w:sz w:val="24"/>
        <w:szCs w:val="24"/>
        <w:u w:val="none"/>
      </w:rPr>
    </w:lvl>
    <w:lvl w:ilvl="4">
      <w:start w:val="1"/>
      <w:numFmt w:val="decimal"/>
      <w:lvlRestart w:val="1"/>
      <w:pStyle w:val="Heading5"/>
      <w:suff w:val="space"/>
      <w:lvlText w:val="Box %1.%5"/>
      <w:lvlJc w:val="left"/>
      <w:pPr>
        <w:ind w:left="1134" w:hanging="850"/>
      </w:pPr>
      <w:rPr>
        <w:rFonts w:ascii="Calibri" w:hAnsi="Calibri" w:cs="Arial" w:hint="default"/>
        <w:b/>
        <w:i w:val="0"/>
        <w:color w:val="FFFFFF"/>
        <w:sz w:val="20"/>
        <w:szCs w:val="20"/>
      </w:rPr>
    </w:lvl>
    <w:lvl w:ilvl="5">
      <w:start w:val="1"/>
      <w:numFmt w:val="none"/>
      <w:lvlRestart w:val="0"/>
      <w:lvlText w:val=""/>
      <w:lvlJc w:val="center"/>
      <w:pPr>
        <w:ind w:left="0" w:firstLine="0"/>
      </w:pPr>
      <w:rPr>
        <w:rFonts w:ascii="Arial" w:hAnsi="Arial" w:cs="Arial" w:hint="default"/>
        <w:b/>
        <w:i w:val="0"/>
        <w:color w:val="931638"/>
        <w:sz w:val="20"/>
        <w:szCs w:val="20"/>
      </w:rPr>
    </w:lvl>
    <w:lvl w:ilvl="6">
      <w:start w:val="1"/>
      <w:numFmt w:val="decimal"/>
      <w:lvlRestart w:val="1"/>
      <w:pStyle w:val="CaptionTable"/>
      <w:suff w:val="nothing"/>
      <w:lvlText w:val="Table %1.%7"/>
      <w:lvlJc w:val="left"/>
      <w:pPr>
        <w:ind w:left="0" w:firstLine="0"/>
      </w:pPr>
      <w:rPr>
        <w:rFonts w:ascii="Calibri" w:hAnsi="Calibri" w:cs="Arial" w:hint="default"/>
        <w:b/>
        <w:i w:val="0"/>
        <w:color w:val="002776"/>
        <w:sz w:val="22"/>
        <w:szCs w:val="20"/>
      </w:rPr>
    </w:lvl>
    <w:lvl w:ilvl="7">
      <w:start w:val="1"/>
      <w:numFmt w:val="decimal"/>
      <w:lvlRestart w:val="1"/>
      <w:pStyle w:val="CaptionChart"/>
      <w:suff w:val="nothing"/>
      <w:lvlText w:val="Chart %1.%8"/>
      <w:lvlJc w:val="left"/>
      <w:pPr>
        <w:ind w:left="0" w:firstLine="0"/>
      </w:pPr>
      <w:rPr>
        <w:rFonts w:ascii="Calibri" w:hAnsi="Calibri" w:cs="Arial" w:hint="default"/>
        <w:b/>
        <w:i w:val="0"/>
        <w:color w:val="002776"/>
        <w:sz w:val="22"/>
        <w:szCs w:val="20"/>
      </w:rPr>
    </w:lvl>
    <w:lvl w:ilvl="8">
      <w:start w:val="1"/>
      <w:numFmt w:val="decimal"/>
      <w:lvlRestart w:val="1"/>
      <w:pStyle w:val="CaptionFigure"/>
      <w:suff w:val="nothing"/>
      <w:lvlText w:val="Figure %1.%9"/>
      <w:lvlJc w:val="left"/>
      <w:pPr>
        <w:ind w:left="0" w:firstLine="0"/>
      </w:pPr>
      <w:rPr>
        <w:rFonts w:ascii="Calibri" w:hAnsi="Calibri" w:cs="Arial" w:hint="default"/>
        <w:b/>
        <w:i w:val="0"/>
        <w:color w:val="002776"/>
        <w:sz w:val="22"/>
        <w:szCs w:val="20"/>
      </w:rPr>
    </w:lvl>
  </w:abstractNum>
  <w:abstractNum w:abstractNumId="17" w15:restartNumberingAfterBreak="0">
    <w:nsid w:val="379179F0"/>
    <w:multiLevelType w:val="hybridMultilevel"/>
    <w:tmpl w:val="150AA016"/>
    <w:lvl w:ilvl="0" w:tplc="0DAE37D4">
      <w:start w:val="1"/>
      <w:numFmt w:val="bullet"/>
      <w:lvlText w:val=""/>
      <w:lvlJc w:val="left"/>
      <w:pPr>
        <w:ind w:left="720" w:hanging="360"/>
      </w:pPr>
      <w:rPr>
        <w:rFonts w:ascii="Symbol" w:hAnsi="Symbol" w:hint="default"/>
        <w:color w:val="00206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8F00ADD"/>
    <w:multiLevelType w:val="hybridMultilevel"/>
    <w:tmpl w:val="DCCE73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2B73D6"/>
    <w:multiLevelType w:val="hybridMultilevel"/>
    <w:tmpl w:val="1450AD28"/>
    <w:name w:val="BulletList"/>
    <w:lvl w:ilvl="0" w:tplc="E8882CC4">
      <w:start w:val="1"/>
      <w:numFmt w:val="bullet"/>
      <w:lvlText w:val=""/>
      <w:lvlJc w:val="left"/>
      <w:pPr>
        <w:ind w:left="720" w:hanging="360"/>
      </w:pPr>
      <w:rPr>
        <w:rFonts w:ascii="Symbol" w:hAnsi="Symbol" w:hint="default"/>
      </w:rPr>
    </w:lvl>
    <w:lvl w:ilvl="1" w:tplc="A6F6CB9A" w:tentative="1">
      <w:start w:val="1"/>
      <w:numFmt w:val="bullet"/>
      <w:lvlText w:val="o"/>
      <w:lvlJc w:val="left"/>
      <w:pPr>
        <w:ind w:left="1440" w:hanging="360"/>
      </w:pPr>
      <w:rPr>
        <w:rFonts w:ascii="Courier New" w:hAnsi="Courier New" w:cs="Courier New" w:hint="default"/>
      </w:rPr>
    </w:lvl>
    <w:lvl w:ilvl="2" w:tplc="6A302F10" w:tentative="1">
      <w:start w:val="1"/>
      <w:numFmt w:val="bullet"/>
      <w:lvlText w:val=""/>
      <w:lvlJc w:val="left"/>
      <w:pPr>
        <w:ind w:left="2160" w:hanging="360"/>
      </w:pPr>
      <w:rPr>
        <w:rFonts w:ascii="Wingdings" w:hAnsi="Wingdings" w:hint="default"/>
      </w:rPr>
    </w:lvl>
    <w:lvl w:ilvl="3" w:tplc="C3DC6F38" w:tentative="1">
      <w:start w:val="1"/>
      <w:numFmt w:val="bullet"/>
      <w:lvlText w:val=""/>
      <w:lvlJc w:val="left"/>
      <w:pPr>
        <w:ind w:left="2880" w:hanging="360"/>
      </w:pPr>
      <w:rPr>
        <w:rFonts w:ascii="Symbol" w:hAnsi="Symbol" w:hint="default"/>
      </w:rPr>
    </w:lvl>
    <w:lvl w:ilvl="4" w:tplc="2D28A880" w:tentative="1">
      <w:start w:val="1"/>
      <w:numFmt w:val="bullet"/>
      <w:lvlText w:val="o"/>
      <w:lvlJc w:val="left"/>
      <w:pPr>
        <w:ind w:left="3600" w:hanging="360"/>
      </w:pPr>
      <w:rPr>
        <w:rFonts w:ascii="Courier New" w:hAnsi="Courier New" w:cs="Courier New" w:hint="default"/>
      </w:rPr>
    </w:lvl>
    <w:lvl w:ilvl="5" w:tplc="CDC46302" w:tentative="1">
      <w:start w:val="1"/>
      <w:numFmt w:val="bullet"/>
      <w:lvlText w:val=""/>
      <w:lvlJc w:val="left"/>
      <w:pPr>
        <w:ind w:left="4320" w:hanging="360"/>
      </w:pPr>
      <w:rPr>
        <w:rFonts w:ascii="Wingdings" w:hAnsi="Wingdings" w:hint="default"/>
      </w:rPr>
    </w:lvl>
    <w:lvl w:ilvl="6" w:tplc="C6D0D70C" w:tentative="1">
      <w:start w:val="1"/>
      <w:numFmt w:val="bullet"/>
      <w:lvlText w:val=""/>
      <w:lvlJc w:val="left"/>
      <w:pPr>
        <w:ind w:left="5040" w:hanging="360"/>
      </w:pPr>
      <w:rPr>
        <w:rFonts w:ascii="Symbol" w:hAnsi="Symbol" w:hint="default"/>
      </w:rPr>
    </w:lvl>
    <w:lvl w:ilvl="7" w:tplc="5F6413EE" w:tentative="1">
      <w:start w:val="1"/>
      <w:numFmt w:val="bullet"/>
      <w:lvlText w:val="o"/>
      <w:lvlJc w:val="left"/>
      <w:pPr>
        <w:ind w:left="5760" w:hanging="360"/>
      </w:pPr>
      <w:rPr>
        <w:rFonts w:ascii="Courier New" w:hAnsi="Courier New" w:cs="Courier New" w:hint="default"/>
      </w:rPr>
    </w:lvl>
    <w:lvl w:ilvl="8" w:tplc="05EC6A42" w:tentative="1">
      <w:start w:val="1"/>
      <w:numFmt w:val="bullet"/>
      <w:lvlText w:val=""/>
      <w:lvlJc w:val="left"/>
      <w:pPr>
        <w:ind w:left="6480" w:hanging="360"/>
      </w:pPr>
      <w:rPr>
        <w:rFonts w:ascii="Wingdings" w:hAnsi="Wingdings" w:hint="default"/>
      </w:rPr>
    </w:lvl>
  </w:abstractNum>
  <w:abstractNum w:abstractNumId="20" w15:restartNumberingAfterBreak="0">
    <w:nsid w:val="42142A31"/>
    <w:multiLevelType w:val="multilevel"/>
    <w:tmpl w:val="FA041674"/>
    <w:lvl w:ilvl="0">
      <w:start w:val="1"/>
      <w:numFmt w:val="upperLetter"/>
      <w:pStyle w:val="Appendix"/>
      <w:suff w:val="nothing"/>
      <w:lvlText w:val="Appendix %1"/>
      <w:lvlJc w:val="left"/>
      <w:pPr>
        <w:ind w:left="0" w:firstLine="0"/>
      </w:pPr>
      <w:rPr>
        <w:rFonts w:hint="default"/>
      </w:rPr>
    </w:lvl>
    <w:lvl w:ilvl="1">
      <w:start w:val="1"/>
      <w:numFmt w:val="decimal"/>
      <w:pStyle w:val="AppendixTableCaption"/>
      <w:suff w:val="nothing"/>
      <w:lvlText w:val="Table %1.%2"/>
      <w:lvlJc w:val="left"/>
      <w:pPr>
        <w:ind w:left="0" w:firstLine="0"/>
      </w:pPr>
      <w:rPr>
        <w:rFonts w:ascii="Calibri" w:hAnsi="Calibri" w:cs="Arial" w:hint="default"/>
        <w:b/>
        <w:i w:val="0"/>
        <w:color w:val="002776"/>
        <w:sz w:val="22"/>
      </w:rPr>
    </w:lvl>
    <w:lvl w:ilvl="2">
      <w:start w:val="1"/>
      <w:numFmt w:val="decimal"/>
      <w:lvlRestart w:val="1"/>
      <w:pStyle w:val="AppendixChartCaption"/>
      <w:suff w:val="nothing"/>
      <w:lvlText w:val="Chart %1.%3"/>
      <w:lvlJc w:val="left"/>
      <w:pPr>
        <w:ind w:left="0" w:firstLine="0"/>
      </w:pPr>
      <w:rPr>
        <w:rFonts w:ascii="Calibri" w:hAnsi="Calibri" w:cs="Arial" w:hint="default"/>
        <w:b/>
        <w:i w:val="0"/>
        <w:color w:val="002776"/>
        <w:sz w:val="22"/>
        <w:szCs w:val="24"/>
      </w:rPr>
    </w:lvl>
    <w:lvl w:ilvl="3">
      <w:start w:val="1"/>
      <w:numFmt w:val="decimal"/>
      <w:lvlRestart w:val="1"/>
      <w:pStyle w:val="AppendixFigureCaption"/>
      <w:suff w:val="nothing"/>
      <w:lvlText w:val="Figure %1.%4"/>
      <w:lvlJc w:val="left"/>
      <w:pPr>
        <w:ind w:left="0" w:firstLine="0"/>
      </w:pPr>
      <w:rPr>
        <w:rFonts w:ascii="Calibri" w:hAnsi="Calibri" w:cs="Arial" w:hint="default"/>
        <w:b/>
        <w:i w:val="0"/>
        <w:color w:val="002776"/>
        <w:sz w:val="22"/>
        <w:szCs w:val="24"/>
      </w:rPr>
    </w:lvl>
    <w:lvl w:ilvl="4">
      <w:start w:val="1"/>
      <w:numFmt w:val="decimal"/>
      <w:lvlText w:val="%1.%2.%3.%4.%5"/>
      <w:lvlJc w:val="left"/>
      <w:pPr>
        <w:tabs>
          <w:tab w:val="num" w:pos="1134"/>
        </w:tabs>
        <w:ind w:left="1134" w:hanging="1134"/>
      </w:pPr>
      <w:rPr>
        <w:rFonts w:ascii="Arial" w:hAnsi="Arial" w:cs="Arial" w:hint="default"/>
        <w:b w:val="0"/>
        <w:i w:val="0"/>
        <w:color w:val="931638"/>
        <w:sz w:val="20"/>
      </w:rPr>
    </w:lvl>
    <w:lvl w:ilvl="5">
      <w:start w:val="1"/>
      <w:numFmt w:val="decimal"/>
      <w:lvlText w:val="%1.%2.%3.%4.%5.%6"/>
      <w:lvlJc w:val="left"/>
      <w:pPr>
        <w:tabs>
          <w:tab w:val="num" w:pos="1701"/>
        </w:tabs>
        <w:ind w:left="1701" w:hanging="1701"/>
      </w:pPr>
      <w:rPr>
        <w:rFonts w:ascii="Arial" w:hAnsi="Arial" w:cs="Arial" w:hint="default"/>
        <w:b w:val="0"/>
        <w:i w:val="0"/>
        <w:color w:val="931638"/>
        <w:sz w:val="20"/>
      </w:rPr>
    </w:lvl>
    <w:lvl w:ilvl="6">
      <w:start w:val="1"/>
      <w:numFmt w:val="decimal"/>
      <w:lvlText w:val="%1.%2.%3.%4.%5.%6.%7"/>
      <w:lvlJc w:val="left"/>
      <w:pPr>
        <w:tabs>
          <w:tab w:val="num" w:pos="1701"/>
        </w:tabs>
        <w:ind w:left="1701" w:hanging="1701"/>
      </w:pPr>
      <w:rPr>
        <w:rFonts w:ascii="Arial" w:hAnsi="Arial" w:cs="Arial" w:hint="default"/>
        <w:b w:val="0"/>
        <w:i w:val="0"/>
        <w:color w:val="931638"/>
        <w:sz w:val="20"/>
      </w:rPr>
    </w:lvl>
    <w:lvl w:ilvl="7">
      <w:start w:val="1"/>
      <w:numFmt w:val="decimal"/>
      <w:lvlText w:val="%1.%2.%3.%4.%5.%6.%7.%8"/>
      <w:lvlJc w:val="left"/>
      <w:pPr>
        <w:tabs>
          <w:tab w:val="num" w:pos="1701"/>
        </w:tabs>
        <w:ind w:left="1701" w:hanging="1701"/>
      </w:pPr>
      <w:rPr>
        <w:rFonts w:ascii="Arial" w:hAnsi="Arial" w:cs="Arial" w:hint="default"/>
        <w:b w:val="0"/>
        <w:i w:val="0"/>
        <w:color w:val="931638"/>
        <w:sz w:val="20"/>
      </w:rPr>
    </w:lvl>
    <w:lvl w:ilvl="8">
      <w:start w:val="1"/>
      <w:numFmt w:val="decimal"/>
      <w:lvlText w:val="%1.%2.%3.%4.%5.%6.%7.%8.%9"/>
      <w:lvlJc w:val="left"/>
      <w:pPr>
        <w:tabs>
          <w:tab w:val="num" w:pos="1701"/>
        </w:tabs>
        <w:ind w:left="1701" w:hanging="1701"/>
      </w:pPr>
      <w:rPr>
        <w:rFonts w:ascii="Arial" w:hAnsi="Arial" w:cs="Arial" w:hint="default"/>
        <w:b w:val="0"/>
        <w:i w:val="0"/>
        <w:color w:val="931638"/>
        <w:sz w:val="20"/>
      </w:rPr>
    </w:lvl>
  </w:abstractNum>
  <w:abstractNum w:abstractNumId="21" w15:restartNumberingAfterBreak="0">
    <w:nsid w:val="4393200F"/>
    <w:multiLevelType w:val="singleLevel"/>
    <w:tmpl w:val="4614C302"/>
    <w:lvl w:ilvl="0">
      <w:start w:val="1"/>
      <w:numFmt w:val="lowerLetter"/>
      <w:pStyle w:val="IndentAlphabeticList"/>
      <w:lvlText w:val="%1"/>
      <w:lvlJc w:val="left"/>
      <w:pPr>
        <w:ind w:left="927" w:hanging="360"/>
      </w:pPr>
      <w:rPr>
        <w:rFonts w:ascii="Calibri" w:hAnsi="Calibri" w:cs="Arial" w:hint="default"/>
        <w:b w:val="0"/>
        <w:i w:val="0"/>
        <w:color w:val="000000"/>
        <w:sz w:val="24"/>
        <w:szCs w:val="22"/>
      </w:rPr>
    </w:lvl>
  </w:abstractNum>
  <w:abstractNum w:abstractNumId="22" w15:restartNumberingAfterBreak="0">
    <w:nsid w:val="4CA04DDB"/>
    <w:multiLevelType w:val="multilevel"/>
    <w:tmpl w:val="0409001D"/>
    <w:name w:val="IndentDashList"/>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CE2E8E"/>
    <w:multiLevelType w:val="multilevel"/>
    <w:tmpl w:val="3D485516"/>
    <w:name w:val="BulletList"/>
    <w:lvl w:ilvl="0">
      <w:numFmt w:val="none"/>
      <w:lvlText w:val=""/>
      <w:lvlJc w:val="left"/>
      <w:pPr>
        <w:tabs>
          <w:tab w:val="num" w:pos="360"/>
        </w:tabs>
      </w:pPr>
    </w:lvl>
    <w:lvl w:ilvl="1">
      <w:start w:val="1"/>
      <w:numFmt w:val="bullet"/>
      <w:lvlRestart w:val="0"/>
      <w:pStyle w:val="DashList"/>
      <w:lvlText w:val=""/>
      <w:lvlJc w:val="left"/>
      <w:pPr>
        <w:tabs>
          <w:tab w:val="num" w:pos="1134"/>
        </w:tabs>
        <w:ind w:left="1134" w:hanging="567"/>
      </w:pPr>
      <w:rPr>
        <w:rFonts w:ascii="Wingdings 3" w:hAnsi="Wingdings 3" w:hint="default"/>
        <w:b/>
        <w:i w:val="0"/>
        <w:color w:val="931638"/>
        <w:sz w:val="24"/>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93468C8"/>
    <w:multiLevelType w:val="hybridMultilevel"/>
    <w:tmpl w:val="2068B472"/>
    <w:lvl w:ilvl="0" w:tplc="0DAE37D4">
      <w:start w:val="1"/>
      <w:numFmt w:val="bullet"/>
      <w:lvlText w:val=""/>
      <w:lvlJc w:val="left"/>
      <w:pPr>
        <w:ind w:left="720" w:hanging="360"/>
      </w:pPr>
      <w:rPr>
        <w:rFonts w:ascii="Symbol" w:hAnsi="Symbol" w:hint="default"/>
        <w:color w:val="00206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A693A46"/>
    <w:multiLevelType w:val="singleLevel"/>
    <w:tmpl w:val="8E3AB198"/>
    <w:name w:val="NumberedList"/>
    <w:lvl w:ilvl="0">
      <w:start w:val="1"/>
      <w:numFmt w:val="lowerLetter"/>
      <w:lvlRestart w:val="0"/>
      <w:lvlText w:val="%1"/>
      <w:lvlJc w:val="left"/>
      <w:pPr>
        <w:tabs>
          <w:tab w:val="num" w:pos="1134"/>
        </w:tabs>
        <w:ind w:left="1134" w:hanging="567"/>
      </w:pPr>
      <w:rPr>
        <w:rFonts w:ascii="Arial" w:hAnsi="Arial" w:cs="Arial" w:hint="default"/>
        <w:b w:val="0"/>
        <w:i w:val="0"/>
        <w:color w:val="000000"/>
        <w:sz w:val="24"/>
        <w:szCs w:val="22"/>
      </w:rPr>
    </w:lvl>
  </w:abstractNum>
  <w:abstractNum w:abstractNumId="26" w15:restartNumberingAfterBreak="0">
    <w:nsid w:val="5BB86D4F"/>
    <w:multiLevelType w:val="hybridMultilevel"/>
    <w:tmpl w:val="98E89F60"/>
    <w:lvl w:ilvl="0" w:tplc="2892F572">
      <w:start w:val="1"/>
      <w:numFmt w:val="bullet"/>
      <w:pStyle w:val="Bullet2"/>
      <w:lvlText w:val="•"/>
      <w:lvlJc w:val="left"/>
      <w:pPr>
        <w:ind w:left="1287" w:hanging="360"/>
      </w:pPr>
      <w:rPr>
        <w:rFonts w:ascii="Calibri" w:hAnsi="Calibri" w:hint="default"/>
        <w:color w:val="72C7E7"/>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7" w15:restartNumberingAfterBreak="0">
    <w:nsid w:val="5BEA6677"/>
    <w:multiLevelType w:val="hybridMultilevel"/>
    <w:tmpl w:val="42C01E0C"/>
    <w:name w:val="IndentAlphabeticList"/>
    <w:lvl w:ilvl="0" w:tplc="130C176A">
      <w:start w:val="1"/>
      <w:numFmt w:val="bullet"/>
      <w:lvlText w:val=""/>
      <w:lvlJc w:val="left"/>
      <w:pPr>
        <w:ind w:left="720" w:hanging="360"/>
      </w:pPr>
      <w:rPr>
        <w:rFonts w:ascii="Symbol" w:hAnsi="Symbol" w:hint="default"/>
      </w:rPr>
    </w:lvl>
    <w:lvl w:ilvl="1" w:tplc="9AEE3FCA" w:tentative="1">
      <w:start w:val="1"/>
      <w:numFmt w:val="bullet"/>
      <w:lvlText w:val="o"/>
      <w:lvlJc w:val="left"/>
      <w:pPr>
        <w:ind w:left="1440" w:hanging="360"/>
      </w:pPr>
      <w:rPr>
        <w:rFonts w:ascii="Courier New" w:hAnsi="Courier New" w:cs="Courier New" w:hint="default"/>
      </w:rPr>
    </w:lvl>
    <w:lvl w:ilvl="2" w:tplc="9F68C952" w:tentative="1">
      <w:start w:val="1"/>
      <w:numFmt w:val="bullet"/>
      <w:lvlText w:val=""/>
      <w:lvlJc w:val="left"/>
      <w:pPr>
        <w:ind w:left="2160" w:hanging="360"/>
      </w:pPr>
      <w:rPr>
        <w:rFonts w:ascii="Wingdings" w:hAnsi="Wingdings" w:hint="default"/>
      </w:rPr>
    </w:lvl>
    <w:lvl w:ilvl="3" w:tplc="03A2D29A" w:tentative="1">
      <w:start w:val="1"/>
      <w:numFmt w:val="bullet"/>
      <w:lvlText w:val=""/>
      <w:lvlJc w:val="left"/>
      <w:pPr>
        <w:ind w:left="2880" w:hanging="360"/>
      </w:pPr>
      <w:rPr>
        <w:rFonts w:ascii="Symbol" w:hAnsi="Symbol" w:hint="default"/>
      </w:rPr>
    </w:lvl>
    <w:lvl w:ilvl="4" w:tplc="079E955C" w:tentative="1">
      <w:start w:val="1"/>
      <w:numFmt w:val="bullet"/>
      <w:lvlText w:val="o"/>
      <w:lvlJc w:val="left"/>
      <w:pPr>
        <w:ind w:left="3600" w:hanging="360"/>
      </w:pPr>
      <w:rPr>
        <w:rFonts w:ascii="Courier New" w:hAnsi="Courier New" w:cs="Courier New" w:hint="default"/>
      </w:rPr>
    </w:lvl>
    <w:lvl w:ilvl="5" w:tplc="717070D0" w:tentative="1">
      <w:start w:val="1"/>
      <w:numFmt w:val="bullet"/>
      <w:lvlText w:val=""/>
      <w:lvlJc w:val="left"/>
      <w:pPr>
        <w:ind w:left="4320" w:hanging="360"/>
      </w:pPr>
      <w:rPr>
        <w:rFonts w:ascii="Wingdings" w:hAnsi="Wingdings" w:hint="default"/>
      </w:rPr>
    </w:lvl>
    <w:lvl w:ilvl="6" w:tplc="5B10D098" w:tentative="1">
      <w:start w:val="1"/>
      <w:numFmt w:val="bullet"/>
      <w:lvlText w:val=""/>
      <w:lvlJc w:val="left"/>
      <w:pPr>
        <w:ind w:left="5040" w:hanging="360"/>
      </w:pPr>
      <w:rPr>
        <w:rFonts w:ascii="Symbol" w:hAnsi="Symbol" w:hint="default"/>
      </w:rPr>
    </w:lvl>
    <w:lvl w:ilvl="7" w:tplc="0366C4A8" w:tentative="1">
      <w:start w:val="1"/>
      <w:numFmt w:val="bullet"/>
      <w:lvlText w:val="o"/>
      <w:lvlJc w:val="left"/>
      <w:pPr>
        <w:ind w:left="5760" w:hanging="360"/>
      </w:pPr>
      <w:rPr>
        <w:rFonts w:ascii="Courier New" w:hAnsi="Courier New" w:cs="Courier New" w:hint="default"/>
      </w:rPr>
    </w:lvl>
    <w:lvl w:ilvl="8" w:tplc="ED520634" w:tentative="1">
      <w:start w:val="1"/>
      <w:numFmt w:val="bullet"/>
      <w:lvlText w:val=""/>
      <w:lvlJc w:val="left"/>
      <w:pPr>
        <w:ind w:left="6480" w:hanging="360"/>
      </w:pPr>
      <w:rPr>
        <w:rFonts w:ascii="Wingdings" w:hAnsi="Wingdings" w:hint="default"/>
      </w:rPr>
    </w:lvl>
  </w:abstractNum>
  <w:abstractNum w:abstractNumId="28" w15:restartNumberingAfterBreak="0">
    <w:nsid w:val="601A2164"/>
    <w:multiLevelType w:val="singleLevel"/>
    <w:tmpl w:val="28CC76BA"/>
    <w:lvl w:ilvl="0">
      <w:start w:val="1"/>
      <w:numFmt w:val="upperLetter"/>
      <w:pStyle w:val="AlphabeticList"/>
      <w:lvlText w:val="%1"/>
      <w:lvlJc w:val="left"/>
      <w:pPr>
        <w:ind w:left="567" w:hanging="567"/>
      </w:pPr>
      <w:rPr>
        <w:rFonts w:ascii="Calibri" w:hAnsi="Calibri" w:cs="Arial" w:hint="default"/>
      </w:rPr>
    </w:lvl>
  </w:abstractNum>
  <w:abstractNum w:abstractNumId="29" w15:restartNumberingAfterBreak="0">
    <w:nsid w:val="6C2815A0"/>
    <w:multiLevelType w:val="multilevel"/>
    <w:tmpl w:val="2240431E"/>
    <w:name w:val="AlphabeticList"/>
    <w:lvl w:ilvl="0">
      <w:numFmt w:val="none"/>
      <w:lvlText w:val=""/>
      <w:lvlJc w:val="left"/>
      <w:pPr>
        <w:tabs>
          <w:tab w:val="num" w:pos="360"/>
        </w:tabs>
      </w:pPr>
    </w:lvl>
    <w:lvl w:ilvl="1">
      <w:start w:val="1"/>
      <w:numFmt w:val="bullet"/>
      <w:lvlRestart w:val="0"/>
      <w:lvlText w:val=""/>
      <w:lvlJc w:val="left"/>
      <w:pPr>
        <w:tabs>
          <w:tab w:val="num" w:pos="1134"/>
        </w:tabs>
        <w:ind w:left="1134" w:hanging="567"/>
      </w:pPr>
      <w:rPr>
        <w:rFonts w:ascii="Wingdings 3" w:hAnsi="Wingdings 3" w:hint="default"/>
        <w:b/>
        <w:i w:val="0"/>
        <w:color w:val="931638"/>
        <w:sz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71452641"/>
    <w:multiLevelType w:val="multilevel"/>
    <w:tmpl w:val="ACDE66B8"/>
    <w:lvl w:ilvl="0">
      <w:start w:val="1"/>
      <w:numFmt w:val="decimal"/>
      <w:pStyle w:val="NumberedList"/>
      <w:lvlText w:val="%1."/>
      <w:lvlJc w:val="left"/>
      <w:pPr>
        <w:ind w:left="567" w:hanging="567"/>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1890" w:hanging="180"/>
      </w:pPr>
      <w:rPr>
        <w:rFonts w:hint="default"/>
      </w:rPr>
    </w:lvl>
    <w:lvl w:ilvl="3">
      <w:start w:val="1"/>
      <w:numFmt w:val="decimal"/>
      <w:lvlText w:val="%4."/>
      <w:lvlJc w:val="left"/>
      <w:pPr>
        <w:ind w:left="2610" w:hanging="360"/>
      </w:pPr>
      <w:rPr>
        <w:rFonts w:hint="default"/>
      </w:rPr>
    </w:lvl>
    <w:lvl w:ilvl="4">
      <w:start w:val="1"/>
      <w:numFmt w:val="lowerLetter"/>
      <w:lvlText w:val="%5."/>
      <w:lvlJc w:val="left"/>
      <w:pPr>
        <w:ind w:left="3330" w:hanging="360"/>
      </w:pPr>
      <w:rPr>
        <w:rFonts w:hint="default"/>
      </w:rPr>
    </w:lvl>
    <w:lvl w:ilvl="5">
      <w:start w:val="1"/>
      <w:numFmt w:val="lowerRoman"/>
      <w:lvlText w:val="%6."/>
      <w:lvlJc w:val="right"/>
      <w:pPr>
        <w:ind w:left="4050" w:hanging="180"/>
      </w:pPr>
      <w:rPr>
        <w:rFonts w:hint="default"/>
      </w:rPr>
    </w:lvl>
    <w:lvl w:ilvl="6">
      <w:start w:val="1"/>
      <w:numFmt w:val="decimal"/>
      <w:lvlText w:val="%7."/>
      <w:lvlJc w:val="left"/>
      <w:pPr>
        <w:ind w:left="4770" w:hanging="360"/>
      </w:pPr>
      <w:rPr>
        <w:rFonts w:hint="default"/>
      </w:rPr>
    </w:lvl>
    <w:lvl w:ilvl="7">
      <w:start w:val="1"/>
      <w:numFmt w:val="lowerLetter"/>
      <w:lvlText w:val="%8."/>
      <w:lvlJc w:val="left"/>
      <w:pPr>
        <w:ind w:left="5490" w:hanging="360"/>
      </w:pPr>
      <w:rPr>
        <w:rFonts w:hint="default"/>
      </w:rPr>
    </w:lvl>
    <w:lvl w:ilvl="8">
      <w:start w:val="1"/>
      <w:numFmt w:val="lowerRoman"/>
      <w:lvlText w:val="%9."/>
      <w:lvlJc w:val="right"/>
      <w:pPr>
        <w:ind w:left="6210" w:hanging="180"/>
      </w:pPr>
      <w:rPr>
        <w:rFonts w:hint="default"/>
      </w:rPr>
    </w:lvl>
  </w:abstractNum>
  <w:abstractNum w:abstractNumId="31" w15:restartNumberingAfterBreak="0">
    <w:nsid w:val="74D31029"/>
    <w:multiLevelType w:val="multilevel"/>
    <w:tmpl w:val="B080CDA2"/>
    <w:lvl w:ilvl="0">
      <w:start w:val="1"/>
      <w:numFmt w:val="bullet"/>
      <w:pStyle w:val="Bullet1"/>
      <w:lvlText w:val=""/>
      <w:lvlJc w:val="left"/>
      <w:pPr>
        <w:ind w:left="360" w:hanging="360"/>
      </w:pPr>
      <w:rPr>
        <w:rFonts w:ascii="Symbol" w:hAnsi="Symbol" w:hint="default"/>
        <w:color w:val="002776"/>
        <w:sz w:val="22"/>
      </w:rPr>
    </w:lvl>
    <w:lvl w:ilvl="1">
      <w:start w:val="1"/>
      <w:numFmt w:val="bullet"/>
      <w:lvlRestart w:val="0"/>
      <w:lvlText w:val=""/>
      <w:lvlJc w:val="left"/>
      <w:pPr>
        <w:tabs>
          <w:tab w:val="num" w:pos="1134"/>
        </w:tabs>
        <w:ind w:left="1134" w:hanging="567"/>
      </w:pPr>
      <w:rPr>
        <w:rFonts w:ascii="Wingdings 3" w:hAnsi="Wingdings 3" w:hint="default"/>
        <w:b/>
        <w:i w:val="0"/>
        <w:color w:val="931638"/>
        <w:sz w:val="24"/>
      </w:rPr>
    </w:lvl>
    <w:lvl w:ilvl="2">
      <w:start w:val="1"/>
      <w:numFmt w:val="bullet"/>
      <w:lvlText w:val="-"/>
      <w:lvlJc w:val="left"/>
      <w:pPr>
        <w:tabs>
          <w:tab w:val="num" w:pos="1701"/>
        </w:tabs>
        <w:ind w:left="1701" w:hanging="567"/>
      </w:pPr>
      <w:rPr>
        <w:rFonts w:ascii="Arial" w:hAnsi="Arial" w:hint="default"/>
        <w:color w:val="93163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775728CF"/>
    <w:multiLevelType w:val="hybridMultilevel"/>
    <w:tmpl w:val="9F1807C8"/>
    <w:lvl w:ilvl="0" w:tplc="1ED06BF4">
      <w:start w:val="1"/>
      <w:numFmt w:val="bullet"/>
      <w:pStyle w:val="DBullet"/>
      <w:lvlText w:val=""/>
      <w:lvlJc w:val="left"/>
      <w:pPr>
        <w:tabs>
          <w:tab w:val="num" w:pos="357"/>
        </w:tabs>
        <w:ind w:left="357" w:hanging="357"/>
      </w:pPr>
      <w:rPr>
        <w:rFonts w:ascii="Symbol" w:hAnsi="Symbol" w:hint="default"/>
      </w:rPr>
    </w:lvl>
    <w:lvl w:ilvl="1" w:tplc="D940FEDA" w:tentative="1">
      <w:start w:val="1"/>
      <w:numFmt w:val="bullet"/>
      <w:lvlText w:val="o"/>
      <w:lvlJc w:val="left"/>
      <w:pPr>
        <w:tabs>
          <w:tab w:val="num" w:pos="1090"/>
        </w:tabs>
        <w:ind w:left="1090" w:hanging="360"/>
      </w:pPr>
      <w:rPr>
        <w:rFonts w:ascii="Courier New" w:hAnsi="Courier New" w:cs="Courier New" w:hint="default"/>
      </w:rPr>
    </w:lvl>
    <w:lvl w:ilvl="2" w:tplc="A7665F9E" w:tentative="1">
      <w:start w:val="1"/>
      <w:numFmt w:val="bullet"/>
      <w:lvlText w:val=""/>
      <w:lvlJc w:val="left"/>
      <w:pPr>
        <w:tabs>
          <w:tab w:val="num" w:pos="1810"/>
        </w:tabs>
        <w:ind w:left="1810" w:hanging="360"/>
      </w:pPr>
      <w:rPr>
        <w:rFonts w:ascii="Wingdings" w:hAnsi="Wingdings" w:hint="default"/>
      </w:rPr>
    </w:lvl>
    <w:lvl w:ilvl="3" w:tplc="8E06246A" w:tentative="1">
      <w:start w:val="1"/>
      <w:numFmt w:val="bullet"/>
      <w:lvlText w:val=""/>
      <w:lvlJc w:val="left"/>
      <w:pPr>
        <w:tabs>
          <w:tab w:val="num" w:pos="2530"/>
        </w:tabs>
        <w:ind w:left="2530" w:hanging="360"/>
      </w:pPr>
      <w:rPr>
        <w:rFonts w:ascii="Symbol" w:hAnsi="Symbol" w:hint="default"/>
      </w:rPr>
    </w:lvl>
    <w:lvl w:ilvl="4" w:tplc="5B68272E" w:tentative="1">
      <w:start w:val="1"/>
      <w:numFmt w:val="bullet"/>
      <w:lvlText w:val="o"/>
      <w:lvlJc w:val="left"/>
      <w:pPr>
        <w:tabs>
          <w:tab w:val="num" w:pos="3250"/>
        </w:tabs>
        <w:ind w:left="3250" w:hanging="360"/>
      </w:pPr>
      <w:rPr>
        <w:rFonts w:ascii="Courier New" w:hAnsi="Courier New" w:cs="Courier New" w:hint="default"/>
      </w:rPr>
    </w:lvl>
    <w:lvl w:ilvl="5" w:tplc="5D8EA73A" w:tentative="1">
      <w:start w:val="1"/>
      <w:numFmt w:val="bullet"/>
      <w:lvlText w:val=""/>
      <w:lvlJc w:val="left"/>
      <w:pPr>
        <w:tabs>
          <w:tab w:val="num" w:pos="3970"/>
        </w:tabs>
        <w:ind w:left="3970" w:hanging="360"/>
      </w:pPr>
      <w:rPr>
        <w:rFonts w:ascii="Wingdings" w:hAnsi="Wingdings" w:hint="default"/>
      </w:rPr>
    </w:lvl>
    <w:lvl w:ilvl="6" w:tplc="E022338C" w:tentative="1">
      <w:start w:val="1"/>
      <w:numFmt w:val="bullet"/>
      <w:lvlText w:val=""/>
      <w:lvlJc w:val="left"/>
      <w:pPr>
        <w:tabs>
          <w:tab w:val="num" w:pos="4690"/>
        </w:tabs>
        <w:ind w:left="4690" w:hanging="360"/>
      </w:pPr>
      <w:rPr>
        <w:rFonts w:ascii="Symbol" w:hAnsi="Symbol" w:hint="default"/>
      </w:rPr>
    </w:lvl>
    <w:lvl w:ilvl="7" w:tplc="E11EDBF2" w:tentative="1">
      <w:start w:val="1"/>
      <w:numFmt w:val="bullet"/>
      <w:lvlText w:val="o"/>
      <w:lvlJc w:val="left"/>
      <w:pPr>
        <w:tabs>
          <w:tab w:val="num" w:pos="5410"/>
        </w:tabs>
        <w:ind w:left="5410" w:hanging="360"/>
      </w:pPr>
      <w:rPr>
        <w:rFonts w:ascii="Courier New" w:hAnsi="Courier New" w:cs="Courier New" w:hint="default"/>
      </w:rPr>
    </w:lvl>
    <w:lvl w:ilvl="8" w:tplc="50D689AE" w:tentative="1">
      <w:start w:val="1"/>
      <w:numFmt w:val="bullet"/>
      <w:lvlText w:val=""/>
      <w:lvlJc w:val="left"/>
      <w:pPr>
        <w:tabs>
          <w:tab w:val="num" w:pos="6130"/>
        </w:tabs>
        <w:ind w:left="6130" w:hanging="360"/>
      </w:pPr>
      <w:rPr>
        <w:rFonts w:ascii="Wingdings" w:hAnsi="Wingdings" w:hint="default"/>
      </w:rPr>
    </w:lvl>
  </w:abstractNum>
  <w:abstractNum w:abstractNumId="33" w15:restartNumberingAfterBreak="0">
    <w:nsid w:val="79B43B09"/>
    <w:multiLevelType w:val="hybridMultilevel"/>
    <w:tmpl w:val="09B246EA"/>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3"/>
  </w:num>
  <w:num w:numId="2">
    <w:abstractNumId w:val="28"/>
  </w:num>
  <w:num w:numId="3">
    <w:abstractNumId w:val="21"/>
  </w:num>
  <w:num w:numId="4">
    <w:abstractNumId w:val="12"/>
  </w:num>
  <w:num w:numId="5">
    <w:abstractNumId w:val="31"/>
  </w:num>
  <w:num w:numId="6">
    <w:abstractNumId w:val="26"/>
  </w:num>
  <w:num w:numId="7">
    <w:abstractNumId w:val="11"/>
  </w:num>
  <w:num w:numId="8">
    <w:abstractNumId w:val="16"/>
  </w:num>
  <w:num w:numId="9">
    <w:abstractNumId w:val="13"/>
  </w:num>
  <w:num w:numId="10">
    <w:abstractNumId w:val="10"/>
  </w:num>
  <w:num w:numId="11">
    <w:abstractNumId w:val="30"/>
  </w:num>
  <w:num w:numId="12">
    <w:abstractNumId w:val="9"/>
  </w:num>
  <w:num w:numId="13">
    <w:abstractNumId w:val="20"/>
  </w:num>
  <w:num w:numId="14">
    <w:abstractNumId w:val="32"/>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24"/>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num>
  <w:num w:numId="24">
    <w:abstractNumId w:val="16"/>
  </w:num>
  <w:num w:numId="25">
    <w:abstractNumId w:val="16"/>
  </w:num>
  <w:num w:numId="26">
    <w:abstractNumId w:val="16"/>
  </w:num>
  <w:num w:numId="27">
    <w:abstractNumId w:val="16"/>
  </w:num>
  <w:num w:numId="28">
    <w:abstractNumId w:val="16"/>
  </w:num>
  <w:num w:numId="29">
    <w:abstractNumId w:val="16"/>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TrueTypeFonts/>
  <w:saveSubsetFonts/>
  <w:hideSpellingErrors/>
  <w:hideGrammaticalErrors/>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oNotTrackFormatting/>
  <w:defaultTabStop w:val="567"/>
  <w:drawingGridHorizontalSpacing w:val="110"/>
  <w:displayHorizontalDrawingGridEvery w:val="2"/>
  <w:noPunctuationKerning/>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3F3"/>
    <w:rsid w:val="00000160"/>
    <w:rsid w:val="000001AB"/>
    <w:rsid w:val="000002DC"/>
    <w:rsid w:val="000018E0"/>
    <w:rsid w:val="000024C3"/>
    <w:rsid w:val="0000305E"/>
    <w:rsid w:val="00003CCA"/>
    <w:rsid w:val="00004BA1"/>
    <w:rsid w:val="000058CD"/>
    <w:rsid w:val="00006690"/>
    <w:rsid w:val="000066F0"/>
    <w:rsid w:val="00006A9F"/>
    <w:rsid w:val="000071B5"/>
    <w:rsid w:val="000075ED"/>
    <w:rsid w:val="00010019"/>
    <w:rsid w:val="00010875"/>
    <w:rsid w:val="00010C36"/>
    <w:rsid w:val="00010E7D"/>
    <w:rsid w:val="0001118F"/>
    <w:rsid w:val="0001128F"/>
    <w:rsid w:val="00011D2A"/>
    <w:rsid w:val="000127EF"/>
    <w:rsid w:val="00012C70"/>
    <w:rsid w:val="0001400D"/>
    <w:rsid w:val="00014351"/>
    <w:rsid w:val="0001451A"/>
    <w:rsid w:val="0001458D"/>
    <w:rsid w:val="000148BF"/>
    <w:rsid w:val="00014B2C"/>
    <w:rsid w:val="0001580E"/>
    <w:rsid w:val="000167FF"/>
    <w:rsid w:val="00016C8E"/>
    <w:rsid w:val="000171FE"/>
    <w:rsid w:val="000175EC"/>
    <w:rsid w:val="000179BD"/>
    <w:rsid w:val="00020ABB"/>
    <w:rsid w:val="00020CCD"/>
    <w:rsid w:val="000216EF"/>
    <w:rsid w:val="00022C61"/>
    <w:rsid w:val="0002306E"/>
    <w:rsid w:val="000232A6"/>
    <w:rsid w:val="00023421"/>
    <w:rsid w:val="00024338"/>
    <w:rsid w:val="00025407"/>
    <w:rsid w:val="000259C8"/>
    <w:rsid w:val="00025B68"/>
    <w:rsid w:val="000263B6"/>
    <w:rsid w:val="00026595"/>
    <w:rsid w:val="000268F1"/>
    <w:rsid w:val="00026AC5"/>
    <w:rsid w:val="00027A98"/>
    <w:rsid w:val="00027CE4"/>
    <w:rsid w:val="00027E15"/>
    <w:rsid w:val="00030332"/>
    <w:rsid w:val="0003053E"/>
    <w:rsid w:val="00031072"/>
    <w:rsid w:val="00031E68"/>
    <w:rsid w:val="00032BCA"/>
    <w:rsid w:val="00032E26"/>
    <w:rsid w:val="00033312"/>
    <w:rsid w:val="00033340"/>
    <w:rsid w:val="0003384F"/>
    <w:rsid w:val="00033D3D"/>
    <w:rsid w:val="000340A9"/>
    <w:rsid w:val="0003426D"/>
    <w:rsid w:val="000346A6"/>
    <w:rsid w:val="000346D0"/>
    <w:rsid w:val="00035632"/>
    <w:rsid w:val="000359D8"/>
    <w:rsid w:val="00036110"/>
    <w:rsid w:val="00036695"/>
    <w:rsid w:val="00040225"/>
    <w:rsid w:val="00040526"/>
    <w:rsid w:val="00040A73"/>
    <w:rsid w:val="0004142B"/>
    <w:rsid w:val="000414D3"/>
    <w:rsid w:val="00041ADD"/>
    <w:rsid w:val="00041D71"/>
    <w:rsid w:val="00042200"/>
    <w:rsid w:val="00042225"/>
    <w:rsid w:val="00042A90"/>
    <w:rsid w:val="000434AC"/>
    <w:rsid w:val="00043622"/>
    <w:rsid w:val="000438FB"/>
    <w:rsid w:val="00043E63"/>
    <w:rsid w:val="0004411D"/>
    <w:rsid w:val="00044EB4"/>
    <w:rsid w:val="0004528F"/>
    <w:rsid w:val="00046472"/>
    <w:rsid w:val="000464FE"/>
    <w:rsid w:val="00046B51"/>
    <w:rsid w:val="000475CE"/>
    <w:rsid w:val="00050E22"/>
    <w:rsid w:val="000510BC"/>
    <w:rsid w:val="00051164"/>
    <w:rsid w:val="000519AD"/>
    <w:rsid w:val="00052F9C"/>
    <w:rsid w:val="00053253"/>
    <w:rsid w:val="00053ABD"/>
    <w:rsid w:val="00053BEC"/>
    <w:rsid w:val="00054469"/>
    <w:rsid w:val="00054A03"/>
    <w:rsid w:val="00054F38"/>
    <w:rsid w:val="00055D80"/>
    <w:rsid w:val="00057796"/>
    <w:rsid w:val="000616BE"/>
    <w:rsid w:val="00061808"/>
    <w:rsid w:val="0006373B"/>
    <w:rsid w:val="0006374F"/>
    <w:rsid w:val="000637EA"/>
    <w:rsid w:val="0006462F"/>
    <w:rsid w:val="00064662"/>
    <w:rsid w:val="00064FDE"/>
    <w:rsid w:val="00065293"/>
    <w:rsid w:val="00066753"/>
    <w:rsid w:val="000675FC"/>
    <w:rsid w:val="00070D97"/>
    <w:rsid w:val="00070F59"/>
    <w:rsid w:val="00071072"/>
    <w:rsid w:val="00071B5A"/>
    <w:rsid w:val="00071CC2"/>
    <w:rsid w:val="00071DBC"/>
    <w:rsid w:val="00072378"/>
    <w:rsid w:val="000725C9"/>
    <w:rsid w:val="000735D5"/>
    <w:rsid w:val="000736F1"/>
    <w:rsid w:val="00073BCE"/>
    <w:rsid w:val="00073DAD"/>
    <w:rsid w:val="00075B02"/>
    <w:rsid w:val="00077240"/>
    <w:rsid w:val="00077299"/>
    <w:rsid w:val="000774C2"/>
    <w:rsid w:val="00077860"/>
    <w:rsid w:val="00080392"/>
    <w:rsid w:val="0008070D"/>
    <w:rsid w:val="00080F67"/>
    <w:rsid w:val="0008158E"/>
    <w:rsid w:val="000817FC"/>
    <w:rsid w:val="0008199C"/>
    <w:rsid w:val="000819AB"/>
    <w:rsid w:val="00081A49"/>
    <w:rsid w:val="00083609"/>
    <w:rsid w:val="000837F7"/>
    <w:rsid w:val="00084329"/>
    <w:rsid w:val="0008433E"/>
    <w:rsid w:val="00085502"/>
    <w:rsid w:val="000862C9"/>
    <w:rsid w:val="000866C4"/>
    <w:rsid w:val="00086A9B"/>
    <w:rsid w:val="00087A0D"/>
    <w:rsid w:val="00091248"/>
    <w:rsid w:val="00091EDC"/>
    <w:rsid w:val="00092C4C"/>
    <w:rsid w:val="00092E57"/>
    <w:rsid w:val="00092FE5"/>
    <w:rsid w:val="0009422D"/>
    <w:rsid w:val="0009440B"/>
    <w:rsid w:val="00094D8B"/>
    <w:rsid w:val="00095D13"/>
    <w:rsid w:val="00095F46"/>
    <w:rsid w:val="00096F80"/>
    <w:rsid w:val="0009720D"/>
    <w:rsid w:val="00097217"/>
    <w:rsid w:val="000974E2"/>
    <w:rsid w:val="000A07AE"/>
    <w:rsid w:val="000A1A5E"/>
    <w:rsid w:val="000A1B66"/>
    <w:rsid w:val="000A1CD2"/>
    <w:rsid w:val="000A407A"/>
    <w:rsid w:val="000A4282"/>
    <w:rsid w:val="000A54E4"/>
    <w:rsid w:val="000A5D64"/>
    <w:rsid w:val="000A6898"/>
    <w:rsid w:val="000A6ABD"/>
    <w:rsid w:val="000A7113"/>
    <w:rsid w:val="000A718C"/>
    <w:rsid w:val="000A7C35"/>
    <w:rsid w:val="000A7C47"/>
    <w:rsid w:val="000B006E"/>
    <w:rsid w:val="000B0B8B"/>
    <w:rsid w:val="000B1CE5"/>
    <w:rsid w:val="000B243C"/>
    <w:rsid w:val="000B28E0"/>
    <w:rsid w:val="000B313E"/>
    <w:rsid w:val="000B375C"/>
    <w:rsid w:val="000B3975"/>
    <w:rsid w:val="000B3CEC"/>
    <w:rsid w:val="000B45E2"/>
    <w:rsid w:val="000B54A5"/>
    <w:rsid w:val="000B72BC"/>
    <w:rsid w:val="000B7BAB"/>
    <w:rsid w:val="000C051B"/>
    <w:rsid w:val="000C36AA"/>
    <w:rsid w:val="000C387F"/>
    <w:rsid w:val="000C3B61"/>
    <w:rsid w:val="000C464A"/>
    <w:rsid w:val="000C585D"/>
    <w:rsid w:val="000C5DF5"/>
    <w:rsid w:val="000C6FE2"/>
    <w:rsid w:val="000C751E"/>
    <w:rsid w:val="000C7839"/>
    <w:rsid w:val="000D1965"/>
    <w:rsid w:val="000D19BE"/>
    <w:rsid w:val="000D2C81"/>
    <w:rsid w:val="000D3821"/>
    <w:rsid w:val="000D3A3E"/>
    <w:rsid w:val="000D3BF4"/>
    <w:rsid w:val="000D47CB"/>
    <w:rsid w:val="000D5F30"/>
    <w:rsid w:val="000D6B73"/>
    <w:rsid w:val="000D6BEF"/>
    <w:rsid w:val="000D77D4"/>
    <w:rsid w:val="000D781A"/>
    <w:rsid w:val="000E00E8"/>
    <w:rsid w:val="000E066C"/>
    <w:rsid w:val="000E0B9A"/>
    <w:rsid w:val="000E183D"/>
    <w:rsid w:val="000E1B0A"/>
    <w:rsid w:val="000E1C39"/>
    <w:rsid w:val="000E2140"/>
    <w:rsid w:val="000E26DD"/>
    <w:rsid w:val="000E26E1"/>
    <w:rsid w:val="000E2ACB"/>
    <w:rsid w:val="000E2B35"/>
    <w:rsid w:val="000E2D1B"/>
    <w:rsid w:val="000E2E14"/>
    <w:rsid w:val="000E3449"/>
    <w:rsid w:val="000E3726"/>
    <w:rsid w:val="000E445C"/>
    <w:rsid w:val="000E4E7D"/>
    <w:rsid w:val="000E5DB6"/>
    <w:rsid w:val="000E630D"/>
    <w:rsid w:val="000F0BC1"/>
    <w:rsid w:val="000F0D64"/>
    <w:rsid w:val="000F1651"/>
    <w:rsid w:val="000F2F8D"/>
    <w:rsid w:val="000F3676"/>
    <w:rsid w:val="000F4313"/>
    <w:rsid w:val="000F4625"/>
    <w:rsid w:val="000F4A0D"/>
    <w:rsid w:val="000F532F"/>
    <w:rsid w:val="000F592C"/>
    <w:rsid w:val="000F5BFB"/>
    <w:rsid w:val="000F5D83"/>
    <w:rsid w:val="000F693C"/>
    <w:rsid w:val="000F7058"/>
    <w:rsid w:val="000F7D70"/>
    <w:rsid w:val="00101D4B"/>
    <w:rsid w:val="0010260E"/>
    <w:rsid w:val="00102741"/>
    <w:rsid w:val="001033B7"/>
    <w:rsid w:val="0010356D"/>
    <w:rsid w:val="00104F1B"/>
    <w:rsid w:val="001057BD"/>
    <w:rsid w:val="001057D7"/>
    <w:rsid w:val="0010583E"/>
    <w:rsid w:val="00105977"/>
    <w:rsid w:val="00105F36"/>
    <w:rsid w:val="00106300"/>
    <w:rsid w:val="00106F80"/>
    <w:rsid w:val="00107D2E"/>
    <w:rsid w:val="00110318"/>
    <w:rsid w:val="001111BA"/>
    <w:rsid w:val="00111411"/>
    <w:rsid w:val="00111689"/>
    <w:rsid w:val="00111A4E"/>
    <w:rsid w:val="00111DD1"/>
    <w:rsid w:val="00113631"/>
    <w:rsid w:val="001136F8"/>
    <w:rsid w:val="001141FD"/>
    <w:rsid w:val="001143BD"/>
    <w:rsid w:val="001148D8"/>
    <w:rsid w:val="00114A8E"/>
    <w:rsid w:val="001151D4"/>
    <w:rsid w:val="00115E9F"/>
    <w:rsid w:val="00115F39"/>
    <w:rsid w:val="00116990"/>
    <w:rsid w:val="0012075D"/>
    <w:rsid w:val="00120A9D"/>
    <w:rsid w:val="00120C9E"/>
    <w:rsid w:val="00122224"/>
    <w:rsid w:val="00122B5B"/>
    <w:rsid w:val="00122C6F"/>
    <w:rsid w:val="00122D0E"/>
    <w:rsid w:val="00123115"/>
    <w:rsid w:val="0012316B"/>
    <w:rsid w:val="001236D5"/>
    <w:rsid w:val="00124023"/>
    <w:rsid w:val="00126722"/>
    <w:rsid w:val="00127C6F"/>
    <w:rsid w:val="001302D0"/>
    <w:rsid w:val="00130B70"/>
    <w:rsid w:val="00130D6C"/>
    <w:rsid w:val="001311D9"/>
    <w:rsid w:val="00131AB6"/>
    <w:rsid w:val="00132C09"/>
    <w:rsid w:val="00132E8F"/>
    <w:rsid w:val="00133516"/>
    <w:rsid w:val="00133DBD"/>
    <w:rsid w:val="001340D4"/>
    <w:rsid w:val="00134DA5"/>
    <w:rsid w:val="00136129"/>
    <w:rsid w:val="001371DD"/>
    <w:rsid w:val="00137BBA"/>
    <w:rsid w:val="001404CD"/>
    <w:rsid w:val="00143CAE"/>
    <w:rsid w:val="00143EAB"/>
    <w:rsid w:val="00144A43"/>
    <w:rsid w:val="00144CDB"/>
    <w:rsid w:val="00146849"/>
    <w:rsid w:val="00146A32"/>
    <w:rsid w:val="00146E61"/>
    <w:rsid w:val="00147334"/>
    <w:rsid w:val="001473CE"/>
    <w:rsid w:val="00147656"/>
    <w:rsid w:val="00150FEB"/>
    <w:rsid w:val="001521F2"/>
    <w:rsid w:val="00152575"/>
    <w:rsid w:val="001535D0"/>
    <w:rsid w:val="001538A0"/>
    <w:rsid w:val="00153E58"/>
    <w:rsid w:val="00155340"/>
    <w:rsid w:val="00155487"/>
    <w:rsid w:val="00155879"/>
    <w:rsid w:val="001566BB"/>
    <w:rsid w:val="0015768D"/>
    <w:rsid w:val="001578D1"/>
    <w:rsid w:val="00157EAB"/>
    <w:rsid w:val="00161EF7"/>
    <w:rsid w:val="001621DE"/>
    <w:rsid w:val="00163822"/>
    <w:rsid w:val="00163D2C"/>
    <w:rsid w:val="00163E2A"/>
    <w:rsid w:val="00163EB0"/>
    <w:rsid w:val="0016534C"/>
    <w:rsid w:val="00166EC2"/>
    <w:rsid w:val="00166F16"/>
    <w:rsid w:val="0016778F"/>
    <w:rsid w:val="00167D66"/>
    <w:rsid w:val="0017061E"/>
    <w:rsid w:val="00170907"/>
    <w:rsid w:val="001718E4"/>
    <w:rsid w:val="001739D6"/>
    <w:rsid w:val="00173E2B"/>
    <w:rsid w:val="001744B0"/>
    <w:rsid w:val="0017537C"/>
    <w:rsid w:val="00175C4C"/>
    <w:rsid w:val="00176B69"/>
    <w:rsid w:val="00177FA9"/>
    <w:rsid w:val="00180A99"/>
    <w:rsid w:val="001814ED"/>
    <w:rsid w:val="00181994"/>
    <w:rsid w:val="001826BD"/>
    <w:rsid w:val="001829CD"/>
    <w:rsid w:val="00182C0E"/>
    <w:rsid w:val="00182F02"/>
    <w:rsid w:val="00184571"/>
    <w:rsid w:val="00184657"/>
    <w:rsid w:val="00186372"/>
    <w:rsid w:val="001866B6"/>
    <w:rsid w:val="001866CF"/>
    <w:rsid w:val="00187029"/>
    <w:rsid w:val="00187683"/>
    <w:rsid w:val="00187780"/>
    <w:rsid w:val="001879CC"/>
    <w:rsid w:val="0019033F"/>
    <w:rsid w:val="0019129B"/>
    <w:rsid w:val="0019276A"/>
    <w:rsid w:val="00192AFC"/>
    <w:rsid w:val="00193CD3"/>
    <w:rsid w:val="001949B8"/>
    <w:rsid w:val="00194EBE"/>
    <w:rsid w:val="001959E9"/>
    <w:rsid w:val="00195CBF"/>
    <w:rsid w:val="00195E24"/>
    <w:rsid w:val="0019726C"/>
    <w:rsid w:val="001979A3"/>
    <w:rsid w:val="001A0A2E"/>
    <w:rsid w:val="001A0C92"/>
    <w:rsid w:val="001A17CE"/>
    <w:rsid w:val="001A19E4"/>
    <w:rsid w:val="001A1FEB"/>
    <w:rsid w:val="001A25AF"/>
    <w:rsid w:val="001A2CC3"/>
    <w:rsid w:val="001A3A23"/>
    <w:rsid w:val="001A4EB7"/>
    <w:rsid w:val="001A50E8"/>
    <w:rsid w:val="001A51B5"/>
    <w:rsid w:val="001A55BE"/>
    <w:rsid w:val="001A5F7F"/>
    <w:rsid w:val="001A6173"/>
    <w:rsid w:val="001A6424"/>
    <w:rsid w:val="001A7732"/>
    <w:rsid w:val="001A7A5B"/>
    <w:rsid w:val="001B1728"/>
    <w:rsid w:val="001B1A2F"/>
    <w:rsid w:val="001B1E8C"/>
    <w:rsid w:val="001B2176"/>
    <w:rsid w:val="001B245B"/>
    <w:rsid w:val="001B3365"/>
    <w:rsid w:val="001B3B4C"/>
    <w:rsid w:val="001B701A"/>
    <w:rsid w:val="001B74A3"/>
    <w:rsid w:val="001B7C72"/>
    <w:rsid w:val="001B7D72"/>
    <w:rsid w:val="001C05A2"/>
    <w:rsid w:val="001C0614"/>
    <w:rsid w:val="001C090C"/>
    <w:rsid w:val="001C115F"/>
    <w:rsid w:val="001C1853"/>
    <w:rsid w:val="001C1C50"/>
    <w:rsid w:val="001C2D7A"/>
    <w:rsid w:val="001C390C"/>
    <w:rsid w:val="001C4D4C"/>
    <w:rsid w:val="001C50E9"/>
    <w:rsid w:val="001C5DF5"/>
    <w:rsid w:val="001C5F38"/>
    <w:rsid w:val="001C7126"/>
    <w:rsid w:val="001C73F1"/>
    <w:rsid w:val="001C766E"/>
    <w:rsid w:val="001C7A9B"/>
    <w:rsid w:val="001C7CB9"/>
    <w:rsid w:val="001D04E4"/>
    <w:rsid w:val="001D0FDF"/>
    <w:rsid w:val="001D573C"/>
    <w:rsid w:val="001D5CE5"/>
    <w:rsid w:val="001D69E0"/>
    <w:rsid w:val="001D7AD8"/>
    <w:rsid w:val="001E0294"/>
    <w:rsid w:val="001E07C8"/>
    <w:rsid w:val="001E190A"/>
    <w:rsid w:val="001E19C4"/>
    <w:rsid w:val="001E1DB2"/>
    <w:rsid w:val="001E2044"/>
    <w:rsid w:val="001E2081"/>
    <w:rsid w:val="001E2361"/>
    <w:rsid w:val="001E2C61"/>
    <w:rsid w:val="001E39E4"/>
    <w:rsid w:val="001E467B"/>
    <w:rsid w:val="001E5085"/>
    <w:rsid w:val="001E7506"/>
    <w:rsid w:val="001E7C55"/>
    <w:rsid w:val="001E7D69"/>
    <w:rsid w:val="001F0C92"/>
    <w:rsid w:val="001F0E0A"/>
    <w:rsid w:val="001F0F5A"/>
    <w:rsid w:val="001F14DB"/>
    <w:rsid w:val="001F199F"/>
    <w:rsid w:val="001F1C46"/>
    <w:rsid w:val="001F43A0"/>
    <w:rsid w:val="001F57C4"/>
    <w:rsid w:val="001F63A6"/>
    <w:rsid w:val="001F72A7"/>
    <w:rsid w:val="00200478"/>
    <w:rsid w:val="00200DF6"/>
    <w:rsid w:val="00200EDA"/>
    <w:rsid w:val="0020197C"/>
    <w:rsid w:val="002019FF"/>
    <w:rsid w:val="00201AAE"/>
    <w:rsid w:val="00201E47"/>
    <w:rsid w:val="00203921"/>
    <w:rsid w:val="00204136"/>
    <w:rsid w:val="00204251"/>
    <w:rsid w:val="0020509E"/>
    <w:rsid w:val="00206E2B"/>
    <w:rsid w:val="0021007E"/>
    <w:rsid w:val="0021237A"/>
    <w:rsid w:val="002132FC"/>
    <w:rsid w:val="002139F5"/>
    <w:rsid w:val="00213E7B"/>
    <w:rsid w:val="00214539"/>
    <w:rsid w:val="00214ADE"/>
    <w:rsid w:val="00214F6D"/>
    <w:rsid w:val="00215E92"/>
    <w:rsid w:val="00217045"/>
    <w:rsid w:val="00217B6A"/>
    <w:rsid w:val="00217E06"/>
    <w:rsid w:val="002200A0"/>
    <w:rsid w:val="00221007"/>
    <w:rsid w:val="00221A26"/>
    <w:rsid w:val="00221A8A"/>
    <w:rsid w:val="00221E5D"/>
    <w:rsid w:val="002234A4"/>
    <w:rsid w:val="00224000"/>
    <w:rsid w:val="0022469D"/>
    <w:rsid w:val="002246CD"/>
    <w:rsid w:val="00224C32"/>
    <w:rsid w:val="00225254"/>
    <w:rsid w:val="00226AB7"/>
    <w:rsid w:val="00227E00"/>
    <w:rsid w:val="00230D3E"/>
    <w:rsid w:val="0023117F"/>
    <w:rsid w:val="002313F1"/>
    <w:rsid w:val="00231431"/>
    <w:rsid w:val="0023187C"/>
    <w:rsid w:val="002331FD"/>
    <w:rsid w:val="00233238"/>
    <w:rsid w:val="002333C5"/>
    <w:rsid w:val="00233922"/>
    <w:rsid w:val="00233994"/>
    <w:rsid w:val="00233BF0"/>
    <w:rsid w:val="00233ED2"/>
    <w:rsid w:val="00234374"/>
    <w:rsid w:val="00234A20"/>
    <w:rsid w:val="00235E7F"/>
    <w:rsid w:val="00236A94"/>
    <w:rsid w:val="00236AD0"/>
    <w:rsid w:val="00236E3B"/>
    <w:rsid w:val="002376C1"/>
    <w:rsid w:val="0023786A"/>
    <w:rsid w:val="00237CE9"/>
    <w:rsid w:val="002402C7"/>
    <w:rsid w:val="00240F08"/>
    <w:rsid w:val="0024185C"/>
    <w:rsid w:val="00242202"/>
    <w:rsid w:val="002439A1"/>
    <w:rsid w:val="002444F0"/>
    <w:rsid w:val="00244622"/>
    <w:rsid w:val="0024545C"/>
    <w:rsid w:val="002455AB"/>
    <w:rsid w:val="00245B3E"/>
    <w:rsid w:val="002466EF"/>
    <w:rsid w:val="002468B6"/>
    <w:rsid w:val="0024762C"/>
    <w:rsid w:val="00250008"/>
    <w:rsid w:val="00250150"/>
    <w:rsid w:val="00250537"/>
    <w:rsid w:val="00250E74"/>
    <w:rsid w:val="00251450"/>
    <w:rsid w:val="0025210E"/>
    <w:rsid w:val="00252694"/>
    <w:rsid w:val="002527A2"/>
    <w:rsid w:val="002533CF"/>
    <w:rsid w:val="002539EC"/>
    <w:rsid w:val="00253F06"/>
    <w:rsid w:val="002557C5"/>
    <w:rsid w:val="0025593E"/>
    <w:rsid w:val="00255DFC"/>
    <w:rsid w:val="00256EEA"/>
    <w:rsid w:val="00257686"/>
    <w:rsid w:val="002609CF"/>
    <w:rsid w:val="00260B24"/>
    <w:rsid w:val="00260B4D"/>
    <w:rsid w:val="00261AFF"/>
    <w:rsid w:val="00262D28"/>
    <w:rsid w:val="00263455"/>
    <w:rsid w:val="00263542"/>
    <w:rsid w:val="0026482B"/>
    <w:rsid w:val="00264C32"/>
    <w:rsid w:val="00264FE6"/>
    <w:rsid w:val="00265261"/>
    <w:rsid w:val="00265817"/>
    <w:rsid w:val="00265A60"/>
    <w:rsid w:val="00266AF4"/>
    <w:rsid w:val="0027018B"/>
    <w:rsid w:val="00270B23"/>
    <w:rsid w:val="00271CE8"/>
    <w:rsid w:val="00271E1F"/>
    <w:rsid w:val="00271F1C"/>
    <w:rsid w:val="00272473"/>
    <w:rsid w:val="002729A9"/>
    <w:rsid w:val="00273CDF"/>
    <w:rsid w:val="00274EB9"/>
    <w:rsid w:val="0027511B"/>
    <w:rsid w:val="00275B4D"/>
    <w:rsid w:val="0027630F"/>
    <w:rsid w:val="00276A04"/>
    <w:rsid w:val="00276B78"/>
    <w:rsid w:val="00277289"/>
    <w:rsid w:val="002809B2"/>
    <w:rsid w:val="00280A54"/>
    <w:rsid w:val="00281F83"/>
    <w:rsid w:val="00282901"/>
    <w:rsid w:val="00283486"/>
    <w:rsid w:val="00283A66"/>
    <w:rsid w:val="0028451F"/>
    <w:rsid w:val="00286AC1"/>
    <w:rsid w:val="00286D3E"/>
    <w:rsid w:val="002871F0"/>
    <w:rsid w:val="00287DFC"/>
    <w:rsid w:val="0029025F"/>
    <w:rsid w:val="002905C7"/>
    <w:rsid w:val="00290AA0"/>
    <w:rsid w:val="00290AC4"/>
    <w:rsid w:val="00290D36"/>
    <w:rsid w:val="00291854"/>
    <w:rsid w:val="00291C7F"/>
    <w:rsid w:val="00292906"/>
    <w:rsid w:val="00292C23"/>
    <w:rsid w:val="00293FAD"/>
    <w:rsid w:val="00294235"/>
    <w:rsid w:val="00294680"/>
    <w:rsid w:val="00294B81"/>
    <w:rsid w:val="00294F60"/>
    <w:rsid w:val="00295028"/>
    <w:rsid w:val="002957F0"/>
    <w:rsid w:val="00295F11"/>
    <w:rsid w:val="0029605F"/>
    <w:rsid w:val="002960A8"/>
    <w:rsid w:val="00297196"/>
    <w:rsid w:val="00297764"/>
    <w:rsid w:val="002A0246"/>
    <w:rsid w:val="002A0B41"/>
    <w:rsid w:val="002A0E10"/>
    <w:rsid w:val="002A105D"/>
    <w:rsid w:val="002A1086"/>
    <w:rsid w:val="002A132D"/>
    <w:rsid w:val="002A1D82"/>
    <w:rsid w:val="002A2175"/>
    <w:rsid w:val="002A346E"/>
    <w:rsid w:val="002A3A69"/>
    <w:rsid w:val="002A3B5E"/>
    <w:rsid w:val="002A445D"/>
    <w:rsid w:val="002A4694"/>
    <w:rsid w:val="002A49F5"/>
    <w:rsid w:val="002A4D4F"/>
    <w:rsid w:val="002A514B"/>
    <w:rsid w:val="002A51D0"/>
    <w:rsid w:val="002A67CA"/>
    <w:rsid w:val="002A74E3"/>
    <w:rsid w:val="002A7853"/>
    <w:rsid w:val="002A7F97"/>
    <w:rsid w:val="002B07C5"/>
    <w:rsid w:val="002B0AFF"/>
    <w:rsid w:val="002B189C"/>
    <w:rsid w:val="002B2340"/>
    <w:rsid w:val="002B2EDA"/>
    <w:rsid w:val="002B42C0"/>
    <w:rsid w:val="002B48D1"/>
    <w:rsid w:val="002B5049"/>
    <w:rsid w:val="002B5116"/>
    <w:rsid w:val="002B5227"/>
    <w:rsid w:val="002B54B7"/>
    <w:rsid w:val="002B550F"/>
    <w:rsid w:val="002B6253"/>
    <w:rsid w:val="002B6E5D"/>
    <w:rsid w:val="002B784E"/>
    <w:rsid w:val="002C015F"/>
    <w:rsid w:val="002C04A4"/>
    <w:rsid w:val="002C0BEB"/>
    <w:rsid w:val="002C2899"/>
    <w:rsid w:val="002C31F2"/>
    <w:rsid w:val="002C31FA"/>
    <w:rsid w:val="002C388A"/>
    <w:rsid w:val="002C4443"/>
    <w:rsid w:val="002C497A"/>
    <w:rsid w:val="002C5F98"/>
    <w:rsid w:val="002C726C"/>
    <w:rsid w:val="002C7283"/>
    <w:rsid w:val="002D01AC"/>
    <w:rsid w:val="002D1314"/>
    <w:rsid w:val="002D1849"/>
    <w:rsid w:val="002D23C6"/>
    <w:rsid w:val="002D2E0B"/>
    <w:rsid w:val="002D3CF5"/>
    <w:rsid w:val="002D499E"/>
    <w:rsid w:val="002D49A2"/>
    <w:rsid w:val="002D50B4"/>
    <w:rsid w:val="002D54FD"/>
    <w:rsid w:val="002D5C52"/>
    <w:rsid w:val="002D7829"/>
    <w:rsid w:val="002E0AF6"/>
    <w:rsid w:val="002E0B67"/>
    <w:rsid w:val="002E0DA3"/>
    <w:rsid w:val="002E1060"/>
    <w:rsid w:val="002E1173"/>
    <w:rsid w:val="002E2862"/>
    <w:rsid w:val="002E3626"/>
    <w:rsid w:val="002E36AC"/>
    <w:rsid w:val="002E3A84"/>
    <w:rsid w:val="002E3BCA"/>
    <w:rsid w:val="002E4244"/>
    <w:rsid w:val="002E528E"/>
    <w:rsid w:val="002E52DA"/>
    <w:rsid w:val="002E5A6A"/>
    <w:rsid w:val="002E70C6"/>
    <w:rsid w:val="002E7303"/>
    <w:rsid w:val="002E7DDC"/>
    <w:rsid w:val="002E7E8B"/>
    <w:rsid w:val="002E7FF6"/>
    <w:rsid w:val="002F0180"/>
    <w:rsid w:val="002F049F"/>
    <w:rsid w:val="002F11E6"/>
    <w:rsid w:val="002F134C"/>
    <w:rsid w:val="002F1E33"/>
    <w:rsid w:val="002F24BB"/>
    <w:rsid w:val="002F34AD"/>
    <w:rsid w:val="002F36B1"/>
    <w:rsid w:val="002F3DC6"/>
    <w:rsid w:val="002F3E25"/>
    <w:rsid w:val="002F4274"/>
    <w:rsid w:val="002F4B9B"/>
    <w:rsid w:val="002F5BDF"/>
    <w:rsid w:val="002F6E0D"/>
    <w:rsid w:val="002F7347"/>
    <w:rsid w:val="002F7C65"/>
    <w:rsid w:val="002F7D60"/>
    <w:rsid w:val="002F7E1D"/>
    <w:rsid w:val="0030019B"/>
    <w:rsid w:val="00300EE2"/>
    <w:rsid w:val="0030217E"/>
    <w:rsid w:val="003028A7"/>
    <w:rsid w:val="00303558"/>
    <w:rsid w:val="00304FD4"/>
    <w:rsid w:val="00305AB7"/>
    <w:rsid w:val="003069C7"/>
    <w:rsid w:val="003069CD"/>
    <w:rsid w:val="00306EC6"/>
    <w:rsid w:val="0030767F"/>
    <w:rsid w:val="003076BD"/>
    <w:rsid w:val="00307712"/>
    <w:rsid w:val="003119DF"/>
    <w:rsid w:val="00312664"/>
    <w:rsid w:val="00312FDF"/>
    <w:rsid w:val="00313C0B"/>
    <w:rsid w:val="00315EEE"/>
    <w:rsid w:val="003166AA"/>
    <w:rsid w:val="00317F9F"/>
    <w:rsid w:val="00320C86"/>
    <w:rsid w:val="0032112F"/>
    <w:rsid w:val="00321386"/>
    <w:rsid w:val="00321B3F"/>
    <w:rsid w:val="00321FEA"/>
    <w:rsid w:val="0032221B"/>
    <w:rsid w:val="0032246C"/>
    <w:rsid w:val="003226AC"/>
    <w:rsid w:val="00323F9B"/>
    <w:rsid w:val="003242AB"/>
    <w:rsid w:val="00325C3D"/>
    <w:rsid w:val="00327784"/>
    <w:rsid w:val="00327AA3"/>
    <w:rsid w:val="00327B08"/>
    <w:rsid w:val="00327E2A"/>
    <w:rsid w:val="0033011F"/>
    <w:rsid w:val="003301B9"/>
    <w:rsid w:val="0033073A"/>
    <w:rsid w:val="00331142"/>
    <w:rsid w:val="00332920"/>
    <w:rsid w:val="00332B71"/>
    <w:rsid w:val="00332D66"/>
    <w:rsid w:val="0033312E"/>
    <w:rsid w:val="00334338"/>
    <w:rsid w:val="00335E53"/>
    <w:rsid w:val="003368A8"/>
    <w:rsid w:val="00336B03"/>
    <w:rsid w:val="003375D1"/>
    <w:rsid w:val="00340030"/>
    <w:rsid w:val="00340760"/>
    <w:rsid w:val="00340AF2"/>
    <w:rsid w:val="00340F33"/>
    <w:rsid w:val="0034223A"/>
    <w:rsid w:val="003427A9"/>
    <w:rsid w:val="00342ADC"/>
    <w:rsid w:val="00342D34"/>
    <w:rsid w:val="003430E5"/>
    <w:rsid w:val="003431A2"/>
    <w:rsid w:val="003431BA"/>
    <w:rsid w:val="00343EE0"/>
    <w:rsid w:val="00343EF4"/>
    <w:rsid w:val="003450DB"/>
    <w:rsid w:val="00345320"/>
    <w:rsid w:val="00345E05"/>
    <w:rsid w:val="00346190"/>
    <w:rsid w:val="003465A5"/>
    <w:rsid w:val="003466C9"/>
    <w:rsid w:val="00346CD5"/>
    <w:rsid w:val="00346F03"/>
    <w:rsid w:val="00347840"/>
    <w:rsid w:val="00351B19"/>
    <w:rsid w:val="0035397F"/>
    <w:rsid w:val="003545B7"/>
    <w:rsid w:val="003549CB"/>
    <w:rsid w:val="00354B2F"/>
    <w:rsid w:val="00354BFE"/>
    <w:rsid w:val="00354E2F"/>
    <w:rsid w:val="003560D5"/>
    <w:rsid w:val="0035632D"/>
    <w:rsid w:val="00356A29"/>
    <w:rsid w:val="0035705F"/>
    <w:rsid w:val="00357E72"/>
    <w:rsid w:val="003609B5"/>
    <w:rsid w:val="00361646"/>
    <w:rsid w:val="00361949"/>
    <w:rsid w:val="00362195"/>
    <w:rsid w:val="00362B80"/>
    <w:rsid w:val="0036301A"/>
    <w:rsid w:val="00363520"/>
    <w:rsid w:val="00364094"/>
    <w:rsid w:val="0036567E"/>
    <w:rsid w:val="00365DA0"/>
    <w:rsid w:val="00366494"/>
    <w:rsid w:val="003667D7"/>
    <w:rsid w:val="00366928"/>
    <w:rsid w:val="0036758E"/>
    <w:rsid w:val="00370150"/>
    <w:rsid w:val="0037082C"/>
    <w:rsid w:val="00370CFE"/>
    <w:rsid w:val="003713E0"/>
    <w:rsid w:val="0037168B"/>
    <w:rsid w:val="003725D7"/>
    <w:rsid w:val="0037275C"/>
    <w:rsid w:val="00373261"/>
    <w:rsid w:val="0037398B"/>
    <w:rsid w:val="00374391"/>
    <w:rsid w:val="00374447"/>
    <w:rsid w:val="00374D2C"/>
    <w:rsid w:val="00375A50"/>
    <w:rsid w:val="003769EB"/>
    <w:rsid w:val="00376DF4"/>
    <w:rsid w:val="00380444"/>
    <w:rsid w:val="003809D8"/>
    <w:rsid w:val="00381087"/>
    <w:rsid w:val="003813F3"/>
    <w:rsid w:val="00381F18"/>
    <w:rsid w:val="00382023"/>
    <w:rsid w:val="00382113"/>
    <w:rsid w:val="0038237D"/>
    <w:rsid w:val="003828F2"/>
    <w:rsid w:val="00382D72"/>
    <w:rsid w:val="0038317C"/>
    <w:rsid w:val="00384299"/>
    <w:rsid w:val="003844EC"/>
    <w:rsid w:val="00384C35"/>
    <w:rsid w:val="00384E35"/>
    <w:rsid w:val="00384E8F"/>
    <w:rsid w:val="00385924"/>
    <w:rsid w:val="00386197"/>
    <w:rsid w:val="00386936"/>
    <w:rsid w:val="00386A89"/>
    <w:rsid w:val="00386D83"/>
    <w:rsid w:val="00387555"/>
    <w:rsid w:val="00387966"/>
    <w:rsid w:val="00387C3A"/>
    <w:rsid w:val="0039244A"/>
    <w:rsid w:val="003931A6"/>
    <w:rsid w:val="003952E2"/>
    <w:rsid w:val="00395E0F"/>
    <w:rsid w:val="00396459"/>
    <w:rsid w:val="0039738F"/>
    <w:rsid w:val="003A1D36"/>
    <w:rsid w:val="003A1E85"/>
    <w:rsid w:val="003A1F51"/>
    <w:rsid w:val="003A37E9"/>
    <w:rsid w:val="003A3FBC"/>
    <w:rsid w:val="003A415B"/>
    <w:rsid w:val="003A484E"/>
    <w:rsid w:val="003A4D42"/>
    <w:rsid w:val="003A50D1"/>
    <w:rsid w:val="003A5478"/>
    <w:rsid w:val="003A5DA4"/>
    <w:rsid w:val="003A602B"/>
    <w:rsid w:val="003A6A67"/>
    <w:rsid w:val="003A7093"/>
    <w:rsid w:val="003A79A8"/>
    <w:rsid w:val="003A7C53"/>
    <w:rsid w:val="003A7E88"/>
    <w:rsid w:val="003B00EE"/>
    <w:rsid w:val="003B0309"/>
    <w:rsid w:val="003B0956"/>
    <w:rsid w:val="003B13DB"/>
    <w:rsid w:val="003B1B0C"/>
    <w:rsid w:val="003B1EA5"/>
    <w:rsid w:val="003B33AF"/>
    <w:rsid w:val="003B39CC"/>
    <w:rsid w:val="003B60EB"/>
    <w:rsid w:val="003B67E3"/>
    <w:rsid w:val="003B747C"/>
    <w:rsid w:val="003C00EF"/>
    <w:rsid w:val="003C0608"/>
    <w:rsid w:val="003C08BB"/>
    <w:rsid w:val="003C1F4E"/>
    <w:rsid w:val="003C3022"/>
    <w:rsid w:val="003C3211"/>
    <w:rsid w:val="003C3DD8"/>
    <w:rsid w:val="003C452F"/>
    <w:rsid w:val="003C4CA5"/>
    <w:rsid w:val="003C4D0B"/>
    <w:rsid w:val="003C4E74"/>
    <w:rsid w:val="003C5806"/>
    <w:rsid w:val="003C5BCC"/>
    <w:rsid w:val="003C5C45"/>
    <w:rsid w:val="003C5DB3"/>
    <w:rsid w:val="003C666D"/>
    <w:rsid w:val="003C6E73"/>
    <w:rsid w:val="003D05F3"/>
    <w:rsid w:val="003D07E8"/>
    <w:rsid w:val="003D108B"/>
    <w:rsid w:val="003D18E5"/>
    <w:rsid w:val="003D1B32"/>
    <w:rsid w:val="003D212F"/>
    <w:rsid w:val="003D2E29"/>
    <w:rsid w:val="003D4910"/>
    <w:rsid w:val="003D4C3E"/>
    <w:rsid w:val="003D5837"/>
    <w:rsid w:val="003D5A15"/>
    <w:rsid w:val="003D5F2D"/>
    <w:rsid w:val="003D649A"/>
    <w:rsid w:val="003D68A4"/>
    <w:rsid w:val="003D6E58"/>
    <w:rsid w:val="003D7673"/>
    <w:rsid w:val="003D7BB9"/>
    <w:rsid w:val="003E0084"/>
    <w:rsid w:val="003E0AF9"/>
    <w:rsid w:val="003E162D"/>
    <w:rsid w:val="003E3C54"/>
    <w:rsid w:val="003E3CA4"/>
    <w:rsid w:val="003E40CE"/>
    <w:rsid w:val="003E41DB"/>
    <w:rsid w:val="003E6AA2"/>
    <w:rsid w:val="003E727C"/>
    <w:rsid w:val="003F01B0"/>
    <w:rsid w:val="003F1B87"/>
    <w:rsid w:val="003F1C00"/>
    <w:rsid w:val="003F3213"/>
    <w:rsid w:val="003F36CF"/>
    <w:rsid w:val="003F3CF5"/>
    <w:rsid w:val="003F445D"/>
    <w:rsid w:val="003F4956"/>
    <w:rsid w:val="003F4B5C"/>
    <w:rsid w:val="003F61FC"/>
    <w:rsid w:val="003F66FE"/>
    <w:rsid w:val="003F6EFA"/>
    <w:rsid w:val="003F7BCA"/>
    <w:rsid w:val="004006DF"/>
    <w:rsid w:val="00400700"/>
    <w:rsid w:val="00400822"/>
    <w:rsid w:val="00400BFC"/>
    <w:rsid w:val="004011EF"/>
    <w:rsid w:val="004028DA"/>
    <w:rsid w:val="00403394"/>
    <w:rsid w:val="0040394E"/>
    <w:rsid w:val="00404256"/>
    <w:rsid w:val="00404DEA"/>
    <w:rsid w:val="0040503F"/>
    <w:rsid w:val="004057B6"/>
    <w:rsid w:val="00406534"/>
    <w:rsid w:val="00406A62"/>
    <w:rsid w:val="00407A6B"/>
    <w:rsid w:val="00407D47"/>
    <w:rsid w:val="00407FE6"/>
    <w:rsid w:val="0041039E"/>
    <w:rsid w:val="00411724"/>
    <w:rsid w:val="0041189F"/>
    <w:rsid w:val="00411E62"/>
    <w:rsid w:val="00411E66"/>
    <w:rsid w:val="004121E0"/>
    <w:rsid w:val="00413332"/>
    <w:rsid w:val="00413630"/>
    <w:rsid w:val="00413822"/>
    <w:rsid w:val="00413F05"/>
    <w:rsid w:val="004143B2"/>
    <w:rsid w:val="00414440"/>
    <w:rsid w:val="004163F7"/>
    <w:rsid w:val="004165CD"/>
    <w:rsid w:val="004169D2"/>
    <w:rsid w:val="004170A0"/>
    <w:rsid w:val="0041722D"/>
    <w:rsid w:val="00417CFB"/>
    <w:rsid w:val="00421842"/>
    <w:rsid w:val="00421D50"/>
    <w:rsid w:val="00422667"/>
    <w:rsid w:val="00422A68"/>
    <w:rsid w:val="00424006"/>
    <w:rsid w:val="00424217"/>
    <w:rsid w:val="00425248"/>
    <w:rsid w:val="004252B0"/>
    <w:rsid w:val="00425B9C"/>
    <w:rsid w:val="00425FDE"/>
    <w:rsid w:val="0042637D"/>
    <w:rsid w:val="00426DE2"/>
    <w:rsid w:val="00427FC2"/>
    <w:rsid w:val="00430410"/>
    <w:rsid w:val="00430E7D"/>
    <w:rsid w:val="004310D1"/>
    <w:rsid w:val="0043375F"/>
    <w:rsid w:val="00433D4A"/>
    <w:rsid w:val="004340F3"/>
    <w:rsid w:val="0043441C"/>
    <w:rsid w:val="004345E1"/>
    <w:rsid w:val="00434EE2"/>
    <w:rsid w:val="00435667"/>
    <w:rsid w:val="00436342"/>
    <w:rsid w:val="00437408"/>
    <w:rsid w:val="004401A0"/>
    <w:rsid w:val="00440FA5"/>
    <w:rsid w:val="00440FDE"/>
    <w:rsid w:val="0044129B"/>
    <w:rsid w:val="00441A86"/>
    <w:rsid w:val="004421F0"/>
    <w:rsid w:val="004434C7"/>
    <w:rsid w:val="0044374C"/>
    <w:rsid w:val="004438C1"/>
    <w:rsid w:val="004441BF"/>
    <w:rsid w:val="004444FC"/>
    <w:rsid w:val="00444888"/>
    <w:rsid w:val="004449E3"/>
    <w:rsid w:val="00445E8C"/>
    <w:rsid w:val="004478CE"/>
    <w:rsid w:val="004479FA"/>
    <w:rsid w:val="00447BA8"/>
    <w:rsid w:val="004507DC"/>
    <w:rsid w:val="00450FAE"/>
    <w:rsid w:val="004511A0"/>
    <w:rsid w:val="004518A9"/>
    <w:rsid w:val="00451AC6"/>
    <w:rsid w:val="00451E53"/>
    <w:rsid w:val="00452A34"/>
    <w:rsid w:val="00453877"/>
    <w:rsid w:val="00453A84"/>
    <w:rsid w:val="00453EBE"/>
    <w:rsid w:val="004543F2"/>
    <w:rsid w:val="0045469A"/>
    <w:rsid w:val="004547B4"/>
    <w:rsid w:val="00456B0D"/>
    <w:rsid w:val="00460392"/>
    <w:rsid w:val="0046042A"/>
    <w:rsid w:val="00461021"/>
    <w:rsid w:val="004615E0"/>
    <w:rsid w:val="0046325D"/>
    <w:rsid w:val="0046410F"/>
    <w:rsid w:val="004642DF"/>
    <w:rsid w:val="00464387"/>
    <w:rsid w:val="00466260"/>
    <w:rsid w:val="0046653F"/>
    <w:rsid w:val="00466C99"/>
    <w:rsid w:val="00466F7B"/>
    <w:rsid w:val="00467271"/>
    <w:rsid w:val="004673EE"/>
    <w:rsid w:val="00467448"/>
    <w:rsid w:val="00467A83"/>
    <w:rsid w:val="00470B11"/>
    <w:rsid w:val="00470B8A"/>
    <w:rsid w:val="00471F42"/>
    <w:rsid w:val="00472C3F"/>
    <w:rsid w:val="00473B2A"/>
    <w:rsid w:val="00474F35"/>
    <w:rsid w:val="00476E7A"/>
    <w:rsid w:val="004772A8"/>
    <w:rsid w:val="00477639"/>
    <w:rsid w:val="00480FDD"/>
    <w:rsid w:val="00481005"/>
    <w:rsid w:val="0048129B"/>
    <w:rsid w:val="004818D6"/>
    <w:rsid w:val="00482179"/>
    <w:rsid w:val="00482AFC"/>
    <w:rsid w:val="00482B84"/>
    <w:rsid w:val="00483F2D"/>
    <w:rsid w:val="004840F5"/>
    <w:rsid w:val="0048568B"/>
    <w:rsid w:val="0048620E"/>
    <w:rsid w:val="004864E4"/>
    <w:rsid w:val="00486A30"/>
    <w:rsid w:val="00490F11"/>
    <w:rsid w:val="004935ED"/>
    <w:rsid w:val="004936A5"/>
    <w:rsid w:val="00494353"/>
    <w:rsid w:val="00494815"/>
    <w:rsid w:val="004953EE"/>
    <w:rsid w:val="00495957"/>
    <w:rsid w:val="00496140"/>
    <w:rsid w:val="0049715A"/>
    <w:rsid w:val="004A0126"/>
    <w:rsid w:val="004A0231"/>
    <w:rsid w:val="004A0A1E"/>
    <w:rsid w:val="004A0B9B"/>
    <w:rsid w:val="004A115A"/>
    <w:rsid w:val="004A1B3A"/>
    <w:rsid w:val="004A21AA"/>
    <w:rsid w:val="004A325D"/>
    <w:rsid w:val="004A42CB"/>
    <w:rsid w:val="004A4514"/>
    <w:rsid w:val="004A4602"/>
    <w:rsid w:val="004A4D7B"/>
    <w:rsid w:val="004A5CAE"/>
    <w:rsid w:val="004A5FDA"/>
    <w:rsid w:val="004A681C"/>
    <w:rsid w:val="004A6D1D"/>
    <w:rsid w:val="004A7C3A"/>
    <w:rsid w:val="004B0590"/>
    <w:rsid w:val="004B08E1"/>
    <w:rsid w:val="004B3A10"/>
    <w:rsid w:val="004B3B3D"/>
    <w:rsid w:val="004B3EE2"/>
    <w:rsid w:val="004B46D3"/>
    <w:rsid w:val="004B4A8F"/>
    <w:rsid w:val="004B4ABD"/>
    <w:rsid w:val="004B4E3B"/>
    <w:rsid w:val="004B5B22"/>
    <w:rsid w:val="004B7C96"/>
    <w:rsid w:val="004B7FA5"/>
    <w:rsid w:val="004C128A"/>
    <w:rsid w:val="004C158B"/>
    <w:rsid w:val="004C1FAD"/>
    <w:rsid w:val="004C2174"/>
    <w:rsid w:val="004C2425"/>
    <w:rsid w:val="004C294E"/>
    <w:rsid w:val="004C33C6"/>
    <w:rsid w:val="004C38D4"/>
    <w:rsid w:val="004C4347"/>
    <w:rsid w:val="004C5C45"/>
    <w:rsid w:val="004C5FFE"/>
    <w:rsid w:val="004C6C05"/>
    <w:rsid w:val="004C763A"/>
    <w:rsid w:val="004D077A"/>
    <w:rsid w:val="004D1071"/>
    <w:rsid w:val="004D1472"/>
    <w:rsid w:val="004D1FDE"/>
    <w:rsid w:val="004D2344"/>
    <w:rsid w:val="004D2B59"/>
    <w:rsid w:val="004D5626"/>
    <w:rsid w:val="004D7197"/>
    <w:rsid w:val="004D7404"/>
    <w:rsid w:val="004D7B5D"/>
    <w:rsid w:val="004E1438"/>
    <w:rsid w:val="004E1867"/>
    <w:rsid w:val="004E20C5"/>
    <w:rsid w:val="004E23AB"/>
    <w:rsid w:val="004E3241"/>
    <w:rsid w:val="004E3624"/>
    <w:rsid w:val="004E3B17"/>
    <w:rsid w:val="004E467C"/>
    <w:rsid w:val="004E4C58"/>
    <w:rsid w:val="004E57F1"/>
    <w:rsid w:val="004E6852"/>
    <w:rsid w:val="004E6897"/>
    <w:rsid w:val="004E6E23"/>
    <w:rsid w:val="004E7091"/>
    <w:rsid w:val="004E7737"/>
    <w:rsid w:val="004E7CC3"/>
    <w:rsid w:val="004F079B"/>
    <w:rsid w:val="004F07B7"/>
    <w:rsid w:val="004F08C3"/>
    <w:rsid w:val="004F1283"/>
    <w:rsid w:val="004F13FC"/>
    <w:rsid w:val="004F2200"/>
    <w:rsid w:val="004F26E9"/>
    <w:rsid w:val="004F3651"/>
    <w:rsid w:val="004F40F8"/>
    <w:rsid w:val="004F493F"/>
    <w:rsid w:val="004F4BA1"/>
    <w:rsid w:val="004F523A"/>
    <w:rsid w:val="004F5C43"/>
    <w:rsid w:val="004F5DB8"/>
    <w:rsid w:val="004F63FF"/>
    <w:rsid w:val="004F68D0"/>
    <w:rsid w:val="004F6EA6"/>
    <w:rsid w:val="004F746B"/>
    <w:rsid w:val="004F7B6B"/>
    <w:rsid w:val="00500197"/>
    <w:rsid w:val="00501469"/>
    <w:rsid w:val="00501689"/>
    <w:rsid w:val="005026D2"/>
    <w:rsid w:val="0050305A"/>
    <w:rsid w:val="00506053"/>
    <w:rsid w:val="00506253"/>
    <w:rsid w:val="00506673"/>
    <w:rsid w:val="0050707A"/>
    <w:rsid w:val="005070D5"/>
    <w:rsid w:val="005104CA"/>
    <w:rsid w:val="0051105A"/>
    <w:rsid w:val="005112F4"/>
    <w:rsid w:val="00511910"/>
    <w:rsid w:val="00512092"/>
    <w:rsid w:val="00512AB4"/>
    <w:rsid w:val="00512CC1"/>
    <w:rsid w:val="00512F32"/>
    <w:rsid w:val="0051442A"/>
    <w:rsid w:val="00514804"/>
    <w:rsid w:val="005149AF"/>
    <w:rsid w:val="00514A32"/>
    <w:rsid w:val="00515188"/>
    <w:rsid w:val="00517336"/>
    <w:rsid w:val="005173CD"/>
    <w:rsid w:val="00517D0C"/>
    <w:rsid w:val="005202CA"/>
    <w:rsid w:val="00520AA3"/>
    <w:rsid w:val="00520E21"/>
    <w:rsid w:val="0052150E"/>
    <w:rsid w:val="00522B8C"/>
    <w:rsid w:val="00522C4E"/>
    <w:rsid w:val="0052301A"/>
    <w:rsid w:val="00523E52"/>
    <w:rsid w:val="00524F61"/>
    <w:rsid w:val="0052565B"/>
    <w:rsid w:val="00525E14"/>
    <w:rsid w:val="005260CC"/>
    <w:rsid w:val="00526EA3"/>
    <w:rsid w:val="0053243A"/>
    <w:rsid w:val="00532A4A"/>
    <w:rsid w:val="00532B20"/>
    <w:rsid w:val="0053317C"/>
    <w:rsid w:val="005333F1"/>
    <w:rsid w:val="00533B3F"/>
    <w:rsid w:val="00534C5C"/>
    <w:rsid w:val="005354FA"/>
    <w:rsid w:val="00535553"/>
    <w:rsid w:val="00535732"/>
    <w:rsid w:val="0053612A"/>
    <w:rsid w:val="005367D0"/>
    <w:rsid w:val="00537199"/>
    <w:rsid w:val="00537E2C"/>
    <w:rsid w:val="00540110"/>
    <w:rsid w:val="005408AD"/>
    <w:rsid w:val="00541952"/>
    <w:rsid w:val="00542DF8"/>
    <w:rsid w:val="005438EB"/>
    <w:rsid w:val="0054396D"/>
    <w:rsid w:val="005439A7"/>
    <w:rsid w:val="00543CC7"/>
    <w:rsid w:val="0054454F"/>
    <w:rsid w:val="0054549C"/>
    <w:rsid w:val="00545704"/>
    <w:rsid w:val="00545D00"/>
    <w:rsid w:val="00547606"/>
    <w:rsid w:val="00547AEB"/>
    <w:rsid w:val="00547C8A"/>
    <w:rsid w:val="00547F87"/>
    <w:rsid w:val="00551BC4"/>
    <w:rsid w:val="00552614"/>
    <w:rsid w:val="00552664"/>
    <w:rsid w:val="00553483"/>
    <w:rsid w:val="0055398A"/>
    <w:rsid w:val="00553AC7"/>
    <w:rsid w:val="00555300"/>
    <w:rsid w:val="00556543"/>
    <w:rsid w:val="00556696"/>
    <w:rsid w:val="0055694D"/>
    <w:rsid w:val="00557380"/>
    <w:rsid w:val="005575C9"/>
    <w:rsid w:val="00560543"/>
    <w:rsid w:val="00562758"/>
    <w:rsid w:val="00563843"/>
    <w:rsid w:val="00563D04"/>
    <w:rsid w:val="00563F64"/>
    <w:rsid w:val="00564B96"/>
    <w:rsid w:val="00564F0A"/>
    <w:rsid w:val="00564F7A"/>
    <w:rsid w:val="00565124"/>
    <w:rsid w:val="005661A1"/>
    <w:rsid w:val="00566FC3"/>
    <w:rsid w:val="00567281"/>
    <w:rsid w:val="00567A51"/>
    <w:rsid w:val="00567FB2"/>
    <w:rsid w:val="00567FE7"/>
    <w:rsid w:val="00570A83"/>
    <w:rsid w:val="00570A98"/>
    <w:rsid w:val="0057102B"/>
    <w:rsid w:val="005710AE"/>
    <w:rsid w:val="00571C99"/>
    <w:rsid w:val="00572346"/>
    <w:rsid w:val="00572CF0"/>
    <w:rsid w:val="0057458D"/>
    <w:rsid w:val="0057465A"/>
    <w:rsid w:val="0057520E"/>
    <w:rsid w:val="00575529"/>
    <w:rsid w:val="0057594E"/>
    <w:rsid w:val="005762AD"/>
    <w:rsid w:val="005777C5"/>
    <w:rsid w:val="005803FD"/>
    <w:rsid w:val="0058066F"/>
    <w:rsid w:val="00580A99"/>
    <w:rsid w:val="00580B24"/>
    <w:rsid w:val="00581571"/>
    <w:rsid w:val="00581C69"/>
    <w:rsid w:val="00581E62"/>
    <w:rsid w:val="00582180"/>
    <w:rsid w:val="005822B7"/>
    <w:rsid w:val="00582404"/>
    <w:rsid w:val="00582AE8"/>
    <w:rsid w:val="00582CDA"/>
    <w:rsid w:val="0058386C"/>
    <w:rsid w:val="00583FC8"/>
    <w:rsid w:val="005859DB"/>
    <w:rsid w:val="0058628A"/>
    <w:rsid w:val="00586A42"/>
    <w:rsid w:val="005874B0"/>
    <w:rsid w:val="0058758C"/>
    <w:rsid w:val="0058798A"/>
    <w:rsid w:val="00587D52"/>
    <w:rsid w:val="00587D86"/>
    <w:rsid w:val="005909D0"/>
    <w:rsid w:val="00590F73"/>
    <w:rsid w:val="00591067"/>
    <w:rsid w:val="00591D28"/>
    <w:rsid w:val="00592443"/>
    <w:rsid w:val="00592B7A"/>
    <w:rsid w:val="00592C9D"/>
    <w:rsid w:val="0059337C"/>
    <w:rsid w:val="00593960"/>
    <w:rsid w:val="00595C6E"/>
    <w:rsid w:val="005963E0"/>
    <w:rsid w:val="005969D6"/>
    <w:rsid w:val="00596B22"/>
    <w:rsid w:val="00596EBE"/>
    <w:rsid w:val="005A04A5"/>
    <w:rsid w:val="005A0F6E"/>
    <w:rsid w:val="005A13AC"/>
    <w:rsid w:val="005A1BD1"/>
    <w:rsid w:val="005A3BB5"/>
    <w:rsid w:val="005A3F8D"/>
    <w:rsid w:val="005A7868"/>
    <w:rsid w:val="005B01CF"/>
    <w:rsid w:val="005B05BD"/>
    <w:rsid w:val="005B06EE"/>
    <w:rsid w:val="005B0734"/>
    <w:rsid w:val="005B0B90"/>
    <w:rsid w:val="005B15B7"/>
    <w:rsid w:val="005B1F74"/>
    <w:rsid w:val="005B242F"/>
    <w:rsid w:val="005B2FD4"/>
    <w:rsid w:val="005B38F6"/>
    <w:rsid w:val="005B450F"/>
    <w:rsid w:val="005B643C"/>
    <w:rsid w:val="005B6806"/>
    <w:rsid w:val="005B6C84"/>
    <w:rsid w:val="005B6D3D"/>
    <w:rsid w:val="005B779C"/>
    <w:rsid w:val="005C123B"/>
    <w:rsid w:val="005C15E1"/>
    <w:rsid w:val="005C1709"/>
    <w:rsid w:val="005C1BFC"/>
    <w:rsid w:val="005C1E6A"/>
    <w:rsid w:val="005C271A"/>
    <w:rsid w:val="005C2EE9"/>
    <w:rsid w:val="005C36A6"/>
    <w:rsid w:val="005C3BE6"/>
    <w:rsid w:val="005C5A9F"/>
    <w:rsid w:val="005C5D29"/>
    <w:rsid w:val="005C66CD"/>
    <w:rsid w:val="005D1707"/>
    <w:rsid w:val="005D33B4"/>
    <w:rsid w:val="005D3BA7"/>
    <w:rsid w:val="005D453D"/>
    <w:rsid w:val="005D6CC6"/>
    <w:rsid w:val="005D6E92"/>
    <w:rsid w:val="005D76D3"/>
    <w:rsid w:val="005D7965"/>
    <w:rsid w:val="005E021E"/>
    <w:rsid w:val="005E06C8"/>
    <w:rsid w:val="005E153B"/>
    <w:rsid w:val="005E39AF"/>
    <w:rsid w:val="005E3AFE"/>
    <w:rsid w:val="005E3EB3"/>
    <w:rsid w:val="005E43B8"/>
    <w:rsid w:val="005E54B7"/>
    <w:rsid w:val="005E5B0C"/>
    <w:rsid w:val="005E69E4"/>
    <w:rsid w:val="005E72F4"/>
    <w:rsid w:val="005F088A"/>
    <w:rsid w:val="005F0E27"/>
    <w:rsid w:val="005F117D"/>
    <w:rsid w:val="005F1579"/>
    <w:rsid w:val="005F24B2"/>
    <w:rsid w:val="005F2568"/>
    <w:rsid w:val="005F2DE1"/>
    <w:rsid w:val="005F3680"/>
    <w:rsid w:val="005F3804"/>
    <w:rsid w:val="005F4D61"/>
    <w:rsid w:val="005F6DBF"/>
    <w:rsid w:val="005F726B"/>
    <w:rsid w:val="005F7C07"/>
    <w:rsid w:val="00600D4E"/>
    <w:rsid w:val="00601633"/>
    <w:rsid w:val="00602176"/>
    <w:rsid w:val="00603091"/>
    <w:rsid w:val="006030DD"/>
    <w:rsid w:val="00604999"/>
    <w:rsid w:val="006058C7"/>
    <w:rsid w:val="006071A7"/>
    <w:rsid w:val="0060762A"/>
    <w:rsid w:val="006102AE"/>
    <w:rsid w:val="006103B7"/>
    <w:rsid w:val="00610BFB"/>
    <w:rsid w:val="00610DBE"/>
    <w:rsid w:val="00611E68"/>
    <w:rsid w:val="00612AA5"/>
    <w:rsid w:val="00612EB7"/>
    <w:rsid w:val="0061400F"/>
    <w:rsid w:val="00615147"/>
    <w:rsid w:val="00616502"/>
    <w:rsid w:val="00616638"/>
    <w:rsid w:val="00616B06"/>
    <w:rsid w:val="0061739B"/>
    <w:rsid w:val="006174F9"/>
    <w:rsid w:val="0061755B"/>
    <w:rsid w:val="00617D45"/>
    <w:rsid w:val="00617D61"/>
    <w:rsid w:val="00620279"/>
    <w:rsid w:val="0062050A"/>
    <w:rsid w:val="006214B2"/>
    <w:rsid w:val="00622903"/>
    <w:rsid w:val="00622B15"/>
    <w:rsid w:val="006234E5"/>
    <w:rsid w:val="00623F69"/>
    <w:rsid w:val="0062411D"/>
    <w:rsid w:val="00624FF3"/>
    <w:rsid w:val="0062581C"/>
    <w:rsid w:val="00625845"/>
    <w:rsid w:val="00626DE2"/>
    <w:rsid w:val="006306D0"/>
    <w:rsid w:val="00630A65"/>
    <w:rsid w:val="00630CCE"/>
    <w:rsid w:val="0063150D"/>
    <w:rsid w:val="00631ECA"/>
    <w:rsid w:val="006330D3"/>
    <w:rsid w:val="00634643"/>
    <w:rsid w:val="00634F4B"/>
    <w:rsid w:val="006356AB"/>
    <w:rsid w:val="006356BF"/>
    <w:rsid w:val="0063627D"/>
    <w:rsid w:val="00636414"/>
    <w:rsid w:val="006407A7"/>
    <w:rsid w:val="00640AC3"/>
    <w:rsid w:val="00641057"/>
    <w:rsid w:val="0064231C"/>
    <w:rsid w:val="00642BA1"/>
    <w:rsid w:val="006432B0"/>
    <w:rsid w:val="006437AC"/>
    <w:rsid w:val="00644AF6"/>
    <w:rsid w:val="006454E3"/>
    <w:rsid w:val="00645DF0"/>
    <w:rsid w:val="006460DB"/>
    <w:rsid w:val="0064643F"/>
    <w:rsid w:val="0064667F"/>
    <w:rsid w:val="00647BBE"/>
    <w:rsid w:val="00647CAE"/>
    <w:rsid w:val="00650AEA"/>
    <w:rsid w:val="00650E61"/>
    <w:rsid w:val="00652CE0"/>
    <w:rsid w:val="00652D5F"/>
    <w:rsid w:val="00653857"/>
    <w:rsid w:val="0065391A"/>
    <w:rsid w:val="00653DE6"/>
    <w:rsid w:val="006540C2"/>
    <w:rsid w:val="006546AD"/>
    <w:rsid w:val="0065473D"/>
    <w:rsid w:val="00654C32"/>
    <w:rsid w:val="00655A5D"/>
    <w:rsid w:val="00655C54"/>
    <w:rsid w:val="00655FC0"/>
    <w:rsid w:val="006567F3"/>
    <w:rsid w:val="00656B8F"/>
    <w:rsid w:val="00657746"/>
    <w:rsid w:val="00657C85"/>
    <w:rsid w:val="00662126"/>
    <w:rsid w:val="0066244E"/>
    <w:rsid w:val="00664D92"/>
    <w:rsid w:val="00664DC5"/>
    <w:rsid w:val="006651EA"/>
    <w:rsid w:val="00665491"/>
    <w:rsid w:val="00665822"/>
    <w:rsid w:val="00665DDE"/>
    <w:rsid w:val="0066718A"/>
    <w:rsid w:val="00667402"/>
    <w:rsid w:val="006674D5"/>
    <w:rsid w:val="0067022C"/>
    <w:rsid w:val="0067072D"/>
    <w:rsid w:val="00670A3B"/>
    <w:rsid w:val="00670F3B"/>
    <w:rsid w:val="00671379"/>
    <w:rsid w:val="00671412"/>
    <w:rsid w:val="0067167B"/>
    <w:rsid w:val="00671804"/>
    <w:rsid w:val="006732A7"/>
    <w:rsid w:val="006736DE"/>
    <w:rsid w:val="00673AB9"/>
    <w:rsid w:val="00673BED"/>
    <w:rsid w:val="00673F6D"/>
    <w:rsid w:val="0067489B"/>
    <w:rsid w:val="006757CA"/>
    <w:rsid w:val="00675D64"/>
    <w:rsid w:val="0067631C"/>
    <w:rsid w:val="00676F10"/>
    <w:rsid w:val="006779D6"/>
    <w:rsid w:val="00680968"/>
    <w:rsid w:val="006810C6"/>
    <w:rsid w:val="006812B4"/>
    <w:rsid w:val="006812F6"/>
    <w:rsid w:val="006813B8"/>
    <w:rsid w:val="00681BCA"/>
    <w:rsid w:val="00683FF1"/>
    <w:rsid w:val="00684469"/>
    <w:rsid w:val="006847FA"/>
    <w:rsid w:val="00685EB1"/>
    <w:rsid w:val="006877F0"/>
    <w:rsid w:val="00690526"/>
    <w:rsid w:val="00691495"/>
    <w:rsid w:val="00691F9D"/>
    <w:rsid w:val="0069233C"/>
    <w:rsid w:val="00692349"/>
    <w:rsid w:val="006923EA"/>
    <w:rsid w:val="00692B6C"/>
    <w:rsid w:val="006930CC"/>
    <w:rsid w:val="006933D3"/>
    <w:rsid w:val="006941FD"/>
    <w:rsid w:val="006951BE"/>
    <w:rsid w:val="006954FE"/>
    <w:rsid w:val="00697070"/>
    <w:rsid w:val="00697FB0"/>
    <w:rsid w:val="006A083A"/>
    <w:rsid w:val="006A09C3"/>
    <w:rsid w:val="006A0F78"/>
    <w:rsid w:val="006A17F4"/>
    <w:rsid w:val="006A25E2"/>
    <w:rsid w:val="006A2D2A"/>
    <w:rsid w:val="006A2E9B"/>
    <w:rsid w:val="006A34D4"/>
    <w:rsid w:val="006A3DEC"/>
    <w:rsid w:val="006A55C8"/>
    <w:rsid w:val="006A5AFD"/>
    <w:rsid w:val="006A5F90"/>
    <w:rsid w:val="006A663B"/>
    <w:rsid w:val="006A7BFE"/>
    <w:rsid w:val="006A7DFA"/>
    <w:rsid w:val="006B04D0"/>
    <w:rsid w:val="006B0777"/>
    <w:rsid w:val="006B29A4"/>
    <w:rsid w:val="006B31B5"/>
    <w:rsid w:val="006B32D3"/>
    <w:rsid w:val="006B3408"/>
    <w:rsid w:val="006B3D05"/>
    <w:rsid w:val="006B44D3"/>
    <w:rsid w:val="006B51F1"/>
    <w:rsid w:val="006B6112"/>
    <w:rsid w:val="006B6289"/>
    <w:rsid w:val="006B6C33"/>
    <w:rsid w:val="006C018C"/>
    <w:rsid w:val="006C0667"/>
    <w:rsid w:val="006C0AB4"/>
    <w:rsid w:val="006C0F9B"/>
    <w:rsid w:val="006C10DC"/>
    <w:rsid w:val="006C1BF9"/>
    <w:rsid w:val="006C1CB0"/>
    <w:rsid w:val="006C3383"/>
    <w:rsid w:val="006C3440"/>
    <w:rsid w:val="006C414C"/>
    <w:rsid w:val="006C4671"/>
    <w:rsid w:val="006C4A6A"/>
    <w:rsid w:val="006C512D"/>
    <w:rsid w:val="006C5AA8"/>
    <w:rsid w:val="006C6784"/>
    <w:rsid w:val="006C6E9C"/>
    <w:rsid w:val="006C739D"/>
    <w:rsid w:val="006D0C13"/>
    <w:rsid w:val="006D2089"/>
    <w:rsid w:val="006D239A"/>
    <w:rsid w:val="006D2556"/>
    <w:rsid w:val="006D2A8D"/>
    <w:rsid w:val="006D3036"/>
    <w:rsid w:val="006D366F"/>
    <w:rsid w:val="006D3A18"/>
    <w:rsid w:val="006D3B88"/>
    <w:rsid w:val="006D4332"/>
    <w:rsid w:val="006D4AC5"/>
    <w:rsid w:val="006D4E16"/>
    <w:rsid w:val="006D55E4"/>
    <w:rsid w:val="006D63F5"/>
    <w:rsid w:val="006D67DA"/>
    <w:rsid w:val="006D7BE7"/>
    <w:rsid w:val="006E167F"/>
    <w:rsid w:val="006E1749"/>
    <w:rsid w:val="006E29D8"/>
    <w:rsid w:val="006E2B07"/>
    <w:rsid w:val="006E461F"/>
    <w:rsid w:val="006E4E3C"/>
    <w:rsid w:val="006E5247"/>
    <w:rsid w:val="006E53C6"/>
    <w:rsid w:val="006E6E44"/>
    <w:rsid w:val="006F0C62"/>
    <w:rsid w:val="006F0D4F"/>
    <w:rsid w:val="006F3A82"/>
    <w:rsid w:val="006F3B7E"/>
    <w:rsid w:val="006F4073"/>
    <w:rsid w:val="006F4316"/>
    <w:rsid w:val="006F6C11"/>
    <w:rsid w:val="006F7555"/>
    <w:rsid w:val="00700014"/>
    <w:rsid w:val="00703F8E"/>
    <w:rsid w:val="00704577"/>
    <w:rsid w:val="00704DE3"/>
    <w:rsid w:val="00705466"/>
    <w:rsid w:val="00705528"/>
    <w:rsid w:val="007057BC"/>
    <w:rsid w:val="00705D28"/>
    <w:rsid w:val="00705E3B"/>
    <w:rsid w:val="00707B20"/>
    <w:rsid w:val="00710562"/>
    <w:rsid w:val="0071089F"/>
    <w:rsid w:val="00710FF7"/>
    <w:rsid w:val="00711178"/>
    <w:rsid w:val="007121AF"/>
    <w:rsid w:val="00712313"/>
    <w:rsid w:val="00712C3E"/>
    <w:rsid w:val="007131BB"/>
    <w:rsid w:val="00713801"/>
    <w:rsid w:val="00713FFC"/>
    <w:rsid w:val="00714855"/>
    <w:rsid w:val="00715368"/>
    <w:rsid w:val="00715F75"/>
    <w:rsid w:val="0071609D"/>
    <w:rsid w:val="007165AC"/>
    <w:rsid w:val="00717215"/>
    <w:rsid w:val="00717B06"/>
    <w:rsid w:val="00717C09"/>
    <w:rsid w:val="00721EC7"/>
    <w:rsid w:val="00721F35"/>
    <w:rsid w:val="007223C2"/>
    <w:rsid w:val="00722A73"/>
    <w:rsid w:val="00722D33"/>
    <w:rsid w:val="00722D38"/>
    <w:rsid w:val="00722DFA"/>
    <w:rsid w:val="007230F6"/>
    <w:rsid w:val="00723227"/>
    <w:rsid w:val="0072394A"/>
    <w:rsid w:val="007257C4"/>
    <w:rsid w:val="00725F1D"/>
    <w:rsid w:val="00727BEC"/>
    <w:rsid w:val="0073183A"/>
    <w:rsid w:val="00732488"/>
    <w:rsid w:val="007330CB"/>
    <w:rsid w:val="007336F7"/>
    <w:rsid w:val="007338A3"/>
    <w:rsid w:val="007342F4"/>
    <w:rsid w:val="0073462F"/>
    <w:rsid w:val="00734784"/>
    <w:rsid w:val="00734D6A"/>
    <w:rsid w:val="00735297"/>
    <w:rsid w:val="007355A9"/>
    <w:rsid w:val="0073613F"/>
    <w:rsid w:val="007364A5"/>
    <w:rsid w:val="00736848"/>
    <w:rsid w:val="00736FE0"/>
    <w:rsid w:val="00737406"/>
    <w:rsid w:val="00737DD8"/>
    <w:rsid w:val="00740D77"/>
    <w:rsid w:val="00741058"/>
    <w:rsid w:val="0074172B"/>
    <w:rsid w:val="00741B74"/>
    <w:rsid w:val="00741E3D"/>
    <w:rsid w:val="0074208F"/>
    <w:rsid w:val="00742385"/>
    <w:rsid w:val="00743130"/>
    <w:rsid w:val="007438E5"/>
    <w:rsid w:val="0074447C"/>
    <w:rsid w:val="0074509B"/>
    <w:rsid w:val="0074628E"/>
    <w:rsid w:val="007466D7"/>
    <w:rsid w:val="00746B96"/>
    <w:rsid w:val="00747E8C"/>
    <w:rsid w:val="00750878"/>
    <w:rsid w:val="00750F23"/>
    <w:rsid w:val="00750F8C"/>
    <w:rsid w:val="007512C3"/>
    <w:rsid w:val="007554F7"/>
    <w:rsid w:val="00755660"/>
    <w:rsid w:val="00755868"/>
    <w:rsid w:val="00755F22"/>
    <w:rsid w:val="007561A5"/>
    <w:rsid w:val="00756841"/>
    <w:rsid w:val="00756D4C"/>
    <w:rsid w:val="0075710D"/>
    <w:rsid w:val="00757625"/>
    <w:rsid w:val="00757C20"/>
    <w:rsid w:val="007609C0"/>
    <w:rsid w:val="00760EF2"/>
    <w:rsid w:val="00760F68"/>
    <w:rsid w:val="007620CC"/>
    <w:rsid w:val="0076294F"/>
    <w:rsid w:val="00762B27"/>
    <w:rsid w:val="007633F6"/>
    <w:rsid w:val="00765952"/>
    <w:rsid w:val="0076613D"/>
    <w:rsid w:val="0076674A"/>
    <w:rsid w:val="00766EAF"/>
    <w:rsid w:val="00770803"/>
    <w:rsid w:val="00770FEE"/>
    <w:rsid w:val="00772335"/>
    <w:rsid w:val="00772555"/>
    <w:rsid w:val="00772766"/>
    <w:rsid w:val="00772A0D"/>
    <w:rsid w:val="00774114"/>
    <w:rsid w:val="00774171"/>
    <w:rsid w:val="00774275"/>
    <w:rsid w:val="00775B44"/>
    <w:rsid w:val="00775D89"/>
    <w:rsid w:val="00780061"/>
    <w:rsid w:val="00780504"/>
    <w:rsid w:val="00780969"/>
    <w:rsid w:val="00780A9F"/>
    <w:rsid w:val="00782713"/>
    <w:rsid w:val="00783062"/>
    <w:rsid w:val="007838DB"/>
    <w:rsid w:val="00783AE6"/>
    <w:rsid w:val="00784438"/>
    <w:rsid w:val="00784F60"/>
    <w:rsid w:val="00785196"/>
    <w:rsid w:val="0078571F"/>
    <w:rsid w:val="007870FF"/>
    <w:rsid w:val="00787233"/>
    <w:rsid w:val="007906A5"/>
    <w:rsid w:val="00791286"/>
    <w:rsid w:val="007915A6"/>
    <w:rsid w:val="00791995"/>
    <w:rsid w:val="00792858"/>
    <w:rsid w:val="007928C7"/>
    <w:rsid w:val="00794162"/>
    <w:rsid w:val="0079458B"/>
    <w:rsid w:val="00794919"/>
    <w:rsid w:val="0079544A"/>
    <w:rsid w:val="00795F93"/>
    <w:rsid w:val="00796BBF"/>
    <w:rsid w:val="00796F64"/>
    <w:rsid w:val="00797069"/>
    <w:rsid w:val="00797CA5"/>
    <w:rsid w:val="00797FAE"/>
    <w:rsid w:val="00797FB2"/>
    <w:rsid w:val="007A0806"/>
    <w:rsid w:val="007A1DB7"/>
    <w:rsid w:val="007A20F4"/>
    <w:rsid w:val="007A20F6"/>
    <w:rsid w:val="007A3F03"/>
    <w:rsid w:val="007A402B"/>
    <w:rsid w:val="007A48B0"/>
    <w:rsid w:val="007A5138"/>
    <w:rsid w:val="007A5212"/>
    <w:rsid w:val="007A5306"/>
    <w:rsid w:val="007A64FA"/>
    <w:rsid w:val="007A657D"/>
    <w:rsid w:val="007A70F9"/>
    <w:rsid w:val="007A7D50"/>
    <w:rsid w:val="007B1157"/>
    <w:rsid w:val="007B2593"/>
    <w:rsid w:val="007B2813"/>
    <w:rsid w:val="007B2B42"/>
    <w:rsid w:val="007B35F7"/>
    <w:rsid w:val="007B444F"/>
    <w:rsid w:val="007B521A"/>
    <w:rsid w:val="007B6417"/>
    <w:rsid w:val="007B6BF8"/>
    <w:rsid w:val="007B73AE"/>
    <w:rsid w:val="007B7BC7"/>
    <w:rsid w:val="007B7E90"/>
    <w:rsid w:val="007C067B"/>
    <w:rsid w:val="007C07AD"/>
    <w:rsid w:val="007C1237"/>
    <w:rsid w:val="007C172A"/>
    <w:rsid w:val="007C2553"/>
    <w:rsid w:val="007C30E9"/>
    <w:rsid w:val="007C405F"/>
    <w:rsid w:val="007C4E7A"/>
    <w:rsid w:val="007C5432"/>
    <w:rsid w:val="007C564C"/>
    <w:rsid w:val="007C5B00"/>
    <w:rsid w:val="007C7CA6"/>
    <w:rsid w:val="007D0CC4"/>
    <w:rsid w:val="007D0E8E"/>
    <w:rsid w:val="007D2822"/>
    <w:rsid w:val="007D308B"/>
    <w:rsid w:val="007D41A6"/>
    <w:rsid w:val="007D42F2"/>
    <w:rsid w:val="007D4A33"/>
    <w:rsid w:val="007D65CB"/>
    <w:rsid w:val="007D74FE"/>
    <w:rsid w:val="007D779B"/>
    <w:rsid w:val="007D7890"/>
    <w:rsid w:val="007D7A5A"/>
    <w:rsid w:val="007E0B40"/>
    <w:rsid w:val="007E146F"/>
    <w:rsid w:val="007E16B9"/>
    <w:rsid w:val="007E1EDD"/>
    <w:rsid w:val="007E2828"/>
    <w:rsid w:val="007E292E"/>
    <w:rsid w:val="007E36B0"/>
    <w:rsid w:val="007E3FE9"/>
    <w:rsid w:val="007E5A69"/>
    <w:rsid w:val="007E6048"/>
    <w:rsid w:val="007E7396"/>
    <w:rsid w:val="007E78F6"/>
    <w:rsid w:val="007F0118"/>
    <w:rsid w:val="007F02DC"/>
    <w:rsid w:val="007F0B92"/>
    <w:rsid w:val="007F0F39"/>
    <w:rsid w:val="007F0F6F"/>
    <w:rsid w:val="007F247E"/>
    <w:rsid w:val="007F3220"/>
    <w:rsid w:val="007F3E3F"/>
    <w:rsid w:val="007F4C0A"/>
    <w:rsid w:val="007F5345"/>
    <w:rsid w:val="007F54A7"/>
    <w:rsid w:val="007F6F07"/>
    <w:rsid w:val="007F7392"/>
    <w:rsid w:val="007F75E4"/>
    <w:rsid w:val="007F779B"/>
    <w:rsid w:val="007F7D13"/>
    <w:rsid w:val="007F7E05"/>
    <w:rsid w:val="00801B60"/>
    <w:rsid w:val="00801BC8"/>
    <w:rsid w:val="00801FDE"/>
    <w:rsid w:val="00802D65"/>
    <w:rsid w:val="00803337"/>
    <w:rsid w:val="008033A2"/>
    <w:rsid w:val="008035F7"/>
    <w:rsid w:val="008037E0"/>
    <w:rsid w:val="00803E8B"/>
    <w:rsid w:val="008047E1"/>
    <w:rsid w:val="00805D5E"/>
    <w:rsid w:val="0081073F"/>
    <w:rsid w:val="00810E8B"/>
    <w:rsid w:val="00811692"/>
    <w:rsid w:val="00811D73"/>
    <w:rsid w:val="00811DF4"/>
    <w:rsid w:val="008122C5"/>
    <w:rsid w:val="00812AA3"/>
    <w:rsid w:val="00813E8E"/>
    <w:rsid w:val="00814061"/>
    <w:rsid w:val="00814EA1"/>
    <w:rsid w:val="00815C94"/>
    <w:rsid w:val="00815E20"/>
    <w:rsid w:val="0081641E"/>
    <w:rsid w:val="00817BAE"/>
    <w:rsid w:val="00820C04"/>
    <w:rsid w:val="00820D2E"/>
    <w:rsid w:val="00820F0A"/>
    <w:rsid w:val="0082152B"/>
    <w:rsid w:val="00821C0B"/>
    <w:rsid w:val="0082225C"/>
    <w:rsid w:val="00822408"/>
    <w:rsid w:val="008232FE"/>
    <w:rsid w:val="008234B7"/>
    <w:rsid w:val="00823907"/>
    <w:rsid w:val="00823A8F"/>
    <w:rsid w:val="00824000"/>
    <w:rsid w:val="00824009"/>
    <w:rsid w:val="0082404D"/>
    <w:rsid w:val="00824DFD"/>
    <w:rsid w:val="00825BB4"/>
    <w:rsid w:val="00826010"/>
    <w:rsid w:val="00830931"/>
    <w:rsid w:val="00832AED"/>
    <w:rsid w:val="00832CBB"/>
    <w:rsid w:val="00832EC3"/>
    <w:rsid w:val="0083351E"/>
    <w:rsid w:val="008342DD"/>
    <w:rsid w:val="00834701"/>
    <w:rsid w:val="0083527A"/>
    <w:rsid w:val="0083579D"/>
    <w:rsid w:val="00835B1D"/>
    <w:rsid w:val="00835D11"/>
    <w:rsid w:val="00835E06"/>
    <w:rsid w:val="00836216"/>
    <w:rsid w:val="00836270"/>
    <w:rsid w:val="0083726E"/>
    <w:rsid w:val="00837963"/>
    <w:rsid w:val="00840635"/>
    <w:rsid w:val="00840683"/>
    <w:rsid w:val="00840929"/>
    <w:rsid w:val="00840D1C"/>
    <w:rsid w:val="00841917"/>
    <w:rsid w:val="008423C8"/>
    <w:rsid w:val="00843807"/>
    <w:rsid w:val="0084399F"/>
    <w:rsid w:val="00844CAE"/>
    <w:rsid w:val="00845672"/>
    <w:rsid w:val="00846C0B"/>
    <w:rsid w:val="00847F8B"/>
    <w:rsid w:val="0085018E"/>
    <w:rsid w:val="0085041E"/>
    <w:rsid w:val="00850ECD"/>
    <w:rsid w:val="00851582"/>
    <w:rsid w:val="00852AD9"/>
    <w:rsid w:val="00852E6A"/>
    <w:rsid w:val="00853088"/>
    <w:rsid w:val="00853424"/>
    <w:rsid w:val="00853D3B"/>
    <w:rsid w:val="00854371"/>
    <w:rsid w:val="008545F3"/>
    <w:rsid w:val="008554E6"/>
    <w:rsid w:val="0085671F"/>
    <w:rsid w:val="00857594"/>
    <w:rsid w:val="0085776B"/>
    <w:rsid w:val="00857791"/>
    <w:rsid w:val="00860224"/>
    <w:rsid w:val="008603D9"/>
    <w:rsid w:val="008603DD"/>
    <w:rsid w:val="008603FE"/>
    <w:rsid w:val="0086106B"/>
    <w:rsid w:val="00861112"/>
    <w:rsid w:val="00861783"/>
    <w:rsid w:val="00862421"/>
    <w:rsid w:val="00864266"/>
    <w:rsid w:val="008647BF"/>
    <w:rsid w:val="00865DD8"/>
    <w:rsid w:val="00866C39"/>
    <w:rsid w:val="00866F89"/>
    <w:rsid w:val="00867057"/>
    <w:rsid w:val="00870D1C"/>
    <w:rsid w:val="00870DFD"/>
    <w:rsid w:val="0087158D"/>
    <w:rsid w:val="008717AC"/>
    <w:rsid w:val="008723A0"/>
    <w:rsid w:val="00872CAC"/>
    <w:rsid w:val="008734A2"/>
    <w:rsid w:val="0087438D"/>
    <w:rsid w:val="0087559B"/>
    <w:rsid w:val="00875822"/>
    <w:rsid w:val="008765F5"/>
    <w:rsid w:val="00876D83"/>
    <w:rsid w:val="00877F72"/>
    <w:rsid w:val="00880167"/>
    <w:rsid w:val="00880BA9"/>
    <w:rsid w:val="00881041"/>
    <w:rsid w:val="0088119D"/>
    <w:rsid w:val="00885314"/>
    <w:rsid w:val="00885C6B"/>
    <w:rsid w:val="00885D88"/>
    <w:rsid w:val="00886582"/>
    <w:rsid w:val="008870D7"/>
    <w:rsid w:val="008875B0"/>
    <w:rsid w:val="00887741"/>
    <w:rsid w:val="00887843"/>
    <w:rsid w:val="00887AFB"/>
    <w:rsid w:val="00891D2B"/>
    <w:rsid w:val="0089263F"/>
    <w:rsid w:val="008927EB"/>
    <w:rsid w:val="0089325D"/>
    <w:rsid w:val="00893F47"/>
    <w:rsid w:val="00894124"/>
    <w:rsid w:val="0089430B"/>
    <w:rsid w:val="008967C5"/>
    <w:rsid w:val="00896952"/>
    <w:rsid w:val="00896C60"/>
    <w:rsid w:val="00897126"/>
    <w:rsid w:val="00897977"/>
    <w:rsid w:val="00897F8E"/>
    <w:rsid w:val="008A01C5"/>
    <w:rsid w:val="008A079E"/>
    <w:rsid w:val="008A10B8"/>
    <w:rsid w:val="008A1243"/>
    <w:rsid w:val="008A1727"/>
    <w:rsid w:val="008A2D4C"/>
    <w:rsid w:val="008A3468"/>
    <w:rsid w:val="008A379A"/>
    <w:rsid w:val="008A46B5"/>
    <w:rsid w:val="008A46F6"/>
    <w:rsid w:val="008A47AE"/>
    <w:rsid w:val="008A562E"/>
    <w:rsid w:val="008A58D5"/>
    <w:rsid w:val="008A67A1"/>
    <w:rsid w:val="008A75E3"/>
    <w:rsid w:val="008B0730"/>
    <w:rsid w:val="008B0C64"/>
    <w:rsid w:val="008B122E"/>
    <w:rsid w:val="008B1272"/>
    <w:rsid w:val="008B1992"/>
    <w:rsid w:val="008B4C6E"/>
    <w:rsid w:val="008B52E7"/>
    <w:rsid w:val="008B57E3"/>
    <w:rsid w:val="008B5CD5"/>
    <w:rsid w:val="008B6201"/>
    <w:rsid w:val="008B6FFF"/>
    <w:rsid w:val="008B7350"/>
    <w:rsid w:val="008B7BD0"/>
    <w:rsid w:val="008C00A9"/>
    <w:rsid w:val="008C0E95"/>
    <w:rsid w:val="008C1345"/>
    <w:rsid w:val="008C1A92"/>
    <w:rsid w:val="008C333F"/>
    <w:rsid w:val="008C3AA4"/>
    <w:rsid w:val="008C3D16"/>
    <w:rsid w:val="008C3F53"/>
    <w:rsid w:val="008C4151"/>
    <w:rsid w:val="008C4EB5"/>
    <w:rsid w:val="008C56B1"/>
    <w:rsid w:val="008C5A9E"/>
    <w:rsid w:val="008C5C93"/>
    <w:rsid w:val="008C6F1E"/>
    <w:rsid w:val="008C7271"/>
    <w:rsid w:val="008C7592"/>
    <w:rsid w:val="008C7992"/>
    <w:rsid w:val="008D0A41"/>
    <w:rsid w:val="008D0D9B"/>
    <w:rsid w:val="008D179C"/>
    <w:rsid w:val="008D1C86"/>
    <w:rsid w:val="008D1D33"/>
    <w:rsid w:val="008D2FD0"/>
    <w:rsid w:val="008D3521"/>
    <w:rsid w:val="008D363A"/>
    <w:rsid w:val="008D3F13"/>
    <w:rsid w:val="008D5C0B"/>
    <w:rsid w:val="008D5EB6"/>
    <w:rsid w:val="008D6C83"/>
    <w:rsid w:val="008E0C27"/>
    <w:rsid w:val="008E0D92"/>
    <w:rsid w:val="008E0E82"/>
    <w:rsid w:val="008E1CDB"/>
    <w:rsid w:val="008E2C2B"/>
    <w:rsid w:val="008E33ED"/>
    <w:rsid w:val="008E3490"/>
    <w:rsid w:val="008E40C5"/>
    <w:rsid w:val="008E44BB"/>
    <w:rsid w:val="008E5402"/>
    <w:rsid w:val="008E6024"/>
    <w:rsid w:val="008E656D"/>
    <w:rsid w:val="008E7557"/>
    <w:rsid w:val="008E7D9F"/>
    <w:rsid w:val="008F03AD"/>
    <w:rsid w:val="008F048D"/>
    <w:rsid w:val="008F1302"/>
    <w:rsid w:val="008F2227"/>
    <w:rsid w:val="008F2AED"/>
    <w:rsid w:val="008F2ECA"/>
    <w:rsid w:val="008F3A15"/>
    <w:rsid w:val="008F3E58"/>
    <w:rsid w:val="008F4249"/>
    <w:rsid w:val="008F45A1"/>
    <w:rsid w:val="008F5072"/>
    <w:rsid w:val="008F65BB"/>
    <w:rsid w:val="008F6803"/>
    <w:rsid w:val="008F78AE"/>
    <w:rsid w:val="00900123"/>
    <w:rsid w:val="00900748"/>
    <w:rsid w:val="00900DBE"/>
    <w:rsid w:val="009010F2"/>
    <w:rsid w:val="009034A7"/>
    <w:rsid w:val="00904267"/>
    <w:rsid w:val="00904CC5"/>
    <w:rsid w:val="009053DF"/>
    <w:rsid w:val="0090553E"/>
    <w:rsid w:val="00905E04"/>
    <w:rsid w:val="0090746D"/>
    <w:rsid w:val="00907793"/>
    <w:rsid w:val="00910EC1"/>
    <w:rsid w:val="009114B5"/>
    <w:rsid w:val="009127E6"/>
    <w:rsid w:val="00916183"/>
    <w:rsid w:val="0091644B"/>
    <w:rsid w:val="00920F0C"/>
    <w:rsid w:val="0092195B"/>
    <w:rsid w:val="0092257D"/>
    <w:rsid w:val="009235F0"/>
    <w:rsid w:val="00924243"/>
    <w:rsid w:val="009243A8"/>
    <w:rsid w:val="00924B08"/>
    <w:rsid w:val="00924D2C"/>
    <w:rsid w:val="00925218"/>
    <w:rsid w:val="00925459"/>
    <w:rsid w:val="00925AE3"/>
    <w:rsid w:val="00926989"/>
    <w:rsid w:val="009279D0"/>
    <w:rsid w:val="00927E47"/>
    <w:rsid w:val="00927F7C"/>
    <w:rsid w:val="009300E1"/>
    <w:rsid w:val="009310B3"/>
    <w:rsid w:val="00931195"/>
    <w:rsid w:val="00931924"/>
    <w:rsid w:val="009324BC"/>
    <w:rsid w:val="00933799"/>
    <w:rsid w:val="00933A1D"/>
    <w:rsid w:val="00933BA9"/>
    <w:rsid w:val="00933C9B"/>
    <w:rsid w:val="00934AC6"/>
    <w:rsid w:val="0093508D"/>
    <w:rsid w:val="009356C1"/>
    <w:rsid w:val="009360BE"/>
    <w:rsid w:val="00936AF1"/>
    <w:rsid w:val="00937C93"/>
    <w:rsid w:val="00940642"/>
    <w:rsid w:val="009408B4"/>
    <w:rsid w:val="00941BD7"/>
    <w:rsid w:val="00941D93"/>
    <w:rsid w:val="00942B32"/>
    <w:rsid w:val="00942D30"/>
    <w:rsid w:val="0094378B"/>
    <w:rsid w:val="0094403C"/>
    <w:rsid w:val="0094409F"/>
    <w:rsid w:val="0094462E"/>
    <w:rsid w:val="0094594B"/>
    <w:rsid w:val="00945F0F"/>
    <w:rsid w:val="0094650F"/>
    <w:rsid w:val="00946ECA"/>
    <w:rsid w:val="00946EEA"/>
    <w:rsid w:val="009470BD"/>
    <w:rsid w:val="00947545"/>
    <w:rsid w:val="00947848"/>
    <w:rsid w:val="00947AAC"/>
    <w:rsid w:val="00950107"/>
    <w:rsid w:val="00950399"/>
    <w:rsid w:val="00950594"/>
    <w:rsid w:val="00950F23"/>
    <w:rsid w:val="009514FC"/>
    <w:rsid w:val="00951A85"/>
    <w:rsid w:val="00952B0B"/>
    <w:rsid w:val="0095373F"/>
    <w:rsid w:val="00953BA8"/>
    <w:rsid w:val="0095497E"/>
    <w:rsid w:val="00955080"/>
    <w:rsid w:val="009551F8"/>
    <w:rsid w:val="0095574B"/>
    <w:rsid w:val="0095646C"/>
    <w:rsid w:val="00956D2F"/>
    <w:rsid w:val="00957058"/>
    <w:rsid w:val="009575DF"/>
    <w:rsid w:val="00957716"/>
    <w:rsid w:val="009577F8"/>
    <w:rsid w:val="00957995"/>
    <w:rsid w:val="00960D77"/>
    <w:rsid w:val="00961045"/>
    <w:rsid w:val="00962295"/>
    <w:rsid w:val="0096277C"/>
    <w:rsid w:val="00962EFA"/>
    <w:rsid w:val="00963196"/>
    <w:rsid w:val="00964949"/>
    <w:rsid w:val="009654BA"/>
    <w:rsid w:val="00965786"/>
    <w:rsid w:val="009665BC"/>
    <w:rsid w:val="00966A6C"/>
    <w:rsid w:val="00966EA3"/>
    <w:rsid w:val="00967757"/>
    <w:rsid w:val="00970ABF"/>
    <w:rsid w:val="009722F8"/>
    <w:rsid w:val="00972F6D"/>
    <w:rsid w:val="00973517"/>
    <w:rsid w:val="00973C04"/>
    <w:rsid w:val="0097481F"/>
    <w:rsid w:val="0097512B"/>
    <w:rsid w:val="0097558D"/>
    <w:rsid w:val="00976D34"/>
    <w:rsid w:val="00977350"/>
    <w:rsid w:val="009808CA"/>
    <w:rsid w:val="00980C16"/>
    <w:rsid w:val="00981408"/>
    <w:rsid w:val="00981881"/>
    <w:rsid w:val="009828C7"/>
    <w:rsid w:val="00983196"/>
    <w:rsid w:val="00984AEF"/>
    <w:rsid w:val="00984F94"/>
    <w:rsid w:val="0098569C"/>
    <w:rsid w:val="00985860"/>
    <w:rsid w:val="009862E9"/>
    <w:rsid w:val="00987F9F"/>
    <w:rsid w:val="00990437"/>
    <w:rsid w:val="0099047A"/>
    <w:rsid w:val="009916FA"/>
    <w:rsid w:val="00994218"/>
    <w:rsid w:val="00994561"/>
    <w:rsid w:val="00994796"/>
    <w:rsid w:val="00994B04"/>
    <w:rsid w:val="00994EBD"/>
    <w:rsid w:val="00995626"/>
    <w:rsid w:val="009957EB"/>
    <w:rsid w:val="00995A07"/>
    <w:rsid w:val="00995D52"/>
    <w:rsid w:val="00996806"/>
    <w:rsid w:val="009969C7"/>
    <w:rsid w:val="009A073B"/>
    <w:rsid w:val="009A10C1"/>
    <w:rsid w:val="009A12F4"/>
    <w:rsid w:val="009A2209"/>
    <w:rsid w:val="009A2941"/>
    <w:rsid w:val="009A337B"/>
    <w:rsid w:val="009A48C5"/>
    <w:rsid w:val="009A5164"/>
    <w:rsid w:val="009A5524"/>
    <w:rsid w:val="009A5E9A"/>
    <w:rsid w:val="009A6740"/>
    <w:rsid w:val="009A72E2"/>
    <w:rsid w:val="009B2343"/>
    <w:rsid w:val="009B2DA7"/>
    <w:rsid w:val="009B2E10"/>
    <w:rsid w:val="009B301E"/>
    <w:rsid w:val="009B3A61"/>
    <w:rsid w:val="009B3D0B"/>
    <w:rsid w:val="009B4001"/>
    <w:rsid w:val="009B4785"/>
    <w:rsid w:val="009B4A1A"/>
    <w:rsid w:val="009B4B43"/>
    <w:rsid w:val="009B4F17"/>
    <w:rsid w:val="009B5445"/>
    <w:rsid w:val="009B60A8"/>
    <w:rsid w:val="009B755C"/>
    <w:rsid w:val="009C0061"/>
    <w:rsid w:val="009C1085"/>
    <w:rsid w:val="009C16BF"/>
    <w:rsid w:val="009C2BE6"/>
    <w:rsid w:val="009C3957"/>
    <w:rsid w:val="009C3A4F"/>
    <w:rsid w:val="009C3E70"/>
    <w:rsid w:val="009C4461"/>
    <w:rsid w:val="009C57C3"/>
    <w:rsid w:val="009C59B2"/>
    <w:rsid w:val="009C621E"/>
    <w:rsid w:val="009C6821"/>
    <w:rsid w:val="009D009D"/>
    <w:rsid w:val="009D06C9"/>
    <w:rsid w:val="009D080E"/>
    <w:rsid w:val="009D0FE7"/>
    <w:rsid w:val="009D1693"/>
    <w:rsid w:val="009D41C2"/>
    <w:rsid w:val="009D57E2"/>
    <w:rsid w:val="009D67A4"/>
    <w:rsid w:val="009D7C7B"/>
    <w:rsid w:val="009E078F"/>
    <w:rsid w:val="009E1032"/>
    <w:rsid w:val="009E1984"/>
    <w:rsid w:val="009E381C"/>
    <w:rsid w:val="009E3835"/>
    <w:rsid w:val="009E3986"/>
    <w:rsid w:val="009E50D4"/>
    <w:rsid w:val="009E512D"/>
    <w:rsid w:val="009E603E"/>
    <w:rsid w:val="009E6EBD"/>
    <w:rsid w:val="009E7241"/>
    <w:rsid w:val="009F0BF0"/>
    <w:rsid w:val="009F1659"/>
    <w:rsid w:val="009F2515"/>
    <w:rsid w:val="009F3252"/>
    <w:rsid w:val="009F488A"/>
    <w:rsid w:val="009F48F6"/>
    <w:rsid w:val="009F5028"/>
    <w:rsid w:val="009F6AC4"/>
    <w:rsid w:val="009F6F84"/>
    <w:rsid w:val="009F7AF0"/>
    <w:rsid w:val="009F7E0E"/>
    <w:rsid w:val="00A00136"/>
    <w:rsid w:val="00A00AC0"/>
    <w:rsid w:val="00A01476"/>
    <w:rsid w:val="00A02451"/>
    <w:rsid w:val="00A0307E"/>
    <w:rsid w:val="00A036D6"/>
    <w:rsid w:val="00A038E3"/>
    <w:rsid w:val="00A04501"/>
    <w:rsid w:val="00A0464C"/>
    <w:rsid w:val="00A0481F"/>
    <w:rsid w:val="00A06EBE"/>
    <w:rsid w:val="00A0735C"/>
    <w:rsid w:val="00A07B82"/>
    <w:rsid w:val="00A1105A"/>
    <w:rsid w:val="00A12190"/>
    <w:rsid w:val="00A13D99"/>
    <w:rsid w:val="00A13F18"/>
    <w:rsid w:val="00A14304"/>
    <w:rsid w:val="00A14B6B"/>
    <w:rsid w:val="00A14DA9"/>
    <w:rsid w:val="00A157A4"/>
    <w:rsid w:val="00A16404"/>
    <w:rsid w:val="00A16B18"/>
    <w:rsid w:val="00A17594"/>
    <w:rsid w:val="00A17714"/>
    <w:rsid w:val="00A17831"/>
    <w:rsid w:val="00A20069"/>
    <w:rsid w:val="00A200CF"/>
    <w:rsid w:val="00A2029E"/>
    <w:rsid w:val="00A211D7"/>
    <w:rsid w:val="00A21632"/>
    <w:rsid w:val="00A228A2"/>
    <w:rsid w:val="00A23E11"/>
    <w:rsid w:val="00A2438F"/>
    <w:rsid w:val="00A24EDD"/>
    <w:rsid w:val="00A25386"/>
    <w:rsid w:val="00A2592D"/>
    <w:rsid w:val="00A26067"/>
    <w:rsid w:val="00A261E8"/>
    <w:rsid w:val="00A268A0"/>
    <w:rsid w:val="00A27284"/>
    <w:rsid w:val="00A30A4A"/>
    <w:rsid w:val="00A32BE2"/>
    <w:rsid w:val="00A32CC3"/>
    <w:rsid w:val="00A3352A"/>
    <w:rsid w:val="00A34C16"/>
    <w:rsid w:val="00A3509E"/>
    <w:rsid w:val="00A35235"/>
    <w:rsid w:val="00A3528D"/>
    <w:rsid w:val="00A355D6"/>
    <w:rsid w:val="00A35C67"/>
    <w:rsid w:val="00A35FEA"/>
    <w:rsid w:val="00A3666D"/>
    <w:rsid w:val="00A36958"/>
    <w:rsid w:val="00A36DB4"/>
    <w:rsid w:val="00A36DD3"/>
    <w:rsid w:val="00A370D5"/>
    <w:rsid w:val="00A41C9C"/>
    <w:rsid w:val="00A41E64"/>
    <w:rsid w:val="00A41EA5"/>
    <w:rsid w:val="00A42147"/>
    <w:rsid w:val="00A43B69"/>
    <w:rsid w:val="00A450C2"/>
    <w:rsid w:val="00A454E7"/>
    <w:rsid w:val="00A45614"/>
    <w:rsid w:val="00A45C8A"/>
    <w:rsid w:val="00A4605F"/>
    <w:rsid w:val="00A46381"/>
    <w:rsid w:val="00A46692"/>
    <w:rsid w:val="00A4721C"/>
    <w:rsid w:val="00A47FEE"/>
    <w:rsid w:val="00A50BF9"/>
    <w:rsid w:val="00A50D43"/>
    <w:rsid w:val="00A527B2"/>
    <w:rsid w:val="00A52825"/>
    <w:rsid w:val="00A53029"/>
    <w:rsid w:val="00A53939"/>
    <w:rsid w:val="00A53DCB"/>
    <w:rsid w:val="00A53E6B"/>
    <w:rsid w:val="00A55DD4"/>
    <w:rsid w:val="00A55E0A"/>
    <w:rsid w:val="00A561FA"/>
    <w:rsid w:val="00A60D96"/>
    <w:rsid w:val="00A616E0"/>
    <w:rsid w:val="00A6192C"/>
    <w:rsid w:val="00A61BBD"/>
    <w:rsid w:val="00A61C92"/>
    <w:rsid w:val="00A6285A"/>
    <w:rsid w:val="00A62EBD"/>
    <w:rsid w:val="00A62FD6"/>
    <w:rsid w:val="00A63F78"/>
    <w:rsid w:val="00A65862"/>
    <w:rsid w:val="00A65BA3"/>
    <w:rsid w:val="00A662BE"/>
    <w:rsid w:val="00A6666B"/>
    <w:rsid w:val="00A67148"/>
    <w:rsid w:val="00A672E9"/>
    <w:rsid w:val="00A67846"/>
    <w:rsid w:val="00A7086C"/>
    <w:rsid w:val="00A70BF0"/>
    <w:rsid w:val="00A70D41"/>
    <w:rsid w:val="00A722FC"/>
    <w:rsid w:val="00A72A41"/>
    <w:rsid w:val="00A74250"/>
    <w:rsid w:val="00A7437A"/>
    <w:rsid w:val="00A74B3A"/>
    <w:rsid w:val="00A74CE1"/>
    <w:rsid w:val="00A74D7A"/>
    <w:rsid w:val="00A74EBA"/>
    <w:rsid w:val="00A75451"/>
    <w:rsid w:val="00A755EA"/>
    <w:rsid w:val="00A7610E"/>
    <w:rsid w:val="00A76C5F"/>
    <w:rsid w:val="00A771C4"/>
    <w:rsid w:val="00A7790E"/>
    <w:rsid w:val="00A80387"/>
    <w:rsid w:val="00A80997"/>
    <w:rsid w:val="00A80A5F"/>
    <w:rsid w:val="00A81F0D"/>
    <w:rsid w:val="00A826AC"/>
    <w:rsid w:val="00A82926"/>
    <w:rsid w:val="00A82B7B"/>
    <w:rsid w:val="00A82E08"/>
    <w:rsid w:val="00A82E87"/>
    <w:rsid w:val="00A836DB"/>
    <w:rsid w:val="00A83930"/>
    <w:rsid w:val="00A83B9D"/>
    <w:rsid w:val="00A846A0"/>
    <w:rsid w:val="00A84B50"/>
    <w:rsid w:val="00A84CF2"/>
    <w:rsid w:val="00A8551B"/>
    <w:rsid w:val="00A86278"/>
    <w:rsid w:val="00A86DAE"/>
    <w:rsid w:val="00A877F6"/>
    <w:rsid w:val="00A90903"/>
    <w:rsid w:val="00A90EAD"/>
    <w:rsid w:val="00A915BE"/>
    <w:rsid w:val="00A918DD"/>
    <w:rsid w:val="00A92F5C"/>
    <w:rsid w:val="00A932F7"/>
    <w:rsid w:val="00A9343D"/>
    <w:rsid w:val="00A93535"/>
    <w:rsid w:val="00A93544"/>
    <w:rsid w:val="00A93592"/>
    <w:rsid w:val="00A9393D"/>
    <w:rsid w:val="00A94978"/>
    <w:rsid w:val="00A94DEF"/>
    <w:rsid w:val="00A9639D"/>
    <w:rsid w:val="00A96A6B"/>
    <w:rsid w:val="00A96D8E"/>
    <w:rsid w:val="00A971C3"/>
    <w:rsid w:val="00A97D35"/>
    <w:rsid w:val="00AA0C10"/>
    <w:rsid w:val="00AA0FD0"/>
    <w:rsid w:val="00AA151C"/>
    <w:rsid w:val="00AA1630"/>
    <w:rsid w:val="00AA325D"/>
    <w:rsid w:val="00AA3267"/>
    <w:rsid w:val="00AA37DB"/>
    <w:rsid w:val="00AA41CC"/>
    <w:rsid w:val="00AA458D"/>
    <w:rsid w:val="00AA45BB"/>
    <w:rsid w:val="00AA4ABD"/>
    <w:rsid w:val="00AA5290"/>
    <w:rsid w:val="00AA530E"/>
    <w:rsid w:val="00AA58D5"/>
    <w:rsid w:val="00AA67A1"/>
    <w:rsid w:val="00AA67B3"/>
    <w:rsid w:val="00AA6DB8"/>
    <w:rsid w:val="00AA7411"/>
    <w:rsid w:val="00AA780D"/>
    <w:rsid w:val="00AB0A7A"/>
    <w:rsid w:val="00AB1786"/>
    <w:rsid w:val="00AB242F"/>
    <w:rsid w:val="00AB270F"/>
    <w:rsid w:val="00AB314D"/>
    <w:rsid w:val="00AB3601"/>
    <w:rsid w:val="00AB3C56"/>
    <w:rsid w:val="00AB4BE2"/>
    <w:rsid w:val="00AB591E"/>
    <w:rsid w:val="00AB5A14"/>
    <w:rsid w:val="00AB5C90"/>
    <w:rsid w:val="00AB5DE4"/>
    <w:rsid w:val="00AC04ED"/>
    <w:rsid w:val="00AC0C42"/>
    <w:rsid w:val="00AC1286"/>
    <w:rsid w:val="00AC192E"/>
    <w:rsid w:val="00AC2105"/>
    <w:rsid w:val="00AC2AF3"/>
    <w:rsid w:val="00AC2C0A"/>
    <w:rsid w:val="00AC33DB"/>
    <w:rsid w:val="00AC3FBC"/>
    <w:rsid w:val="00AC4800"/>
    <w:rsid w:val="00AC485B"/>
    <w:rsid w:val="00AC5B6F"/>
    <w:rsid w:val="00AC6184"/>
    <w:rsid w:val="00AC6200"/>
    <w:rsid w:val="00AC672C"/>
    <w:rsid w:val="00AC6CA0"/>
    <w:rsid w:val="00AC7413"/>
    <w:rsid w:val="00AD0236"/>
    <w:rsid w:val="00AD085B"/>
    <w:rsid w:val="00AD0C5A"/>
    <w:rsid w:val="00AD13F5"/>
    <w:rsid w:val="00AD2405"/>
    <w:rsid w:val="00AD3C9A"/>
    <w:rsid w:val="00AD480A"/>
    <w:rsid w:val="00AD5068"/>
    <w:rsid w:val="00AD58C8"/>
    <w:rsid w:val="00AD606C"/>
    <w:rsid w:val="00AD67E6"/>
    <w:rsid w:val="00AD6B96"/>
    <w:rsid w:val="00AD75B7"/>
    <w:rsid w:val="00AD7717"/>
    <w:rsid w:val="00AD7A69"/>
    <w:rsid w:val="00AD7EF8"/>
    <w:rsid w:val="00AE0159"/>
    <w:rsid w:val="00AE0602"/>
    <w:rsid w:val="00AE061D"/>
    <w:rsid w:val="00AE0C9E"/>
    <w:rsid w:val="00AE3017"/>
    <w:rsid w:val="00AE3B05"/>
    <w:rsid w:val="00AE44E9"/>
    <w:rsid w:val="00AE47CF"/>
    <w:rsid w:val="00AE49C0"/>
    <w:rsid w:val="00AE4B78"/>
    <w:rsid w:val="00AE56F3"/>
    <w:rsid w:val="00AE63E0"/>
    <w:rsid w:val="00AE678E"/>
    <w:rsid w:val="00AE68AA"/>
    <w:rsid w:val="00AE6C80"/>
    <w:rsid w:val="00AE6D57"/>
    <w:rsid w:val="00AE74A0"/>
    <w:rsid w:val="00AF006B"/>
    <w:rsid w:val="00AF0502"/>
    <w:rsid w:val="00AF06DE"/>
    <w:rsid w:val="00AF15ED"/>
    <w:rsid w:val="00AF1CF5"/>
    <w:rsid w:val="00AF31B8"/>
    <w:rsid w:val="00AF3258"/>
    <w:rsid w:val="00AF3953"/>
    <w:rsid w:val="00AF48DD"/>
    <w:rsid w:val="00AF4D36"/>
    <w:rsid w:val="00AF54FE"/>
    <w:rsid w:val="00AF585A"/>
    <w:rsid w:val="00AF7542"/>
    <w:rsid w:val="00B001FD"/>
    <w:rsid w:val="00B0033C"/>
    <w:rsid w:val="00B01245"/>
    <w:rsid w:val="00B01788"/>
    <w:rsid w:val="00B01FFB"/>
    <w:rsid w:val="00B027DE"/>
    <w:rsid w:val="00B02C3D"/>
    <w:rsid w:val="00B02D3D"/>
    <w:rsid w:val="00B0357A"/>
    <w:rsid w:val="00B03921"/>
    <w:rsid w:val="00B04D03"/>
    <w:rsid w:val="00B062F3"/>
    <w:rsid w:val="00B063BB"/>
    <w:rsid w:val="00B06C6F"/>
    <w:rsid w:val="00B06FC2"/>
    <w:rsid w:val="00B07297"/>
    <w:rsid w:val="00B074BF"/>
    <w:rsid w:val="00B111D0"/>
    <w:rsid w:val="00B1199F"/>
    <w:rsid w:val="00B12331"/>
    <w:rsid w:val="00B130EF"/>
    <w:rsid w:val="00B13C2B"/>
    <w:rsid w:val="00B15349"/>
    <w:rsid w:val="00B15B46"/>
    <w:rsid w:val="00B16E92"/>
    <w:rsid w:val="00B172DC"/>
    <w:rsid w:val="00B17352"/>
    <w:rsid w:val="00B1747F"/>
    <w:rsid w:val="00B20897"/>
    <w:rsid w:val="00B2254A"/>
    <w:rsid w:val="00B2280C"/>
    <w:rsid w:val="00B22F77"/>
    <w:rsid w:val="00B2343B"/>
    <w:rsid w:val="00B23D97"/>
    <w:rsid w:val="00B23F12"/>
    <w:rsid w:val="00B24804"/>
    <w:rsid w:val="00B24C7E"/>
    <w:rsid w:val="00B256EE"/>
    <w:rsid w:val="00B259D4"/>
    <w:rsid w:val="00B263B0"/>
    <w:rsid w:val="00B26A8A"/>
    <w:rsid w:val="00B26D0D"/>
    <w:rsid w:val="00B2757F"/>
    <w:rsid w:val="00B27A86"/>
    <w:rsid w:val="00B27CEF"/>
    <w:rsid w:val="00B30238"/>
    <w:rsid w:val="00B304EE"/>
    <w:rsid w:val="00B3053B"/>
    <w:rsid w:val="00B30C61"/>
    <w:rsid w:val="00B31B69"/>
    <w:rsid w:val="00B34D6A"/>
    <w:rsid w:val="00B3555C"/>
    <w:rsid w:val="00B35A4F"/>
    <w:rsid w:val="00B36128"/>
    <w:rsid w:val="00B36A0E"/>
    <w:rsid w:val="00B36CC9"/>
    <w:rsid w:val="00B3708A"/>
    <w:rsid w:val="00B37276"/>
    <w:rsid w:val="00B37A01"/>
    <w:rsid w:val="00B37A4D"/>
    <w:rsid w:val="00B37FAE"/>
    <w:rsid w:val="00B40BB3"/>
    <w:rsid w:val="00B41C84"/>
    <w:rsid w:val="00B42868"/>
    <w:rsid w:val="00B42CB5"/>
    <w:rsid w:val="00B42DE3"/>
    <w:rsid w:val="00B4345A"/>
    <w:rsid w:val="00B43B39"/>
    <w:rsid w:val="00B44E8F"/>
    <w:rsid w:val="00B451FA"/>
    <w:rsid w:val="00B45B18"/>
    <w:rsid w:val="00B45E37"/>
    <w:rsid w:val="00B46374"/>
    <w:rsid w:val="00B465F7"/>
    <w:rsid w:val="00B46FE3"/>
    <w:rsid w:val="00B473D3"/>
    <w:rsid w:val="00B476D2"/>
    <w:rsid w:val="00B47781"/>
    <w:rsid w:val="00B50CCA"/>
    <w:rsid w:val="00B50DBC"/>
    <w:rsid w:val="00B50F70"/>
    <w:rsid w:val="00B51002"/>
    <w:rsid w:val="00B51A3C"/>
    <w:rsid w:val="00B52AEB"/>
    <w:rsid w:val="00B52BB7"/>
    <w:rsid w:val="00B5350F"/>
    <w:rsid w:val="00B53E0F"/>
    <w:rsid w:val="00B54936"/>
    <w:rsid w:val="00B549D5"/>
    <w:rsid w:val="00B54C14"/>
    <w:rsid w:val="00B55A48"/>
    <w:rsid w:val="00B55ABA"/>
    <w:rsid w:val="00B56412"/>
    <w:rsid w:val="00B565BE"/>
    <w:rsid w:val="00B566A5"/>
    <w:rsid w:val="00B600D1"/>
    <w:rsid w:val="00B6040B"/>
    <w:rsid w:val="00B61513"/>
    <w:rsid w:val="00B62385"/>
    <w:rsid w:val="00B64117"/>
    <w:rsid w:val="00B64B8B"/>
    <w:rsid w:val="00B64C17"/>
    <w:rsid w:val="00B65D22"/>
    <w:rsid w:val="00B66C5F"/>
    <w:rsid w:val="00B67EE5"/>
    <w:rsid w:val="00B70384"/>
    <w:rsid w:val="00B706FB"/>
    <w:rsid w:val="00B71056"/>
    <w:rsid w:val="00B71935"/>
    <w:rsid w:val="00B71DE2"/>
    <w:rsid w:val="00B728A2"/>
    <w:rsid w:val="00B73C94"/>
    <w:rsid w:val="00B7442E"/>
    <w:rsid w:val="00B74435"/>
    <w:rsid w:val="00B764EC"/>
    <w:rsid w:val="00B76F8C"/>
    <w:rsid w:val="00B77BBC"/>
    <w:rsid w:val="00B77CF0"/>
    <w:rsid w:val="00B77E2B"/>
    <w:rsid w:val="00B80897"/>
    <w:rsid w:val="00B80952"/>
    <w:rsid w:val="00B80F34"/>
    <w:rsid w:val="00B81AD5"/>
    <w:rsid w:val="00B81CD8"/>
    <w:rsid w:val="00B82B1D"/>
    <w:rsid w:val="00B83159"/>
    <w:rsid w:val="00B843B5"/>
    <w:rsid w:val="00B848A9"/>
    <w:rsid w:val="00B85847"/>
    <w:rsid w:val="00B858ED"/>
    <w:rsid w:val="00B85A89"/>
    <w:rsid w:val="00B876BF"/>
    <w:rsid w:val="00B87E24"/>
    <w:rsid w:val="00B87F70"/>
    <w:rsid w:val="00B909FB"/>
    <w:rsid w:val="00B90CEB"/>
    <w:rsid w:val="00B91508"/>
    <w:rsid w:val="00B922E0"/>
    <w:rsid w:val="00B926FC"/>
    <w:rsid w:val="00B92799"/>
    <w:rsid w:val="00B93757"/>
    <w:rsid w:val="00B939EF"/>
    <w:rsid w:val="00B9424E"/>
    <w:rsid w:val="00B94399"/>
    <w:rsid w:val="00B94666"/>
    <w:rsid w:val="00B94677"/>
    <w:rsid w:val="00B94890"/>
    <w:rsid w:val="00B94E61"/>
    <w:rsid w:val="00B970B7"/>
    <w:rsid w:val="00B97EDD"/>
    <w:rsid w:val="00B97FCE"/>
    <w:rsid w:val="00BA02AC"/>
    <w:rsid w:val="00BA15A4"/>
    <w:rsid w:val="00BA19FB"/>
    <w:rsid w:val="00BA1BC8"/>
    <w:rsid w:val="00BA2606"/>
    <w:rsid w:val="00BA2BFE"/>
    <w:rsid w:val="00BA2FEF"/>
    <w:rsid w:val="00BA358B"/>
    <w:rsid w:val="00BA3DAB"/>
    <w:rsid w:val="00BA487E"/>
    <w:rsid w:val="00BA58C6"/>
    <w:rsid w:val="00BA618C"/>
    <w:rsid w:val="00BA651F"/>
    <w:rsid w:val="00BA6C38"/>
    <w:rsid w:val="00BA6DD1"/>
    <w:rsid w:val="00BA6E95"/>
    <w:rsid w:val="00BA6FF0"/>
    <w:rsid w:val="00BA72FC"/>
    <w:rsid w:val="00BA7487"/>
    <w:rsid w:val="00BB0260"/>
    <w:rsid w:val="00BB172B"/>
    <w:rsid w:val="00BB197A"/>
    <w:rsid w:val="00BB2003"/>
    <w:rsid w:val="00BB2D11"/>
    <w:rsid w:val="00BB370D"/>
    <w:rsid w:val="00BB3CC5"/>
    <w:rsid w:val="00BB3D0E"/>
    <w:rsid w:val="00BB48B3"/>
    <w:rsid w:val="00BB5EB0"/>
    <w:rsid w:val="00BB61EB"/>
    <w:rsid w:val="00BB7387"/>
    <w:rsid w:val="00BB7680"/>
    <w:rsid w:val="00BC09A3"/>
    <w:rsid w:val="00BC1327"/>
    <w:rsid w:val="00BC17C1"/>
    <w:rsid w:val="00BC220A"/>
    <w:rsid w:val="00BC24AB"/>
    <w:rsid w:val="00BC279C"/>
    <w:rsid w:val="00BC27BA"/>
    <w:rsid w:val="00BC28A5"/>
    <w:rsid w:val="00BC2AFD"/>
    <w:rsid w:val="00BC2D6D"/>
    <w:rsid w:val="00BC4D39"/>
    <w:rsid w:val="00BC5CE6"/>
    <w:rsid w:val="00BD103E"/>
    <w:rsid w:val="00BD1624"/>
    <w:rsid w:val="00BD17EE"/>
    <w:rsid w:val="00BD22CB"/>
    <w:rsid w:val="00BD2BE5"/>
    <w:rsid w:val="00BD34BD"/>
    <w:rsid w:val="00BD3829"/>
    <w:rsid w:val="00BD3F6D"/>
    <w:rsid w:val="00BD5436"/>
    <w:rsid w:val="00BD5E7D"/>
    <w:rsid w:val="00BD707E"/>
    <w:rsid w:val="00BD76EE"/>
    <w:rsid w:val="00BD771A"/>
    <w:rsid w:val="00BE00F3"/>
    <w:rsid w:val="00BE01AB"/>
    <w:rsid w:val="00BE0536"/>
    <w:rsid w:val="00BE110B"/>
    <w:rsid w:val="00BE16C0"/>
    <w:rsid w:val="00BE1927"/>
    <w:rsid w:val="00BE20FD"/>
    <w:rsid w:val="00BE22B2"/>
    <w:rsid w:val="00BE2D2F"/>
    <w:rsid w:val="00BE2D67"/>
    <w:rsid w:val="00BE2DC0"/>
    <w:rsid w:val="00BE30D6"/>
    <w:rsid w:val="00BE33D6"/>
    <w:rsid w:val="00BE346E"/>
    <w:rsid w:val="00BE3B30"/>
    <w:rsid w:val="00BE3B64"/>
    <w:rsid w:val="00BE3FA6"/>
    <w:rsid w:val="00BE5314"/>
    <w:rsid w:val="00BE541F"/>
    <w:rsid w:val="00BE560D"/>
    <w:rsid w:val="00BE569E"/>
    <w:rsid w:val="00BE577D"/>
    <w:rsid w:val="00BE5866"/>
    <w:rsid w:val="00BE60A7"/>
    <w:rsid w:val="00BE7037"/>
    <w:rsid w:val="00BE72A2"/>
    <w:rsid w:val="00BE7801"/>
    <w:rsid w:val="00BE796C"/>
    <w:rsid w:val="00BE7F6A"/>
    <w:rsid w:val="00BF038F"/>
    <w:rsid w:val="00BF12A4"/>
    <w:rsid w:val="00BF228B"/>
    <w:rsid w:val="00BF2713"/>
    <w:rsid w:val="00BF433D"/>
    <w:rsid w:val="00BF4371"/>
    <w:rsid w:val="00BF4A39"/>
    <w:rsid w:val="00BF4F55"/>
    <w:rsid w:val="00BF5126"/>
    <w:rsid w:val="00BF514B"/>
    <w:rsid w:val="00BF6D4A"/>
    <w:rsid w:val="00BF7D98"/>
    <w:rsid w:val="00BF7E9B"/>
    <w:rsid w:val="00C0137E"/>
    <w:rsid w:val="00C015EA"/>
    <w:rsid w:val="00C01BAE"/>
    <w:rsid w:val="00C02363"/>
    <w:rsid w:val="00C024E3"/>
    <w:rsid w:val="00C0285E"/>
    <w:rsid w:val="00C03D6A"/>
    <w:rsid w:val="00C03DB1"/>
    <w:rsid w:val="00C04007"/>
    <w:rsid w:val="00C0414F"/>
    <w:rsid w:val="00C0435B"/>
    <w:rsid w:val="00C04417"/>
    <w:rsid w:val="00C052EC"/>
    <w:rsid w:val="00C06B77"/>
    <w:rsid w:val="00C070B4"/>
    <w:rsid w:val="00C07F50"/>
    <w:rsid w:val="00C10A80"/>
    <w:rsid w:val="00C10D39"/>
    <w:rsid w:val="00C120EA"/>
    <w:rsid w:val="00C12FA3"/>
    <w:rsid w:val="00C134FD"/>
    <w:rsid w:val="00C14259"/>
    <w:rsid w:val="00C1469B"/>
    <w:rsid w:val="00C15CF1"/>
    <w:rsid w:val="00C16BDC"/>
    <w:rsid w:val="00C16D50"/>
    <w:rsid w:val="00C16FC9"/>
    <w:rsid w:val="00C17412"/>
    <w:rsid w:val="00C178E9"/>
    <w:rsid w:val="00C20717"/>
    <w:rsid w:val="00C20F5D"/>
    <w:rsid w:val="00C212D9"/>
    <w:rsid w:val="00C2215B"/>
    <w:rsid w:val="00C2263C"/>
    <w:rsid w:val="00C22E9A"/>
    <w:rsid w:val="00C23AE8"/>
    <w:rsid w:val="00C23D7F"/>
    <w:rsid w:val="00C24388"/>
    <w:rsid w:val="00C2441F"/>
    <w:rsid w:val="00C2699B"/>
    <w:rsid w:val="00C26C20"/>
    <w:rsid w:val="00C272ED"/>
    <w:rsid w:val="00C3018D"/>
    <w:rsid w:val="00C30294"/>
    <w:rsid w:val="00C3090A"/>
    <w:rsid w:val="00C30D6C"/>
    <w:rsid w:val="00C317F3"/>
    <w:rsid w:val="00C31EE5"/>
    <w:rsid w:val="00C320AD"/>
    <w:rsid w:val="00C32615"/>
    <w:rsid w:val="00C33AD3"/>
    <w:rsid w:val="00C34830"/>
    <w:rsid w:val="00C34D3A"/>
    <w:rsid w:val="00C358E7"/>
    <w:rsid w:val="00C36522"/>
    <w:rsid w:val="00C366FB"/>
    <w:rsid w:val="00C36DC6"/>
    <w:rsid w:val="00C37E90"/>
    <w:rsid w:val="00C400CE"/>
    <w:rsid w:val="00C40F14"/>
    <w:rsid w:val="00C41424"/>
    <w:rsid w:val="00C41EE6"/>
    <w:rsid w:val="00C42C63"/>
    <w:rsid w:val="00C430AE"/>
    <w:rsid w:val="00C43610"/>
    <w:rsid w:val="00C43649"/>
    <w:rsid w:val="00C4401A"/>
    <w:rsid w:val="00C44E5C"/>
    <w:rsid w:val="00C45263"/>
    <w:rsid w:val="00C45846"/>
    <w:rsid w:val="00C45FB1"/>
    <w:rsid w:val="00C46C75"/>
    <w:rsid w:val="00C50E60"/>
    <w:rsid w:val="00C51075"/>
    <w:rsid w:val="00C511FA"/>
    <w:rsid w:val="00C5188F"/>
    <w:rsid w:val="00C51A76"/>
    <w:rsid w:val="00C51CFF"/>
    <w:rsid w:val="00C522F1"/>
    <w:rsid w:val="00C52B1C"/>
    <w:rsid w:val="00C536DA"/>
    <w:rsid w:val="00C537EC"/>
    <w:rsid w:val="00C53A23"/>
    <w:rsid w:val="00C540D9"/>
    <w:rsid w:val="00C54DC7"/>
    <w:rsid w:val="00C554B1"/>
    <w:rsid w:val="00C557C9"/>
    <w:rsid w:val="00C55C03"/>
    <w:rsid w:val="00C56192"/>
    <w:rsid w:val="00C5637C"/>
    <w:rsid w:val="00C566CA"/>
    <w:rsid w:val="00C572D8"/>
    <w:rsid w:val="00C60A87"/>
    <w:rsid w:val="00C61081"/>
    <w:rsid w:val="00C6120F"/>
    <w:rsid w:val="00C618A1"/>
    <w:rsid w:val="00C61AFB"/>
    <w:rsid w:val="00C61F2A"/>
    <w:rsid w:val="00C62600"/>
    <w:rsid w:val="00C62911"/>
    <w:rsid w:val="00C62A83"/>
    <w:rsid w:val="00C62B2F"/>
    <w:rsid w:val="00C62E60"/>
    <w:rsid w:val="00C63E72"/>
    <w:rsid w:val="00C64A08"/>
    <w:rsid w:val="00C654BC"/>
    <w:rsid w:val="00C65E4D"/>
    <w:rsid w:val="00C65E81"/>
    <w:rsid w:val="00C66055"/>
    <w:rsid w:val="00C66418"/>
    <w:rsid w:val="00C6742C"/>
    <w:rsid w:val="00C67574"/>
    <w:rsid w:val="00C678B4"/>
    <w:rsid w:val="00C67F98"/>
    <w:rsid w:val="00C71A8D"/>
    <w:rsid w:val="00C728EE"/>
    <w:rsid w:val="00C72E58"/>
    <w:rsid w:val="00C7333B"/>
    <w:rsid w:val="00C73A07"/>
    <w:rsid w:val="00C75558"/>
    <w:rsid w:val="00C75720"/>
    <w:rsid w:val="00C7651C"/>
    <w:rsid w:val="00C76C15"/>
    <w:rsid w:val="00C77362"/>
    <w:rsid w:val="00C7737B"/>
    <w:rsid w:val="00C773F3"/>
    <w:rsid w:val="00C7759D"/>
    <w:rsid w:val="00C77BB5"/>
    <w:rsid w:val="00C77ED2"/>
    <w:rsid w:val="00C806A8"/>
    <w:rsid w:val="00C808F8"/>
    <w:rsid w:val="00C81C58"/>
    <w:rsid w:val="00C81FED"/>
    <w:rsid w:val="00C83471"/>
    <w:rsid w:val="00C835F3"/>
    <w:rsid w:val="00C84487"/>
    <w:rsid w:val="00C848F2"/>
    <w:rsid w:val="00C86488"/>
    <w:rsid w:val="00C867FC"/>
    <w:rsid w:val="00C86B9F"/>
    <w:rsid w:val="00C86C6E"/>
    <w:rsid w:val="00C87994"/>
    <w:rsid w:val="00C907D6"/>
    <w:rsid w:val="00C90D03"/>
    <w:rsid w:val="00C910FF"/>
    <w:rsid w:val="00C91662"/>
    <w:rsid w:val="00C925BC"/>
    <w:rsid w:val="00C92B01"/>
    <w:rsid w:val="00C931D3"/>
    <w:rsid w:val="00C936BF"/>
    <w:rsid w:val="00C93BF3"/>
    <w:rsid w:val="00C9579E"/>
    <w:rsid w:val="00C95F47"/>
    <w:rsid w:val="00C9758F"/>
    <w:rsid w:val="00C97627"/>
    <w:rsid w:val="00CA06BE"/>
    <w:rsid w:val="00CA13AD"/>
    <w:rsid w:val="00CA1D11"/>
    <w:rsid w:val="00CA2FA8"/>
    <w:rsid w:val="00CA44A0"/>
    <w:rsid w:val="00CA49F5"/>
    <w:rsid w:val="00CA4AB2"/>
    <w:rsid w:val="00CA506A"/>
    <w:rsid w:val="00CA5F9F"/>
    <w:rsid w:val="00CA6026"/>
    <w:rsid w:val="00CA6487"/>
    <w:rsid w:val="00CA65CD"/>
    <w:rsid w:val="00CA669E"/>
    <w:rsid w:val="00CA6FF5"/>
    <w:rsid w:val="00CA7006"/>
    <w:rsid w:val="00CA7C31"/>
    <w:rsid w:val="00CA7F15"/>
    <w:rsid w:val="00CB068B"/>
    <w:rsid w:val="00CB0DB5"/>
    <w:rsid w:val="00CB18FB"/>
    <w:rsid w:val="00CB1A0C"/>
    <w:rsid w:val="00CB31FA"/>
    <w:rsid w:val="00CB3320"/>
    <w:rsid w:val="00CB36B0"/>
    <w:rsid w:val="00CB50F2"/>
    <w:rsid w:val="00CB59AA"/>
    <w:rsid w:val="00CB680F"/>
    <w:rsid w:val="00CB6C85"/>
    <w:rsid w:val="00CB7287"/>
    <w:rsid w:val="00CB7948"/>
    <w:rsid w:val="00CC0176"/>
    <w:rsid w:val="00CC0BC8"/>
    <w:rsid w:val="00CC1974"/>
    <w:rsid w:val="00CC1AFF"/>
    <w:rsid w:val="00CC1DBD"/>
    <w:rsid w:val="00CC229B"/>
    <w:rsid w:val="00CC3A89"/>
    <w:rsid w:val="00CC40BC"/>
    <w:rsid w:val="00CC4CAB"/>
    <w:rsid w:val="00CC5615"/>
    <w:rsid w:val="00CC5A61"/>
    <w:rsid w:val="00CC5F24"/>
    <w:rsid w:val="00CC688F"/>
    <w:rsid w:val="00CC6E6A"/>
    <w:rsid w:val="00CC6FFC"/>
    <w:rsid w:val="00CC7CBE"/>
    <w:rsid w:val="00CC7F7E"/>
    <w:rsid w:val="00CD0BC2"/>
    <w:rsid w:val="00CD0BCF"/>
    <w:rsid w:val="00CD0BEE"/>
    <w:rsid w:val="00CD1C4C"/>
    <w:rsid w:val="00CD32C3"/>
    <w:rsid w:val="00CD3C67"/>
    <w:rsid w:val="00CD3FD7"/>
    <w:rsid w:val="00CD40DF"/>
    <w:rsid w:val="00CD42F8"/>
    <w:rsid w:val="00CD469C"/>
    <w:rsid w:val="00CD4AC7"/>
    <w:rsid w:val="00CD4F12"/>
    <w:rsid w:val="00CD6F0F"/>
    <w:rsid w:val="00CD712B"/>
    <w:rsid w:val="00CD79CB"/>
    <w:rsid w:val="00CE11F7"/>
    <w:rsid w:val="00CE1345"/>
    <w:rsid w:val="00CE148C"/>
    <w:rsid w:val="00CE176A"/>
    <w:rsid w:val="00CE2360"/>
    <w:rsid w:val="00CE23CC"/>
    <w:rsid w:val="00CE2CA8"/>
    <w:rsid w:val="00CE3BBA"/>
    <w:rsid w:val="00CE5820"/>
    <w:rsid w:val="00CE5868"/>
    <w:rsid w:val="00CE6360"/>
    <w:rsid w:val="00CE67E1"/>
    <w:rsid w:val="00CE6900"/>
    <w:rsid w:val="00CE7954"/>
    <w:rsid w:val="00CF0251"/>
    <w:rsid w:val="00CF02CA"/>
    <w:rsid w:val="00CF10CB"/>
    <w:rsid w:val="00CF1694"/>
    <w:rsid w:val="00CF3500"/>
    <w:rsid w:val="00CF4716"/>
    <w:rsid w:val="00CF4E47"/>
    <w:rsid w:val="00CF57DA"/>
    <w:rsid w:val="00CF5E3F"/>
    <w:rsid w:val="00CF63E9"/>
    <w:rsid w:val="00CF6442"/>
    <w:rsid w:val="00D008F1"/>
    <w:rsid w:val="00D00CE7"/>
    <w:rsid w:val="00D01F2D"/>
    <w:rsid w:val="00D02064"/>
    <w:rsid w:val="00D02F1A"/>
    <w:rsid w:val="00D03382"/>
    <w:rsid w:val="00D042BA"/>
    <w:rsid w:val="00D0434C"/>
    <w:rsid w:val="00D04717"/>
    <w:rsid w:val="00D07075"/>
    <w:rsid w:val="00D07947"/>
    <w:rsid w:val="00D10306"/>
    <w:rsid w:val="00D10D06"/>
    <w:rsid w:val="00D11330"/>
    <w:rsid w:val="00D1166D"/>
    <w:rsid w:val="00D11763"/>
    <w:rsid w:val="00D119DE"/>
    <w:rsid w:val="00D11A1B"/>
    <w:rsid w:val="00D12808"/>
    <w:rsid w:val="00D1287E"/>
    <w:rsid w:val="00D13605"/>
    <w:rsid w:val="00D139D6"/>
    <w:rsid w:val="00D14530"/>
    <w:rsid w:val="00D146BC"/>
    <w:rsid w:val="00D14A6B"/>
    <w:rsid w:val="00D14A82"/>
    <w:rsid w:val="00D14C23"/>
    <w:rsid w:val="00D1519F"/>
    <w:rsid w:val="00D16CF1"/>
    <w:rsid w:val="00D177CE"/>
    <w:rsid w:val="00D17963"/>
    <w:rsid w:val="00D17E42"/>
    <w:rsid w:val="00D20402"/>
    <w:rsid w:val="00D206F8"/>
    <w:rsid w:val="00D209CD"/>
    <w:rsid w:val="00D20B7F"/>
    <w:rsid w:val="00D21346"/>
    <w:rsid w:val="00D216B6"/>
    <w:rsid w:val="00D21770"/>
    <w:rsid w:val="00D21AC0"/>
    <w:rsid w:val="00D224FB"/>
    <w:rsid w:val="00D2282C"/>
    <w:rsid w:val="00D23C87"/>
    <w:rsid w:val="00D2463E"/>
    <w:rsid w:val="00D24889"/>
    <w:rsid w:val="00D249F4"/>
    <w:rsid w:val="00D24AD4"/>
    <w:rsid w:val="00D2531D"/>
    <w:rsid w:val="00D27992"/>
    <w:rsid w:val="00D30378"/>
    <w:rsid w:val="00D308BD"/>
    <w:rsid w:val="00D30935"/>
    <w:rsid w:val="00D30CA5"/>
    <w:rsid w:val="00D30FEA"/>
    <w:rsid w:val="00D311D8"/>
    <w:rsid w:val="00D31482"/>
    <w:rsid w:val="00D319B7"/>
    <w:rsid w:val="00D325C9"/>
    <w:rsid w:val="00D32BC3"/>
    <w:rsid w:val="00D331F7"/>
    <w:rsid w:val="00D333F4"/>
    <w:rsid w:val="00D3493D"/>
    <w:rsid w:val="00D356D3"/>
    <w:rsid w:val="00D35AAC"/>
    <w:rsid w:val="00D35FAC"/>
    <w:rsid w:val="00D3635E"/>
    <w:rsid w:val="00D36511"/>
    <w:rsid w:val="00D41C00"/>
    <w:rsid w:val="00D41C28"/>
    <w:rsid w:val="00D43300"/>
    <w:rsid w:val="00D43575"/>
    <w:rsid w:val="00D435D3"/>
    <w:rsid w:val="00D44FAF"/>
    <w:rsid w:val="00D45BCE"/>
    <w:rsid w:val="00D45F3F"/>
    <w:rsid w:val="00D46606"/>
    <w:rsid w:val="00D507BD"/>
    <w:rsid w:val="00D5108A"/>
    <w:rsid w:val="00D51ABF"/>
    <w:rsid w:val="00D51D2A"/>
    <w:rsid w:val="00D51E83"/>
    <w:rsid w:val="00D52A5D"/>
    <w:rsid w:val="00D52DE2"/>
    <w:rsid w:val="00D52F09"/>
    <w:rsid w:val="00D55F3F"/>
    <w:rsid w:val="00D561DD"/>
    <w:rsid w:val="00D57946"/>
    <w:rsid w:val="00D6029D"/>
    <w:rsid w:val="00D60A79"/>
    <w:rsid w:val="00D60B0D"/>
    <w:rsid w:val="00D62C0E"/>
    <w:rsid w:val="00D637E2"/>
    <w:rsid w:val="00D646DF"/>
    <w:rsid w:val="00D6484E"/>
    <w:rsid w:val="00D64C16"/>
    <w:rsid w:val="00D657D5"/>
    <w:rsid w:val="00D65AD5"/>
    <w:rsid w:val="00D65FC1"/>
    <w:rsid w:val="00D6624F"/>
    <w:rsid w:val="00D66675"/>
    <w:rsid w:val="00D66DAE"/>
    <w:rsid w:val="00D700F3"/>
    <w:rsid w:val="00D70CC8"/>
    <w:rsid w:val="00D72156"/>
    <w:rsid w:val="00D72B87"/>
    <w:rsid w:val="00D72D4B"/>
    <w:rsid w:val="00D730F8"/>
    <w:rsid w:val="00D73C84"/>
    <w:rsid w:val="00D73CA3"/>
    <w:rsid w:val="00D74643"/>
    <w:rsid w:val="00D74749"/>
    <w:rsid w:val="00D74DB9"/>
    <w:rsid w:val="00D757FA"/>
    <w:rsid w:val="00D75DCE"/>
    <w:rsid w:val="00D761DD"/>
    <w:rsid w:val="00D80029"/>
    <w:rsid w:val="00D8032B"/>
    <w:rsid w:val="00D808C0"/>
    <w:rsid w:val="00D81481"/>
    <w:rsid w:val="00D817CA"/>
    <w:rsid w:val="00D82CAA"/>
    <w:rsid w:val="00D82F38"/>
    <w:rsid w:val="00D847EF"/>
    <w:rsid w:val="00D8498B"/>
    <w:rsid w:val="00D852BA"/>
    <w:rsid w:val="00D85B4B"/>
    <w:rsid w:val="00D86750"/>
    <w:rsid w:val="00D86F28"/>
    <w:rsid w:val="00D87025"/>
    <w:rsid w:val="00D87153"/>
    <w:rsid w:val="00D8727B"/>
    <w:rsid w:val="00D90300"/>
    <w:rsid w:val="00D909F3"/>
    <w:rsid w:val="00D90B2F"/>
    <w:rsid w:val="00D91616"/>
    <w:rsid w:val="00D91746"/>
    <w:rsid w:val="00D91A1B"/>
    <w:rsid w:val="00D929F4"/>
    <w:rsid w:val="00D92D76"/>
    <w:rsid w:val="00D93674"/>
    <w:rsid w:val="00D93B95"/>
    <w:rsid w:val="00D94240"/>
    <w:rsid w:val="00D9442D"/>
    <w:rsid w:val="00D94986"/>
    <w:rsid w:val="00D94BBE"/>
    <w:rsid w:val="00D94D4C"/>
    <w:rsid w:val="00D94F7C"/>
    <w:rsid w:val="00D95364"/>
    <w:rsid w:val="00D9540B"/>
    <w:rsid w:val="00D956EA"/>
    <w:rsid w:val="00D95C1A"/>
    <w:rsid w:val="00D96213"/>
    <w:rsid w:val="00D964E3"/>
    <w:rsid w:val="00D9684B"/>
    <w:rsid w:val="00D96AB6"/>
    <w:rsid w:val="00D96B80"/>
    <w:rsid w:val="00D97E16"/>
    <w:rsid w:val="00DA011E"/>
    <w:rsid w:val="00DA05AC"/>
    <w:rsid w:val="00DA062B"/>
    <w:rsid w:val="00DA1B57"/>
    <w:rsid w:val="00DA1BDC"/>
    <w:rsid w:val="00DA2334"/>
    <w:rsid w:val="00DA2359"/>
    <w:rsid w:val="00DA2473"/>
    <w:rsid w:val="00DA255A"/>
    <w:rsid w:val="00DA2662"/>
    <w:rsid w:val="00DA279F"/>
    <w:rsid w:val="00DA3B1C"/>
    <w:rsid w:val="00DA5FEF"/>
    <w:rsid w:val="00DA76AE"/>
    <w:rsid w:val="00DA7873"/>
    <w:rsid w:val="00DB1538"/>
    <w:rsid w:val="00DB2934"/>
    <w:rsid w:val="00DB2CAC"/>
    <w:rsid w:val="00DB461B"/>
    <w:rsid w:val="00DB4988"/>
    <w:rsid w:val="00DB4A07"/>
    <w:rsid w:val="00DB502C"/>
    <w:rsid w:val="00DB5A69"/>
    <w:rsid w:val="00DB6363"/>
    <w:rsid w:val="00DB64BD"/>
    <w:rsid w:val="00DB65B1"/>
    <w:rsid w:val="00DB6671"/>
    <w:rsid w:val="00DB6C28"/>
    <w:rsid w:val="00DB7B43"/>
    <w:rsid w:val="00DC05F0"/>
    <w:rsid w:val="00DC112D"/>
    <w:rsid w:val="00DC2920"/>
    <w:rsid w:val="00DC36F6"/>
    <w:rsid w:val="00DC5056"/>
    <w:rsid w:val="00DC51D5"/>
    <w:rsid w:val="00DC51DD"/>
    <w:rsid w:val="00DC5205"/>
    <w:rsid w:val="00DC5565"/>
    <w:rsid w:val="00DC58FB"/>
    <w:rsid w:val="00DC677A"/>
    <w:rsid w:val="00DD13AE"/>
    <w:rsid w:val="00DD230E"/>
    <w:rsid w:val="00DD26FB"/>
    <w:rsid w:val="00DD29CE"/>
    <w:rsid w:val="00DD301B"/>
    <w:rsid w:val="00DD4CB9"/>
    <w:rsid w:val="00DD5AD1"/>
    <w:rsid w:val="00DD7B0D"/>
    <w:rsid w:val="00DD7E40"/>
    <w:rsid w:val="00DE109E"/>
    <w:rsid w:val="00DE1164"/>
    <w:rsid w:val="00DE12E5"/>
    <w:rsid w:val="00DE151F"/>
    <w:rsid w:val="00DE18C8"/>
    <w:rsid w:val="00DE2022"/>
    <w:rsid w:val="00DE2703"/>
    <w:rsid w:val="00DE30E3"/>
    <w:rsid w:val="00DE3994"/>
    <w:rsid w:val="00DE3F49"/>
    <w:rsid w:val="00DE4434"/>
    <w:rsid w:val="00DE4BD1"/>
    <w:rsid w:val="00DE4E85"/>
    <w:rsid w:val="00DE5236"/>
    <w:rsid w:val="00DE576B"/>
    <w:rsid w:val="00DE63E3"/>
    <w:rsid w:val="00DE6F91"/>
    <w:rsid w:val="00DE71F7"/>
    <w:rsid w:val="00DF021F"/>
    <w:rsid w:val="00DF0944"/>
    <w:rsid w:val="00DF09DF"/>
    <w:rsid w:val="00DF207B"/>
    <w:rsid w:val="00DF23AA"/>
    <w:rsid w:val="00DF3176"/>
    <w:rsid w:val="00DF37DF"/>
    <w:rsid w:val="00DF3BBE"/>
    <w:rsid w:val="00DF3D73"/>
    <w:rsid w:val="00DF43BF"/>
    <w:rsid w:val="00DF517A"/>
    <w:rsid w:val="00DF561D"/>
    <w:rsid w:val="00DF624A"/>
    <w:rsid w:val="00DF72C5"/>
    <w:rsid w:val="00DF741E"/>
    <w:rsid w:val="00DF7BCF"/>
    <w:rsid w:val="00E00C67"/>
    <w:rsid w:val="00E017DE"/>
    <w:rsid w:val="00E02509"/>
    <w:rsid w:val="00E02F51"/>
    <w:rsid w:val="00E0434C"/>
    <w:rsid w:val="00E04E91"/>
    <w:rsid w:val="00E05ECB"/>
    <w:rsid w:val="00E0613B"/>
    <w:rsid w:val="00E0622C"/>
    <w:rsid w:val="00E06E96"/>
    <w:rsid w:val="00E10063"/>
    <w:rsid w:val="00E1051E"/>
    <w:rsid w:val="00E10CA3"/>
    <w:rsid w:val="00E1185C"/>
    <w:rsid w:val="00E134DE"/>
    <w:rsid w:val="00E13F84"/>
    <w:rsid w:val="00E140A7"/>
    <w:rsid w:val="00E1434C"/>
    <w:rsid w:val="00E14A5D"/>
    <w:rsid w:val="00E15064"/>
    <w:rsid w:val="00E155DD"/>
    <w:rsid w:val="00E1578F"/>
    <w:rsid w:val="00E15942"/>
    <w:rsid w:val="00E15F30"/>
    <w:rsid w:val="00E16E60"/>
    <w:rsid w:val="00E17841"/>
    <w:rsid w:val="00E17FE6"/>
    <w:rsid w:val="00E20A3F"/>
    <w:rsid w:val="00E20A79"/>
    <w:rsid w:val="00E20F62"/>
    <w:rsid w:val="00E215A7"/>
    <w:rsid w:val="00E22004"/>
    <w:rsid w:val="00E232E4"/>
    <w:rsid w:val="00E24EF5"/>
    <w:rsid w:val="00E267C5"/>
    <w:rsid w:val="00E27A8B"/>
    <w:rsid w:val="00E31A73"/>
    <w:rsid w:val="00E32023"/>
    <w:rsid w:val="00E32B2F"/>
    <w:rsid w:val="00E3776B"/>
    <w:rsid w:val="00E404CA"/>
    <w:rsid w:val="00E410D2"/>
    <w:rsid w:val="00E423A6"/>
    <w:rsid w:val="00E43599"/>
    <w:rsid w:val="00E43DB7"/>
    <w:rsid w:val="00E43EA1"/>
    <w:rsid w:val="00E44463"/>
    <w:rsid w:val="00E4464A"/>
    <w:rsid w:val="00E46A73"/>
    <w:rsid w:val="00E46CB6"/>
    <w:rsid w:val="00E47B26"/>
    <w:rsid w:val="00E5006C"/>
    <w:rsid w:val="00E50489"/>
    <w:rsid w:val="00E5062B"/>
    <w:rsid w:val="00E5120A"/>
    <w:rsid w:val="00E51608"/>
    <w:rsid w:val="00E5262C"/>
    <w:rsid w:val="00E52ECC"/>
    <w:rsid w:val="00E53A16"/>
    <w:rsid w:val="00E544E2"/>
    <w:rsid w:val="00E54AD9"/>
    <w:rsid w:val="00E556BE"/>
    <w:rsid w:val="00E5685D"/>
    <w:rsid w:val="00E56F79"/>
    <w:rsid w:val="00E57295"/>
    <w:rsid w:val="00E57301"/>
    <w:rsid w:val="00E574A5"/>
    <w:rsid w:val="00E57626"/>
    <w:rsid w:val="00E57986"/>
    <w:rsid w:val="00E604D7"/>
    <w:rsid w:val="00E60A4E"/>
    <w:rsid w:val="00E617CB"/>
    <w:rsid w:val="00E61B15"/>
    <w:rsid w:val="00E62795"/>
    <w:rsid w:val="00E62909"/>
    <w:rsid w:val="00E63D81"/>
    <w:rsid w:val="00E63E52"/>
    <w:rsid w:val="00E659FD"/>
    <w:rsid w:val="00E65A41"/>
    <w:rsid w:val="00E66843"/>
    <w:rsid w:val="00E668C6"/>
    <w:rsid w:val="00E66F02"/>
    <w:rsid w:val="00E66FA0"/>
    <w:rsid w:val="00E675B1"/>
    <w:rsid w:val="00E679A3"/>
    <w:rsid w:val="00E70407"/>
    <w:rsid w:val="00E7128C"/>
    <w:rsid w:val="00E715A2"/>
    <w:rsid w:val="00E719DA"/>
    <w:rsid w:val="00E723EA"/>
    <w:rsid w:val="00E72409"/>
    <w:rsid w:val="00E72B4A"/>
    <w:rsid w:val="00E72DB0"/>
    <w:rsid w:val="00E73776"/>
    <w:rsid w:val="00E74851"/>
    <w:rsid w:val="00E75A0D"/>
    <w:rsid w:val="00E76E8C"/>
    <w:rsid w:val="00E7794B"/>
    <w:rsid w:val="00E77E60"/>
    <w:rsid w:val="00E77E9A"/>
    <w:rsid w:val="00E80098"/>
    <w:rsid w:val="00E802B7"/>
    <w:rsid w:val="00E80DD6"/>
    <w:rsid w:val="00E82303"/>
    <w:rsid w:val="00E83444"/>
    <w:rsid w:val="00E83A45"/>
    <w:rsid w:val="00E83C77"/>
    <w:rsid w:val="00E83EEC"/>
    <w:rsid w:val="00E843DD"/>
    <w:rsid w:val="00E861E1"/>
    <w:rsid w:val="00E8677F"/>
    <w:rsid w:val="00E872CE"/>
    <w:rsid w:val="00E87F43"/>
    <w:rsid w:val="00E90240"/>
    <w:rsid w:val="00E912CE"/>
    <w:rsid w:val="00E9171E"/>
    <w:rsid w:val="00E9177D"/>
    <w:rsid w:val="00E91E54"/>
    <w:rsid w:val="00E92EB6"/>
    <w:rsid w:val="00E93AF7"/>
    <w:rsid w:val="00E93EB5"/>
    <w:rsid w:val="00E93F56"/>
    <w:rsid w:val="00E94321"/>
    <w:rsid w:val="00E94546"/>
    <w:rsid w:val="00E94599"/>
    <w:rsid w:val="00E94B6C"/>
    <w:rsid w:val="00E95273"/>
    <w:rsid w:val="00E9758A"/>
    <w:rsid w:val="00E975E4"/>
    <w:rsid w:val="00EA0E8F"/>
    <w:rsid w:val="00EA2546"/>
    <w:rsid w:val="00EA3E6A"/>
    <w:rsid w:val="00EA4140"/>
    <w:rsid w:val="00EA4305"/>
    <w:rsid w:val="00EA444D"/>
    <w:rsid w:val="00EA558D"/>
    <w:rsid w:val="00EB0513"/>
    <w:rsid w:val="00EB06E4"/>
    <w:rsid w:val="00EB2177"/>
    <w:rsid w:val="00EB223A"/>
    <w:rsid w:val="00EB2C50"/>
    <w:rsid w:val="00EB2DCA"/>
    <w:rsid w:val="00EB2DFF"/>
    <w:rsid w:val="00EB332A"/>
    <w:rsid w:val="00EB3EA4"/>
    <w:rsid w:val="00EB43F1"/>
    <w:rsid w:val="00EB595C"/>
    <w:rsid w:val="00EB65A1"/>
    <w:rsid w:val="00EB6B43"/>
    <w:rsid w:val="00EB6EF4"/>
    <w:rsid w:val="00EB735D"/>
    <w:rsid w:val="00EB7AB1"/>
    <w:rsid w:val="00EC0709"/>
    <w:rsid w:val="00EC0AD8"/>
    <w:rsid w:val="00EC0FFA"/>
    <w:rsid w:val="00EC1C2B"/>
    <w:rsid w:val="00EC1FBD"/>
    <w:rsid w:val="00EC39F0"/>
    <w:rsid w:val="00EC3CEB"/>
    <w:rsid w:val="00EC3F91"/>
    <w:rsid w:val="00EC4000"/>
    <w:rsid w:val="00EC5107"/>
    <w:rsid w:val="00EC6DF6"/>
    <w:rsid w:val="00EC6EDD"/>
    <w:rsid w:val="00EC7AE9"/>
    <w:rsid w:val="00ED0E4F"/>
    <w:rsid w:val="00ED2A2B"/>
    <w:rsid w:val="00ED2F04"/>
    <w:rsid w:val="00ED305E"/>
    <w:rsid w:val="00ED3F35"/>
    <w:rsid w:val="00ED4331"/>
    <w:rsid w:val="00ED557E"/>
    <w:rsid w:val="00ED58BB"/>
    <w:rsid w:val="00ED63C0"/>
    <w:rsid w:val="00ED6AD5"/>
    <w:rsid w:val="00ED6E53"/>
    <w:rsid w:val="00ED7043"/>
    <w:rsid w:val="00ED7896"/>
    <w:rsid w:val="00ED79CD"/>
    <w:rsid w:val="00EE086B"/>
    <w:rsid w:val="00EE09AD"/>
    <w:rsid w:val="00EE0A2D"/>
    <w:rsid w:val="00EE1034"/>
    <w:rsid w:val="00EE17EA"/>
    <w:rsid w:val="00EE1B04"/>
    <w:rsid w:val="00EE1EAA"/>
    <w:rsid w:val="00EE2824"/>
    <w:rsid w:val="00EE28F9"/>
    <w:rsid w:val="00EE2BE4"/>
    <w:rsid w:val="00EE38DA"/>
    <w:rsid w:val="00EE3B5C"/>
    <w:rsid w:val="00EE42DA"/>
    <w:rsid w:val="00EE4C68"/>
    <w:rsid w:val="00EE4F4D"/>
    <w:rsid w:val="00EE51AC"/>
    <w:rsid w:val="00EE626B"/>
    <w:rsid w:val="00EE627A"/>
    <w:rsid w:val="00EE6BE1"/>
    <w:rsid w:val="00EE6C2E"/>
    <w:rsid w:val="00EE6CEE"/>
    <w:rsid w:val="00EF0472"/>
    <w:rsid w:val="00EF0756"/>
    <w:rsid w:val="00EF0E7D"/>
    <w:rsid w:val="00EF1BD7"/>
    <w:rsid w:val="00EF1FCC"/>
    <w:rsid w:val="00EF29F8"/>
    <w:rsid w:val="00EF34EC"/>
    <w:rsid w:val="00EF3DA7"/>
    <w:rsid w:val="00EF4916"/>
    <w:rsid w:val="00EF4DD5"/>
    <w:rsid w:val="00EF5D36"/>
    <w:rsid w:val="00EF7942"/>
    <w:rsid w:val="00F001FB"/>
    <w:rsid w:val="00F002DB"/>
    <w:rsid w:val="00F00370"/>
    <w:rsid w:val="00F0157B"/>
    <w:rsid w:val="00F01C43"/>
    <w:rsid w:val="00F0239F"/>
    <w:rsid w:val="00F037A6"/>
    <w:rsid w:val="00F04575"/>
    <w:rsid w:val="00F04E97"/>
    <w:rsid w:val="00F0503D"/>
    <w:rsid w:val="00F05183"/>
    <w:rsid w:val="00F06484"/>
    <w:rsid w:val="00F06E88"/>
    <w:rsid w:val="00F06FA5"/>
    <w:rsid w:val="00F10CD5"/>
    <w:rsid w:val="00F11465"/>
    <w:rsid w:val="00F11DAB"/>
    <w:rsid w:val="00F12749"/>
    <w:rsid w:val="00F12D73"/>
    <w:rsid w:val="00F1396D"/>
    <w:rsid w:val="00F13AAA"/>
    <w:rsid w:val="00F14DB9"/>
    <w:rsid w:val="00F15E05"/>
    <w:rsid w:val="00F15ECB"/>
    <w:rsid w:val="00F1647F"/>
    <w:rsid w:val="00F16CB2"/>
    <w:rsid w:val="00F16E7C"/>
    <w:rsid w:val="00F17482"/>
    <w:rsid w:val="00F17526"/>
    <w:rsid w:val="00F205BF"/>
    <w:rsid w:val="00F2082D"/>
    <w:rsid w:val="00F22341"/>
    <w:rsid w:val="00F2472B"/>
    <w:rsid w:val="00F25398"/>
    <w:rsid w:val="00F25855"/>
    <w:rsid w:val="00F26C21"/>
    <w:rsid w:val="00F26F51"/>
    <w:rsid w:val="00F271B6"/>
    <w:rsid w:val="00F27208"/>
    <w:rsid w:val="00F2733C"/>
    <w:rsid w:val="00F27BF8"/>
    <w:rsid w:val="00F3023C"/>
    <w:rsid w:val="00F30755"/>
    <w:rsid w:val="00F30885"/>
    <w:rsid w:val="00F3167C"/>
    <w:rsid w:val="00F31836"/>
    <w:rsid w:val="00F33D8F"/>
    <w:rsid w:val="00F354FF"/>
    <w:rsid w:val="00F3560B"/>
    <w:rsid w:val="00F35BC0"/>
    <w:rsid w:val="00F35F5D"/>
    <w:rsid w:val="00F360ED"/>
    <w:rsid w:val="00F3616B"/>
    <w:rsid w:val="00F36532"/>
    <w:rsid w:val="00F365BD"/>
    <w:rsid w:val="00F36E22"/>
    <w:rsid w:val="00F41B19"/>
    <w:rsid w:val="00F41CBD"/>
    <w:rsid w:val="00F430BE"/>
    <w:rsid w:val="00F43F82"/>
    <w:rsid w:val="00F44157"/>
    <w:rsid w:val="00F4419A"/>
    <w:rsid w:val="00F4557C"/>
    <w:rsid w:val="00F45C82"/>
    <w:rsid w:val="00F46FFD"/>
    <w:rsid w:val="00F472E7"/>
    <w:rsid w:val="00F47453"/>
    <w:rsid w:val="00F51938"/>
    <w:rsid w:val="00F5272C"/>
    <w:rsid w:val="00F5394A"/>
    <w:rsid w:val="00F55669"/>
    <w:rsid w:val="00F556EC"/>
    <w:rsid w:val="00F56DC2"/>
    <w:rsid w:val="00F57A74"/>
    <w:rsid w:val="00F57DCE"/>
    <w:rsid w:val="00F61D73"/>
    <w:rsid w:val="00F62539"/>
    <w:rsid w:val="00F625D2"/>
    <w:rsid w:val="00F62C19"/>
    <w:rsid w:val="00F62F75"/>
    <w:rsid w:val="00F635E8"/>
    <w:rsid w:val="00F64270"/>
    <w:rsid w:val="00F64498"/>
    <w:rsid w:val="00F64554"/>
    <w:rsid w:val="00F6455A"/>
    <w:rsid w:val="00F64912"/>
    <w:rsid w:val="00F65622"/>
    <w:rsid w:val="00F65A82"/>
    <w:rsid w:val="00F65E5E"/>
    <w:rsid w:val="00F65F29"/>
    <w:rsid w:val="00F65F93"/>
    <w:rsid w:val="00F66955"/>
    <w:rsid w:val="00F66AEF"/>
    <w:rsid w:val="00F670FE"/>
    <w:rsid w:val="00F672EF"/>
    <w:rsid w:val="00F67852"/>
    <w:rsid w:val="00F67877"/>
    <w:rsid w:val="00F70818"/>
    <w:rsid w:val="00F709FC"/>
    <w:rsid w:val="00F70DD3"/>
    <w:rsid w:val="00F71112"/>
    <w:rsid w:val="00F7176E"/>
    <w:rsid w:val="00F72007"/>
    <w:rsid w:val="00F72273"/>
    <w:rsid w:val="00F73675"/>
    <w:rsid w:val="00F73898"/>
    <w:rsid w:val="00F738A1"/>
    <w:rsid w:val="00F746C5"/>
    <w:rsid w:val="00F754B0"/>
    <w:rsid w:val="00F75D63"/>
    <w:rsid w:val="00F75F7B"/>
    <w:rsid w:val="00F7606B"/>
    <w:rsid w:val="00F765A7"/>
    <w:rsid w:val="00F765F3"/>
    <w:rsid w:val="00F80577"/>
    <w:rsid w:val="00F81762"/>
    <w:rsid w:val="00F81837"/>
    <w:rsid w:val="00F81F24"/>
    <w:rsid w:val="00F836FF"/>
    <w:rsid w:val="00F8412C"/>
    <w:rsid w:val="00F8423B"/>
    <w:rsid w:val="00F853E8"/>
    <w:rsid w:val="00F854BB"/>
    <w:rsid w:val="00F85677"/>
    <w:rsid w:val="00F8602F"/>
    <w:rsid w:val="00F86A4D"/>
    <w:rsid w:val="00F901D0"/>
    <w:rsid w:val="00F90608"/>
    <w:rsid w:val="00F90DC9"/>
    <w:rsid w:val="00F90F1B"/>
    <w:rsid w:val="00F91CAD"/>
    <w:rsid w:val="00F91D50"/>
    <w:rsid w:val="00F91DAE"/>
    <w:rsid w:val="00F92573"/>
    <w:rsid w:val="00F93AC5"/>
    <w:rsid w:val="00F93C8E"/>
    <w:rsid w:val="00F9536E"/>
    <w:rsid w:val="00F953B3"/>
    <w:rsid w:val="00F9571F"/>
    <w:rsid w:val="00F970CB"/>
    <w:rsid w:val="00F970CD"/>
    <w:rsid w:val="00F9725C"/>
    <w:rsid w:val="00FA09BF"/>
    <w:rsid w:val="00FA11F9"/>
    <w:rsid w:val="00FA1252"/>
    <w:rsid w:val="00FA131A"/>
    <w:rsid w:val="00FA2838"/>
    <w:rsid w:val="00FA2B3B"/>
    <w:rsid w:val="00FA3628"/>
    <w:rsid w:val="00FA3C33"/>
    <w:rsid w:val="00FA40B3"/>
    <w:rsid w:val="00FA41AD"/>
    <w:rsid w:val="00FA5554"/>
    <w:rsid w:val="00FA566F"/>
    <w:rsid w:val="00FA5805"/>
    <w:rsid w:val="00FA5874"/>
    <w:rsid w:val="00FA6101"/>
    <w:rsid w:val="00FA66BA"/>
    <w:rsid w:val="00FA73CB"/>
    <w:rsid w:val="00FA76A3"/>
    <w:rsid w:val="00FA7BA9"/>
    <w:rsid w:val="00FB0AF9"/>
    <w:rsid w:val="00FB0F89"/>
    <w:rsid w:val="00FB1793"/>
    <w:rsid w:val="00FB1FEC"/>
    <w:rsid w:val="00FB223A"/>
    <w:rsid w:val="00FB2738"/>
    <w:rsid w:val="00FB2D55"/>
    <w:rsid w:val="00FB2EF0"/>
    <w:rsid w:val="00FB37F9"/>
    <w:rsid w:val="00FB3A9F"/>
    <w:rsid w:val="00FB449F"/>
    <w:rsid w:val="00FB4C92"/>
    <w:rsid w:val="00FB4D88"/>
    <w:rsid w:val="00FB5D18"/>
    <w:rsid w:val="00FB64DA"/>
    <w:rsid w:val="00FB64FE"/>
    <w:rsid w:val="00FB6AD7"/>
    <w:rsid w:val="00FB72FF"/>
    <w:rsid w:val="00FB752C"/>
    <w:rsid w:val="00FB76DF"/>
    <w:rsid w:val="00FC0D32"/>
    <w:rsid w:val="00FC0FA3"/>
    <w:rsid w:val="00FC1228"/>
    <w:rsid w:val="00FC1B36"/>
    <w:rsid w:val="00FC1B8C"/>
    <w:rsid w:val="00FC2D5B"/>
    <w:rsid w:val="00FC3061"/>
    <w:rsid w:val="00FC37CE"/>
    <w:rsid w:val="00FC3C09"/>
    <w:rsid w:val="00FC5317"/>
    <w:rsid w:val="00FC5963"/>
    <w:rsid w:val="00FC5E0C"/>
    <w:rsid w:val="00FC6024"/>
    <w:rsid w:val="00FC6060"/>
    <w:rsid w:val="00FC658A"/>
    <w:rsid w:val="00FC6B49"/>
    <w:rsid w:val="00FD0892"/>
    <w:rsid w:val="00FD0B76"/>
    <w:rsid w:val="00FD0D50"/>
    <w:rsid w:val="00FD2084"/>
    <w:rsid w:val="00FD248F"/>
    <w:rsid w:val="00FD25B4"/>
    <w:rsid w:val="00FD2A85"/>
    <w:rsid w:val="00FD2C3E"/>
    <w:rsid w:val="00FD2F70"/>
    <w:rsid w:val="00FD44FC"/>
    <w:rsid w:val="00FD4B5B"/>
    <w:rsid w:val="00FD4CF6"/>
    <w:rsid w:val="00FD52DD"/>
    <w:rsid w:val="00FD54D5"/>
    <w:rsid w:val="00FD566A"/>
    <w:rsid w:val="00FD5CAC"/>
    <w:rsid w:val="00FD6087"/>
    <w:rsid w:val="00FD6091"/>
    <w:rsid w:val="00FD64B5"/>
    <w:rsid w:val="00FE0C19"/>
    <w:rsid w:val="00FE0CB3"/>
    <w:rsid w:val="00FE0EEA"/>
    <w:rsid w:val="00FE1BE1"/>
    <w:rsid w:val="00FE1E44"/>
    <w:rsid w:val="00FE269D"/>
    <w:rsid w:val="00FE29F3"/>
    <w:rsid w:val="00FE3711"/>
    <w:rsid w:val="00FE7F07"/>
    <w:rsid w:val="00FF131E"/>
    <w:rsid w:val="00FF2B3C"/>
    <w:rsid w:val="00FF2B5A"/>
    <w:rsid w:val="00FF38EB"/>
    <w:rsid w:val="00FF3E91"/>
    <w:rsid w:val="00FF4471"/>
    <w:rsid w:val="00FF4D67"/>
    <w:rsid w:val="00FF4EF9"/>
    <w:rsid w:val="00FF589A"/>
    <w:rsid w:val="00FF626B"/>
    <w:rsid w:val="00FF6895"/>
    <w:rsid w:val="00FF730F"/>
    <w:rsid w:val="00FF7656"/>
    <w:rsid w:val="00FF79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67413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43DD"/>
    <w:rPr>
      <w:rFonts w:ascii="Calibri" w:hAnsi="Calibri"/>
      <w:sz w:val="22"/>
      <w:lang w:eastAsia="en-US"/>
    </w:rPr>
  </w:style>
  <w:style w:type="paragraph" w:styleId="Heading1">
    <w:name w:val="heading 1"/>
    <w:next w:val="BodyText"/>
    <w:uiPriority w:val="9"/>
    <w:qFormat/>
    <w:rsid w:val="00F0239F"/>
    <w:pPr>
      <w:keepNext/>
      <w:keepLines/>
      <w:pageBreakBefore/>
      <w:numPr>
        <w:numId w:val="8"/>
      </w:numPr>
      <w:spacing w:before="360"/>
      <w:outlineLvl w:val="0"/>
    </w:pPr>
    <w:rPr>
      <w:rFonts w:ascii="Calibri" w:hAnsi="Calibri"/>
      <w:b/>
      <w:color w:val="002776"/>
      <w:kern w:val="28"/>
      <w:sz w:val="56"/>
      <w:lang w:eastAsia="en-US"/>
    </w:rPr>
  </w:style>
  <w:style w:type="paragraph" w:styleId="Heading2">
    <w:name w:val="heading 2"/>
    <w:basedOn w:val="Normal"/>
    <w:next w:val="BodyText"/>
    <w:uiPriority w:val="9"/>
    <w:qFormat/>
    <w:rsid w:val="00F0239F"/>
    <w:pPr>
      <w:keepNext/>
      <w:numPr>
        <w:ilvl w:val="1"/>
        <w:numId w:val="8"/>
      </w:numPr>
      <w:tabs>
        <w:tab w:val="left" w:pos="851"/>
      </w:tabs>
      <w:spacing w:before="240"/>
      <w:outlineLvl w:val="1"/>
    </w:pPr>
    <w:rPr>
      <w:b/>
      <w:color w:val="00A1DE"/>
      <w:sz w:val="40"/>
      <w:szCs w:val="28"/>
    </w:rPr>
  </w:style>
  <w:style w:type="paragraph" w:styleId="Heading3">
    <w:name w:val="heading 3"/>
    <w:basedOn w:val="Normal"/>
    <w:next w:val="BodyText"/>
    <w:uiPriority w:val="9"/>
    <w:qFormat/>
    <w:rsid w:val="00F0239F"/>
    <w:pPr>
      <w:keepNext/>
      <w:numPr>
        <w:ilvl w:val="2"/>
        <w:numId w:val="8"/>
      </w:numPr>
      <w:spacing w:before="240"/>
      <w:outlineLvl w:val="2"/>
    </w:pPr>
    <w:rPr>
      <w:color w:val="00A1DE"/>
      <w:sz w:val="28"/>
    </w:rPr>
  </w:style>
  <w:style w:type="paragraph" w:styleId="Heading4">
    <w:name w:val="heading 4"/>
    <w:basedOn w:val="Normal"/>
    <w:next w:val="BodyText"/>
    <w:uiPriority w:val="9"/>
    <w:qFormat/>
    <w:rsid w:val="00F0239F"/>
    <w:pPr>
      <w:keepNext/>
      <w:numPr>
        <w:ilvl w:val="3"/>
        <w:numId w:val="8"/>
      </w:numPr>
      <w:spacing w:before="180" w:after="60"/>
      <w:outlineLvl w:val="3"/>
    </w:pPr>
    <w:rPr>
      <w:b/>
      <w:color w:val="00A1DE"/>
      <w:sz w:val="24"/>
      <w:szCs w:val="24"/>
    </w:rPr>
  </w:style>
  <w:style w:type="paragraph" w:styleId="Heading5">
    <w:name w:val="heading 5"/>
    <w:basedOn w:val="Normal"/>
    <w:next w:val="BodyText"/>
    <w:uiPriority w:val="9"/>
    <w:qFormat/>
    <w:rsid w:val="00AC4800"/>
    <w:pPr>
      <w:keepNext/>
      <w:numPr>
        <w:ilvl w:val="4"/>
        <w:numId w:val="8"/>
      </w:numPr>
      <w:pBdr>
        <w:top w:val="single" w:sz="12" w:space="5" w:color="931638"/>
        <w:left w:val="single" w:sz="12" w:space="5" w:color="931638"/>
        <w:bottom w:val="single" w:sz="12" w:space="5" w:color="931638"/>
        <w:right w:val="single" w:sz="12" w:space="5" w:color="931638"/>
      </w:pBdr>
      <w:shd w:val="clear" w:color="auto" w:fill="931638"/>
      <w:ind w:right="284"/>
      <w:outlineLvl w:val="4"/>
    </w:pPr>
    <w:rPr>
      <w:b/>
      <w:color w:val="FFFFFF"/>
      <w:szCs w:val="24"/>
    </w:rPr>
  </w:style>
  <w:style w:type="paragraph" w:styleId="Heading6">
    <w:name w:val="heading 6"/>
    <w:basedOn w:val="Normal"/>
    <w:next w:val="BodyText"/>
    <w:qFormat/>
    <w:rsid w:val="00AC4800"/>
    <w:pPr>
      <w:outlineLvl w:val="5"/>
    </w:pPr>
    <w:rPr>
      <w:rFonts w:ascii="Arial Bold" w:hAnsi="Arial Bold"/>
      <w:b/>
      <w:color w:val="931638"/>
      <w:szCs w:val="22"/>
    </w:rPr>
  </w:style>
  <w:style w:type="paragraph" w:styleId="Heading7">
    <w:name w:val="heading 7"/>
    <w:basedOn w:val="Normal"/>
    <w:next w:val="BodyText"/>
    <w:qFormat/>
    <w:rsid w:val="00AC4800"/>
    <w:pPr>
      <w:outlineLvl w:val="6"/>
    </w:pPr>
    <w:rPr>
      <w:color w:val="931638"/>
      <w:szCs w:val="24"/>
    </w:rPr>
  </w:style>
  <w:style w:type="paragraph" w:styleId="Heading8">
    <w:name w:val="heading 8"/>
    <w:basedOn w:val="Normal"/>
    <w:next w:val="BodyText"/>
    <w:qFormat/>
    <w:rsid w:val="00AC4800"/>
    <w:pPr>
      <w:spacing w:before="180"/>
      <w:outlineLvl w:val="7"/>
    </w:pPr>
    <w:rPr>
      <w:color w:val="931638"/>
    </w:rPr>
  </w:style>
  <w:style w:type="paragraph" w:styleId="Heading9">
    <w:name w:val="heading 9"/>
    <w:basedOn w:val="Normal"/>
    <w:next w:val="BodyText"/>
    <w:qFormat/>
    <w:rsid w:val="00AC4800"/>
    <w:pPr>
      <w:spacing w:before="180"/>
      <w:outlineLvl w:val="8"/>
    </w:pPr>
    <w:rPr>
      <w:color w:val="9316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t,t1,Body,Body Text1 Char,Body Text Char1,Body Text Char Char,Body Text Char1 Char1 Char,Body Text Char Char Char Char,Body Text Char Char Char Char Char Char,Body Text Char1 Char Char Char Char Char Char,2 + justified,2 + 14 pt,Italic,36"/>
    <w:basedOn w:val="Normal"/>
    <w:link w:val="BodyTextChar"/>
    <w:qFormat/>
    <w:rsid w:val="002539EC"/>
    <w:pPr>
      <w:spacing w:before="240"/>
      <w:jc w:val="both"/>
    </w:pPr>
  </w:style>
  <w:style w:type="paragraph" w:customStyle="1" w:styleId="TableHeadingLeft">
    <w:name w:val="Table Heading Left"/>
    <w:basedOn w:val="Normal"/>
    <w:qFormat/>
    <w:rsid w:val="00AC4800"/>
    <w:pPr>
      <w:keepNext/>
      <w:keepLines/>
      <w:spacing w:before="20" w:after="20"/>
    </w:pPr>
    <w:rPr>
      <w:b/>
      <w:color w:val="002776"/>
    </w:rPr>
  </w:style>
  <w:style w:type="paragraph" w:customStyle="1" w:styleId="TableHeadingRight">
    <w:name w:val="Table Heading Right"/>
    <w:basedOn w:val="Normal"/>
    <w:qFormat/>
    <w:rsid w:val="00AC4800"/>
    <w:pPr>
      <w:keepNext/>
      <w:keepLines/>
      <w:spacing w:before="20" w:after="20"/>
      <w:jc w:val="right"/>
    </w:pPr>
    <w:rPr>
      <w:b/>
      <w:color w:val="002776"/>
    </w:rPr>
  </w:style>
  <w:style w:type="paragraph" w:customStyle="1" w:styleId="SingleLeft">
    <w:name w:val="Single Left"/>
    <w:basedOn w:val="Normal"/>
    <w:qFormat/>
    <w:rsid w:val="009114B5"/>
    <w:pPr>
      <w:jc w:val="both"/>
    </w:pPr>
  </w:style>
  <w:style w:type="paragraph" w:customStyle="1" w:styleId="TabletextCentre">
    <w:name w:val="Table text Centre"/>
    <w:basedOn w:val="Normal"/>
    <w:qFormat/>
    <w:rsid w:val="00AC4800"/>
    <w:pPr>
      <w:spacing w:before="60"/>
      <w:jc w:val="center"/>
    </w:pPr>
    <w:rPr>
      <w:rFonts w:cs="Arial"/>
      <w:sz w:val="20"/>
    </w:rPr>
  </w:style>
  <w:style w:type="paragraph" w:customStyle="1" w:styleId="TabletextRight">
    <w:name w:val="Table text Right"/>
    <w:basedOn w:val="Normal"/>
    <w:qFormat/>
    <w:rsid w:val="00AC4800"/>
    <w:pPr>
      <w:spacing w:before="60"/>
      <w:jc w:val="right"/>
    </w:pPr>
    <w:rPr>
      <w:sz w:val="20"/>
    </w:rPr>
  </w:style>
  <w:style w:type="paragraph" w:customStyle="1" w:styleId="IndentParaGreySource">
    <w:name w:val="Indent Para Grey Source"/>
    <w:basedOn w:val="IndentParaGrey"/>
    <w:qFormat/>
    <w:rsid w:val="00AC4800"/>
    <w:pPr>
      <w:keepNext w:val="0"/>
    </w:pPr>
    <w:rPr>
      <w:rFonts w:cs="Arial"/>
      <w:sz w:val="18"/>
    </w:rPr>
  </w:style>
  <w:style w:type="paragraph" w:customStyle="1" w:styleId="IndentParaGrey">
    <w:name w:val="Indent Para Grey"/>
    <w:basedOn w:val="IndentPara"/>
    <w:next w:val="Normal"/>
    <w:rsid w:val="00AC4800"/>
    <w:pPr>
      <w:keepNext/>
      <w:keepLines/>
      <w:pBdr>
        <w:top w:val="single" w:sz="8" w:space="5" w:color="002776"/>
        <w:left w:val="single" w:sz="8" w:space="5" w:color="002776"/>
        <w:bottom w:val="single" w:sz="8" w:space="5" w:color="002776"/>
        <w:right w:val="single" w:sz="8" w:space="5" w:color="002776"/>
      </w:pBdr>
      <w:shd w:val="solid" w:color="E1E1E1" w:fill="C0C0C0"/>
      <w:spacing w:after="240"/>
    </w:pPr>
    <w:rPr>
      <w:color w:val="000000"/>
    </w:rPr>
  </w:style>
  <w:style w:type="paragraph" w:customStyle="1" w:styleId="IndentPara">
    <w:name w:val="Indent Para"/>
    <w:basedOn w:val="Normal"/>
    <w:next w:val="BodyText"/>
    <w:rsid w:val="00AC4800"/>
    <w:pPr>
      <w:spacing w:before="240"/>
      <w:ind w:left="567" w:right="567"/>
      <w:jc w:val="both"/>
    </w:pPr>
  </w:style>
  <w:style w:type="paragraph" w:customStyle="1" w:styleId="IndentParaGreyBullet">
    <w:name w:val="Indent Para Grey Bullet"/>
    <w:basedOn w:val="IndentParaGrey"/>
    <w:qFormat/>
    <w:rsid w:val="00AC4800"/>
    <w:pPr>
      <w:numPr>
        <w:numId w:val="9"/>
      </w:numPr>
      <w:tabs>
        <w:tab w:val="left" w:pos="1134"/>
      </w:tabs>
      <w:spacing w:after="60"/>
    </w:pPr>
    <w:rPr>
      <w:rFonts w:cs="Arial"/>
    </w:rPr>
  </w:style>
  <w:style w:type="paragraph" w:styleId="Header">
    <w:name w:val="header"/>
    <w:basedOn w:val="Normal"/>
    <w:link w:val="HeaderChar"/>
    <w:rsid w:val="00F35BC0"/>
    <w:pPr>
      <w:jc w:val="right"/>
    </w:pPr>
    <w:rPr>
      <w:color w:val="595959"/>
    </w:rPr>
  </w:style>
  <w:style w:type="paragraph" w:customStyle="1" w:styleId="BoldPara">
    <w:name w:val="Bold Para"/>
    <w:basedOn w:val="Normal"/>
    <w:next w:val="BodyText"/>
    <w:link w:val="BoldParaChar"/>
    <w:rsid w:val="00AC4800"/>
    <w:pPr>
      <w:spacing w:before="240"/>
      <w:jc w:val="both"/>
    </w:pPr>
    <w:rPr>
      <w:b/>
      <w:color w:val="002776"/>
      <w:szCs w:val="24"/>
    </w:rPr>
  </w:style>
  <w:style w:type="character" w:styleId="PageNumber">
    <w:name w:val="page number"/>
    <w:basedOn w:val="DefaultParagraphFont"/>
    <w:rsid w:val="00A200CF"/>
    <w:rPr>
      <w:rFonts w:ascii="Calibri" w:hAnsi="Calibri"/>
      <w:color w:val="auto"/>
      <w:sz w:val="18"/>
      <w:szCs w:val="18"/>
    </w:rPr>
  </w:style>
  <w:style w:type="paragraph" w:customStyle="1" w:styleId="Bullet1">
    <w:name w:val="Bullet 1"/>
    <w:basedOn w:val="Normal"/>
    <w:link w:val="Bullet1Char"/>
    <w:qFormat/>
    <w:rsid w:val="00003CCA"/>
    <w:pPr>
      <w:numPr>
        <w:numId w:val="5"/>
      </w:numPr>
      <w:spacing w:before="60"/>
      <w:jc w:val="both"/>
    </w:pPr>
    <w:rPr>
      <w:rFonts w:cs="Arial"/>
      <w:lang w:eastAsia="en-AU"/>
    </w:rPr>
  </w:style>
  <w:style w:type="paragraph" w:customStyle="1" w:styleId="BoxedHighlight">
    <w:name w:val="Boxed Highlight"/>
    <w:basedOn w:val="IndentPara"/>
    <w:next w:val="BodyText"/>
    <w:rsid w:val="006B29A4"/>
    <w:pPr>
      <w:pBdr>
        <w:top w:val="single" w:sz="18" w:space="5" w:color="002776"/>
        <w:left w:val="single" w:sz="18" w:space="5" w:color="002776"/>
        <w:bottom w:val="single" w:sz="18" w:space="5" w:color="002776"/>
        <w:right w:val="single" w:sz="18" w:space="5" w:color="002776"/>
      </w:pBdr>
      <w:contextualSpacing/>
    </w:pPr>
    <w:rPr>
      <w:rFonts w:cs="Arial"/>
      <w:color w:val="002776"/>
      <w:szCs w:val="24"/>
    </w:rPr>
  </w:style>
  <w:style w:type="paragraph" w:customStyle="1" w:styleId="Disclaimer">
    <w:name w:val="Disclaimer"/>
    <w:basedOn w:val="Normal"/>
    <w:rsid w:val="00A200CF"/>
    <w:rPr>
      <w:rFonts w:ascii="Swis721 Md BT" w:hAnsi="Swis721 Md BT"/>
      <w:b/>
      <w:color w:val="000000"/>
      <w:sz w:val="16"/>
      <w:szCs w:val="16"/>
    </w:rPr>
  </w:style>
  <w:style w:type="character" w:styleId="FootnoteReference">
    <w:name w:val="footnote reference"/>
    <w:basedOn w:val="DefaultParagraphFont"/>
    <w:rsid w:val="002F4274"/>
    <w:rPr>
      <w:rFonts w:ascii="Arial" w:hAnsi="Arial"/>
      <w:sz w:val="18"/>
      <w:szCs w:val="24"/>
      <w:vertAlign w:val="superscript"/>
    </w:rPr>
  </w:style>
  <w:style w:type="table" w:customStyle="1" w:styleId="TableAE">
    <w:name w:val="Table AE"/>
    <w:basedOn w:val="TableNormal"/>
    <w:uiPriority w:val="99"/>
    <w:rsid w:val="00A82926"/>
    <w:rPr>
      <w:rFonts w:ascii="Arial" w:hAnsi="Arial"/>
    </w:rPr>
    <w:tblPr>
      <w:jc w:val="center"/>
      <w:tblBorders>
        <w:bottom w:val="single" w:sz="12" w:space="0" w:color="002776"/>
      </w:tblBorders>
    </w:tblPr>
    <w:trPr>
      <w:cantSplit/>
      <w:jc w:val="center"/>
    </w:trPr>
    <w:tblStylePr w:type="firstRow">
      <w:tblPr/>
      <w:tcPr>
        <w:tcBorders>
          <w:top w:val="single" w:sz="12" w:space="0" w:color="002776"/>
          <w:left w:val="nil"/>
          <w:bottom w:val="single" w:sz="8" w:space="0" w:color="002776"/>
          <w:right w:val="nil"/>
          <w:insideH w:val="nil"/>
          <w:insideV w:val="nil"/>
          <w:tl2br w:val="nil"/>
          <w:tr2bl w:val="nil"/>
        </w:tcBorders>
      </w:tcPr>
    </w:tblStylePr>
  </w:style>
  <w:style w:type="paragraph" w:customStyle="1" w:styleId="IndentParaBurgundy">
    <w:name w:val="Indent Para Burgundy"/>
    <w:basedOn w:val="IndentParaDarkGrey"/>
    <w:next w:val="Normal"/>
    <w:rsid w:val="00AC4800"/>
    <w:pPr>
      <w:keepNext/>
      <w:keepLines/>
      <w:pBdr>
        <w:top w:val="single" w:sz="8" w:space="5" w:color="002776"/>
        <w:left w:val="single" w:sz="8" w:space="5" w:color="002776"/>
        <w:bottom w:val="single" w:sz="8" w:space="5" w:color="002776"/>
        <w:right w:val="single" w:sz="8" w:space="5" w:color="002776"/>
      </w:pBdr>
      <w:shd w:val="clear" w:color="808080" w:fill="002776"/>
    </w:pPr>
  </w:style>
  <w:style w:type="paragraph" w:customStyle="1" w:styleId="IndentQuote">
    <w:name w:val="Indent Quote"/>
    <w:basedOn w:val="Normal"/>
    <w:next w:val="Normal"/>
    <w:rsid w:val="00AC4800"/>
    <w:pPr>
      <w:tabs>
        <w:tab w:val="left" w:pos="1134"/>
      </w:tabs>
      <w:spacing w:before="240"/>
      <w:ind w:left="567" w:right="567"/>
      <w:jc w:val="both"/>
    </w:pPr>
    <w:rPr>
      <w:i/>
      <w:color w:val="595959"/>
    </w:rPr>
  </w:style>
  <w:style w:type="paragraph" w:customStyle="1" w:styleId="TableHeadingCentre">
    <w:name w:val="Table Heading Centre"/>
    <w:basedOn w:val="Normal"/>
    <w:uiPriority w:val="99"/>
    <w:rsid w:val="00AC4800"/>
    <w:pPr>
      <w:keepNext/>
      <w:keepLines/>
      <w:spacing w:before="20" w:after="20"/>
      <w:jc w:val="center"/>
    </w:pPr>
    <w:rPr>
      <w:b/>
      <w:color w:val="002776"/>
      <w:szCs w:val="22"/>
    </w:rPr>
  </w:style>
  <w:style w:type="paragraph" w:customStyle="1" w:styleId="Equation">
    <w:name w:val="Equation"/>
    <w:basedOn w:val="Normal"/>
    <w:next w:val="Normal"/>
    <w:rsid w:val="00AC4800"/>
    <w:pPr>
      <w:spacing w:before="240"/>
      <w:jc w:val="center"/>
    </w:pPr>
    <w:rPr>
      <w:rFonts w:ascii="Times New Roman" w:hAnsi="Times New Roman"/>
      <w:i/>
      <w:sz w:val="24"/>
      <w:szCs w:val="24"/>
    </w:rPr>
  </w:style>
  <w:style w:type="paragraph" w:customStyle="1" w:styleId="Contents-Major">
    <w:name w:val="Contents - Major"/>
    <w:basedOn w:val="Normal"/>
    <w:rsid w:val="006B29A4"/>
    <w:pPr>
      <w:keepNext/>
      <w:spacing w:after="200"/>
    </w:pPr>
    <w:rPr>
      <w:color w:val="002776"/>
      <w:sz w:val="56"/>
      <w:szCs w:val="32"/>
    </w:rPr>
  </w:style>
  <w:style w:type="paragraph" w:customStyle="1" w:styleId="Reference">
    <w:name w:val="Reference"/>
    <w:basedOn w:val="Normal"/>
    <w:rsid w:val="00F002DB"/>
    <w:pPr>
      <w:spacing w:before="240" w:after="240"/>
      <w:ind w:left="567" w:hanging="567"/>
    </w:pPr>
  </w:style>
  <w:style w:type="paragraph" w:styleId="TOC1">
    <w:name w:val="toc 1"/>
    <w:basedOn w:val="Normal"/>
    <w:next w:val="Normal"/>
    <w:uiPriority w:val="39"/>
    <w:rsid w:val="00AC4800"/>
    <w:pPr>
      <w:tabs>
        <w:tab w:val="left" w:pos="567"/>
        <w:tab w:val="right" w:leader="dot" w:pos="8505"/>
      </w:tabs>
      <w:spacing w:before="120"/>
    </w:pPr>
    <w:rPr>
      <w:rFonts w:cs="Arial"/>
      <w:szCs w:val="22"/>
    </w:rPr>
  </w:style>
  <w:style w:type="paragraph" w:styleId="TOC2">
    <w:name w:val="toc 2"/>
    <w:basedOn w:val="Normal"/>
    <w:next w:val="Normal"/>
    <w:uiPriority w:val="39"/>
    <w:rsid w:val="00AC4800"/>
    <w:pPr>
      <w:tabs>
        <w:tab w:val="left" w:pos="1134"/>
        <w:tab w:val="right" w:leader="dot" w:pos="8505"/>
      </w:tabs>
      <w:spacing w:before="60"/>
      <w:ind w:left="1134" w:right="567" w:hanging="567"/>
    </w:pPr>
    <w:rPr>
      <w:noProof/>
      <w:sz w:val="20"/>
    </w:rPr>
  </w:style>
  <w:style w:type="paragraph" w:styleId="TOC3">
    <w:name w:val="toc 3"/>
    <w:basedOn w:val="Normal"/>
    <w:next w:val="Normal"/>
    <w:autoRedefine/>
    <w:uiPriority w:val="39"/>
    <w:unhideWhenUsed/>
    <w:rsid w:val="00AC4800"/>
    <w:pPr>
      <w:tabs>
        <w:tab w:val="left" w:pos="1985"/>
        <w:tab w:val="right" w:leader="dot" w:pos="8505"/>
      </w:tabs>
      <w:spacing w:before="60" w:after="100" w:line="276" w:lineRule="auto"/>
      <w:ind w:left="2268" w:hanging="1134"/>
    </w:pPr>
    <w:rPr>
      <w:rFonts w:asciiTheme="minorHAnsi" w:eastAsiaTheme="minorHAnsi" w:hAnsiTheme="minorHAnsi" w:cstheme="minorBidi"/>
      <w:sz w:val="20"/>
      <w:szCs w:val="22"/>
    </w:rPr>
  </w:style>
  <w:style w:type="character" w:styleId="Hyperlink">
    <w:name w:val="Hyperlink"/>
    <w:basedOn w:val="DefaultParagraphFont"/>
    <w:uiPriority w:val="99"/>
    <w:rsid w:val="00D52DE2"/>
  </w:style>
  <w:style w:type="paragraph" w:customStyle="1" w:styleId="FooterOdd">
    <w:name w:val="Footer Odd"/>
    <w:basedOn w:val="Normal"/>
    <w:qFormat/>
    <w:rsid w:val="00F35BC0"/>
    <w:pPr>
      <w:framePr w:hSpace="181" w:wrap="around" w:vAnchor="text" w:hAnchor="page" w:x="10774" w:y="211"/>
      <w:shd w:val="solid" w:color="FFFFFF" w:fill="FFFFFF"/>
      <w:spacing w:before="120"/>
      <w:jc w:val="right"/>
    </w:pPr>
    <w:rPr>
      <w:sz w:val="18"/>
    </w:rPr>
  </w:style>
  <w:style w:type="table" w:customStyle="1" w:styleId="TableGridWithTotals">
    <w:name w:val="Table Grid With Totals"/>
    <w:basedOn w:val="TableNormal"/>
    <w:rsid w:val="00A82926"/>
    <w:pPr>
      <w:keepNext/>
      <w:keepLines/>
      <w:spacing w:before="60"/>
    </w:pPr>
    <w:rPr>
      <w:rFonts w:ascii="Arial" w:hAnsi="Arial"/>
    </w:rPr>
    <w:tblPr/>
    <w:trPr>
      <w:cantSplit/>
    </w:trPr>
    <w:tblStylePr w:type="firstRow">
      <w:pPr>
        <w:wordWrap/>
        <w:spacing w:beforeLines="0" w:beforeAutospacing="0" w:afterLines="0" w:afterAutospacing="0" w:line="240" w:lineRule="auto"/>
        <w:ind w:leftChars="0" w:left="0" w:rightChars="0" w:right="0"/>
        <w:contextualSpacing/>
        <w:outlineLvl w:val="9"/>
      </w:pPr>
      <w:tblPr/>
      <w:tcPr>
        <w:tcBorders>
          <w:top w:val="single" w:sz="12" w:space="0" w:color="002776"/>
          <w:left w:val="nil"/>
          <w:bottom w:val="single" w:sz="8" w:space="0" w:color="002776"/>
          <w:right w:val="nil"/>
          <w:insideH w:val="nil"/>
          <w:insideV w:val="nil"/>
          <w:tl2br w:val="nil"/>
          <w:tr2bl w:val="nil"/>
        </w:tcBorders>
      </w:tcPr>
    </w:tblStylePr>
    <w:tblStylePr w:type="lastRow">
      <w:pPr>
        <w:wordWrap/>
        <w:spacing w:beforeLines="0" w:beforeAutospacing="0" w:afterLines="0" w:afterAutospacing="0"/>
        <w:ind w:leftChars="0" w:left="142" w:firstLineChars="0" w:firstLine="0"/>
      </w:pPr>
      <w:rPr>
        <w:rFonts w:ascii="Arial" w:hAnsi="Arial"/>
        <w:b/>
        <w:i w:val="0"/>
        <w:color w:val="931638"/>
        <w:sz w:val="20"/>
        <w:szCs w:val="20"/>
      </w:rPr>
      <w:tblPr/>
      <w:tcPr>
        <w:tcBorders>
          <w:top w:val="single" w:sz="12" w:space="0" w:color="002776"/>
          <w:left w:val="nil"/>
          <w:bottom w:val="single" w:sz="12" w:space="0" w:color="002776"/>
          <w:right w:val="nil"/>
          <w:insideH w:val="nil"/>
          <w:insideV w:val="nil"/>
          <w:tl2br w:val="nil"/>
          <w:tr2bl w:val="nil"/>
        </w:tcBorders>
      </w:tcPr>
    </w:tblStylePr>
  </w:style>
  <w:style w:type="paragraph" w:customStyle="1" w:styleId="NumberedList">
    <w:name w:val="Numbered List"/>
    <w:basedOn w:val="Normal"/>
    <w:rsid w:val="00003CCA"/>
    <w:pPr>
      <w:numPr>
        <w:numId w:val="11"/>
      </w:numPr>
      <w:spacing w:before="120"/>
      <w:jc w:val="both"/>
    </w:pPr>
    <w:rPr>
      <w:rFonts w:cs="Arial"/>
    </w:rPr>
  </w:style>
  <w:style w:type="paragraph" w:styleId="Caption">
    <w:name w:val="caption"/>
    <w:basedOn w:val="Normal"/>
    <w:next w:val="Normal"/>
    <w:qFormat/>
    <w:rsid w:val="0076674A"/>
    <w:pPr>
      <w:keepNext/>
      <w:keepLines/>
      <w:spacing w:before="240" w:after="240"/>
      <w:jc w:val="center"/>
    </w:pPr>
    <w:rPr>
      <w:b/>
      <w:bCs/>
      <w:color w:val="931638"/>
      <w:szCs w:val="22"/>
    </w:rPr>
  </w:style>
  <w:style w:type="paragraph" w:customStyle="1" w:styleId="Note">
    <w:name w:val="Note"/>
    <w:basedOn w:val="Normal"/>
    <w:rsid w:val="00A200CF"/>
    <w:pPr>
      <w:spacing w:before="60" w:after="120"/>
    </w:pPr>
    <w:rPr>
      <w:sz w:val="18"/>
    </w:rPr>
  </w:style>
  <w:style w:type="paragraph" w:customStyle="1" w:styleId="MajorHeading">
    <w:name w:val="Major Heading"/>
    <w:basedOn w:val="Normal"/>
    <w:next w:val="Normal"/>
    <w:rsid w:val="00AC4800"/>
    <w:pPr>
      <w:pageBreakBefore/>
      <w:numPr>
        <w:numId w:val="10"/>
      </w:numPr>
      <w:spacing w:after="120"/>
    </w:pPr>
    <w:rPr>
      <w:rFonts w:cs="Arial"/>
      <w:b/>
      <w:color w:val="002776"/>
      <w:sz w:val="56"/>
    </w:rPr>
  </w:style>
  <w:style w:type="paragraph" w:styleId="TableofFigures">
    <w:name w:val="table of figures"/>
    <w:basedOn w:val="Normal"/>
    <w:next w:val="Normal"/>
    <w:uiPriority w:val="99"/>
    <w:rsid w:val="00AC4800"/>
    <w:pPr>
      <w:tabs>
        <w:tab w:val="right" w:leader="dot" w:pos="8505"/>
      </w:tabs>
      <w:spacing w:before="60"/>
      <w:ind w:left="567" w:right="567" w:hanging="567"/>
    </w:pPr>
    <w:rPr>
      <w:szCs w:val="22"/>
    </w:rPr>
  </w:style>
  <w:style w:type="paragraph" w:customStyle="1" w:styleId="TabletextLeft">
    <w:name w:val="Table text Left"/>
    <w:basedOn w:val="Normal"/>
    <w:uiPriority w:val="99"/>
    <w:rsid w:val="00AC4800"/>
    <w:pPr>
      <w:spacing w:before="60"/>
    </w:pPr>
    <w:rPr>
      <w:sz w:val="20"/>
    </w:rPr>
  </w:style>
  <w:style w:type="table" w:customStyle="1" w:styleId="TableGridWithoutTotals">
    <w:name w:val="Table Grid Without Totals"/>
    <w:basedOn w:val="TableNormal"/>
    <w:rsid w:val="00AC4800"/>
    <w:pPr>
      <w:keepNext/>
      <w:keepLines/>
    </w:pPr>
    <w:rPr>
      <w:rFonts w:ascii="Arial" w:hAnsi="Arial"/>
    </w:rPr>
    <w:tblPr/>
    <w:trPr>
      <w:cantSplit/>
    </w:trPr>
    <w:tblStylePr w:type="firstRow">
      <w:pPr>
        <w:wordWrap/>
        <w:spacing w:beforeLines="0" w:beforeAutospacing="0" w:afterLines="0" w:afterAutospacing="0" w:line="240" w:lineRule="auto"/>
        <w:ind w:leftChars="0" w:left="0" w:rightChars="0" w:right="0"/>
        <w:contextualSpacing/>
        <w:outlineLvl w:val="9"/>
      </w:pPr>
      <w:tblPr/>
      <w:tcPr>
        <w:tcBorders>
          <w:top w:val="single" w:sz="18" w:space="0" w:color="931638"/>
          <w:left w:val="nil"/>
          <w:bottom w:val="single" w:sz="12" w:space="0" w:color="931638"/>
          <w:right w:val="nil"/>
          <w:insideH w:val="nil"/>
          <w:insideV w:val="nil"/>
          <w:tl2br w:val="nil"/>
          <w:tr2bl w:val="nil"/>
        </w:tcBorders>
      </w:tcPr>
    </w:tblStylePr>
    <w:tblStylePr w:type="lastRow">
      <w:pPr>
        <w:wordWrap/>
        <w:spacing w:beforeLines="0" w:beforeAutospacing="0" w:afterLines="0" w:afterAutospacing="0"/>
        <w:ind w:leftChars="0" w:left="0"/>
      </w:pPr>
      <w:tblPr/>
      <w:tcPr>
        <w:tcBorders>
          <w:top w:val="nil"/>
          <w:left w:val="nil"/>
          <w:bottom w:val="single" w:sz="12" w:space="0" w:color="931638"/>
          <w:right w:val="nil"/>
          <w:insideH w:val="nil"/>
          <w:insideV w:val="nil"/>
          <w:tl2br w:val="nil"/>
          <w:tr2bl w:val="nil"/>
        </w:tcBorders>
      </w:tcPr>
    </w:tblStylePr>
  </w:style>
  <w:style w:type="table" w:styleId="TableGrid">
    <w:name w:val="Table Grid"/>
    <w:basedOn w:val="TableNormal"/>
    <w:rsid w:val="00AC4800"/>
    <w:pPr>
      <w:jc w:val="both"/>
    </w:pPr>
    <w:tblPr/>
    <w:trPr>
      <w:cantSplit/>
    </w:trPr>
  </w:style>
  <w:style w:type="paragraph" w:customStyle="1" w:styleId="Tabletotals">
    <w:name w:val="Table totals"/>
    <w:basedOn w:val="Normal"/>
    <w:rsid w:val="00AC4800"/>
    <w:pPr>
      <w:keepNext/>
      <w:keepLines/>
      <w:ind w:left="142"/>
    </w:pPr>
  </w:style>
  <w:style w:type="table" w:customStyle="1" w:styleId="TableTwoHeadingRows">
    <w:name w:val="Table Two Heading Rows"/>
    <w:basedOn w:val="TableNormal"/>
    <w:rsid w:val="001D0FDF"/>
    <w:rPr>
      <w:rFonts w:ascii="Arial" w:hAnsi="Arial"/>
    </w:rPr>
    <w:tblPr/>
    <w:tblStylePr w:type="firstRow">
      <w:rPr>
        <w:rFonts w:ascii="Arial" w:hAnsi="Arial"/>
      </w:rPr>
      <w:tblPr/>
      <w:tcPr>
        <w:tcBorders>
          <w:top w:val="single" w:sz="12" w:space="0" w:color="002776"/>
          <w:left w:val="nil"/>
          <w:bottom w:val="nil"/>
          <w:right w:val="nil"/>
          <w:insideH w:val="nil"/>
          <w:insideV w:val="nil"/>
          <w:tl2br w:val="nil"/>
          <w:tr2bl w:val="nil"/>
        </w:tcBorders>
      </w:tcPr>
    </w:tblStylePr>
    <w:tblStylePr w:type="lastRow">
      <w:tblPr/>
      <w:tcPr>
        <w:tcBorders>
          <w:top w:val="nil"/>
          <w:left w:val="nil"/>
          <w:bottom w:val="single" w:sz="12" w:space="0" w:color="002776"/>
          <w:right w:val="nil"/>
          <w:insideH w:val="nil"/>
          <w:insideV w:val="nil"/>
          <w:tl2br w:val="nil"/>
          <w:tr2bl w:val="nil"/>
        </w:tcBorders>
      </w:tcPr>
    </w:tblStylePr>
  </w:style>
  <w:style w:type="paragraph" w:customStyle="1" w:styleId="FooterLeft">
    <w:name w:val="FooterLeft"/>
    <w:basedOn w:val="Normal"/>
    <w:rsid w:val="00F35BC0"/>
    <w:pPr>
      <w:ind w:left="-227" w:right="357"/>
    </w:pPr>
    <w:rPr>
      <w:sz w:val="18"/>
    </w:rPr>
  </w:style>
  <w:style w:type="paragraph" w:customStyle="1" w:styleId="Appendix">
    <w:name w:val="Appendix"/>
    <w:basedOn w:val="Normal"/>
    <w:next w:val="Normal"/>
    <w:rsid w:val="006B29A4"/>
    <w:pPr>
      <w:keepNext/>
      <w:pageBreakBefore/>
      <w:numPr>
        <w:numId w:val="13"/>
      </w:numPr>
      <w:spacing w:before="360" w:after="180"/>
    </w:pPr>
    <w:rPr>
      <w:b/>
      <w:color w:val="002776"/>
      <w:sz w:val="56"/>
      <w:szCs w:val="28"/>
    </w:rPr>
  </w:style>
  <w:style w:type="paragraph" w:customStyle="1" w:styleId="Source">
    <w:name w:val="Source"/>
    <w:basedOn w:val="Note"/>
    <w:qFormat/>
    <w:rsid w:val="00A2029E"/>
    <w:pPr>
      <w:spacing w:before="0"/>
    </w:pPr>
    <w:rPr>
      <w:rFonts w:cs="Arial"/>
    </w:rPr>
  </w:style>
  <w:style w:type="paragraph" w:customStyle="1" w:styleId="HeaderLine2">
    <w:name w:val="Header Line 2"/>
    <w:basedOn w:val="Header"/>
    <w:qFormat/>
    <w:rsid w:val="002E1173"/>
  </w:style>
  <w:style w:type="paragraph" w:customStyle="1" w:styleId="DisclaimerText">
    <w:name w:val="DisclaimerText"/>
    <w:basedOn w:val="Normal"/>
    <w:rsid w:val="00A200CF"/>
    <w:pPr>
      <w:spacing w:before="20"/>
      <w:jc w:val="both"/>
    </w:pPr>
    <w:rPr>
      <w:rFonts w:ascii="Swis721 Md BT" w:hAnsi="Swis721 Md BT"/>
      <w:color w:val="000000"/>
      <w:sz w:val="16"/>
      <w:szCs w:val="16"/>
    </w:rPr>
  </w:style>
  <w:style w:type="paragraph" w:customStyle="1" w:styleId="FooterLandscape">
    <w:name w:val="FooterLandscape"/>
    <w:basedOn w:val="Normal"/>
    <w:rsid w:val="00F35BC0"/>
    <w:pPr>
      <w:tabs>
        <w:tab w:val="right" w:pos="14031"/>
      </w:tabs>
      <w:ind w:left="-454" w:right="142"/>
    </w:pPr>
    <w:rPr>
      <w:rFonts w:ascii="Swis721 LtCn BT" w:hAnsi="Swis721 LtCn BT"/>
      <w:sz w:val="18"/>
    </w:rPr>
  </w:style>
  <w:style w:type="paragraph" w:customStyle="1" w:styleId="ReportTitle">
    <w:name w:val="Report Title"/>
    <w:basedOn w:val="Normal"/>
    <w:qFormat/>
    <w:rsid w:val="0092257D"/>
    <w:pPr>
      <w:framePr w:hSpace="181" w:wrap="around" w:vAnchor="page" w:hAnchor="margin" w:y="3403"/>
      <w:suppressOverlap/>
    </w:pPr>
    <w:rPr>
      <w:color w:val="002776"/>
      <w:sz w:val="72"/>
      <w:szCs w:val="56"/>
    </w:rPr>
  </w:style>
  <w:style w:type="paragraph" w:customStyle="1" w:styleId="SubHeading">
    <w:name w:val="Sub Heading"/>
    <w:basedOn w:val="Normal"/>
    <w:qFormat/>
    <w:rsid w:val="00A200CF"/>
    <w:pPr>
      <w:keepNext/>
      <w:spacing w:before="360" w:after="60"/>
    </w:pPr>
    <w:rPr>
      <w:rFonts w:cs="Arial"/>
      <w:b/>
      <w:color w:val="931638"/>
    </w:rPr>
  </w:style>
  <w:style w:type="character" w:styleId="Strong">
    <w:name w:val="Strong"/>
    <w:basedOn w:val="DefaultParagraphFont"/>
    <w:qFormat/>
    <w:rsid w:val="00FA566F"/>
    <w:rPr>
      <w:b/>
      <w:bCs/>
    </w:rPr>
  </w:style>
  <w:style w:type="character" w:styleId="Emphasis">
    <w:name w:val="Emphasis"/>
    <w:basedOn w:val="DefaultParagraphFont"/>
    <w:qFormat/>
    <w:rsid w:val="008603FE"/>
    <w:rPr>
      <w:i/>
      <w:iCs/>
    </w:rPr>
  </w:style>
  <w:style w:type="paragraph" w:styleId="CommentSubject">
    <w:name w:val="annotation subject"/>
    <w:basedOn w:val="Normal"/>
    <w:semiHidden/>
    <w:rsid w:val="008F4249"/>
    <w:rPr>
      <w:b/>
      <w:bCs/>
      <w:sz w:val="20"/>
    </w:rPr>
  </w:style>
  <w:style w:type="paragraph" w:styleId="Revision">
    <w:name w:val="Revision"/>
    <w:hidden/>
    <w:uiPriority w:val="99"/>
    <w:semiHidden/>
    <w:rsid w:val="00721EC7"/>
    <w:pPr>
      <w:spacing w:before="240"/>
    </w:pPr>
    <w:rPr>
      <w:rFonts w:ascii="Arial" w:hAnsi="Arial"/>
      <w:sz w:val="22"/>
      <w:lang w:eastAsia="en-US"/>
    </w:rPr>
  </w:style>
  <w:style w:type="paragraph" w:customStyle="1" w:styleId="Bullet2">
    <w:name w:val="Bullet 2"/>
    <w:basedOn w:val="Normal"/>
    <w:qFormat/>
    <w:rsid w:val="00F0239F"/>
    <w:pPr>
      <w:numPr>
        <w:numId w:val="6"/>
      </w:numPr>
      <w:spacing w:before="60"/>
      <w:ind w:left="1134" w:hanging="567"/>
      <w:jc w:val="both"/>
    </w:pPr>
  </w:style>
  <w:style w:type="paragraph" w:customStyle="1" w:styleId="Bullet3">
    <w:name w:val="Bullet 3"/>
    <w:basedOn w:val="Normal"/>
    <w:qFormat/>
    <w:rsid w:val="00F0239F"/>
    <w:pPr>
      <w:numPr>
        <w:numId w:val="7"/>
      </w:numPr>
      <w:spacing w:before="60"/>
      <w:ind w:left="1134" w:firstLine="567"/>
      <w:jc w:val="both"/>
    </w:pPr>
  </w:style>
  <w:style w:type="paragraph" w:customStyle="1" w:styleId="FooterSecurity">
    <w:name w:val="Footer Security"/>
    <w:basedOn w:val="Normal"/>
    <w:qFormat/>
    <w:rsid w:val="00F35BC0"/>
    <w:pPr>
      <w:jc w:val="center"/>
    </w:pPr>
    <w:rPr>
      <w:rFonts w:cs="Arial"/>
      <w:color w:val="7A7A78"/>
      <w:sz w:val="24"/>
      <w:szCs w:val="16"/>
    </w:rPr>
  </w:style>
  <w:style w:type="paragraph" w:customStyle="1" w:styleId="ReportDate">
    <w:name w:val="Report Date"/>
    <w:basedOn w:val="Normal"/>
    <w:qFormat/>
    <w:rsid w:val="00042200"/>
    <w:rPr>
      <w:color w:val="92D400"/>
      <w:sz w:val="28"/>
      <w:szCs w:val="28"/>
    </w:rPr>
  </w:style>
  <w:style w:type="paragraph" w:customStyle="1" w:styleId="ReportBy">
    <w:name w:val="Report By"/>
    <w:basedOn w:val="Normal"/>
    <w:qFormat/>
    <w:rsid w:val="00AE49C0"/>
    <w:pPr>
      <w:spacing w:line="360" w:lineRule="auto"/>
    </w:pPr>
    <w:rPr>
      <w:rFonts w:cs="Arial"/>
      <w:color w:val="931638"/>
      <w:sz w:val="24"/>
      <w:szCs w:val="28"/>
    </w:rPr>
  </w:style>
  <w:style w:type="paragraph" w:customStyle="1" w:styleId="ReportCompany">
    <w:name w:val="Report Company"/>
    <w:basedOn w:val="Normal"/>
    <w:qFormat/>
    <w:rsid w:val="0092257D"/>
    <w:rPr>
      <w:rFonts w:cs="Arial"/>
      <w:color w:val="92D400"/>
      <w:sz w:val="56"/>
      <w:szCs w:val="56"/>
    </w:rPr>
  </w:style>
  <w:style w:type="paragraph" w:customStyle="1" w:styleId="BodyText-Centred">
    <w:name w:val="BodyText - Centred"/>
    <w:basedOn w:val="Normal"/>
    <w:qFormat/>
    <w:rsid w:val="002539EC"/>
    <w:pPr>
      <w:spacing w:before="240"/>
      <w:jc w:val="center"/>
    </w:pPr>
    <w:rPr>
      <w:noProof/>
      <w:sz w:val="24"/>
      <w:lang w:eastAsia="en-AU"/>
    </w:rPr>
  </w:style>
  <w:style w:type="paragraph" w:customStyle="1" w:styleId="FooterLine1">
    <w:name w:val="Footer Line 1"/>
    <w:basedOn w:val="Normal"/>
    <w:qFormat/>
    <w:rsid w:val="00F35BC0"/>
    <w:pPr>
      <w:jc w:val="right"/>
    </w:pPr>
    <w:rPr>
      <w:sz w:val="18"/>
    </w:rPr>
  </w:style>
  <w:style w:type="paragraph" w:customStyle="1" w:styleId="Glossarytext">
    <w:name w:val="Glossary text"/>
    <w:basedOn w:val="Normal"/>
    <w:qFormat/>
    <w:rsid w:val="00AC4800"/>
    <w:pPr>
      <w:spacing w:before="120"/>
      <w:contextualSpacing/>
    </w:pPr>
    <w:rPr>
      <w:rFonts w:cs="Arial"/>
    </w:rPr>
  </w:style>
  <w:style w:type="paragraph" w:customStyle="1" w:styleId="GlossaryAbbreviation">
    <w:name w:val="Glossary Abbreviation"/>
    <w:basedOn w:val="Normal"/>
    <w:qFormat/>
    <w:rsid w:val="00AC4800"/>
    <w:pPr>
      <w:spacing w:before="120"/>
    </w:pPr>
    <w:rPr>
      <w:rFonts w:cs="Arial"/>
      <w:caps/>
    </w:rPr>
  </w:style>
  <w:style w:type="table" w:customStyle="1" w:styleId="TableAEGrey">
    <w:name w:val="Table AE Grey"/>
    <w:basedOn w:val="TableAE"/>
    <w:rsid w:val="00A82926"/>
    <w:tblPr>
      <w:tblBorders>
        <w:top w:val="single" w:sz="12" w:space="0" w:color="002776"/>
        <w:bottom w:val="none" w:sz="0" w:space="0" w:color="auto"/>
        <w:insideH w:val="single" w:sz="4" w:space="0" w:color="A6A6A6"/>
        <w:insideV w:val="single" w:sz="4" w:space="0" w:color="A6A6A6"/>
      </w:tblBorders>
    </w:tblPr>
    <w:tblStylePr w:type="firstRow">
      <w:tblPr/>
      <w:tcPr>
        <w:tcBorders>
          <w:top w:val="single" w:sz="12" w:space="0" w:color="002776"/>
          <w:left w:val="nil"/>
          <w:bottom w:val="single" w:sz="8" w:space="0" w:color="002776"/>
          <w:right w:val="nil"/>
          <w:insideH w:val="nil"/>
          <w:insideV w:val="single" w:sz="4" w:space="0" w:color="A6A6A6"/>
          <w:tl2br w:val="nil"/>
          <w:tr2bl w:val="nil"/>
        </w:tcBorders>
      </w:tcPr>
    </w:tblStylePr>
    <w:tblStylePr w:type="lastRow">
      <w:tblPr/>
      <w:tcPr>
        <w:tcBorders>
          <w:top w:val="nil"/>
          <w:bottom w:val="single" w:sz="12" w:space="0" w:color="002776"/>
        </w:tcBorders>
      </w:tcPr>
    </w:tblStylePr>
  </w:style>
  <w:style w:type="paragraph" w:customStyle="1" w:styleId="ReportFooterSecurity">
    <w:name w:val="Report Footer Security"/>
    <w:basedOn w:val="FooterSecurity"/>
    <w:qFormat/>
    <w:rsid w:val="00BE3FA6"/>
    <w:rPr>
      <w:color w:val="931638"/>
    </w:rPr>
  </w:style>
  <w:style w:type="table" w:customStyle="1" w:styleId="TableAEGreyTotals">
    <w:name w:val="Table AE Grey Totals"/>
    <w:basedOn w:val="TableAEGrey"/>
    <w:rsid w:val="00A82926"/>
    <w:tblPr/>
    <w:tblStylePr w:type="firstRow">
      <w:tblPr/>
      <w:tcPr>
        <w:tcBorders>
          <w:top w:val="single" w:sz="12" w:space="0" w:color="002776"/>
          <w:left w:val="nil"/>
          <w:bottom w:val="single" w:sz="8" w:space="0" w:color="002776"/>
          <w:right w:val="nil"/>
          <w:insideH w:val="nil"/>
          <w:insideV w:val="single" w:sz="4" w:space="0" w:color="A6A6A6"/>
          <w:tl2br w:val="nil"/>
          <w:tr2bl w:val="nil"/>
        </w:tcBorders>
      </w:tcPr>
    </w:tblStylePr>
    <w:tblStylePr w:type="lastRow">
      <w:tblPr/>
      <w:tcPr>
        <w:tcBorders>
          <w:top w:val="single" w:sz="12" w:space="0" w:color="002776"/>
          <w:left w:val="nil"/>
          <w:bottom w:val="single" w:sz="12" w:space="0" w:color="002776"/>
          <w:right w:val="nil"/>
          <w:insideH w:val="nil"/>
          <w:insideV w:val="single" w:sz="4" w:space="0" w:color="A6A6A6"/>
          <w:tl2br w:val="nil"/>
          <w:tr2bl w:val="nil"/>
        </w:tcBorders>
      </w:tcPr>
    </w:tblStylePr>
  </w:style>
  <w:style w:type="paragraph" w:customStyle="1" w:styleId="Glossary">
    <w:name w:val="Glossary"/>
    <w:basedOn w:val="Normal"/>
    <w:next w:val="BodyText"/>
    <w:qFormat/>
    <w:rsid w:val="000175EC"/>
    <w:pPr>
      <w:keepNext/>
      <w:spacing w:after="200"/>
    </w:pPr>
    <w:rPr>
      <w:b/>
      <w:color w:val="002776"/>
      <w:sz w:val="56"/>
    </w:rPr>
  </w:style>
  <w:style w:type="table" w:customStyle="1" w:styleId="TableAEGlossary">
    <w:name w:val="Table AE Glossary"/>
    <w:basedOn w:val="TableNormal"/>
    <w:uiPriority w:val="99"/>
    <w:qFormat/>
    <w:rsid w:val="00C22E9A"/>
    <w:tblPr>
      <w:tblBorders>
        <w:top w:val="single" w:sz="4" w:space="0" w:color="931638"/>
        <w:bottom w:val="single" w:sz="4" w:space="0" w:color="931638"/>
      </w:tblBorders>
    </w:tblPr>
    <w:tblStylePr w:type="firstRow">
      <w:tblPr/>
      <w:tcPr>
        <w:tcBorders>
          <w:top w:val="single" w:sz="4" w:space="0" w:color="002776"/>
          <w:bottom w:val="nil"/>
        </w:tcBorders>
      </w:tcPr>
    </w:tblStylePr>
    <w:tblStylePr w:type="lastRow">
      <w:tblPr/>
      <w:tcPr>
        <w:tcBorders>
          <w:bottom w:val="single" w:sz="4" w:space="0" w:color="002776"/>
        </w:tcBorders>
      </w:tcPr>
    </w:tblStylePr>
  </w:style>
  <w:style w:type="paragraph" w:customStyle="1" w:styleId="Contents-Minor">
    <w:name w:val="Contents - Minor"/>
    <w:basedOn w:val="Contents-Major"/>
    <w:qFormat/>
    <w:rsid w:val="006B29A4"/>
    <w:pPr>
      <w:spacing w:before="400"/>
    </w:pPr>
  </w:style>
  <w:style w:type="paragraph" w:customStyle="1" w:styleId="ReportBy0">
    <w:name w:val="ReportBy"/>
    <w:basedOn w:val="Normal"/>
    <w:qFormat/>
    <w:rsid w:val="00A200CF"/>
    <w:pPr>
      <w:spacing w:line="360" w:lineRule="auto"/>
    </w:pPr>
    <w:rPr>
      <w:rFonts w:cs="Arial"/>
      <w:color w:val="000000"/>
      <w:sz w:val="28"/>
      <w:szCs w:val="28"/>
    </w:rPr>
  </w:style>
  <w:style w:type="paragraph" w:customStyle="1" w:styleId="ReportDate0">
    <w:name w:val="ReportDate"/>
    <w:basedOn w:val="Normal"/>
    <w:rsid w:val="0092257D"/>
    <w:pPr>
      <w:spacing w:before="300"/>
      <w:ind w:right="1429"/>
    </w:pPr>
    <w:rPr>
      <w:color w:val="92D400"/>
      <w:sz w:val="52"/>
      <w:szCs w:val="24"/>
    </w:rPr>
  </w:style>
  <w:style w:type="paragraph" w:customStyle="1" w:styleId="Security">
    <w:name w:val="Security"/>
    <w:basedOn w:val="Normal"/>
    <w:qFormat/>
    <w:rsid w:val="00A200CF"/>
    <w:pPr>
      <w:jc w:val="center"/>
    </w:pPr>
    <w:rPr>
      <w:rFonts w:cs="Arial"/>
      <w:color w:val="7A7A78"/>
      <w:sz w:val="16"/>
      <w:szCs w:val="16"/>
    </w:rPr>
  </w:style>
  <w:style w:type="paragraph" w:customStyle="1" w:styleId="TableofContents">
    <w:name w:val="Table of Contents"/>
    <w:basedOn w:val="Normal"/>
    <w:rsid w:val="00AC4800"/>
    <w:pPr>
      <w:keepNext/>
      <w:spacing w:before="400" w:after="200"/>
    </w:pPr>
    <w:rPr>
      <w:b/>
      <w:color w:val="002776"/>
      <w:sz w:val="32"/>
      <w:szCs w:val="32"/>
    </w:rPr>
  </w:style>
  <w:style w:type="paragraph" w:styleId="Footer">
    <w:name w:val="footer"/>
    <w:basedOn w:val="Normal"/>
    <w:link w:val="FooterChar"/>
    <w:rsid w:val="00F35BC0"/>
    <w:pPr>
      <w:tabs>
        <w:tab w:val="center" w:pos="4513"/>
        <w:tab w:val="right" w:pos="9026"/>
      </w:tabs>
    </w:pPr>
    <w:rPr>
      <w:sz w:val="18"/>
    </w:rPr>
  </w:style>
  <w:style w:type="character" w:customStyle="1" w:styleId="FooterChar">
    <w:name w:val="Footer Char"/>
    <w:basedOn w:val="DefaultParagraphFont"/>
    <w:link w:val="Footer"/>
    <w:rsid w:val="00F35BC0"/>
    <w:rPr>
      <w:rFonts w:ascii="Calibri" w:hAnsi="Calibri"/>
      <w:sz w:val="18"/>
      <w:lang w:eastAsia="en-US"/>
    </w:rPr>
  </w:style>
  <w:style w:type="paragraph" w:customStyle="1" w:styleId="HeadingA">
    <w:name w:val="Heading A"/>
    <w:next w:val="BodyText"/>
    <w:rsid w:val="00AC4800"/>
    <w:pPr>
      <w:keepNext/>
      <w:keepLines/>
      <w:spacing w:before="120" w:after="60"/>
    </w:pPr>
    <w:rPr>
      <w:rFonts w:ascii="Calibri" w:hAnsi="Calibri"/>
      <w:b/>
      <w:color w:val="002776"/>
      <w:sz w:val="32"/>
      <w:szCs w:val="28"/>
      <w:lang w:eastAsia="en-US"/>
    </w:rPr>
  </w:style>
  <w:style w:type="paragraph" w:customStyle="1" w:styleId="HeadingB">
    <w:name w:val="Heading B"/>
    <w:basedOn w:val="HeadingA"/>
    <w:next w:val="BodyText"/>
    <w:rsid w:val="00AC4800"/>
    <w:pPr>
      <w:spacing w:before="240" w:after="0"/>
    </w:pPr>
    <w:rPr>
      <w:sz w:val="28"/>
      <w:szCs w:val="26"/>
    </w:rPr>
  </w:style>
  <w:style w:type="paragraph" w:customStyle="1" w:styleId="HeadingC">
    <w:name w:val="Heading C"/>
    <w:basedOn w:val="Normal"/>
    <w:next w:val="BodyText"/>
    <w:rsid w:val="00AC4800"/>
    <w:pPr>
      <w:keepNext/>
      <w:keepLines/>
      <w:spacing w:before="240"/>
    </w:pPr>
    <w:rPr>
      <w:b/>
      <w:color w:val="002776"/>
      <w:sz w:val="24"/>
      <w:szCs w:val="28"/>
    </w:rPr>
  </w:style>
  <w:style w:type="paragraph" w:customStyle="1" w:styleId="AlphabeticList">
    <w:name w:val="Alphabetic List"/>
    <w:basedOn w:val="Normal"/>
    <w:rsid w:val="00F0239F"/>
    <w:pPr>
      <w:numPr>
        <w:numId w:val="2"/>
      </w:numPr>
      <w:spacing w:before="120"/>
      <w:jc w:val="both"/>
    </w:pPr>
  </w:style>
  <w:style w:type="paragraph" w:customStyle="1" w:styleId="DashList">
    <w:name w:val="Dash List"/>
    <w:basedOn w:val="Normal"/>
    <w:rsid w:val="005D7965"/>
    <w:pPr>
      <w:numPr>
        <w:ilvl w:val="1"/>
        <w:numId w:val="1"/>
      </w:numPr>
      <w:spacing w:before="60"/>
    </w:pPr>
  </w:style>
  <w:style w:type="paragraph" w:customStyle="1" w:styleId="IndentParaDarkGrey">
    <w:name w:val="Indent Para Dark Grey"/>
    <w:basedOn w:val="IndentPara"/>
    <w:next w:val="Normal"/>
    <w:rsid w:val="00AC4800"/>
    <w:pPr>
      <w:pBdr>
        <w:top w:val="single" w:sz="8" w:space="5" w:color="827F77"/>
        <w:left w:val="single" w:sz="8" w:space="5" w:color="827F77"/>
        <w:bottom w:val="single" w:sz="8" w:space="5" w:color="827F77"/>
        <w:right w:val="single" w:sz="8" w:space="5" w:color="827F77"/>
      </w:pBdr>
      <w:shd w:val="clear" w:color="808080" w:fill="827F77"/>
      <w:spacing w:after="240"/>
    </w:pPr>
    <w:rPr>
      <w:b/>
      <w:color w:val="FFFFFF"/>
      <w:szCs w:val="24"/>
    </w:rPr>
  </w:style>
  <w:style w:type="paragraph" w:customStyle="1" w:styleId="TableNote">
    <w:name w:val="Table Note"/>
    <w:basedOn w:val="Normal"/>
    <w:rsid w:val="00AC4800"/>
    <w:pPr>
      <w:tabs>
        <w:tab w:val="left" w:pos="425"/>
      </w:tabs>
      <w:spacing w:before="60"/>
      <w:jc w:val="center"/>
    </w:pPr>
    <w:rPr>
      <w:sz w:val="18"/>
    </w:rPr>
  </w:style>
  <w:style w:type="paragraph" w:customStyle="1" w:styleId="IndentNumberedList">
    <w:name w:val="Indent Numbered List"/>
    <w:basedOn w:val="Normal"/>
    <w:rsid w:val="002539EC"/>
    <w:pPr>
      <w:numPr>
        <w:numId w:val="4"/>
      </w:numPr>
      <w:spacing w:before="60"/>
      <w:jc w:val="both"/>
    </w:pPr>
  </w:style>
  <w:style w:type="paragraph" w:customStyle="1" w:styleId="IndentAlphabeticList">
    <w:name w:val="Indent Alphabetic List"/>
    <w:basedOn w:val="Normal"/>
    <w:rsid w:val="002539EC"/>
    <w:pPr>
      <w:numPr>
        <w:numId w:val="3"/>
      </w:numPr>
      <w:tabs>
        <w:tab w:val="left" w:pos="1134"/>
      </w:tabs>
      <w:spacing w:before="60"/>
      <w:ind w:left="1134" w:hanging="567"/>
      <w:jc w:val="both"/>
    </w:pPr>
  </w:style>
  <w:style w:type="paragraph" w:styleId="FootnoteText">
    <w:name w:val="footnote text"/>
    <w:aliases w:val="single space,ft,Footnote Text Char1 Char"/>
    <w:basedOn w:val="Normal"/>
    <w:link w:val="FootnoteTextChar"/>
    <w:rsid w:val="00D929F4"/>
    <w:pPr>
      <w:spacing w:before="120" w:after="60"/>
      <w:jc w:val="both"/>
    </w:pPr>
    <w:rPr>
      <w:rFonts w:asciiTheme="minorHAnsi" w:hAnsiTheme="minorHAnsi"/>
      <w:sz w:val="18"/>
    </w:rPr>
  </w:style>
  <w:style w:type="character" w:customStyle="1" w:styleId="FootnoteTextChar">
    <w:name w:val="Footnote Text Char"/>
    <w:aliases w:val="single space Char,ft Char,Footnote Text Char1 Char Char"/>
    <w:basedOn w:val="DefaultParagraphFont"/>
    <w:link w:val="FootnoteText"/>
    <w:rsid w:val="00D929F4"/>
    <w:rPr>
      <w:rFonts w:asciiTheme="minorHAnsi" w:hAnsiTheme="minorHAnsi"/>
      <w:sz w:val="18"/>
      <w:lang w:eastAsia="en-US"/>
    </w:rPr>
  </w:style>
  <w:style w:type="character" w:customStyle="1" w:styleId="HeaderChar">
    <w:name w:val="Header Char"/>
    <w:basedOn w:val="DefaultParagraphFont"/>
    <w:link w:val="Header"/>
    <w:rsid w:val="00F35BC0"/>
    <w:rPr>
      <w:rFonts w:ascii="Calibri" w:hAnsi="Calibri"/>
      <w:color w:val="595959"/>
      <w:sz w:val="22"/>
      <w:lang w:eastAsia="en-US"/>
    </w:rPr>
  </w:style>
  <w:style w:type="table" w:customStyle="1" w:styleId="TableAETotals">
    <w:name w:val="Table AE Totals"/>
    <w:basedOn w:val="TableNormal"/>
    <w:rsid w:val="00A82926"/>
    <w:rPr>
      <w:rFonts w:ascii="Arial" w:hAnsi="Arial"/>
    </w:rPr>
    <w:tblPr>
      <w:tblBorders>
        <w:top w:val="single" w:sz="12" w:space="0" w:color="002776"/>
        <w:bottom w:val="single" w:sz="12" w:space="0" w:color="002776"/>
      </w:tblBorders>
    </w:tblPr>
    <w:tblStylePr w:type="firstRow">
      <w:tblPr/>
      <w:tcPr>
        <w:tcBorders>
          <w:top w:val="single" w:sz="12" w:space="0" w:color="002776"/>
          <w:left w:val="nil"/>
          <w:bottom w:val="single" w:sz="8" w:space="0" w:color="002776"/>
          <w:right w:val="nil"/>
          <w:insideH w:val="nil"/>
          <w:insideV w:val="nil"/>
          <w:tl2br w:val="nil"/>
          <w:tr2bl w:val="nil"/>
        </w:tcBorders>
      </w:tcPr>
    </w:tblStylePr>
    <w:tblStylePr w:type="lastRow">
      <w:tblPr/>
      <w:tcPr>
        <w:tcBorders>
          <w:top w:val="single" w:sz="12" w:space="0" w:color="002776"/>
          <w:left w:val="nil"/>
          <w:bottom w:val="single" w:sz="12" w:space="0" w:color="002776"/>
          <w:right w:val="nil"/>
          <w:insideH w:val="nil"/>
          <w:insideV w:val="nil"/>
          <w:tl2br w:val="nil"/>
          <w:tr2bl w:val="nil"/>
        </w:tcBorders>
      </w:tcPr>
    </w:tblStylePr>
  </w:style>
  <w:style w:type="paragraph" w:customStyle="1" w:styleId="AppendixTableCaption">
    <w:name w:val="Appendix Table Caption"/>
    <w:basedOn w:val="CaptionAE"/>
    <w:next w:val="BodyText"/>
    <w:qFormat/>
    <w:rsid w:val="00AC4800"/>
    <w:pPr>
      <w:numPr>
        <w:ilvl w:val="1"/>
        <w:numId w:val="13"/>
      </w:numPr>
    </w:pPr>
    <w:rPr>
      <w:color w:val="002776"/>
    </w:rPr>
  </w:style>
  <w:style w:type="paragraph" w:customStyle="1" w:styleId="AppendixChartCaption">
    <w:name w:val="Appendix Chart Caption"/>
    <w:basedOn w:val="CaptionAE"/>
    <w:next w:val="BodyText"/>
    <w:qFormat/>
    <w:rsid w:val="00AC4800"/>
    <w:pPr>
      <w:numPr>
        <w:ilvl w:val="2"/>
        <w:numId w:val="13"/>
      </w:numPr>
    </w:pPr>
    <w:rPr>
      <w:color w:val="002776"/>
    </w:rPr>
  </w:style>
  <w:style w:type="paragraph" w:customStyle="1" w:styleId="AppendixFigureCaption">
    <w:name w:val="Appendix Figure Caption"/>
    <w:basedOn w:val="CaptionAE"/>
    <w:next w:val="BodyText"/>
    <w:qFormat/>
    <w:rsid w:val="00AC4800"/>
    <w:pPr>
      <w:numPr>
        <w:ilvl w:val="3"/>
        <w:numId w:val="13"/>
      </w:numPr>
    </w:pPr>
    <w:rPr>
      <w:color w:val="002776"/>
    </w:rPr>
  </w:style>
  <w:style w:type="paragraph" w:customStyle="1" w:styleId="CaptionTable">
    <w:name w:val="Caption_Table"/>
    <w:basedOn w:val="CaptionAE"/>
    <w:next w:val="BodyText"/>
    <w:qFormat/>
    <w:rsid w:val="00AC4800"/>
    <w:pPr>
      <w:numPr>
        <w:ilvl w:val="6"/>
        <w:numId w:val="8"/>
      </w:numPr>
    </w:pPr>
    <w:rPr>
      <w:color w:val="002776"/>
    </w:rPr>
  </w:style>
  <w:style w:type="paragraph" w:customStyle="1" w:styleId="CaptionFigure">
    <w:name w:val="Caption_Figure"/>
    <w:basedOn w:val="CaptionTable"/>
    <w:next w:val="BodyText"/>
    <w:qFormat/>
    <w:rsid w:val="00AC4800"/>
    <w:pPr>
      <w:numPr>
        <w:ilvl w:val="8"/>
      </w:numPr>
    </w:pPr>
    <w:rPr>
      <w:bCs/>
      <w:szCs w:val="22"/>
    </w:rPr>
  </w:style>
  <w:style w:type="paragraph" w:customStyle="1" w:styleId="CaptionChart">
    <w:name w:val="Caption_Chart"/>
    <w:basedOn w:val="CaptionFigure"/>
    <w:next w:val="BodyText"/>
    <w:qFormat/>
    <w:rsid w:val="00AC4800"/>
    <w:pPr>
      <w:numPr>
        <w:ilvl w:val="7"/>
      </w:numPr>
    </w:pPr>
  </w:style>
  <w:style w:type="paragraph" w:customStyle="1" w:styleId="ExecChartCaption">
    <w:name w:val="Exec Chart Caption"/>
    <w:basedOn w:val="CaptionAE"/>
    <w:next w:val="BodyText"/>
    <w:qFormat/>
    <w:rsid w:val="00AC4800"/>
    <w:pPr>
      <w:numPr>
        <w:ilvl w:val="2"/>
        <w:numId w:val="10"/>
      </w:numPr>
    </w:pPr>
    <w:rPr>
      <w:color w:val="002776"/>
    </w:rPr>
  </w:style>
  <w:style w:type="paragraph" w:customStyle="1" w:styleId="ExecFigureCaption">
    <w:name w:val="Exec Figure Caption"/>
    <w:basedOn w:val="CaptionAE"/>
    <w:next w:val="BodyText"/>
    <w:qFormat/>
    <w:rsid w:val="00AC4800"/>
    <w:pPr>
      <w:numPr>
        <w:ilvl w:val="3"/>
        <w:numId w:val="10"/>
      </w:numPr>
    </w:pPr>
    <w:rPr>
      <w:color w:val="002776"/>
    </w:rPr>
  </w:style>
  <w:style w:type="paragraph" w:customStyle="1" w:styleId="ExecTableCaption">
    <w:name w:val="Exec Table Caption"/>
    <w:basedOn w:val="CaptionAE"/>
    <w:next w:val="BodyText"/>
    <w:qFormat/>
    <w:rsid w:val="00AC4800"/>
    <w:pPr>
      <w:numPr>
        <w:ilvl w:val="1"/>
        <w:numId w:val="10"/>
      </w:numPr>
    </w:pPr>
    <w:rPr>
      <w:color w:val="002776"/>
    </w:rPr>
  </w:style>
  <w:style w:type="paragraph" w:customStyle="1" w:styleId="CaptionAE">
    <w:name w:val="Caption AE"/>
    <w:basedOn w:val="Normal"/>
    <w:next w:val="BodyText"/>
    <w:rsid w:val="00215E92"/>
    <w:pPr>
      <w:keepNext/>
      <w:keepLines/>
      <w:spacing w:before="240" w:after="240"/>
      <w:jc w:val="center"/>
    </w:pPr>
    <w:rPr>
      <w:b/>
      <w:color w:val="931638"/>
    </w:rPr>
  </w:style>
  <w:style w:type="paragraph" w:customStyle="1" w:styleId="CVaddress">
    <w:name w:val="CV address"/>
    <w:rsid w:val="00FD5CAC"/>
    <w:rPr>
      <w:rFonts w:ascii="Calibri" w:hAnsi="Calibri"/>
      <w:color w:val="404040" w:themeColor="text1" w:themeTint="BF"/>
      <w:lang w:eastAsia="en-US"/>
    </w:rPr>
  </w:style>
  <w:style w:type="paragraph" w:customStyle="1" w:styleId="CVbullet">
    <w:name w:val="CV bullet"/>
    <w:basedOn w:val="Normal"/>
    <w:qFormat/>
    <w:rsid w:val="00FD5CAC"/>
    <w:pPr>
      <w:spacing w:after="60"/>
      <w:jc w:val="both"/>
    </w:pPr>
  </w:style>
  <w:style w:type="paragraph" w:customStyle="1" w:styleId="CVbulletindent">
    <w:name w:val="CV bullet indent"/>
    <w:basedOn w:val="Normal"/>
    <w:qFormat/>
    <w:rsid w:val="00FD5CAC"/>
    <w:pPr>
      <w:spacing w:after="60"/>
      <w:jc w:val="both"/>
    </w:pPr>
  </w:style>
  <w:style w:type="paragraph" w:customStyle="1" w:styleId="CVDate">
    <w:name w:val="CV Date"/>
    <w:basedOn w:val="CVaddress"/>
    <w:next w:val="Normal"/>
    <w:rsid w:val="00FD5CAC"/>
    <w:pPr>
      <w:keepNext/>
      <w:spacing w:before="60" w:after="60"/>
    </w:pPr>
    <w:rPr>
      <w:b/>
      <w:color w:val="931638"/>
      <w:sz w:val="22"/>
    </w:rPr>
  </w:style>
  <w:style w:type="paragraph" w:customStyle="1" w:styleId="CVDateExperience">
    <w:name w:val="CV Date Experience"/>
    <w:basedOn w:val="CVDate"/>
    <w:rsid w:val="00FD5CAC"/>
    <w:pPr>
      <w:spacing w:before="120" w:after="0"/>
    </w:pPr>
    <w:rPr>
      <w:sz w:val="24"/>
    </w:rPr>
  </w:style>
  <w:style w:type="paragraph" w:customStyle="1" w:styleId="CVHeadingB">
    <w:name w:val="CV Heading B"/>
    <w:basedOn w:val="HeadingA"/>
    <w:next w:val="Normal"/>
    <w:rsid w:val="00FD5CAC"/>
    <w:rPr>
      <w:sz w:val="28"/>
      <w:szCs w:val="26"/>
    </w:rPr>
  </w:style>
  <w:style w:type="paragraph" w:customStyle="1" w:styleId="CVHeadingC">
    <w:name w:val="CV Heading C"/>
    <w:basedOn w:val="Normal"/>
    <w:next w:val="Normal"/>
    <w:rsid w:val="00FD5CAC"/>
    <w:pPr>
      <w:keepNext/>
      <w:keepLines/>
      <w:spacing w:before="180"/>
    </w:pPr>
    <w:rPr>
      <w:b/>
      <w:color w:val="931638"/>
      <w:sz w:val="24"/>
      <w:szCs w:val="28"/>
    </w:rPr>
  </w:style>
  <w:style w:type="paragraph" w:customStyle="1" w:styleId="CVHeadingExperience">
    <w:name w:val="CV Heading Experience"/>
    <w:basedOn w:val="CVDate"/>
    <w:rsid w:val="00FD5CAC"/>
    <w:pPr>
      <w:spacing w:before="120" w:after="0"/>
    </w:pPr>
    <w:rPr>
      <w:sz w:val="24"/>
    </w:rPr>
  </w:style>
  <w:style w:type="paragraph" w:customStyle="1" w:styleId="CVHeadingqualifications">
    <w:name w:val="CV Heading qualifications"/>
    <w:basedOn w:val="CVHeadingC"/>
    <w:rsid w:val="00FD5CAC"/>
    <w:pPr>
      <w:spacing w:before="0"/>
      <w:ind w:left="142"/>
    </w:pPr>
    <w:rPr>
      <w:bCs/>
      <w:szCs w:val="20"/>
    </w:rPr>
  </w:style>
  <w:style w:type="paragraph" w:customStyle="1" w:styleId="CVqualificationsawards">
    <w:name w:val="CV qualifications/awards"/>
    <w:basedOn w:val="CVaddress"/>
    <w:rsid w:val="00FD5CAC"/>
    <w:pPr>
      <w:ind w:left="142"/>
    </w:pPr>
    <w:rPr>
      <w:color w:val="auto"/>
    </w:rPr>
  </w:style>
  <w:style w:type="paragraph" w:customStyle="1" w:styleId="CVtabledate">
    <w:name w:val="CV table date"/>
    <w:basedOn w:val="Normal"/>
    <w:rsid w:val="00FD5CAC"/>
    <w:pPr>
      <w:jc w:val="both"/>
    </w:pPr>
    <w:rPr>
      <w:b/>
      <w:color w:val="262626" w:themeColor="text1" w:themeTint="D9"/>
    </w:rPr>
  </w:style>
  <w:style w:type="paragraph" w:customStyle="1" w:styleId="CVTableText">
    <w:name w:val="CV Table Text"/>
    <w:basedOn w:val="CVaddress"/>
    <w:rsid w:val="00FD5CAC"/>
    <w:rPr>
      <w:color w:val="auto"/>
      <w:sz w:val="22"/>
    </w:rPr>
  </w:style>
  <w:style w:type="character" w:customStyle="1" w:styleId="Boldword">
    <w:name w:val="Bold word"/>
    <w:basedOn w:val="DefaultParagraphFont"/>
    <w:uiPriority w:val="1"/>
    <w:qFormat/>
    <w:rsid w:val="00E843DD"/>
    <w:rPr>
      <w:rFonts w:ascii="Calibri" w:hAnsi="Calibri"/>
      <w:b/>
      <w:color w:val="002776"/>
      <w:sz w:val="22"/>
      <w:lang w:eastAsia="en-AU"/>
    </w:rPr>
  </w:style>
  <w:style w:type="paragraph" w:styleId="BalloonText">
    <w:name w:val="Balloon Text"/>
    <w:basedOn w:val="Normal"/>
    <w:link w:val="BalloonTextChar"/>
    <w:rsid w:val="00CB7948"/>
    <w:rPr>
      <w:rFonts w:ascii="Tahoma" w:hAnsi="Tahoma" w:cs="Tahoma"/>
      <w:sz w:val="16"/>
      <w:szCs w:val="16"/>
    </w:rPr>
  </w:style>
  <w:style w:type="character" w:customStyle="1" w:styleId="BalloonTextChar">
    <w:name w:val="Balloon Text Char"/>
    <w:basedOn w:val="DefaultParagraphFont"/>
    <w:link w:val="BalloonText"/>
    <w:rsid w:val="00CB7948"/>
    <w:rPr>
      <w:rFonts w:ascii="Tahoma" w:hAnsi="Tahoma" w:cs="Tahoma"/>
      <w:sz w:val="16"/>
      <w:szCs w:val="16"/>
      <w:lang w:eastAsia="en-US"/>
    </w:rPr>
  </w:style>
  <w:style w:type="character" w:customStyle="1" w:styleId="BodyTextChar">
    <w:name w:val="Body Text Char"/>
    <w:aliases w:val="bt Char,t1 Char,Body Char,Body Text1 Char Char,Body Text Char1 Char,Body Text Char Char Char,Body Text Char1 Char1 Char Char,Body Text Char Char Char Char Char,Body Text Char Char Char Char Char Char Char,2 + justified Char,2 + 14 pt Char"/>
    <w:basedOn w:val="DefaultParagraphFont"/>
    <w:link w:val="BodyText"/>
    <w:rsid w:val="0034223A"/>
    <w:rPr>
      <w:rFonts w:ascii="Calibri" w:hAnsi="Calibri"/>
      <w:sz w:val="22"/>
      <w:lang w:eastAsia="en-US"/>
    </w:rPr>
  </w:style>
  <w:style w:type="character" w:customStyle="1" w:styleId="BoldParaChar">
    <w:name w:val="Bold Para Char"/>
    <w:basedOn w:val="DefaultParagraphFont"/>
    <w:link w:val="BoldPara"/>
    <w:locked/>
    <w:rsid w:val="0034223A"/>
    <w:rPr>
      <w:rFonts w:ascii="Calibri" w:hAnsi="Calibri"/>
      <w:b/>
      <w:color w:val="002776"/>
      <w:sz w:val="22"/>
      <w:szCs w:val="24"/>
      <w:lang w:eastAsia="en-US"/>
    </w:rPr>
  </w:style>
  <w:style w:type="paragraph" w:customStyle="1" w:styleId="Addressdetails">
    <w:name w:val="Address details"/>
    <w:basedOn w:val="Normal"/>
    <w:link w:val="AddressdetailsChar"/>
    <w:rsid w:val="00042200"/>
    <w:pPr>
      <w:spacing w:before="85" w:line="180" w:lineRule="atLeast"/>
    </w:pPr>
    <w:rPr>
      <w:rFonts w:ascii="Arial" w:hAnsi="Arial"/>
      <w:sz w:val="15"/>
      <w:szCs w:val="24"/>
    </w:rPr>
  </w:style>
  <w:style w:type="character" w:customStyle="1" w:styleId="AddressdetailsChar">
    <w:name w:val="Address details Char"/>
    <w:basedOn w:val="DefaultParagraphFont"/>
    <w:link w:val="Addressdetails"/>
    <w:rsid w:val="00042200"/>
    <w:rPr>
      <w:rFonts w:ascii="Arial" w:hAnsi="Arial"/>
      <w:sz w:val="15"/>
      <w:szCs w:val="24"/>
      <w:lang w:eastAsia="en-US"/>
    </w:rPr>
  </w:style>
  <w:style w:type="paragraph" w:customStyle="1" w:styleId="Bodycopy">
    <w:name w:val="Body copy"/>
    <w:basedOn w:val="Normal"/>
    <w:link w:val="BodycopyChar"/>
    <w:rsid w:val="00042200"/>
    <w:pPr>
      <w:spacing w:after="113" w:line="240" w:lineRule="atLeast"/>
      <w:jc w:val="both"/>
    </w:pPr>
    <w:rPr>
      <w:rFonts w:ascii="Arial" w:hAnsi="Arial"/>
      <w:sz w:val="20"/>
      <w:szCs w:val="24"/>
    </w:rPr>
  </w:style>
  <w:style w:type="paragraph" w:customStyle="1" w:styleId="BodycopyBold">
    <w:name w:val="Body copy Bold"/>
    <w:basedOn w:val="Normal"/>
    <w:semiHidden/>
    <w:rsid w:val="00042200"/>
    <w:pPr>
      <w:spacing w:after="113" w:line="240" w:lineRule="atLeast"/>
    </w:pPr>
    <w:rPr>
      <w:rFonts w:ascii="Times New Roman" w:hAnsi="Times New Roman"/>
      <w:b/>
      <w:sz w:val="20"/>
      <w:szCs w:val="24"/>
    </w:rPr>
  </w:style>
  <w:style w:type="character" w:customStyle="1" w:styleId="BodycopyChar">
    <w:name w:val="Body copy Char"/>
    <w:basedOn w:val="DefaultParagraphFont"/>
    <w:link w:val="Bodycopy"/>
    <w:rsid w:val="00042200"/>
    <w:rPr>
      <w:rFonts w:ascii="Arial" w:hAnsi="Arial"/>
      <w:szCs w:val="24"/>
      <w:lang w:eastAsia="en-US"/>
    </w:rPr>
  </w:style>
  <w:style w:type="paragraph" w:customStyle="1" w:styleId="SignOffTextwithImage">
    <w:name w:val="SignOff Text with Image"/>
    <w:basedOn w:val="Normal"/>
    <w:rsid w:val="00042200"/>
    <w:pPr>
      <w:spacing w:before="480"/>
    </w:pPr>
  </w:style>
  <w:style w:type="paragraph" w:customStyle="1" w:styleId="SignOffText">
    <w:name w:val="SignOff Text"/>
    <w:basedOn w:val="Normal"/>
    <w:next w:val="Normal"/>
    <w:rsid w:val="00042200"/>
    <w:pPr>
      <w:spacing w:before="480" w:after="1120"/>
    </w:pPr>
  </w:style>
  <w:style w:type="paragraph" w:customStyle="1" w:styleId="Table">
    <w:name w:val="Table"/>
    <w:basedOn w:val="Bodycopy"/>
    <w:next w:val="Bodycopy"/>
    <w:qFormat/>
    <w:rsid w:val="00AC4800"/>
    <w:pPr>
      <w:spacing w:before="240" w:after="0" w:line="240" w:lineRule="auto"/>
      <w:ind w:left="851"/>
    </w:pPr>
    <w:rPr>
      <w:rFonts w:ascii="Calibri" w:hAnsi="Calibri"/>
      <w:b/>
      <w:sz w:val="22"/>
    </w:rPr>
  </w:style>
  <w:style w:type="paragraph" w:customStyle="1" w:styleId="Box">
    <w:name w:val="Box"/>
    <w:basedOn w:val="Bodycopy"/>
    <w:next w:val="Bodycopy"/>
    <w:qFormat/>
    <w:rsid w:val="00AC4800"/>
    <w:pPr>
      <w:spacing w:before="240" w:after="0" w:line="240" w:lineRule="auto"/>
      <w:ind w:left="851"/>
    </w:pPr>
    <w:rPr>
      <w:rFonts w:ascii="Calibri" w:hAnsi="Calibri"/>
      <w:b/>
      <w:sz w:val="22"/>
    </w:rPr>
  </w:style>
  <w:style w:type="paragraph" w:customStyle="1" w:styleId="Keypoint">
    <w:name w:val="Keypoint"/>
    <w:basedOn w:val="Normal"/>
    <w:qFormat/>
    <w:rsid w:val="006B29A4"/>
    <w:pPr>
      <w:spacing w:before="600"/>
    </w:pPr>
    <w:rPr>
      <w:rFonts w:ascii="Times New Roman" w:hAnsi="Times New Roman"/>
      <w:color w:val="72C7E7"/>
      <w:sz w:val="32"/>
      <w:szCs w:val="24"/>
    </w:rPr>
  </w:style>
  <w:style w:type="paragraph" w:customStyle="1" w:styleId="BSubheading-Bluedk">
    <w:name w:val="B Subheading - Blue dk"/>
    <w:basedOn w:val="Normal"/>
    <w:qFormat/>
    <w:rsid w:val="006B29A4"/>
    <w:pPr>
      <w:spacing w:before="320" w:after="120"/>
      <w:outlineLvl w:val="1"/>
    </w:pPr>
    <w:rPr>
      <w:rFonts w:ascii="Arial" w:eastAsia="Times" w:hAnsi="Arial"/>
      <w:b/>
      <w:noProof/>
      <w:color w:val="002776"/>
      <w:sz w:val="24"/>
      <w:szCs w:val="24"/>
      <w:lang w:val="en-US"/>
    </w:rPr>
  </w:style>
  <w:style w:type="paragraph" w:customStyle="1" w:styleId="DHeading">
    <w:name w:val="DHeading"/>
    <w:basedOn w:val="Normal"/>
    <w:rsid w:val="006B29A4"/>
    <w:pPr>
      <w:autoSpaceDE w:val="0"/>
      <w:autoSpaceDN w:val="0"/>
      <w:adjustRightInd w:val="0"/>
      <w:spacing w:before="360" w:after="120"/>
      <w:ind w:firstLine="11"/>
    </w:pPr>
    <w:rPr>
      <w:rFonts w:eastAsia="Times"/>
      <w:color w:val="333F7F"/>
      <w:sz w:val="44"/>
      <w:szCs w:val="44"/>
      <w:lang w:val="en-GB"/>
    </w:rPr>
  </w:style>
  <w:style w:type="paragraph" w:customStyle="1" w:styleId="DBody">
    <w:name w:val="DBody"/>
    <w:basedOn w:val="Normal"/>
    <w:rsid w:val="006B29A4"/>
    <w:pPr>
      <w:spacing w:before="60" w:after="113"/>
    </w:pPr>
    <w:rPr>
      <w:rFonts w:ascii="Arial" w:eastAsia="Times" w:hAnsi="Arial"/>
      <w:color w:val="333F7F"/>
      <w:sz w:val="20"/>
      <w:lang w:val="en-GB"/>
    </w:rPr>
  </w:style>
  <w:style w:type="paragraph" w:customStyle="1" w:styleId="DBullet">
    <w:name w:val="DBullet"/>
    <w:basedOn w:val="ListBullet"/>
    <w:rsid w:val="006B29A4"/>
    <w:pPr>
      <w:numPr>
        <w:numId w:val="14"/>
      </w:numPr>
      <w:spacing w:before="40" w:after="40"/>
      <w:contextualSpacing w:val="0"/>
    </w:pPr>
    <w:rPr>
      <w:rFonts w:ascii="Arial" w:hAnsi="Arial"/>
      <w:color w:val="333D7F"/>
      <w:szCs w:val="24"/>
    </w:rPr>
  </w:style>
  <w:style w:type="paragraph" w:styleId="ListBullet">
    <w:name w:val="List Bullet"/>
    <w:basedOn w:val="Normal"/>
    <w:rsid w:val="006B29A4"/>
    <w:pPr>
      <w:numPr>
        <w:numId w:val="12"/>
      </w:numPr>
      <w:contextualSpacing/>
    </w:pPr>
  </w:style>
  <w:style w:type="paragraph" w:customStyle="1" w:styleId="DBluedk">
    <w:name w:val="D Blue dk"/>
    <w:basedOn w:val="Normal"/>
    <w:qFormat/>
    <w:rsid w:val="007257C4"/>
    <w:pPr>
      <w:spacing w:before="320" w:after="120"/>
      <w:outlineLvl w:val="1"/>
    </w:pPr>
    <w:rPr>
      <w:rFonts w:ascii="Arial" w:eastAsia="Times" w:hAnsi="Arial"/>
      <w:b/>
      <w:noProof/>
      <w:color w:val="002776"/>
      <w:sz w:val="24"/>
      <w:szCs w:val="24"/>
      <w:lang w:val="en-US"/>
    </w:rPr>
  </w:style>
  <w:style w:type="character" w:styleId="CommentReference">
    <w:name w:val="annotation reference"/>
    <w:basedOn w:val="DefaultParagraphFont"/>
    <w:uiPriority w:val="99"/>
    <w:rsid w:val="001D0FDF"/>
    <w:rPr>
      <w:sz w:val="16"/>
      <w:szCs w:val="16"/>
    </w:rPr>
  </w:style>
  <w:style w:type="paragraph" w:styleId="ListParagraph">
    <w:name w:val="List Paragraph"/>
    <w:basedOn w:val="Normal"/>
    <w:uiPriority w:val="34"/>
    <w:qFormat/>
    <w:rsid w:val="001D0FDF"/>
    <w:pPr>
      <w:ind w:left="720"/>
      <w:contextualSpacing/>
    </w:pPr>
    <w:rPr>
      <w:rFonts w:ascii="Times New Roman" w:hAnsi="Times New Roman"/>
      <w:sz w:val="24"/>
      <w:szCs w:val="24"/>
    </w:rPr>
  </w:style>
  <w:style w:type="paragraph" w:customStyle="1" w:styleId="Legalstatement">
    <w:name w:val="Legal statement"/>
    <w:basedOn w:val="Footer"/>
    <w:rsid w:val="001D0FDF"/>
    <w:pPr>
      <w:tabs>
        <w:tab w:val="clear" w:pos="4513"/>
        <w:tab w:val="clear" w:pos="9026"/>
        <w:tab w:val="right" w:pos="9356"/>
      </w:tabs>
      <w:spacing w:before="120"/>
    </w:pPr>
    <w:rPr>
      <w:rFonts w:ascii="Arial" w:hAnsi="Arial" w:cs="Arial"/>
      <w:color w:val="000000"/>
      <w:sz w:val="14"/>
      <w:szCs w:val="16"/>
    </w:rPr>
  </w:style>
  <w:style w:type="paragraph" w:styleId="NormalWeb">
    <w:name w:val="Normal (Web)"/>
    <w:basedOn w:val="Normal"/>
    <w:uiPriority w:val="99"/>
    <w:semiHidden/>
    <w:unhideWhenUsed/>
    <w:rsid w:val="00C62E60"/>
    <w:pPr>
      <w:spacing w:before="100" w:beforeAutospacing="1" w:after="100" w:afterAutospacing="1"/>
    </w:pPr>
    <w:rPr>
      <w:rFonts w:ascii="Times New Roman" w:eastAsiaTheme="minorEastAsia" w:hAnsi="Times New Roman"/>
      <w:sz w:val="24"/>
      <w:szCs w:val="24"/>
      <w:lang w:eastAsia="en-AU"/>
    </w:rPr>
  </w:style>
  <w:style w:type="paragraph" w:styleId="CommentText">
    <w:name w:val="annotation text"/>
    <w:basedOn w:val="Normal"/>
    <w:link w:val="CommentTextChar"/>
    <w:uiPriority w:val="99"/>
    <w:unhideWhenUsed/>
    <w:rsid w:val="008C1345"/>
    <w:rPr>
      <w:sz w:val="20"/>
    </w:rPr>
  </w:style>
  <w:style w:type="character" w:customStyle="1" w:styleId="CommentTextChar">
    <w:name w:val="Comment Text Char"/>
    <w:basedOn w:val="DefaultParagraphFont"/>
    <w:link w:val="CommentText"/>
    <w:uiPriority w:val="99"/>
    <w:rsid w:val="008C1345"/>
    <w:rPr>
      <w:rFonts w:ascii="Calibri" w:hAnsi="Calibri"/>
      <w:lang w:eastAsia="en-US"/>
    </w:rPr>
  </w:style>
  <w:style w:type="character" w:customStyle="1" w:styleId="Bullet1Char">
    <w:name w:val="Bullet 1 Char"/>
    <w:link w:val="Bullet1"/>
    <w:rsid w:val="00DB64BD"/>
    <w:rPr>
      <w:rFonts w:ascii="Calibri" w:hAnsi="Calibri" w:cs="Arial"/>
      <w:sz w:val="22"/>
    </w:rPr>
  </w:style>
  <w:style w:type="character" w:customStyle="1" w:styleId="apple-converted-space">
    <w:name w:val="apple-converted-space"/>
    <w:basedOn w:val="DefaultParagraphFont"/>
    <w:rsid w:val="00297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98003">
      <w:bodyDiv w:val="1"/>
      <w:marLeft w:val="0"/>
      <w:marRight w:val="0"/>
      <w:marTop w:val="0"/>
      <w:marBottom w:val="0"/>
      <w:divBdr>
        <w:top w:val="none" w:sz="0" w:space="0" w:color="auto"/>
        <w:left w:val="none" w:sz="0" w:space="0" w:color="auto"/>
        <w:bottom w:val="none" w:sz="0" w:space="0" w:color="auto"/>
        <w:right w:val="none" w:sz="0" w:space="0" w:color="auto"/>
      </w:divBdr>
    </w:div>
    <w:div w:id="82342500">
      <w:bodyDiv w:val="1"/>
      <w:marLeft w:val="0"/>
      <w:marRight w:val="0"/>
      <w:marTop w:val="0"/>
      <w:marBottom w:val="0"/>
      <w:divBdr>
        <w:top w:val="none" w:sz="0" w:space="0" w:color="auto"/>
        <w:left w:val="none" w:sz="0" w:space="0" w:color="auto"/>
        <w:bottom w:val="none" w:sz="0" w:space="0" w:color="auto"/>
        <w:right w:val="none" w:sz="0" w:space="0" w:color="auto"/>
      </w:divBdr>
    </w:div>
    <w:div w:id="87622417">
      <w:bodyDiv w:val="1"/>
      <w:marLeft w:val="0"/>
      <w:marRight w:val="0"/>
      <w:marTop w:val="0"/>
      <w:marBottom w:val="0"/>
      <w:divBdr>
        <w:top w:val="none" w:sz="0" w:space="0" w:color="auto"/>
        <w:left w:val="none" w:sz="0" w:space="0" w:color="auto"/>
        <w:bottom w:val="none" w:sz="0" w:space="0" w:color="auto"/>
        <w:right w:val="none" w:sz="0" w:space="0" w:color="auto"/>
      </w:divBdr>
    </w:div>
    <w:div w:id="92366908">
      <w:bodyDiv w:val="1"/>
      <w:marLeft w:val="0"/>
      <w:marRight w:val="0"/>
      <w:marTop w:val="0"/>
      <w:marBottom w:val="0"/>
      <w:divBdr>
        <w:top w:val="none" w:sz="0" w:space="0" w:color="auto"/>
        <w:left w:val="none" w:sz="0" w:space="0" w:color="auto"/>
        <w:bottom w:val="none" w:sz="0" w:space="0" w:color="auto"/>
        <w:right w:val="none" w:sz="0" w:space="0" w:color="auto"/>
      </w:divBdr>
    </w:div>
    <w:div w:id="119996993">
      <w:bodyDiv w:val="1"/>
      <w:marLeft w:val="0"/>
      <w:marRight w:val="0"/>
      <w:marTop w:val="0"/>
      <w:marBottom w:val="0"/>
      <w:divBdr>
        <w:top w:val="none" w:sz="0" w:space="0" w:color="auto"/>
        <w:left w:val="none" w:sz="0" w:space="0" w:color="auto"/>
        <w:bottom w:val="none" w:sz="0" w:space="0" w:color="auto"/>
        <w:right w:val="none" w:sz="0" w:space="0" w:color="auto"/>
      </w:divBdr>
    </w:div>
    <w:div w:id="193544637">
      <w:bodyDiv w:val="1"/>
      <w:marLeft w:val="0"/>
      <w:marRight w:val="0"/>
      <w:marTop w:val="0"/>
      <w:marBottom w:val="0"/>
      <w:divBdr>
        <w:top w:val="none" w:sz="0" w:space="0" w:color="auto"/>
        <w:left w:val="none" w:sz="0" w:space="0" w:color="auto"/>
        <w:bottom w:val="none" w:sz="0" w:space="0" w:color="auto"/>
        <w:right w:val="none" w:sz="0" w:space="0" w:color="auto"/>
      </w:divBdr>
    </w:div>
    <w:div w:id="229469010">
      <w:bodyDiv w:val="1"/>
      <w:marLeft w:val="0"/>
      <w:marRight w:val="0"/>
      <w:marTop w:val="0"/>
      <w:marBottom w:val="0"/>
      <w:divBdr>
        <w:top w:val="none" w:sz="0" w:space="0" w:color="auto"/>
        <w:left w:val="none" w:sz="0" w:space="0" w:color="auto"/>
        <w:bottom w:val="none" w:sz="0" w:space="0" w:color="auto"/>
        <w:right w:val="none" w:sz="0" w:space="0" w:color="auto"/>
      </w:divBdr>
    </w:div>
    <w:div w:id="277376587">
      <w:bodyDiv w:val="1"/>
      <w:marLeft w:val="0"/>
      <w:marRight w:val="0"/>
      <w:marTop w:val="0"/>
      <w:marBottom w:val="0"/>
      <w:divBdr>
        <w:top w:val="none" w:sz="0" w:space="0" w:color="auto"/>
        <w:left w:val="none" w:sz="0" w:space="0" w:color="auto"/>
        <w:bottom w:val="none" w:sz="0" w:space="0" w:color="auto"/>
        <w:right w:val="none" w:sz="0" w:space="0" w:color="auto"/>
      </w:divBdr>
    </w:div>
    <w:div w:id="304507780">
      <w:bodyDiv w:val="1"/>
      <w:marLeft w:val="0"/>
      <w:marRight w:val="0"/>
      <w:marTop w:val="0"/>
      <w:marBottom w:val="0"/>
      <w:divBdr>
        <w:top w:val="none" w:sz="0" w:space="0" w:color="auto"/>
        <w:left w:val="none" w:sz="0" w:space="0" w:color="auto"/>
        <w:bottom w:val="none" w:sz="0" w:space="0" w:color="auto"/>
        <w:right w:val="none" w:sz="0" w:space="0" w:color="auto"/>
      </w:divBdr>
    </w:div>
    <w:div w:id="334963713">
      <w:bodyDiv w:val="1"/>
      <w:marLeft w:val="0"/>
      <w:marRight w:val="0"/>
      <w:marTop w:val="0"/>
      <w:marBottom w:val="0"/>
      <w:divBdr>
        <w:top w:val="none" w:sz="0" w:space="0" w:color="auto"/>
        <w:left w:val="none" w:sz="0" w:space="0" w:color="auto"/>
        <w:bottom w:val="none" w:sz="0" w:space="0" w:color="auto"/>
        <w:right w:val="none" w:sz="0" w:space="0" w:color="auto"/>
      </w:divBdr>
    </w:div>
    <w:div w:id="345595378">
      <w:bodyDiv w:val="1"/>
      <w:marLeft w:val="0"/>
      <w:marRight w:val="0"/>
      <w:marTop w:val="0"/>
      <w:marBottom w:val="0"/>
      <w:divBdr>
        <w:top w:val="none" w:sz="0" w:space="0" w:color="auto"/>
        <w:left w:val="none" w:sz="0" w:space="0" w:color="auto"/>
        <w:bottom w:val="none" w:sz="0" w:space="0" w:color="auto"/>
        <w:right w:val="none" w:sz="0" w:space="0" w:color="auto"/>
      </w:divBdr>
    </w:div>
    <w:div w:id="389351290">
      <w:bodyDiv w:val="1"/>
      <w:marLeft w:val="0"/>
      <w:marRight w:val="0"/>
      <w:marTop w:val="0"/>
      <w:marBottom w:val="0"/>
      <w:divBdr>
        <w:top w:val="none" w:sz="0" w:space="0" w:color="auto"/>
        <w:left w:val="none" w:sz="0" w:space="0" w:color="auto"/>
        <w:bottom w:val="none" w:sz="0" w:space="0" w:color="auto"/>
        <w:right w:val="none" w:sz="0" w:space="0" w:color="auto"/>
      </w:divBdr>
    </w:div>
    <w:div w:id="398752829">
      <w:bodyDiv w:val="1"/>
      <w:marLeft w:val="0"/>
      <w:marRight w:val="0"/>
      <w:marTop w:val="0"/>
      <w:marBottom w:val="0"/>
      <w:divBdr>
        <w:top w:val="none" w:sz="0" w:space="0" w:color="auto"/>
        <w:left w:val="none" w:sz="0" w:space="0" w:color="auto"/>
        <w:bottom w:val="none" w:sz="0" w:space="0" w:color="auto"/>
        <w:right w:val="none" w:sz="0" w:space="0" w:color="auto"/>
      </w:divBdr>
    </w:div>
    <w:div w:id="410397364">
      <w:bodyDiv w:val="1"/>
      <w:marLeft w:val="0"/>
      <w:marRight w:val="0"/>
      <w:marTop w:val="0"/>
      <w:marBottom w:val="0"/>
      <w:divBdr>
        <w:top w:val="none" w:sz="0" w:space="0" w:color="auto"/>
        <w:left w:val="none" w:sz="0" w:space="0" w:color="auto"/>
        <w:bottom w:val="none" w:sz="0" w:space="0" w:color="auto"/>
        <w:right w:val="none" w:sz="0" w:space="0" w:color="auto"/>
      </w:divBdr>
    </w:div>
    <w:div w:id="440228894">
      <w:bodyDiv w:val="1"/>
      <w:marLeft w:val="0"/>
      <w:marRight w:val="0"/>
      <w:marTop w:val="0"/>
      <w:marBottom w:val="0"/>
      <w:divBdr>
        <w:top w:val="none" w:sz="0" w:space="0" w:color="auto"/>
        <w:left w:val="none" w:sz="0" w:space="0" w:color="auto"/>
        <w:bottom w:val="none" w:sz="0" w:space="0" w:color="auto"/>
        <w:right w:val="none" w:sz="0" w:space="0" w:color="auto"/>
      </w:divBdr>
    </w:div>
    <w:div w:id="470248920">
      <w:bodyDiv w:val="1"/>
      <w:marLeft w:val="0"/>
      <w:marRight w:val="0"/>
      <w:marTop w:val="0"/>
      <w:marBottom w:val="0"/>
      <w:divBdr>
        <w:top w:val="none" w:sz="0" w:space="0" w:color="auto"/>
        <w:left w:val="none" w:sz="0" w:space="0" w:color="auto"/>
        <w:bottom w:val="none" w:sz="0" w:space="0" w:color="auto"/>
        <w:right w:val="none" w:sz="0" w:space="0" w:color="auto"/>
      </w:divBdr>
    </w:div>
    <w:div w:id="492600937">
      <w:bodyDiv w:val="1"/>
      <w:marLeft w:val="0"/>
      <w:marRight w:val="0"/>
      <w:marTop w:val="0"/>
      <w:marBottom w:val="0"/>
      <w:divBdr>
        <w:top w:val="none" w:sz="0" w:space="0" w:color="auto"/>
        <w:left w:val="none" w:sz="0" w:space="0" w:color="auto"/>
        <w:bottom w:val="none" w:sz="0" w:space="0" w:color="auto"/>
        <w:right w:val="none" w:sz="0" w:space="0" w:color="auto"/>
      </w:divBdr>
    </w:div>
    <w:div w:id="502819571">
      <w:bodyDiv w:val="1"/>
      <w:marLeft w:val="0"/>
      <w:marRight w:val="0"/>
      <w:marTop w:val="0"/>
      <w:marBottom w:val="0"/>
      <w:divBdr>
        <w:top w:val="none" w:sz="0" w:space="0" w:color="auto"/>
        <w:left w:val="none" w:sz="0" w:space="0" w:color="auto"/>
        <w:bottom w:val="none" w:sz="0" w:space="0" w:color="auto"/>
        <w:right w:val="none" w:sz="0" w:space="0" w:color="auto"/>
      </w:divBdr>
    </w:div>
    <w:div w:id="506217740">
      <w:bodyDiv w:val="1"/>
      <w:marLeft w:val="0"/>
      <w:marRight w:val="0"/>
      <w:marTop w:val="0"/>
      <w:marBottom w:val="0"/>
      <w:divBdr>
        <w:top w:val="none" w:sz="0" w:space="0" w:color="auto"/>
        <w:left w:val="none" w:sz="0" w:space="0" w:color="auto"/>
        <w:bottom w:val="none" w:sz="0" w:space="0" w:color="auto"/>
        <w:right w:val="none" w:sz="0" w:space="0" w:color="auto"/>
      </w:divBdr>
    </w:div>
    <w:div w:id="543174424">
      <w:bodyDiv w:val="1"/>
      <w:marLeft w:val="0"/>
      <w:marRight w:val="0"/>
      <w:marTop w:val="0"/>
      <w:marBottom w:val="0"/>
      <w:divBdr>
        <w:top w:val="none" w:sz="0" w:space="0" w:color="auto"/>
        <w:left w:val="none" w:sz="0" w:space="0" w:color="auto"/>
        <w:bottom w:val="none" w:sz="0" w:space="0" w:color="auto"/>
        <w:right w:val="none" w:sz="0" w:space="0" w:color="auto"/>
      </w:divBdr>
    </w:div>
    <w:div w:id="643894628">
      <w:bodyDiv w:val="1"/>
      <w:marLeft w:val="0"/>
      <w:marRight w:val="0"/>
      <w:marTop w:val="0"/>
      <w:marBottom w:val="0"/>
      <w:divBdr>
        <w:top w:val="none" w:sz="0" w:space="0" w:color="auto"/>
        <w:left w:val="none" w:sz="0" w:space="0" w:color="auto"/>
        <w:bottom w:val="none" w:sz="0" w:space="0" w:color="auto"/>
        <w:right w:val="none" w:sz="0" w:space="0" w:color="auto"/>
      </w:divBdr>
    </w:div>
    <w:div w:id="677465310">
      <w:bodyDiv w:val="1"/>
      <w:marLeft w:val="0"/>
      <w:marRight w:val="0"/>
      <w:marTop w:val="0"/>
      <w:marBottom w:val="0"/>
      <w:divBdr>
        <w:top w:val="none" w:sz="0" w:space="0" w:color="auto"/>
        <w:left w:val="none" w:sz="0" w:space="0" w:color="auto"/>
        <w:bottom w:val="none" w:sz="0" w:space="0" w:color="auto"/>
        <w:right w:val="none" w:sz="0" w:space="0" w:color="auto"/>
      </w:divBdr>
    </w:div>
    <w:div w:id="678896775">
      <w:bodyDiv w:val="1"/>
      <w:marLeft w:val="0"/>
      <w:marRight w:val="0"/>
      <w:marTop w:val="0"/>
      <w:marBottom w:val="0"/>
      <w:divBdr>
        <w:top w:val="none" w:sz="0" w:space="0" w:color="auto"/>
        <w:left w:val="none" w:sz="0" w:space="0" w:color="auto"/>
        <w:bottom w:val="none" w:sz="0" w:space="0" w:color="auto"/>
        <w:right w:val="none" w:sz="0" w:space="0" w:color="auto"/>
      </w:divBdr>
    </w:div>
    <w:div w:id="705519608">
      <w:bodyDiv w:val="1"/>
      <w:marLeft w:val="0"/>
      <w:marRight w:val="0"/>
      <w:marTop w:val="0"/>
      <w:marBottom w:val="0"/>
      <w:divBdr>
        <w:top w:val="none" w:sz="0" w:space="0" w:color="auto"/>
        <w:left w:val="none" w:sz="0" w:space="0" w:color="auto"/>
        <w:bottom w:val="none" w:sz="0" w:space="0" w:color="auto"/>
        <w:right w:val="none" w:sz="0" w:space="0" w:color="auto"/>
      </w:divBdr>
    </w:div>
    <w:div w:id="776676827">
      <w:bodyDiv w:val="1"/>
      <w:marLeft w:val="0"/>
      <w:marRight w:val="0"/>
      <w:marTop w:val="0"/>
      <w:marBottom w:val="0"/>
      <w:divBdr>
        <w:top w:val="none" w:sz="0" w:space="0" w:color="auto"/>
        <w:left w:val="none" w:sz="0" w:space="0" w:color="auto"/>
        <w:bottom w:val="none" w:sz="0" w:space="0" w:color="auto"/>
        <w:right w:val="none" w:sz="0" w:space="0" w:color="auto"/>
      </w:divBdr>
    </w:div>
    <w:div w:id="820079039">
      <w:bodyDiv w:val="1"/>
      <w:marLeft w:val="0"/>
      <w:marRight w:val="0"/>
      <w:marTop w:val="0"/>
      <w:marBottom w:val="0"/>
      <w:divBdr>
        <w:top w:val="none" w:sz="0" w:space="0" w:color="auto"/>
        <w:left w:val="none" w:sz="0" w:space="0" w:color="auto"/>
        <w:bottom w:val="none" w:sz="0" w:space="0" w:color="auto"/>
        <w:right w:val="none" w:sz="0" w:space="0" w:color="auto"/>
      </w:divBdr>
    </w:div>
    <w:div w:id="859126995">
      <w:bodyDiv w:val="1"/>
      <w:marLeft w:val="0"/>
      <w:marRight w:val="0"/>
      <w:marTop w:val="0"/>
      <w:marBottom w:val="0"/>
      <w:divBdr>
        <w:top w:val="none" w:sz="0" w:space="0" w:color="auto"/>
        <w:left w:val="none" w:sz="0" w:space="0" w:color="auto"/>
        <w:bottom w:val="none" w:sz="0" w:space="0" w:color="auto"/>
        <w:right w:val="none" w:sz="0" w:space="0" w:color="auto"/>
      </w:divBdr>
    </w:div>
    <w:div w:id="865485428">
      <w:bodyDiv w:val="1"/>
      <w:marLeft w:val="0"/>
      <w:marRight w:val="0"/>
      <w:marTop w:val="0"/>
      <w:marBottom w:val="0"/>
      <w:divBdr>
        <w:top w:val="none" w:sz="0" w:space="0" w:color="auto"/>
        <w:left w:val="none" w:sz="0" w:space="0" w:color="auto"/>
        <w:bottom w:val="none" w:sz="0" w:space="0" w:color="auto"/>
        <w:right w:val="none" w:sz="0" w:space="0" w:color="auto"/>
      </w:divBdr>
    </w:div>
    <w:div w:id="875584344">
      <w:bodyDiv w:val="1"/>
      <w:marLeft w:val="0"/>
      <w:marRight w:val="0"/>
      <w:marTop w:val="0"/>
      <w:marBottom w:val="0"/>
      <w:divBdr>
        <w:top w:val="none" w:sz="0" w:space="0" w:color="auto"/>
        <w:left w:val="none" w:sz="0" w:space="0" w:color="auto"/>
        <w:bottom w:val="none" w:sz="0" w:space="0" w:color="auto"/>
        <w:right w:val="none" w:sz="0" w:space="0" w:color="auto"/>
      </w:divBdr>
    </w:div>
    <w:div w:id="926115052">
      <w:bodyDiv w:val="1"/>
      <w:marLeft w:val="0"/>
      <w:marRight w:val="0"/>
      <w:marTop w:val="0"/>
      <w:marBottom w:val="0"/>
      <w:divBdr>
        <w:top w:val="none" w:sz="0" w:space="0" w:color="auto"/>
        <w:left w:val="none" w:sz="0" w:space="0" w:color="auto"/>
        <w:bottom w:val="none" w:sz="0" w:space="0" w:color="auto"/>
        <w:right w:val="none" w:sz="0" w:space="0" w:color="auto"/>
      </w:divBdr>
    </w:div>
    <w:div w:id="959647392">
      <w:bodyDiv w:val="1"/>
      <w:marLeft w:val="0"/>
      <w:marRight w:val="0"/>
      <w:marTop w:val="0"/>
      <w:marBottom w:val="0"/>
      <w:divBdr>
        <w:top w:val="none" w:sz="0" w:space="0" w:color="auto"/>
        <w:left w:val="none" w:sz="0" w:space="0" w:color="auto"/>
        <w:bottom w:val="none" w:sz="0" w:space="0" w:color="auto"/>
        <w:right w:val="none" w:sz="0" w:space="0" w:color="auto"/>
      </w:divBdr>
    </w:div>
    <w:div w:id="1086852276">
      <w:bodyDiv w:val="1"/>
      <w:marLeft w:val="0"/>
      <w:marRight w:val="0"/>
      <w:marTop w:val="0"/>
      <w:marBottom w:val="0"/>
      <w:divBdr>
        <w:top w:val="none" w:sz="0" w:space="0" w:color="auto"/>
        <w:left w:val="none" w:sz="0" w:space="0" w:color="auto"/>
        <w:bottom w:val="none" w:sz="0" w:space="0" w:color="auto"/>
        <w:right w:val="none" w:sz="0" w:space="0" w:color="auto"/>
      </w:divBdr>
    </w:div>
    <w:div w:id="1089816146">
      <w:bodyDiv w:val="1"/>
      <w:marLeft w:val="0"/>
      <w:marRight w:val="0"/>
      <w:marTop w:val="0"/>
      <w:marBottom w:val="0"/>
      <w:divBdr>
        <w:top w:val="none" w:sz="0" w:space="0" w:color="auto"/>
        <w:left w:val="none" w:sz="0" w:space="0" w:color="auto"/>
        <w:bottom w:val="none" w:sz="0" w:space="0" w:color="auto"/>
        <w:right w:val="none" w:sz="0" w:space="0" w:color="auto"/>
      </w:divBdr>
    </w:div>
    <w:div w:id="1106541221">
      <w:bodyDiv w:val="1"/>
      <w:marLeft w:val="0"/>
      <w:marRight w:val="0"/>
      <w:marTop w:val="0"/>
      <w:marBottom w:val="0"/>
      <w:divBdr>
        <w:top w:val="none" w:sz="0" w:space="0" w:color="auto"/>
        <w:left w:val="none" w:sz="0" w:space="0" w:color="auto"/>
        <w:bottom w:val="none" w:sz="0" w:space="0" w:color="auto"/>
        <w:right w:val="none" w:sz="0" w:space="0" w:color="auto"/>
      </w:divBdr>
    </w:div>
    <w:div w:id="1127626221">
      <w:bodyDiv w:val="1"/>
      <w:marLeft w:val="0"/>
      <w:marRight w:val="0"/>
      <w:marTop w:val="0"/>
      <w:marBottom w:val="0"/>
      <w:divBdr>
        <w:top w:val="none" w:sz="0" w:space="0" w:color="auto"/>
        <w:left w:val="none" w:sz="0" w:space="0" w:color="auto"/>
        <w:bottom w:val="none" w:sz="0" w:space="0" w:color="auto"/>
        <w:right w:val="none" w:sz="0" w:space="0" w:color="auto"/>
      </w:divBdr>
    </w:div>
    <w:div w:id="1155225375">
      <w:bodyDiv w:val="1"/>
      <w:marLeft w:val="0"/>
      <w:marRight w:val="0"/>
      <w:marTop w:val="0"/>
      <w:marBottom w:val="0"/>
      <w:divBdr>
        <w:top w:val="none" w:sz="0" w:space="0" w:color="auto"/>
        <w:left w:val="none" w:sz="0" w:space="0" w:color="auto"/>
        <w:bottom w:val="none" w:sz="0" w:space="0" w:color="auto"/>
        <w:right w:val="none" w:sz="0" w:space="0" w:color="auto"/>
      </w:divBdr>
    </w:div>
    <w:div w:id="1179126727">
      <w:bodyDiv w:val="1"/>
      <w:marLeft w:val="0"/>
      <w:marRight w:val="0"/>
      <w:marTop w:val="0"/>
      <w:marBottom w:val="0"/>
      <w:divBdr>
        <w:top w:val="none" w:sz="0" w:space="0" w:color="auto"/>
        <w:left w:val="none" w:sz="0" w:space="0" w:color="auto"/>
        <w:bottom w:val="none" w:sz="0" w:space="0" w:color="auto"/>
        <w:right w:val="none" w:sz="0" w:space="0" w:color="auto"/>
      </w:divBdr>
    </w:div>
    <w:div w:id="1223640330">
      <w:bodyDiv w:val="1"/>
      <w:marLeft w:val="0"/>
      <w:marRight w:val="0"/>
      <w:marTop w:val="0"/>
      <w:marBottom w:val="0"/>
      <w:divBdr>
        <w:top w:val="none" w:sz="0" w:space="0" w:color="auto"/>
        <w:left w:val="none" w:sz="0" w:space="0" w:color="auto"/>
        <w:bottom w:val="none" w:sz="0" w:space="0" w:color="auto"/>
        <w:right w:val="none" w:sz="0" w:space="0" w:color="auto"/>
      </w:divBdr>
    </w:div>
    <w:div w:id="1239437923">
      <w:bodyDiv w:val="1"/>
      <w:marLeft w:val="0"/>
      <w:marRight w:val="0"/>
      <w:marTop w:val="0"/>
      <w:marBottom w:val="0"/>
      <w:divBdr>
        <w:top w:val="none" w:sz="0" w:space="0" w:color="auto"/>
        <w:left w:val="none" w:sz="0" w:space="0" w:color="auto"/>
        <w:bottom w:val="none" w:sz="0" w:space="0" w:color="auto"/>
        <w:right w:val="none" w:sz="0" w:space="0" w:color="auto"/>
      </w:divBdr>
    </w:div>
    <w:div w:id="1251886128">
      <w:bodyDiv w:val="1"/>
      <w:marLeft w:val="0"/>
      <w:marRight w:val="0"/>
      <w:marTop w:val="0"/>
      <w:marBottom w:val="0"/>
      <w:divBdr>
        <w:top w:val="none" w:sz="0" w:space="0" w:color="auto"/>
        <w:left w:val="none" w:sz="0" w:space="0" w:color="auto"/>
        <w:bottom w:val="none" w:sz="0" w:space="0" w:color="auto"/>
        <w:right w:val="none" w:sz="0" w:space="0" w:color="auto"/>
      </w:divBdr>
    </w:div>
    <w:div w:id="1262224738">
      <w:bodyDiv w:val="1"/>
      <w:marLeft w:val="0"/>
      <w:marRight w:val="0"/>
      <w:marTop w:val="0"/>
      <w:marBottom w:val="0"/>
      <w:divBdr>
        <w:top w:val="none" w:sz="0" w:space="0" w:color="auto"/>
        <w:left w:val="none" w:sz="0" w:space="0" w:color="auto"/>
        <w:bottom w:val="none" w:sz="0" w:space="0" w:color="auto"/>
        <w:right w:val="none" w:sz="0" w:space="0" w:color="auto"/>
      </w:divBdr>
    </w:div>
    <w:div w:id="1262756514">
      <w:bodyDiv w:val="1"/>
      <w:marLeft w:val="0"/>
      <w:marRight w:val="0"/>
      <w:marTop w:val="0"/>
      <w:marBottom w:val="0"/>
      <w:divBdr>
        <w:top w:val="none" w:sz="0" w:space="0" w:color="auto"/>
        <w:left w:val="none" w:sz="0" w:space="0" w:color="auto"/>
        <w:bottom w:val="none" w:sz="0" w:space="0" w:color="auto"/>
        <w:right w:val="none" w:sz="0" w:space="0" w:color="auto"/>
      </w:divBdr>
    </w:div>
    <w:div w:id="1264993971">
      <w:bodyDiv w:val="1"/>
      <w:marLeft w:val="0"/>
      <w:marRight w:val="0"/>
      <w:marTop w:val="0"/>
      <w:marBottom w:val="0"/>
      <w:divBdr>
        <w:top w:val="none" w:sz="0" w:space="0" w:color="auto"/>
        <w:left w:val="none" w:sz="0" w:space="0" w:color="auto"/>
        <w:bottom w:val="none" w:sz="0" w:space="0" w:color="auto"/>
        <w:right w:val="none" w:sz="0" w:space="0" w:color="auto"/>
      </w:divBdr>
    </w:div>
    <w:div w:id="1265530080">
      <w:bodyDiv w:val="1"/>
      <w:marLeft w:val="0"/>
      <w:marRight w:val="0"/>
      <w:marTop w:val="0"/>
      <w:marBottom w:val="0"/>
      <w:divBdr>
        <w:top w:val="none" w:sz="0" w:space="0" w:color="auto"/>
        <w:left w:val="none" w:sz="0" w:space="0" w:color="auto"/>
        <w:bottom w:val="none" w:sz="0" w:space="0" w:color="auto"/>
        <w:right w:val="none" w:sz="0" w:space="0" w:color="auto"/>
      </w:divBdr>
    </w:div>
    <w:div w:id="1276521712">
      <w:bodyDiv w:val="1"/>
      <w:marLeft w:val="0"/>
      <w:marRight w:val="0"/>
      <w:marTop w:val="0"/>
      <w:marBottom w:val="0"/>
      <w:divBdr>
        <w:top w:val="none" w:sz="0" w:space="0" w:color="auto"/>
        <w:left w:val="none" w:sz="0" w:space="0" w:color="auto"/>
        <w:bottom w:val="none" w:sz="0" w:space="0" w:color="auto"/>
        <w:right w:val="none" w:sz="0" w:space="0" w:color="auto"/>
      </w:divBdr>
    </w:div>
    <w:div w:id="1343360925">
      <w:bodyDiv w:val="1"/>
      <w:marLeft w:val="0"/>
      <w:marRight w:val="0"/>
      <w:marTop w:val="0"/>
      <w:marBottom w:val="0"/>
      <w:divBdr>
        <w:top w:val="none" w:sz="0" w:space="0" w:color="auto"/>
        <w:left w:val="none" w:sz="0" w:space="0" w:color="auto"/>
        <w:bottom w:val="none" w:sz="0" w:space="0" w:color="auto"/>
        <w:right w:val="none" w:sz="0" w:space="0" w:color="auto"/>
      </w:divBdr>
    </w:div>
    <w:div w:id="1349596788">
      <w:bodyDiv w:val="1"/>
      <w:marLeft w:val="0"/>
      <w:marRight w:val="0"/>
      <w:marTop w:val="0"/>
      <w:marBottom w:val="0"/>
      <w:divBdr>
        <w:top w:val="none" w:sz="0" w:space="0" w:color="auto"/>
        <w:left w:val="none" w:sz="0" w:space="0" w:color="auto"/>
        <w:bottom w:val="none" w:sz="0" w:space="0" w:color="auto"/>
        <w:right w:val="none" w:sz="0" w:space="0" w:color="auto"/>
      </w:divBdr>
    </w:div>
    <w:div w:id="1387408163">
      <w:bodyDiv w:val="1"/>
      <w:marLeft w:val="0"/>
      <w:marRight w:val="0"/>
      <w:marTop w:val="0"/>
      <w:marBottom w:val="0"/>
      <w:divBdr>
        <w:top w:val="none" w:sz="0" w:space="0" w:color="auto"/>
        <w:left w:val="none" w:sz="0" w:space="0" w:color="auto"/>
        <w:bottom w:val="none" w:sz="0" w:space="0" w:color="auto"/>
        <w:right w:val="none" w:sz="0" w:space="0" w:color="auto"/>
      </w:divBdr>
    </w:div>
    <w:div w:id="1398626145">
      <w:bodyDiv w:val="1"/>
      <w:marLeft w:val="0"/>
      <w:marRight w:val="0"/>
      <w:marTop w:val="0"/>
      <w:marBottom w:val="0"/>
      <w:divBdr>
        <w:top w:val="none" w:sz="0" w:space="0" w:color="auto"/>
        <w:left w:val="none" w:sz="0" w:space="0" w:color="auto"/>
        <w:bottom w:val="none" w:sz="0" w:space="0" w:color="auto"/>
        <w:right w:val="none" w:sz="0" w:space="0" w:color="auto"/>
      </w:divBdr>
    </w:div>
    <w:div w:id="1425102697">
      <w:bodyDiv w:val="1"/>
      <w:marLeft w:val="0"/>
      <w:marRight w:val="0"/>
      <w:marTop w:val="0"/>
      <w:marBottom w:val="0"/>
      <w:divBdr>
        <w:top w:val="none" w:sz="0" w:space="0" w:color="auto"/>
        <w:left w:val="none" w:sz="0" w:space="0" w:color="auto"/>
        <w:bottom w:val="none" w:sz="0" w:space="0" w:color="auto"/>
        <w:right w:val="none" w:sz="0" w:space="0" w:color="auto"/>
      </w:divBdr>
    </w:div>
    <w:div w:id="1425149694">
      <w:bodyDiv w:val="1"/>
      <w:marLeft w:val="0"/>
      <w:marRight w:val="0"/>
      <w:marTop w:val="0"/>
      <w:marBottom w:val="0"/>
      <w:divBdr>
        <w:top w:val="none" w:sz="0" w:space="0" w:color="auto"/>
        <w:left w:val="none" w:sz="0" w:space="0" w:color="auto"/>
        <w:bottom w:val="none" w:sz="0" w:space="0" w:color="auto"/>
        <w:right w:val="none" w:sz="0" w:space="0" w:color="auto"/>
      </w:divBdr>
    </w:div>
    <w:div w:id="1459570368">
      <w:bodyDiv w:val="1"/>
      <w:marLeft w:val="0"/>
      <w:marRight w:val="0"/>
      <w:marTop w:val="0"/>
      <w:marBottom w:val="0"/>
      <w:divBdr>
        <w:top w:val="none" w:sz="0" w:space="0" w:color="auto"/>
        <w:left w:val="none" w:sz="0" w:space="0" w:color="auto"/>
        <w:bottom w:val="none" w:sz="0" w:space="0" w:color="auto"/>
        <w:right w:val="none" w:sz="0" w:space="0" w:color="auto"/>
      </w:divBdr>
    </w:div>
    <w:div w:id="1513105982">
      <w:bodyDiv w:val="1"/>
      <w:marLeft w:val="0"/>
      <w:marRight w:val="0"/>
      <w:marTop w:val="0"/>
      <w:marBottom w:val="0"/>
      <w:divBdr>
        <w:top w:val="none" w:sz="0" w:space="0" w:color="auto"/>
        <w:left w:val="none" w:sz="0" w:space="0" w:color="auto"/>
        <w:bottom w:val="none" w:sz="0" w:space="0" w:color="auto"/>
        <w:right w:val="none" w:sz="0" w:space="0" w:color="auto"/>
      </w:divBdr>
    </w:div>
    <w:div w:id="1526358010">
      <w:bodyDiv w:val="1"/>
      <w:marLeft w:val="0"/>
      <w:marRight w:val="0"/>
      <w:marTop w:val="0"/>
      <w:marBottom w:val="0"/>
      <w:divBdr>
        <w:top w:val="none" w:sz="0" w:space="0" w:color="auto"/>
        <w:left w:val="none" w:sz="0" w:space="0" w:color="auto"/>
        <w:bottom w:val="none" w:sz="0" w:space="0" w:color="auto"/>
        <w:right w:val="none" w:sz="0" w:space="0" w:color="auto"/>
      </w:divBdr>
    </w:div>
    <w:div w:id="1551109576">
      <w:bodyDiv w:val="1"/>
      <w:marLeft w:val="0"/>
      <w:marRight w:val="0"/>
      <w:marTop w:val="0"/>
      <w:marBottom w:val="0"/>
      <w:divBdr>
        <w:top w:val="none" w:sz="0" w:space="0" w:color="auto"/>
        <w:left w:val="none" w:sz="0" w:space="0" w:color="auto"/>
        <w:bottom w:val="none" w:sz="0" w:space="0" w:color="auto"/>
        <w:right w:val="none" w:sz="0" w:space="0" w:color="auto"/>
      </w:divBdr>
    </w:div>
    <w:div w:id="1589928027">
      <w:bodyDiv w:val="1"/>
      <w:marLeft w:val="0"/>
      <w:marRight w:val="0"/>
      <w:marTop w:val="0"/>
      <w:marBottom w:val="0"/>
      <w:divBdr>
        <w:top w:val="none" w:sz="0" w:space="0" w:color="auto"/>
        <w:left w:val="none" w:sz="0" w:space="0" w:color="auto"/>
        <w:bottom w:val="none" w:sz="0" w:space="0" w:color="auto"/>
        <w:right w:val="none" w:sz="0" w:space="0" w:color="auto"/>
      </w:divBdr>
    </w:div>
    <w:div w:id="1604071165">
      <w:bodyDiv w:val="1"/>
      <w:marLeft w:val="0"/>
      <w:marRight w:val="0"/>
      <w:marTop w:val="0"/>
      <w:marBottom w:val="0"/>
      <w:divBdr>
        <w:top w:val="none" w:sz="0" w:space="0" w:color="auto"/>
        <w:left w:val="none" w:sz="0" w:space="0" w:color="auto"/>
        <w:bottom w:val="none" w:sz="0" w:space="0" w:color="auto"/>
        <w:right w:val="none" w:sz="0" w:space="0" w:color="auto"/>
      </w:divBdr>
    </w:div>
    <w:div w:id="1619099362">
      <w:bodyDiv w:val="1"/>
      <w:marLeft w:val="0"/>
      <w:marRight w:val="0"/>
      <w:marTop w:val="0"/>
      <w:marBottom w:val="0"/>
      <w:divBdr>
        <w:top w:val="none" w:sz="0" w:space="0" w:color="auto"/>
        <w:left w:val="none" w:sz="0" w:space="0" w:color="auto"/>
        <w:bottom w:val="none" w:sz="0" w:space="0" w:color="auto"/>
        <w:right w:val="none" w:sz="0" w:space="0" w:color="auto"/>
      </w:divBdr>
    </w:div>
    <w:div w:id="1787193558">
      <w:bodyDiv w:val="1"/>
      <w:marLeft w:val="0"/>
      <w:marRight w:val="0"/>
      <w:marTop w:val="0"/>
      <w:marBottom w:val="0"/>
      <w:divBdr>
        <w:top w:val="none" w:sz="0" w:space="0" w:color="auto"/>
        <w:left w:val="none" w:sz="0" w:space="0" w:color="auto"/>
        <w:bottom w:val="none" w:sz="0" w:space="0" w:color="auto"/>
        <w:right w:val="none" w:sz="0" w:space="0" w:color="auto"/>
      </w:divBdr>
    </w:div>
    <w:div w:id="1809393203">
      <w:bodyDiv w:val="1"/>
      <w:marLeft w:val="0"/>
      <w:marRight w:val="0"/>
      <w:marTop w:val="0"/>
      <w:marBottom w:val="0"/>
      <w:divBdr>
        <w:top w:val="none" w:sz="0" w:space="0" w:color="auto"/>
        <w:left w:val="none" w:sz="0" w:space="0" w:color="auto"/>
        <w:bottom w:val="none" w:sz="0" w:space="0" w:color="auto"/>
        <w:right w:val="none" w:sz="0" w:space="0" w:color="auto"/>
      </w:divBdr>
    </w:div>
    <w:div w:id="1835337360">
      <w:bodyDiv w:val="1"/>
      <w:marLeft w:val="0"/>
      <w:marRight w:val="0"/>
      <w:marTop w:val="0"/>
      <w:marBottom w:val="0"/>
      <w:divBdr>
        <w:top w:val="none" w:sz="0" w:space="0" w:color="auto"/>
        <w:left w:val="none" w:sz="0" w:space="0" w:color="auto"/>
        <w:bottom w:val="none" w:sz="0" w:space="0" w:color="auto"/>
        <w:right w:val="none" w:sz="0" w:space="0" w:color="auto"/>
      </w:divBdr>
    </w:div>
    <w:div w:id="1863005810">
      <w:bodyDiv w:val="1"/>
      <w:marLeft w:val="0"/>
      <w:marRight w:val="0"/>
      <w:marTop w:val="0"/>
      <w:marBottom w:val="0"/>
      <w:divBdr>
        <w:top w:val="none" w:sz="0" w:space="0" w:color="auto"/>
        <w:left w:val="none" w:sz="0" w:space="0" w:color="auto"/>
        <w:bottom w:val="none" w:sz="0" w:space="0" w:color="auto"/>
        <w:right w:val="none" w:sz="0" w:space="0" w:color="auto"/>
      </w:divBdr>
    </w:div>
    <w:div w:id="1958557104">
      <w:bodyDiv w:val="1"/>
      <w:marLeft w:val="0"/>
      <w:marRight w:val="0"/>
      <w:marTop w:val="0"/>
      <w:marBottom w:val="0"/>
      <w:divBdr>
        <w:top w:val="none" w:sz="0" w:space="0" w:color="auto"/>
        <w:left w:val="none" w:sz="0" w:space="0" w:color="auto"/>
        <w:bottom w:val="none" w:sz="0" w:space="0" w:color="auto"/>
        <w:right w:val="none" w:sz="0" w:space="0" w:color="auto"/>
      </w:divBdr>
    </w:div>
    <w:div w:id="1977878883">
      <w:bodyDiv w:val="1"/>
      <w:marLeft w:val="0"/>
      <w:marRight w:val="0"/>
      <w:marTop w:val="0"/>
      <w:marBottom w:val="0"/>
      <w:divBdr>
        <w:top w:val="none" w:sz="0" w:space="0" w:color="auto"/>
        <w:left w:val="none" w:sz="0" w:space="0" w:color="auto"/>
        <w:bottom w:val="none" w:sz="0" w:space="0" w:color="auto"/>
        <w:right w:val="none" w:sz="0" w:space="0" w:color="auto"/>
      </w:divBdr>
    </w:div>
    <w:div w:id="1978413588">
      <w:bodyDiv w:val="1"/>
      <w:marLeft w:val="0"/>
      <w:marRight w:val="0"/>
      <w:marTop w:val="0"/>
      <w:marBottom w:val="0"/>
      <w:divBdr>
        <w:top w:val="none" w:sz="0" w:space="0" w:color="auto"/>
        <w:left w:val="none" w:sz="0" w:space="0" w:color="auto"/>
        <w:bottom w:val="none" w:sz="0" w:space="0" w:color="auto"/>
        <w:right w:val="none" w:sz="0" w:space="0" w:color="auto"/>
      </w:divBdr>
    </w:div>
    <w:div w:id="1982996244">
      <w:bodyDiv w:val="1"/>
      <w:marLeft w:val="0"/>
      <w:marRight w:val="0"/>
      <w:marTop w:val="0"/>
      <w:marBottom w:val="0"/>
      <w:divBdr>
        <w:top w:val="none" w:sz="0" w:space="0" w:color="auto"/>
        <w:left w:val="none" w:sz="0" w:space="0" w:color="auto"/>
        <w:bottom w:val="none" w:sz="0" w:space="0" w:color="auto"/>
        <w:right w:val="none" w:sz="0" w:space="0" w:color="auto"/>
      </w:divBdr>
    </w:div>
    <w:div w:id="2073888983">
      <w:bodyDiv w:val="1"/>
      <w:marLeft w:val="0"/>
      <w:marRight w:val="0"/>
      <w:marTop w:val="0"/>
      <w:marBottom w:val="0"/>
      <w:divBdr>
        <w:top w:val="none" w:sz="0" w:space="0" w:color="auto"/>
        <w:left w:val="none" w:sz="0" w:space="0" w:color="auto"/>
        <w:bottom w:val="none" w:sz="0" w:space="0" w:color="auto"/>
        <w:right w:val="none" w:sz="0" w:space="0" w:color="auto"/>
      </w:divBdr>
    </w:div>
    <w:div w:id="2080783416">
      <w:bodyDiv w:val="1"/>
      <w:marLeft w:val="0"/>
      <w:marRight w:val="0"/>
      <w:marTop w:val="0"/>
      <w:marBottom w:val="0"/>
      <w:divBdr>
        <w:top w:val="none" w:sz="0" w:space="0" w:color="auto"/>
        <w:left w:val="none" w:sz="0" w:space="0" w:color="auto"/>
        <w:bottom w:val="none" w:sz="0" w:space="0" w:color="auto"/>
        <w:right w:val="none" w:sz="0" w:space="0" w:color="auto"/>
      </w:divBdr>
    </w:div>
    <w:div w:id="2102875786">
      <w:bodyDiv w:val="1"/>
      <w:marLeft w:val="0"/>
      <w:marRight w:val="0"/>
      <w:marTop w:val="0"/>
      <w:marBottom w:val="0"/>
      <w:divBdr>
        <w:top w:val="none" w:sz="0" w:space="0" w:color="auto"/>
        <w:left w:val="none" w:sz="0" w:space="0" w:color="auto"/>
        <w:bottom w:val="none" w:sz="0" w:space="0" w:color="auto"/>
        <w:right w:val="none" w:sz="0" w:space="0" w:color="auto"/>
      </w:divBdr>
    </w:div>
    <w:div w:id="2107652362">
      <w:bodyDiv w:val="1"/>
      <w:marLeft w:val="0"/>
      <w:marRight w:val="0"/>
      <w:marTop w:val="0"/>
      <w:marBottom w:val="0"/>
      <w:divBdr>
        <w:top w:val="none" w:sz="0" w:space="0" w:color="auto"/>
        <w:left w:val="none" w:sz="0" w:space="0" w:color="auto"/>
        <w:bottom w:val="none" w:sz="0" w:space="0" w:color="auto"/>
        <w:right w:val="none" w:sz="0" w:space="0" w:color="auto"/>
      </w:divBdr>
    </w:div>
    <w:div w:id="2110195848">
      <w:bodyDiv w:val="1"/>
      <w:marLeft w:val="0"/>
      <w:marRight w:val="0"/>
      <w:marTop w:val="0"/>
      <w:marBottom w:val="0"/>
      <w:divBdr>
        <w:top w:val="none" w:sz="0" w:space="0" w:color="auto"/>
        <w:left w:val="none" w:sz="0" w:space="0" w:color="auto"/>
        <w:bottom w:val="none" w:sz="0" w:space="0" w:color="auto"/>
        <w:right w:val="none" w:sz="0" w:space="0" w:color="auto"/>
      </w:divBdr>
    </w:div>
    <w:div w:id="211590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30.emf"/><Relationship Id="rId50" Type="http://schemas.openxmlformats.org/officeDocument/2006/relationships/image" Target="media/image33.png"/><Relationship Id="rId55" Type="http://schemas.openxmlformats.org/officeDocument/2006/relationships/image" Target="media/image38.png"/><Relationship Id="rId63" Type="http://schemas.openxmlformats.org/officeDocument/2006/relationships/image" Target="media/image46.png"/><Relationship Id="rId68" Type="http://schemas.openxmlformats.org/officeDocument/2006/relationships/footer" Target="footer8.xml"/><Relationship Id="rId76" Type="http://schemas.openxmlformats.org/officeDocument/2006/relationships/image" Target="media/image53.png"/><Relationship Id="rId84" Type="http://schemas.openxmlformats.org/officeDocument/2006/relationships/hyperlink" Target="https://www.pwc.com/us/en/outsourcing-shared-services-centers/assets/hfs-report-pwc-developing-framework-global-services.pdf" TargetMode="External"/><Relationship Id="rId89" Type="http://schemas.openxmlformats.org/officeDocument/2006/relationships/image" Target="media/image55.png"/><Relationship Id="rId97" Type="http://schemas.openxmlformats.org/officeDocument/2006/relationships/hyperlink" Target="http://www.deloitteaccesseconomics" TargetMode="External"/><Relationship Id="rId7" Type="http://schemas.openxmlformats.org/officeDocument/2006/relationships/endnotes" Target="endnotes.xml"/><Relationship Id="rId71" Type="http://schemas.openxmlformats.org/officeDocument/2006/relationships/header" Target="header8.xml"/><Relationship Id="rId92"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13.png"/><Relationship Id="rId11" Type="http://schemas.openxmlformats.org/officeDocument/2006/relationships/footer" Target="footer1.xml"/><Relationship Id="rId24" Type="http://schemas.openxmlformats.org/officeDocument/2006/relationships/image" Target="media/image8.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image" Target="media/image41.png"/><Relationship Id="rId66" Type="http://schemas.openxmlformats.org/officeDocument/2006/relationships/header" Target="header5.xml"/><Relationship Id="rId74" Type="http://schemas.openxmlformats.org/officeDocument/2006/relationships/image" Target="media/image51.png"/><Relationship Id="rId79" Type="http://schemas.openxmlformats.org/officeDocument/2006/relationships/hyperlink" Target="https://docs.education.gov.au/system/files/doc/other/redesigning_vet_fee-help_-_discussion_paper_0_0.pdf" TargetMode="External"/><Relationship Id="rId87" Type="http://schemas.openxmlformats.org/officeDocument/2006/relationships/hyperlink" Target="http://www.tec.govt.nz/Tertiary-Sector/Performance-information/TEI-financial-performance/" TargetMode="External"/><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4.png"/><Relationship Id="rId82" Type="http://schemas.openxmlformats.org/officeDocument/2006/relationships/hyperlink" Target="http://www.heti.nsw.gov.au/Global/ICTN/Hunter%20and%20Coast%20ICTN/The%20Cost%20and%20Benefits%20of%20CP%20for%20HSP.pdf" TargetMode="External"/><Relationship Id="rId90" Type="http://schemas.openxmlformats.org/officeDocument/2006/relationships/image" Target="media/image56.png"/><Relationship Id="rId95" Type="http://schemas.openxmlformats.org/officeDocument/2006/relationships/footer" Target="footer10.xml"/><Relationship Id="rId19" Type="http://schemas.openxmlformats.org/officeDocument/2006/relationships/image" Target="media/image3.png"/><Relationship Id="rId14" Type="http://schemas.openxmlformats.org/officeDocument/2006/relationships/footer" Target="footer3.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image" Target="media/image47.png"/><Relationship Id="rId69" Type="http://schemas.openxmlformats.org/officeDocument/2006/relationships/image" Target="media/image49.png"/><Relationship Id="rId77" Type="http://schemas.openxmlformats.org/officeDocument/2006/relationships/image" Target="media/image54.png"/><Relationship Id="rId100" Type="http://schemas.openxmlformats.org/officeDocument/2006/relationships/footer" Target="footer11.xml"/><Relationship Id="rId8" Type="http://schemas.openxmlformats.org/officeDocument/2006/relationships/image" Target="media/image1.jpeg"/><Relationship Id="rId51" Type="http://schemas.openxmlformats.org/officeDocument/2006/relationships/image" Target="media/image34.png"/><Relationship Id="rId72" Type="http://schemas.openxmlformats.org/officeDocument/2006/relationships/footer" Target="footer9.xml"/><Relationship Id="rId80" Type="http://schemas.openxmlformats.org/officeDocument/2006/relationships/hyperlink" Target="https://docs.education.gov.au/system/files/doc/other/160901_vet_fee-help_reform_factsheet.pdf" TargetMode="External"/><Relationship Id="rId85" Type="http://schemas.openxmlformats.org/officeDocument/2006/relationships/hyperlink" Target="http://www.hefce.ac.uk/media/HEFCE,2014/Content/Pubs/2015/201504/2015_04.pdf" TargetMode="External"/><Relationship Id="rId93" Type="http://schemas.openxmlformats.org/officeDocument/2006/relationships/header" Target="header10.xml"/><Relationship Id="rId98" Type="http://schemas.openxmlformats.org/officeDocument/2006/relationships/hyperlink" Target="file:///\\ausydcl001\users$\NMongan\Kate\www.deloitte.com\au\about"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image" Target="media/image9.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42.png"/><Relationship Id="rId67" Type="http://schemas.openxmlformats.org/officeDocument/2006/relationships/header" Target="header6.xml"/><Relationship Id="rId20" Type="http://schemas.openxmlformats.org/officeDocument/2006/relationships/image" Target="media/image4.png"/><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image" Target="media/image45.png"/><Relationship Id="rId70" Type="http://schemas.openxmlformats.org/officeDocument/2006/relationships/header" Target="header7.xml"/><Relationship Id="rId75" Type="http://schemas.openxmlformats.org/officeDocument/2006/relationships/image" Target="media/image52.png"/><Relationship Id="rId83" Type="http://schemas.openxmlformats.org/officeDocument/2006/relationships/hyperlink" Target="https://docs.education.gov.au/node/38416" TargetMode="External"/><Relationship Id="rId88" Type="http://schemas.openxmlformats.org/officeDocument/2006/relationships/hyperlink" Target="http://www.theaustralian.com.au/higher-education/activitybased-costing-could-solve-uni-funding-conundrum/news-story/49997e000a5c90b6b32a3d9cbbd15064" TargetMode="External"/><Relationship Id="rId91" Type="http://schemas.openxmlformats.org/officeDocument/2006/relationships/image" Target="media/image57.png"/><Relationship Id="rId96"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40.emf"/><Relationship Id="rId10" Type="http://schemas.openxmlformats.org/officeDocument/2006/relationships/header" Target="header2.xml"/><Relationship Id="rId31" Type="http://schemas.openxmlformats.org/officeDocument/2006/relationships/footer" Target="footer7.xml"/><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image" Target="media/image50.png"/><Relationship Id="rId78" Type="http://schemas.openxmlformats.org/officeDocument/2006/relationships/hyperlink" Target="http://www.highered-servicestransformation.com.au/media/1003888/73200.pdf" TargetMode="External"/><Relationship Id="rId81" Type="http://schemas.openxmlformats.org/officeDocument/2006/relationships/hyperlink" Target="http://ips.ac.nz/publications/files/4295b3c417c.pdf" TargetMode="External"/><Relationship Id="rId86" Type="http://schemas.openxmlformats.org/officeDocument/2006/relationships/hyperlink" Target="http://www.highered-servicestransformation.com.au/mediacenter" TargetMode="External"/><Relationship Id="rId94" Type="http://schemas.openxmlformats.org/officeDocument/2006/relationships/header" Target="header11.xml"/><Relationship Id="rId99" Type="http://schemas.openxmlformats.org/officeDocument/2006/relationships/hyperlink" Target="http://www.deloitte.com/dtt/home/0%2C1044%2Csid%25253D5518%2C00.html"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9" Type="http://schemas.openxmlformats.org/officeDocument/2006/relationships/image" Target="media/image2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Deloitte Standard">
      <a:dk1>
        <a:sysClr val="windowText" lastClr="000000"/>
      </a:dk1>
      <a:lt1>
        <a:srgbClr val="FFFFFF"/>
      </a:lt1>
      <a:dk2>
        <a:srgbClr val="002776"/>
      </a:dk2>
      <a:lt2>
        <a:srgbClr val="FFFFFF"/>
      </a:lt2>
      <a:accent1>
        <a:srgbClr val="81BC00"/>
      </a:accent1>
      <a:accent2>
        <a:srgbClr val="00A1DE"/>
      </a:accent2>
      <a:accent3>
        <a:srgbClr val="313131"/>
      </a:accent3>
      <a:accent4>
        <a:srgbClr val="3C8A2E"/>
      </a:accent4>
      <a:accent5>
        <a:srgbClr val="575757"/>
      </a:accent5>
      <a:accent6>
        <a:srgbClr val="8C8C8C"/>
      </a:accent6>
      <a:hlink>
        <a:srgbClr val="0070C0"/>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2E08D-5DB2-4A77-8D7A-600BAF45C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143</Pages>
  <Words>45230</Words>
  <Characters>257813</Characters>
  <Application>Microsoft Office Word</Application>
  <DocSecurity>0</DocSecurity>
  <Lines>2148</Lines>
  <Paragraphs>604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302439</CharactersWithSpaces>
  <SharedDoc>false</SharedDoc>
  <HLinks>
    <vt:vector size="24" baseType="variant">
      <vt:variant>
        <vt:i4>1769524</vt:i4>
      </vt:variant>
      <vt:variant>
        <vt:i4>26</vt:i4>
      </vt:variant>
      <vt:variant>
        <vt:i4>0</vt:i4>
      </vt:variant>
      <vt:variant>
        <vt:i4>5</vt:i4>
      </vt:variant>
      <vt:variant>
        <vt:lpwstr/>
      </vt:variant>
      <vt:variant>
        <vt:lpwstr>_Toc215906321</vt:lpwstr>
      </vt:variant>
      <vt:variant>
        <vt:i4>1769524</vt:i4>
      </vt:variant>
      <vt:variant>
        <vt:i4>20</vt:i4>
      </vt:variant>
      <vt:variant>
        <vt:i4>0</vt:i4>
      </vt:variant>
      <vt:variant>
        <vt:i4>5</vt:i4>
      </vt:variant>
      <vt:variant>
        <vt:lpwstr/>
      </vt:variant>
      <vt:variant>
        <vt:lpwstr>_Toc215906320</vt:lpwstr>
      </vt:variant>
      <vt:variant>
        <vt:i4>1572916</vt:i4>
      </vt:variant>
      <vt:variant>
        <vt:i4>14</vt:i4>
      </vt:variant>
      <vt:variant>
        <vt:i4>0</vt:i4>
      </vt:variant>
      <vt:variant>
        <vt:i4>5</vt:i4>
      </vt:variant>
      <vt:variant>
        <vt:lpwstr/>
      </vt:variant>
      <vt:variant>
        <vt:lpwstr>_Toc215906319</vt:lpwstr>
      </vt:variant>
      <vt:variant>
        <vt:i4>1572916</vt:i4>
      </vt:variant>
      <vt:variant>
        <vt:i4>8</vt:i4>
      </vt:variant>
      <vt:variant>
        <vt:i4>0</vt:i4>
      </vt:variant>
      <vt:variant>
        <vt:i4>5</vt:i4>
      </vt:variant>
      <vt:variant>
        <vt:lpwstr/>
      </vt:variant>
      <vt:variant>
        <vt:lpwstr>_Toc215906318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Cost of delivery of Higher Education</dc:title>
  <dc:subject/>
  <dc:creator/>
  <cp:keywords/>
  <cp:lastModifiedBy/>
  <cp:revision>1</cp:revision>
  <dcterms:created xsi:type="dcterms:W3CDTF">2017-04-27T12:37:00Z</dcterms:created>
  <dcterms:modified xsi:type="dcterms:W3CDTF">2017-04-27T12:37:00Z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